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83582" w14:textId="77777777" w:rsidR="00C52647" w:rsidRPr="007C5C3A" w:rsidRDefault="00C52647" w:rsidP="00C52647">
      <w:pPr>
        <w:rPr>
          <w:rFonts w:ascii="Times New Roman" w:hAnsi="Times New Roman" w:cs="Times New Roman"/>
          <w:b/>
          <w:bCs/>
          <w:sz w:val="24"/>
          <w:szCs w:val="24"/>
        </w:rPr>
      </w:pPr>
      <w:r w:rsidRPr="007C5C3A">
        <w:rPr>
          <w:rFonts w:ascii="Times New Roman" w:hAnsi="Times New Roman" w:cs="Times New Roman"/>
          <w:b/>
          <w:bCs/>
          <w:sz w:val="24"/>
          <w:szCs w:val="24"/>
        </w:rPr>
        <w:t xml:space="preserve">Protective Effects of </w:t>
      </w:r>
      <w:proofErr w:type="spellStart"/>
      <w:r w:rsidRPr="00614C73">
        <w:rPr>
          <w:rFonts w:ascii="Times New Roman" w:hAnsi="Times New Roman" w:cs="Times New Roman"/>
          <w:b/>
          <w:bCs/>
          <w:i/>
          <w:iCs/>
          <w:sz w:val="24"/>
          <w:szCs w:val="24"/>
        </w:rPr>
        <w:t>Syzygium</w:t>
      </w:r>
      <w:proofErr w:type="spellEnd"/>
      <w:r w:rsidRPr="00614C73">
        <w:rPr>
          <w:rFonts w:ascii="Times New Roman" w:hAnsi="Times New Roman" w:cs="Times New Roman"/>
          <w:b/>
          <w:bCs/>
          <w:i/>
          <w:iCs/>
          <w:sz w:val="24"/>
          <w:szCs w:val="24"/>
        </w:rPr>
        <w:t xml:space="preserve"> aromaticum</w:t>
      </w:r>
      <w:r>
        <w:rPr>
          <w:rFonts w:ascii="Times New Roman" w:hAnsi="Times New Roman" w:cs="Times New Roman"/>
          <w:b/>
          <w:bCs/>
          <w:i/>
          <w:iCs/>
          <w:sz w:val="24"/>
          <w:szCs w:val="24"/>
        </w:rPr>
        <w:t xml:space="preserve"> </w:t>
      </w:r>
      <w:r>
        <w:rPr>
          <w:rFonts w:ascii="Times New Roman" w:hAnsi="Times New Roman" w:cs="Times New Roman"/>
          <w:b/>
          <w:bCs/>
          <w:sz w:val="24"/>
          <w:szCs w:val="24"/>
        </w:rPr>
        <w:t>Extract</w:t>
      </w:r>
      <w:r w:rsidRPr="007C5C3A">
        <w:rPr>
          <w:rFonts w:ascii="Times New Roman" w:hAnsi="Times New Roman" w:cs="Times New Roman"/>
          <w:b/>
          <w:bCs/>
          <w:sz w:val="24"/>
          <w:szCs w:val="24"/>
        </w:rPr>
        <w:t xml:space="preserve"> on Oxidative Stress Biomarkers</w:t>
      </w:r>
      <w:r>
        <w:rPr>
          <w:rFonts w:ascii="Times New Roman" w:hAnsi="Times New Roman" w:cs="Times New Roman"/>
          <w:b/>
          <w:bCs/>
          <w:sz w:val="24"/>
          <w:szCs w:val="24"/>
        </w:rPr>
        <w:t xml:space="preserve"> in Male Wistar Rats Exposed to</w:t>
      </w:r>
      <w:r w:rsidRPr="007C5C3A">
        <w:rPr>
          <w:rFonts w:ascii="Times New Roman" w:hAnsi="Times New Roman" w:cs="Times New Roman"/>
          <w:b/>
          <w:bCs/>
          <w:sz w:val="24"/>
          <w:szCs w:val="24"/>
        </w:rPr>
        <w:t xml:space="preserve"> Aluminium and Benzo[a]pyrene </w:t>
      </w:r>
      <w:r>
        <w:rPr>
          <w:rFonts w:ascii="Times New Roman" w:hAnsi="Times New Roman" w:cs="Times New Roman"/>
          <w:b/>
          <w:bCs/>
          <w:sz w:val="24"/>
          <w:szCs w:val="24"/>
        </w:rPr>
        <w:t xml:space="preserve">individually and in Combination </w:t>
      </w:r>
    </w:p>
    <w:p w14:paraId="6DA9868E" w14:textId="77777777" w:rsidR="00C52647" w:rsidRPr="007C5C3A" w:rsidRDefault="00C52647" w:rsidP="00C52647">
      <w:pPr>
        <w:rPr>
          <w:rFonts w:ascii="Times New Roman" w:hAnsi="Times New Roman" w:cs="Times New Roman"/>
          <w:b/>
          <w:bCs/>
          <w:sz w:val="24"/>
          <w:szCs w:val="24"/>
        </w:rPr>
      </w:pPr>
    </w:p>
    <w:p w14:paraId="1B9BD69F" w14:textId="77777777" w:rsidR="0069107B" w:rsidRDefault="0069107B" w:rsidP="00C52647">
      <w:pPr>
        <w:rPr>
          <w:rFonts w:ascii="Times New Roman" w:hAnsi="Times New Roman" w:cs="Times New Roman"/>
          <w:b/>
          <w:bCs/>
          <w:sz w:val="24"/>
          <w:szCs w:val="24"/>
        </w:rPr>
      </w:pPr>
    </w:p>
    <w:p w14:paraId="44854DEE" w14:textId="77777777" w:rsidR="00F64C25" w:rsidRPr="007C5C3A" w:rsidRDefault="00F64C25" w:rsidP="00F64C25">
      <w:pPr>
        <w:jc w:val="center"/>
        <w:rPr>
          <w:rFonts w:ascii="Times New Roman" w:hAnsi="Times New Roman" w:cs="Times New Roman"/>
          <w:sz w:val="24"/>
          <w:szCs w:val="24"/>
        </w:rPr>
      </w:pPr>
      <w:r w:rsidRPr="007C5C3A">
        <w:rPr>
          <w:rFonts w:ascii="Times New Roman" w:hAnsi="Times New Roman" w:cs="Times New Roman"/>
          <w:b/>
          <w:bCs/>
          <w:sz w:val="24"/>
          <w:szCs w:val="24"/>
        </w:rPr>
        <w:t>ABSTRACT</w:t>
      </w:r>
    </w:p>
    <w:p w14:paraId="490B77D4" w14:textId="77777777" w:rsidR="003250BA" w:rsidRPr="007C5C3A" w:rsidRDefault="00EF6CCD" w:rsidP="003250BA">
      <w:pPr>
        <w:jc w:val="both"/>
        <w:rPr>
          <w:rFonts w:ascii="Times New Roman" w:hAnsi="Times New Roman" w:cs="Times New Roman"/>
          <w:sz w:val="24"/>
          <w:szCs w:val="24"/>
        </w:rPr>
      </w:pPr>
      <w:r>
        <w:rPr>
          <w:rFonts w:ascii="Times New Roman" w:hAnsi="Times New Roman" w:cs="Times New Roman"/>
          <w:sz w:val="24"/>
          <w:szCs w:val="24"/>
        </w:rPr>
        <w:t xml:space="preserve">Oxidative stress is a principal mechanism underlying the toxicity of environmental pollutants such as aluminium (Al) and benzo[a]pyrene (BaP), with co-exposure promoting excessive reactive oxygen species generation, lipid peroxidation, and depletion of antioxidant </w:t>
      </w:r>
      <w:r>
        <w:rPr>
          <w:rFonts w:ascii="Times New Roman" w:hAnsi="Times New Roman" w:cs="Times New Roman"/>
          <w:sz w:val="24"/>
          <w:szCs w:val="24"/>
          <w:highlight w:val="yellow"/>
        </w:rPr>
        <w:t>defences</w:t>
      </w:r>
      <w:r>
        <w:rPr>
          <w:rFonts w:ascii="Times New Roman" w:hAnsi="Times New Roman" w:cs="Times New Roman"/>
          <w:sz w:val="24"/>
          <w:szCs w:val="24"/>
        </w:rPr>
        <w:t xml:space="preserve">. </w:t>
      </w:r>
      <w:r>
        <w:rPr>
          <w:rFonts w:ascii="Times New Roman" w:hAnsi="Times New Roman" w:cs="Times New Roman"/>
          <w:i/>
          <w:sz w:val="24"/>
          <w:szCs w:val="24"/>
        </w:rPr>
        <w:t>Syzygium aromaticum</w:t>
      </w:r>
      <w:r>
        <w:rPr>
          <w:rFonts w:ascii="Times New Roman" w:hAnsi="Times New Roman" w:cs="Times New Roman"/>
          <w:sz w:val="24"/>
          <w:szCs w:val="24"/>
        </w:rPr>
        <w:t xml:space="preserve"> (clove), a phenolic-rich medicinal plant with documented antioxidant properties, has not been adequately evaluated against oxidative damage from combined Al and BaP exposure. This study investigated the protective effects of </w:t>
      </w:r>
      <w:r>
        <w:rPr>
          <w:rFonts w:ascii="Times New Roman" w:hAnsi="Times New Roman" w:cs="Times New Roman"/>
          <w:i/>
          <w:sz w:val="24"/>
          <w:szCs w:val="24"/>
        </w:rPr>
        <w:t>S. aromaticum</w:t>
      </w:r>
      <w:r>
        <w:rPr>
          <w:rFonts w:ascii="Times New Roman" w:hAnsi="Times New Roman" w:cs="Times New Roman"/>
          <w:sz w:val="24"/>
          <w:szCs w:val="24"/>
        </w:rPr>
        <w:t xml:space="preserve"> aqueous extract on oxidative stress biomarkers in male Wistar rats exposed </w:t>
      </w:r>
      <w:r>
        <w:rPr>
          <w:rFonts w:ascii="Times New Roman" w:hAnsi="Times New Roman" w:cs="Times New Roman"/>
          <w:sz w:val="24"/>
          <w:szCs w:val="24"/>
          <w:highlight w:val="yellow"/>
        </w:rPr>
        <w:t xml:space="preserve">orally for 28 days </w:t>
      </w:r>
      <w:r>
        <w:rPr>
          <w:rFonts w:ascii="Times New Roman" w:hAnsi="Times New Roman" w:cs="Times New Roman"/>
          <w:sz w:val="24"/>
          <w:szCs w:val="24"/>
        </w:rPr>
        <w:t>to Al (</w:t>
      </w:r>
      <w:r>
        <w:rPr>
          <w:rFonts w:ascii="Times New Roman" w:hAnsi="Times New Roman" w:cs="Times New Roman"/>
          <w:sz w:val="24"/>
          <w:szCs w:val="24"/>
          <w:highlight w:val="yellow"/>
        </w:rPr>
        <w:t>100 mg</w:t>
      </w:r>
      <w:r>
        <w:rPr>
          <w:rFonts w:ascii="Times New Roman" w:hAnsi="Times New Roman" w:cs="Times New Roman"/>
          <w:sz w:val="24"/>
          <w:szCs w:val="24"/>
        </w:rPr>
        <w:t>/kg) and BaP (</w:t>
      </w:r>
      <w:r>
        <w:rPr>
          <w:rFonts w:ascii="Times New Roman" w:hAnsi="Times New Roman" w:cs="Times New Roman"/>
          <w:sz w:val="24"/>
          <w:szCs w:val="24"/>
          <w:highlight w:val="yellow"/>
        </w:rPr>
        <w:t>100 mg</w:t>
      </w:r>
      <w:r>
        <w:rPr>
          <w:rFonts w:ascii="Times New Roman" w:hAnsi="Times New Roman" w:cs="Times New Roman"/>
          <w:sz w:val="24"/>
          <w:szCs w:val="24"/>
        </w:rPr>
        <w:t xml:space="preserve">/kg), individually and in combination. </w:t>
      </w:r>
      <w:r>
        <w:rPr>
          <w:rFonts w:ascii="Times New Roman" w:hAnsi="Times New Roman" w:cs="Times New Roman"/>
          <w:sz w:val="24"/>
          <w:szCs w:val="24"/>
          <w:highlight w:val="yellow"/>
        </w:rPr>
        <w:t>Fifty-four</w:t>
      </w:r>
      <w:r>
        <w:rPr>
          <w:rFonts w:ascii="Times New Roman" w:hAnsi="Times New Roman" w:cs="Times New Roman"/>
          <w:sz w:val="24"/>
          <w:szCs w:val="24"/>
        </w:rPr>
        <w:t xml:space="preserve"> rats were allocated </w:t>
      </w:r>
      <w:r>
        <w:rPr>
          <w:rFonts w:ascii="Times New Roman" w:hAnsi="Times New Roman" w:cs="Times New Roman"/>
          <w:sz w:val="24"/>
          <w:szCs w:val="24"/>
          <w:highlight w:val="yellow"/>
        </w:rPr>
        <w:t>to</w:t>
      </w:r>
      <w:r>
        <w:rPr>
          <w:rFonts w:ascii="Times New Roman" w:hAnsi="Times New Roman" w:cs="Times New Roman"/>
          <w:sz w:val="24"/>
          <w:szCs w:val="24"/>
        </w:rPr>
        <w:t xml:space="preserve"> nine groups (n = 6): normal control, Al-treated, BaP-treated, Al+BaP-treated, Al+BaP with </w:t>
      </w:r>
      <w:r>
        <w:rPr>
          <w:rFonts w:ascii="Times New Roman" w:hAnsi="Times New Roman" w:cs="Times New Roman"/>
          <w:i/>
          <w:sz w:val="24"/>
          <w:szCs w:val="24"/>
        </w:rPr>
        <w:t>S. aromaticum</w:t>
      </w:r>
      <w:r>
        <w:rPr>
          <w:rFonts w:ascii="Times New Roman" w:hAnsi="Times New Roman" w:cs="Times New Roman"/>
          <w:sz w:val="24"/>
          <w:szCs w:val="24"/>
        </w:rPr>
        <w:t xml:space="preserve"> (1000, 1500, or 2000 mg/kg), </w:t>
      </w:r>
      <w:r>
        <w:rPr>
          <w:rFonts w:ascii="Times New Roman" w:hAnsi="Times New Roman" w:cs="Times New Roman"/>
          <w:i/>
          <w:sz w:val="24"/>
          <w:szCs w:val="24"/>
        </w:rPr>
        <w:t>S. aromaticum</w:t>
      </w:r>
      <w:r>
        <w:rPr>
          <w:rFonts w:ascii="Times New Roman" w:hAnsi="Times New Roman" w:cs="Times New Roman"/>
          <w:sz w:val="24"/>
          <w:szCs w:val="24"/>
        </w:rPr>
        <w:t xml:space="preserve"> alone, and Al+BaP with ascorbic acid. Malondialdehyde (MDA), superoxide dismutase (SOD), catalase (CAT), glutathione peroxidase (GPx), and reduced glutathione (GSH) were determined using standard spectrophotometric methods. Data were analysed by one-way ANOVA with Tukey's post hoc test (p &lt; 0.05). </w:t>
      </w:r>
      <w:r>
        <w:rPr>
          <w:rFonts w:ascii="Times New Roman" w:hAnsi="Times New Roman" w:cs="Times New Roman"/>
          <w:sz w:val="24"/>
          <w:szCs w:val="24"/>
          <w:highlight w:val="yellow"/>
        </w:rPr>
        <w:t xml:space="preserve">Individual exposure to </w:t>
      </w:r>
      <w:r>
        <w:rPr>
          <w:rFonts w:ascii="Times New Roman" w:hAnsi="Times New Roman" w:cs="Times New Roman"/>
          <w:sz w:val="24"/>
          <w:szCs w:val="24"/>
        </w:rPr>
        <w:t xml:space="preserve">Al and BaP significantly increased MDA (12.80 and 12.04 nmol/mg protein vs. 3.28 in control, p &lt; 0.001), while combined exposure produced the greatest elevation (13.71 nmol/mg protein, p &lt; 0.001), with corresponding significant reductions in SOD, GPx, and GSH (p &lt; 0.05-0.001); </w:t>
      </w:r>
      <w:r>
        <w:rPr>
          <w:rFonts w:ascii="Times New Roman" w:hAnsi="Times New Roman" w:cs="Times New Roman"/>
          <w:sz w:val="24"/>
          <w:szCs w:val="24"/>
          <w:highlight w:val="yellow"/>
        </w:rPr>
        <w:t xml:space="preserve">reductions in </w:t>
      </w:r>
      <w:r>
        <w:rPr>
          <w:rFonts w:ascii="Times New Roman" w:hAnsi="Times New Roman" w:cs="Times New Roman"/>
          <w:sz w:val="24"/>
          <w:szCs w:val="24"/>
        </w:rPr>
        <w:t xml:space="preserve">catalase </w:t>
      </w:r>
      <w:r>
        <w:rPr>
          <w:rFonts w:ascii="Times New Roman" w:hAnsi="Times New Roman" w:cs="Times New Roman"/>
          <w:sz w:val="24"/>
          <w:szCs w:val="24"/>
          <w:highlight w:val="yellow"/>
        </w:rPr>
        <w:t>activity</w:t>
      </w:r>
      <w:r>
        <w:rPr>
          <w:rFonts w:ascii="Times New Roman" w:hAnsi="Times New Roman" w:cs="Times New Roman"/>
          <w:sz w:val="24"/>
          <w:szCs w:val="24"/>
        </w:rPr>
        <w:t xml:space="preserve"> did not reach statistical significance. </w:t>
      </w:r>
      <w:r>
        <w:rPr>
          <w:rFonts w:ascii="Times New Roman" w:hAnsi="Times New Roman" w:cs="Times New Roman"/>
          <w:i/>
          <w:sz w:val="24"/>
          <w:szCs w:val="24"/>
        </w:rPr>
        <w:t>S. aromaticum</w:t>
      </w:r>
      <w:r>
        <w:rPr>
          <w:rFonts w:ascii="Times New Roman" w:hAnsi="Times New Roman" w:cs="Times New Roman"/>
          <w:sz w:val="24"/>
          <w:szCs w:val="24"/>
        </w:rPr>
        <w:t xml:space="preserve"> attenuated lipid peroxidation and restored antioxidant enzyme activities at all tested doses, with effects statistically comparable to</w:t>
      </w:r>
      <w:r>
        <w:rPr>
          <w:rFonts w:ascii="Times New Roman" w:hAnsi="Times New Roman" w:cs="Times New Roman"/>
          <w:sz w:val="24"/>
          <w:szCs w:val="24"/>
          <w:highlight w:val="yellow"/>
        </w:rPr>
        <w:t xml:space="preserve"> those in</w:t>
      </w:r>
      <w:r>
        <w:rPr>
          <w:rFonts w:ascii="Times New Roman" w:hAnsi="Times New Roman" w:cs="Times New Roman"/>
          <w:sz w:val="24"/>
          <w:szCs w:val="24"/>
        </w:rPr>
        <w:t xml:space="preserve"> the ascorbic acid standard group (p &gt; 0.05). These findings suggest that </w:t>
      </w:r>
      <w:r>
        <w:rPr>
          <w:rFonts w:ascii="Times New Roman" w:hAnsi="Times New Roman" w:cs="Times New Roman"/>
          <w:i/>
          <w:sz w:val="24"/>
          <w:szCs w:val="24"/>
        </w:rPr>
        <w:t>S. aromaticum</w:t>
      </w:r>
      <w:r>
        <w:rPr>
          <w:rFonts w:ascii="Times New Roman" w:hAnsi="Times New Roman" w:cs="Times New Roman"/>
          <w:sz w:val="24"/>
          <w:szCs w:val="24"/>
        </w:rPr>
        <w:t xml:space="preserve"> may confer protective effects against combined Al- and BaP-induced oxidative stress in this animal model, supporting further investigation of its potential as a natural antioxidant intervention.</w:t>
      </w:r>
    </w:p>
    <w:p w14:paraId="5800EE16" w14:textId="77777777" w:rsidR="003250BA" w:rsidRPr="007C5C3A" w:rsidRDefault="003250BA" w:rsidP="003250BA">
      <w:pPr>
        <w:rPr>
          <w:rFonts w:ascii="Times New Roman" w:hAnsi="Times New Roman" w:cs="Times New Roman"/>
          <w:sz w:val="24"/>
          <w:szCs w:val="24"/>
        </w:rPr>
      </w:pPr>
      <w:r w:rsidRPr="007C5C3A">
        <w:rPr>
          <w:rFonts w:ascii="Times New Roman" w:hAnsi="Times New Roman" w:cs="Times New Roman"/>
          <w:b/>
          <w:bCs/>
          <w:sz w:val="24"/>
          <w:szCs w:val="24"/>
        </w:rPr>
        <w:t>Keywords:</w:t>
      </w:r>
      <w:r w:rsidRPr="007C5C3A">
        <w:rPr>
          <w:rFonts w:ascii="Times New Roman" w:hAnsi="Times New Roman" w:cs="Times New Roman"/>
          <w:sz w:val="24"/>
          <w:szCs w:val="24"/>
        </w:rPr>
        <w:t xml:space="preserve"> </w:t>
      </w:r>
      <w:proofErr w:type="spellStart"/>
      <w:r w:rsidRPr="007C5C3A">
        <w:rPr>
          <w:rFonts w:ascii="Times New Roman" w:hAnsi="Times New Roman" w:cs="Times New Roman"/>
          <w:i/>
          <w:iCs/>
          <w:sz w:val="24"/>
          <w:szCs w:val="24"/>
        </w:rPr>
        <w:t>Syzygium</w:t>
      </w:r>
      <w:proofErr w:type="spellEnd"/>
      <w:r w:rsidRPr="007C5C3A">
        <w:rPr>
          <w:rFonts w:ascii="Times New Roman" w:hAnsi="Times New Roman" w:cs="Times New Roman"/>
          <w:i/>
          <w:iCs/>
          <w:sz w:val="24"/>
          <w:szCs w:val="24"/>
        </w:rPr>
        <w:t xml:space="preserve"> aromaticum</w:t>
      </w:r>
      <w:r w:rsidRPr="007C5C3A">
        <w:rPr>
          <w:rFonts w:ascii="Times New Roman" w:hAnsi="Times New Roman" w:cs="Times New Roman"/>
          <w:sz w:val="24"/>
          <w:szCs w:val="24"/>
        </w:rPr>
        <w:t>; aluminium; benzo[a]pyrene; oxidative stress; malondialdehyde; antioxidant enzymes; reactive oxygen species</w:t>
      </w:r>
    </w:p>
    <w:p w14:paraId="36BA9550" w14:textId="77777777" w:rsidR="003250BA" w:rsidRPr="007C5C3A" w:rsidRDefault="003250BA">
      <w:pPr>
        <w:rPr>
          <w:rFonts w:ascii="Times New Roman" w:hAnsi="Times New Roman" w:cs="Times New Roman"/>
          <w:sz w:val="24"/>
          <w:szCs w:val="24"/>
        </w:rPr>
      </w:pPr>
      <w:r w:rsidRPr="007C5C3A">
        <w:rPr>
          <w:rFonts w:ascii="Times New Roman" w:hAnsi="Times New Roman" w:cs="Times New Roman"/>
          <w:sz w:val="24"/>
          <w:szCs w:val="24"/>
        </w:rPr>
        <w:br w:type="page"/>
      </w:r>
    </w:p>
    <w:p w14:paraId="2EFEF74E" w14:textId="77777777" w:rsidR="003250BA" w:rsidRPr="007C5C3A" w:rsidRDefault="00A23E89" w:rsidP="00A23E89">
      <w:pPr>
        <w:jc w:val="center"/>
        <w:rPr>
          <w:rFonts w:ascii="Times New Roman" w:hAnsi="Times New Roman" w:cs="Times New Roman"/>
          <w:b/>
          <w:bCs/>
          <w:sz w:val="24"/>
          <w:szCs w:val="24"/>
        </w:rPr>
      </w:pPr>
      <w:r w:rsidRPr="007C5C3A">
        <w:rPr>
          <w:rFonts w:ascii="Times New Roman" w:hAnsi="Times New Roman" w:cs="Times New Roman"/>
          <w:b/>
          <w:bCs/>
          <w:sz w:val="24"/>
          <w:szCs w:val="24"/>
        </w:rPr>
        <w:lastRenderedPageBreak/>
        <w:t>INTRODUCTION</w:t>
      </w:r>
    </w:p>
    <w:p w14:paraId="06622BA1" w14:textId="77777777" w:rsidR="003250BA" w:rsidRPr="007C5C3A" w:rsidRDefault="003250BA" w:rsidP="003250BA">
      <w:pPr>
        <w:jc w:val="both"/>
        <w:rPr>
          <w:rFonts w:ascii="Times New Roman" w:hAnsi="Times New Roman" w:cs="Times New Roman"/>
          <w:sz w:val="24"/>
          <w:szCs w:val="24"/>
        </w:rPr>
      </w:pPr>
      <w:r>
        <w:rPr>
          <w:rFonts w:ascii="Times New Roman" w:hAnsi="Times New Roman" w:cs="Times New Roman"/>
          <w:sz w:val="24"/>
          <w:szCs w:val="24"/>
        </w:rPr>
        <w:t xml:space="preserve">Environmental pollution has become a major global public health concern owing to the increasing release of toxic chemicals into the ecosystem through </w:t>
      </w:r>
      <w:r>
        <w:rPr>
          <w:rFonts w:ascii="Times New Roman" w:hAnsi="Times New Roman" w:cs="Times New Roman"/>
          <w:sz w:val="24"/>
          <w:szCs w:val="24"/>
          <w:highlight w:val="yellow"/>
        </w:rPr>
        <w:t>industrialisation</w:t>
      </w:r>
      <w:r>
        <w:rPr>
          <w:rFonts w:ascii="Times New Roman" w:hAnsi="Times New Roman" w:cs="Times New Roman"/>
          <w:sz w:val="24"/>
          <w:szCs w:val="24"/>
        </w:rPr>
        <w:t xml:space="preserve">, </w:t>
      </w:r>
      <w:r>
        <w:rPr>
          <w:rFonts w:ascii="Times New Roman" w:hAnsi="Times New Roman" w:cs="Times New Roman"/>
          <w:sz w:val="24"/>
          <w:szCs w:val="24"/>
          <w:highlight w:val="yellow"/>
        </w:rPr>
        <w:t>urbanisation</w:t>
      </w:r>
      <w:r>
        <w:rPr>
          <w:rFonts w:ascii="Times New Roman" w:hAnsi="Times New Roman" w:cs="Times New Roman"/>
          <w:sz w:val="24"/>
          <w:szCs w:val="24"/>
        </w:rPr>
        <w:t xml:space="preserve">, agricultural activities, and fossil fuel combustion. Chronic exposure to environmental contaminants has been implicated in the pathogenesis of numerous diseases affecting the nervous, cardiovascular, hepatic, renal, and reproductive systems. Among the various mechanisms responsible for toxicant-induced tissue injury, oxidative stress has emerged as one of the most extensively studied and universally accepted pathways (Adeniji et al., 2019; Amirdivani et al., 2019). Oxidative stress results from an imbalance between the production of reactive oxygen species (ROS) and the antioxidant </w:t>
      </w:r>
      <w:r>
        <w:rPr>
          <w:rFonts w:ascii="Times New Roman" w:hAnsi="Times New Roman" w:cs="Times New Roman"/>
          <w:sz w:val="24"/>
          <w:szCs w:val="24"/>
          <w:highlight w:val="yellow"/>
        </w:rPr>
        <w:t>defence</w:t>
      </w:r>
      <w:r>
        <w:rPr>
          <w:rFonts w:ascii="Times New Roman" w:hAnsi="Times New Roman" w:cs="Times New Roman"/>
          <w:sz w:val="24"/>
          <w:szCs w:val="24"/>
        </w:rPr>
        <w:t xml:space="preserve"> system, leading to oxidative damage of lipids, proteins, nucleic acids, and cellular organelles. Persistent oxidative stress disrupts normal cellular homeostasis and contributes significantly to the initiation and progression of several pathological conditions.</w:t>
      </w:r>
    </w:p>
    <w:p w14:paraId="7F306D1E" w14:textId="77777777" w:rsidR="003250BA" w:rsidRPr="007C5C3A" w:rsidRDefault="003250BA" w:rsidP="003250BA">
      <w:pPr>
        <w:jc w:val="both"/>
        <w:rPr>
          <w:rFonts w:ascii="Times New Roman" w:hAnsi="Times New Roman" w:cs="Times New Roman"/>
          <w:sz w:val="24"/>
          <w:szCs w:val="24"/>
        </w:rPr>
      </w:pPr>
      <w:r>
        <w:rPr>
          <w:rFonts w:ascii="Times New Roman" w:hAnsi="Times New Roman" w:cs="Times New Roman"/>
          <w:sz w:val="24"/>
          <w:szCs w:val="24"/>
        </w:rPr>
        <w:t xml:space="preserve">Aluminium (Al) is one of the most abundant metallic elements in the Earth's crust and is extensively </w:t>
      </w:r>
      <w:r>
        <w:rPr>
          <w:rFonts w:ascii="Times New Roman" w:hAnsi="Times New Roman" w:cs="Times New Roman"/>
          <w:sz w:val="24"/>
          <w:szCs w:val="24"/>
          <w:highlight w:val="yellow"/>
        </w:rPr>
        <w:t>utilised</w:t>
      </w:r>
      <w:r>
        <w:rPr>
          <w:rFonts w:ascii="Times New Roman" w:hAnsi="Times New Roman" w:cs="Times New Roman"/>
          <w:sz w:val="24"/>
          <w:szCs w:val="24"/>
        </w:rPr>
        <w:t xml:space="preserve"> in food packaging, pharmaceuticals, water treatment, cosmetics, construction materials, and numerous industrial applications. Consequently, human exposure to aluminium has become virtually unavoidable through dietary intake, drinking water, occupational exposure, and environmental contamination. Although aluminium possesses no known physiological function in humans, excessive accumulation within biological tissues has been associated with neurotoxicity, hepatotoxicity, nephrotoxicity, immunotoxicity, and reproductive dysfunction (</w:t>
      </w:r>
      <w:r>
        <w:rPr>
          <w:rFonts w:ascii="Times New Roman" w:hAnsi="Times New Roman" w:cs="Times New Roman"/>
          <w:sz w:val="24"/>
          <w:szCs w:val="24"/>
          <w:highlight w:val="yellow"/>
        </w:rPr>
        <w:t xml:space="preserve">Mitra et al., 2022; </w:t>
      </w:r>
      <w:r>
        <w:rPr>
          <w:rFonts w:ascii="Times New Roman" w:hAnsi="Times New Roman" w:cs="Times New Roman"/>
          <w:sz w:val="24"/>
          <w:szCs w:val="24"/>
        </w:rPr>
        <w:t>Rajeswari &amp; Sailaja, 2014</w:t>
      </w:r>
      <w:r>
        <w:rPr>
          <w:rFonts w:ascii="Times New Roman" w:hAnsi="Times New Roman" w:cs="Times New Roman"/>
          <w:sz w:val="24"/>
          <w:szCs w:val="24"/>
          <w:highlight w:val="yellow"/>
        </w:rPr>
        <w:t>).</w:t>
      </w:r>
      <w:r>
        <w:rPr>
          <w:rFonts w:ascii="Times New Roman" w:hAnsi="Times New Roman" w:cs="Times New Roman"/>
          <w:sz w:val="24"/>
          <w:szCs w:val="24"/>
        </w:rPr>
        <w:t xml:space="preserve"> Experimental evidence suggests that aluminium toxicity is mediated primarily through excessive generation of reactive oxygen species, mitochondrial dysfunction, lipid peroxidation, impairment of antioxidant enzymes, and activation of inflammatory pathways. These oxidative events ultimately result in structural and functional damage to susceptible tissues.</w:t>
      </w:r>
    </w:p>
    <w:p w14:paraId="7FD7097C" w14:textId="77777777" w:rsidR="003250BA" w:rsidRPr="007C5C3A" w:rsidRDefault="003250BA" w:rsidP="003250BA">
      <w:pPr>
        <w:jc w:val="both"/>
        <w:rPr>
          <w:rFonts w:ascii="Times New Roman" w:hAnsi="Times New Roman" w:cs="Times New Roman"/>
          <w:sz w:val="24"/>
          <w:szCs w:val="24"/>
        </w:rPr>
      </w:pPr>
      <w:r>
        <w:rPr>
          <w:rFonts w:ascii="Times New Roman" w:hAnsi="Times New Roman" w:cs="Times New Roman"/>
          <w:sz w:val="24"/>
          <w:szCs w:val="24"/>
        </w:rPr>
        <w:t>Benzo[a]pyrene (BaP) is a high-molecular-weight polycyclic aromatic hydrocarbon (PAH) generated during the incomplete combustion of organic materials. Major sources of exposure include cigarette smoke, automobile exhaust, industrial emissions, grilled and smoked foods, crude oil combustion, and biomass burning (Jorge et al</w:t>
      </w:r>
      <w:r>
        <w:rPr>
          <w:rFonts w:ascii="Times New Roman" w:hAnsi="Times New Roman" w:cs="Times New Roman"/>
          <w:sz w:val="24"/>
          <w:szCs w:val="24"/>
          <w:highlight w:val="yellow"/>
        </w:rPr>
        <w:t>.,</w:t>
      </w:r>
      <w:r>
        <w:rPr>
          <w:rFonts w:ascii="Times New Roman" w:hAnsi="Times New Roman" w:cs="Times New Roman"/>
          <w:sz w:val="24"/>
          <w:szCs w:val="24"/>
        </w:rPr>
        <w:t xml:space="preserve"> 2021). Following absorption, BaP undergoes metabolic activation by cytochrome P450 enzymes to produce highly reactive intermediates capable of generating excessive reactive oxygen species and forming DNA adducts (Traini et al</w:t>
      </w:r>
      <w:r>
        <w:rPr>
          <w:rFonts w:ascii="Times New Roman" w:hAnsi="Times New Roman" w:cs="Times New Roman"/>
          <w:sz w:val="24"/>
          <w:szCs w:val="24"/>
          <w:highlight w:val="yellow"/>
        </w:rPr>
        <w:t>.,</w:t>
      </w:r>
      <w:r>
        <w:rPr>
          <w:rFonts w:ascii="Times New Roman" w:hAnsi="Times New Roman" w:cs="Times New Roman"/>
          <w:sz w:val="24"/>
          <w:szCs w:val="24"/>
        </w:rPr>
        <w:t xml:space="preserve"> 2023). These metabolites induce oxidative stress, inflammation, apoptosis, and cellular dysfunction in multiple organs (Traini et al</w:t>
      </w:r>
      <w:r>
        <w:rPr>
          <w:rFonts w:ascii="Times New Roman" w:hAnsi="Times New Roman" w:cs="Times New Roman"/>
          <w:sz w:val="24"/>
          <w:szCs w:val="24"/>
          <w:highlight w:val="yellow"/>
        </w:rPr>
        <w:t>.,</w:t>
      </w:r>
      <w:r>
        <w:rPr>
          <w:rFonts w:ascii="Times New Roman" w:hAnsi="Times New Roman" w:cs="Times New Roman"/>
          <w:sz w:val="24"/>
          <w:szCs w:val="24"/>
        </w:rPr>
        <w:t xml:space="preserve"> 2023). Numerous toxicological studies have demonstrated that BaP exposure is associated with significant alterations in antioxidant </w:t>
      </w:r>
      <w:r>
        <w:rPr>
          <w:rFonts w:ascii="Times New Roman" w:hAnsi="Times New Roman" w:cs="Times New Roman"/>
          <w:sz w:val="24"/>
          <w:szCs w:val="24"/>
          <w:highlight w:val="yellow"/>
        </w:rPr>
        <w:t>defence</w:t>
      </w:r>
      <w:r>
        <w:rPr>
          <w:rFonts w:ascii="Times New Roman" w:hAnsi="Times New Roman" w:cs="Times New Roman"/>
          <w:sz w:val="24"/>
          <w:szCs w:val="24"/>
        </w:rPr>
        <w:t xml:space="preserve"> mechanisms, increased lipid peroxidation, and progressive tissue injury (</w:t>
      </w:r>
      <w:r>
        <w:rPr>
          <w:rFonts w:ascii="Times New Roman" w:hAnsi="Times New Roman" w:cs="Times New Roman"/>
          <w:sz w:val="24"/>
          <w:szCs w:val="24"/>
          <w:highlight w:val="yellow"/>
        </w:rPr>
        <w:t xml:space="preserve">Jorge et al., 2021; </w:t>
      </w:r>
      <w:r>
        <w:rPr>
          <w:rFonts w:ascii="Times New Roman" w:hAnsi="Times New Roman" w:cs="Times New Roman"/>
          <w:sz w:val="24"/>
          <w:szCs w:val="24"/>
        </w:rPr>
        <w:t>Traini et al., 2023).</w:t>
      </w:r>
    </w:p>
    <w:p w14:paraId="7793E855" w14:textId="77777777" w:rsidR="005E281B" w:rsidRDefault="00000000">
      <w:pPr>
        <w:jc w:val="both"/>
        <w:rPr>
          <w:rFonts w:ascii="Times New Roman" w:hAnsi="Times New Roman" w:cs="Times New Roman"/>
          <w:sz w:val="24"/>
          <w:szCs w:val="24"/>
        </w:rPr>
      </w:pPr>
      <w:r>
        <w:rPr>
          <w:rFonts w:ascii="Times New Roman" w:hAnsi="Times New Roman"/>
          <w:b/>
          <w:sz w:val="24"/>
          <w:highlight w:val="yellow"/>
        </w:rPr>
        <w:t>Recent experimental evidence likewise supports oxidative stress as a prominent component of BaP toxicity in male rat models (Jorge et al., 2024).</w:t>
      </w:r>
    </w:p>
    <w:p w14:paraId="004502B0" w14:textId="77777777" w:rsidR="003250BA" w:rsidRPr="007C5C3A" w:rsidRDefault="003250BA" w:rsidP="003250BA">
      <w:pPr>
        <w:jc w:val="both"/>
        <w:rPr>
          <w:rFonts w:ascii="Times New Roman" w:hAnsi="Times New Roman" w:cs="Times New Roman"/>
          <w:sz w:val="24"/>
          <w:szCs w:val="24"/>
        </w:rPr>
      </w:pPr>
      <w:r>
        <w:rPr>
          <w:rFonts w:ascii="Times New Roman" w:hAnsi="Times New Roman" w:cs="Times New Roman"/>
          <w:sz w:val="24"/>
          <w:szCs w:val="24"/>
        </w:rPr>
        <w:t>In real-world environmental settings, humans are seldom exposed to a single toxicant. Rather, simultaneous exposure to multiple pollutants occurs through contaminated air, food, water, and occupational environments. Such combined exposure may produce additive or synergistic toxic effects that exceed those produced by individual toxicants because several contaminants converge on common molecular pathways, particularly oxidative stress and inflammation (Zeng et al</w:t>
      </w:r>
      <w:r>
        <w:rPr>
          <w:rFonts w:ascii="Times New Roman" w:hAnsi="Times New Roman" w:cs="Times New Roman"/>
          <w:sz w:val="24"/>
          <w:szCs w:val="24"/>
          <w:highlight w:val="yellow"/>
        </w:rPr>
        <w:t>.,</w:t>
      </w:r>
      <w:r>
        <w:rPr>
          <w:rFonts w:ascii="Times New Roman" w:hAnsi="Times New Roman" w:cs="Times New Roman"/>
          <w:sz w:val="24"/>
          <w:szCs w:val="24"/>
        </w:rPr>
        <w:t xml:space="preserve"> 2022). Despite the widespread occurrence of both aluminium and benzo[a]pyrene, </w:t>
      </w:r>
      <w:r>
        <w:rPr>
          <w:rFonts w:ascii="Times New Roman" w:hAnsi="Times New Roman" w:cs="Times New Roman"/>
          <w:sz w:val="24"/>
          <w:szCs w:val="24"/>
        </w:rPr>
        <w:lastRenderedPageBreak/>
        <w:t>relatively few studies have investigated the biochemical consequences of their combined exposure. Understanding the interaction between these toxicants is essential for accurately assessing environmental health risks and identifying effective therapeutic interventions capable of mitigating their cumulative toxicity.</w:t>
      </w:r>
    </w:p>
    <w:p w14:paraId="7284CC83" w14:textId="77777777" w:rsidR="003250BA" w:rsidRPr="007C5C3A" w:rsidRDefault="003250BA" w:rsidP="003250BA">
      <w:pPr>
        <w:jc w:val="both"/>
        <w:rPr>
          <w:rFonts w:ascii="Times New Roman" w:hAnsi="Times New Roman" w:cs="Times New Roman"/>
          <w:sz w:val="24"/>
          <w:szCs w:val="24"/>
        </w:rPr>
      </w:pPr>
      <w:r>
        <w:rPr>
          <w:rFonts w:ascii="Times New Roman" w:hAnsi="Times New Roman" w:cs="Times New Roman"/>
          <w:sz w:val="24"/>
          <w:szCs w:val="24"/>
        </w:rPr>
        <w:t xml:space="preserve">Oxidative stress represents a critical mechanism underlying the toxicity of both aluminium and benzo[a]pyrene. Reactive oxygen species generated following toxicant exposure readily attack membrane phospholipids, resulting in lipid peroxidation and formation of malondialdehyde (MDA), a widely </w:t>
      </w:r>
      <w:r>
        <w:rPr>
          <w:rFonts w:ascii="Times New Roman" w:hAnsi="Times New Roman" w:cs="Times New Roman"/>
          <w:sz w:val="24"/>
          <w:szCs w:val="24"/>
          <w:highlight w:val="yellow"/>
        </w:rPr>
        <w:t>recognised</w:t>
      </w:r>
      <w:r>
        <w:rPr>
          <w:rFonts w:ascii="Times New Roman" w:hAnsi="Times New Roman" w:cs="Times New Roman"/>
          <w:sz w:val="24"/>
          <w:szCs w:val="24"/>
        </w:rPr>
        <w:t xml:space="preserve"> biomarker of oxidative damage (Dahiru et al., 2022). Concurrently, endogenous antioxidant </w:t>
      </w:r>
      <w:r>
        <w:rPr>
          <w:rFonts w:ascii="Times New Roman" w:hAnsi="Times New Roman" w:cs="Times New Roman"/>
          <w:sz w:val="24"/>
          <w:szCs w:val="24"/>
          <w:highlight w:val="yellow"/>
        </w:rPr>
        <w:t>defence</w:t>
      </w:r>
      <w:r>
        <w:rPr>
          <w:rFonts w:ascii="Times New Roman" w:hAnsi="Times New Roman" w:cs="Times New Roman"/>
          <w:sz w:val="24"/>
          <w:szCs w:val="24"/>
        </w:rPr>
        <w:t xml:space="preserve"> systems become overwhelmed, leading to reduced activities of enzymatic antioxidants such as superoxide dismutase (SOD), catalase (CAT), and glutathione peroxidase (GPx), together with depletion of reduced glutathione (GSH), one of the principal non-enzymatic antioxidants responsible for maintaining intracellular redox homeostasis. The depletion of these antioxidant </w:t>
      </w:r>
      <w:r>
        <w:rPr>
          <w:rFonts w:ascii="Times New Roman" w:hAnsi="Times New Roman" w:cs="Times New Roman"/>
          <w:sz w:val="24"/>
          <w:szCs w:val="24"/>
          <w:highlight w:val="yellow"/>
        </w:rPr>
        <w:t>defences</w:t>
      </w:r>
      <w:r>
        <w:rPr>
          <w:rFonts w:ascii="Times New Roman" w:hAnsi="Times New Roman" w:cs="Times New Roman"/>
          <w:sz w:val="24"/>
          <w:szCs w:val="24"/>
        </w:rPr>
        <w:t xml:space="preserve"> further amplifies oxidative injury, perpetuating cellular dysfunction and tissue degeneration (Mannucci et al</w:t>
      </w:r>
      <w:r>
        <w:rPr>
          <w:rFonts w:ascii="Times New Roman" w:hAnsi="Times New Roman" w:cs="Times New Roman"/>
          <w:sz w:val="24"/>
          <w:szCs w:val="24"/>
          <w:highlight w:val="yellow"/>
        </w:rPr>
        <w:t>.,</w:t>
      </w:r>
      <w:r>
        <w:rPr>
          <w:rFonts w:ascii="Times New Roman" w:hAnsi="Times New Roman" w:cs="Times New Roman"/>
          <w:sz w:val="24"/>
          <w:szCs w:val="24"/>
        </w:rPr>
        <w:t xml:space="preserve"> 2022).</w:t>
      </w:r>
    </w:p>
    <w:p w14:paraId="6BA6AEBB" w14:textId="77777777" w:rsidR="003250BA" w:rsidRPr="007C5C3A" w:rsidRDefault="003250BA" w:rsidP="003250BA">
      <w:pPr>
        <w:jc w:val="both"/>
        <w:rPr>
          <w:rFonts w:ascii="Times New Roman" w:hAnsi="Times New Roman" w:cs="Times New Roman"/>
          <w:sz w:val="24"/>
          <w:szCs w:val="24"/>
        </w:rPr>
      </w:pPr>
      <w:r>
        <w:rPr>
          <w:rFonts w:ascii="Times New Roman" w:hAnsi="Times New Roman" w:cs="Times New Roman"/>
          <w:sz w:val="24"/>
          <w:szCs w:val="24"/>
        </w:rPr>
        <w:t xml:space="preserve">Because oxidative stress is central to the pathogenesis of toxicant-induced diseases, considerable attention has been directed </w:t>
      </w:r>
      <w:r>
        <w:rPr>
          <w:rFonts w:ascii="Times New Roman" w:hAnsi="Times New Roman" w:cs="Times New Roman"/>
          <w:sz w:val="24"/>
          <w:szCs w:val="24"/>
          <w:highlight w:val="yellow"/>
        </w:rPr>
        <w:t>towards</w:t>
      </w:r>
      <w:r>
        <w:rPr>
          <w:rFonts w:ascii="Times New Roman" w:hAnsi="Times New Roman" w:cs="Times New Roman"/>
          <w:sz w:val="24"/>
          <w:szCs w:val="24"/>
        </w:rPr>
        <w:t xml:space="preserve"> identifying naturally occurring antioxidants capable of restoring redox balance and protecting biological systems from oxidative injury. Plant-derived phytochemicals have emerged as promising therapeutic agents because of their ability to scavenge free radicals, enhance endogenous antioxidant enzyme activities, inhibit lipid peroxidation, and modulate inflammatory signalling pathways (Taghipour et al., 2023). Their relative safety, accessibility, and broad pharmacological activities have stimulated increasing interest in their application as complementary strategies for the prevention and management of environmentally induced toxicity.</w:t>
      </w:r>
    </w:p>
    <w:p w14:paraId="748A2ECC" w14:textId="77777777" w:rsidR="003250BA" w:rsidRPr="007C5C3A" w:rsidRDefault="003250BA" w:rsidP="003250BA">
      <w:pPr>
        <w:jc w:val="both"/>
        <w:rPr>
          <w:rFonts w:ascii="Times New Roman" w:hAnsi="Times New Roman" w:cs="Times New Roman"/>
          <w:sz w:val="24"/>
          <w:szCs w:val="24"/>
        </w:rPr>
      </w:pPr>
      <w:r>
        <w:rPr>
          <w:rFonts w:ascii="Times New Roman" w:hAnsi="Times New Roman" w:cs="Times New Roman"/>
          <w:i/>
          <w:sz w:val="24"/>
          <w:szCs w:val="24"/>
        </w:rPr>
        <w:t>Syzygium aromaticum</w:t>
      </w:r>
      <w:r>
        <w:rPr>
          <w:rFonts w:ascii="Times New Roman" w:hAnsi="Times New Roman" w:cs="Times New Roman"/>
          <w:sz w:val="24"/>
          <w:szCs w:val="24"/>
        </w:rPr>
        <w:t xml:space="preserve"> (L.) Merr. &amp; L.M. Perry, commonly known as clove, is an aromatic medicinal plant belonging to the family Myrtaceae. Its dried flower buds are rich in bioactive phytochemicals, including eugenol, eugenyl acetate, β-caryophyllene, flavonoids, tannins, and phenolic acids (Taghipour et al., 2023). Among these constituents, eugenol is regarded as the principal bioactive compound responsible for many of the biological activities of clove (Nisar et al., 2021). Numerous experimental studies have demonstrated that </w:t>
      </w:r>
      <w:r>
        <w:rPr>
          <w:rFonts w:ascii="Times New Roman" w:hAnsi="Times New Roman" w:cs="Times New Roman"/>
          <w:i/>
          <w:sz w:val="24"/>
          <w:szCs w:val="24"/>
        </w:rPr>
        <w:t>S. aromaticum</w:t>
      </w:r>
      <w:r>
        <w:rPr>
          <w:rFonts w:ascii="Times New Roman" w:hAnsi="Times New Roman" w:cs="Times New Roman"/>
          <w:sz w:val="24"/>
          <w:szCs w:val="24"/>
        </w:rPr>
        <w:t xml:space="preserve"> exhibits potent antioxidant, anti-inflammatory, antimicrobial, anti-apoptotic, and cytoprotective properties. These pharmacological effects have largely been attributed to its capacity to </w:t>
      </w:r>
      <w:r>
        <w:rPr>
          <w:rFonts w:ascii="Times New Roman" w:hAnsi="Times New Roman" w:cs="Times New Roman"/>
          <w:sz w:val="24"/>
          <w:szCs w:val="24"/>
          <w:highlight w:val="yellow"/>
        </w:rPr>
        <w:t>neutralise</w:t>
      </w:r>
      <w:r>
        <w:rPr>
          <w:rFonts w:ascii="Times New Roman" w:hAnsi="Times New Roman" w:cs="Times New Roman"/>
          <w:sz w:val="24"/>
          <w:szCs w:val="24"/>
        </w:rPr>
        <w:t xml:space="preserve"> reactive oxygen species, inhibit lipid peroxidation, preserve membrane integrity, and enhance endogenous antioxidant </w:t>
      </w:r>
      <w:r>
        <w:rPr>
          <w:rFonts w:ascii="Times New Roman" w:hAnsi="Times New Roman" w:cs="Times New Roman"/>
          <w:sz w:val="24"/>
          <w:szCs w:val="24"/>
          <w:highlight w:val="yellow"/>
        </w:rPr>
        <w:t>defence</w:t>
      </w:r>
      <w:r>
        <w:rPr>
          <w:rFonts w:ascii="Times New Roman" w:hAnsi="Times New Roman" w:cs="Times New Roman"/>
          <w:sz w:val="24"/>
          <w:szCs w:val="24"/>
        </w:rPr>
        <w:t xml:space="preserve"> systems. Consequently, </w:t>
      </w:r>
      <w:r>
        <w:rPr>
          <w:rFonts w:ascii="Times New Roman" w:hAnsi="Times New Roman" w:cs="Times New Roman"/>
          <w:i/>
          <w:sz w:val="24"/>
          <w:szCs w:val="24"/>
        </w:rPr>
        <w:t>S. aromaticum</w:t>
      </w:r>
      <w:r>
        <w:rPr>
          <w:rFonts w:ascii="Times New Roman" w:hAnsi="Times New Roman" w:cs="Times New Roman"/>
          <w:sz w:val="24"/>
          <w:szCs w:val="24"/>
        </w:rPr>
        <w:t xml:space="preserve"> has been investigated as a potential therapeutic agent against oxidative stress-mediated disorders affecting various organs.</w:t>
      </w:r>
    </w:p>
    <w:p w14:paraId="7432337B" w14:textId="77777777" w:rsidR="005E281B" w:rsidRDefault="00000000">
      <w:pPr>
        <w:jc w:val="both"/>
        <w:rPr>
          <w:rFonts w:ascii="Times New Roman" w:hAnsi="Times New Roman" w:cs="Times New Roman"/>
          <w:sz w:val="24"/>
          <w:szCs w:val="24"/>
        </w:rPr>
      </w:pPr>
      <w:r>
        <w:rPr>
          <w:rFonts w:ascii="Times New Roman" w:hAnsi="Times New Roman"/>
          <w:b/>
          <w:sz w:val="24"/>
          <w:highlight w:val="yellow"/>
        </w:rPr>
        <w:t xml:space="preserve">Recent studies further support the antioxidant activity of </w:t>
      </w:r>
      <w:r>
        <w:rPr>
          <w:rFonts w:ascii="Times New Roman" w:hAnsi="Times New Roman"/>
          <w:b/>
          <w:i/>
          <w:sz w:val="24"/>
          <w:highlight w:val="yellow"/>
        </w:rPr>
        <w:t>S. aromaticum</w:t>
      </w:r>
      <w:r>
        <w:rPr>
          <w:rFonts w:ascii="Times New Roman" w:hAnsi="Times New Roman"/>
          <w:b/>
          <w:sz w:val="24"/>
          <w:highlight w:val="yellow"/>
        </w:rPr>
        <w:t xml:space="preserve"> preparations in both chemical assays and experimental models (Boughroud et al., 2025; Iroha et al., 2026; Ounaceur et al., 2023).</w:t>
      </w:r>
    </w:p>
    <w:p w14:paraId="44EDDAC3" w14:textId="77777777" w:rsidR="003250BA" w:rsidRPr="007C5C3A" w:rsidRDefault="003250BA" w:rsidP="003250BA">
      <w:pPr>
        <w:jc w:val="both"/>
        <w:rPr>
          <w:rFonts w:ascii="Times New Roman" w:hAnsi="Times New Roman" w:cs="Times New Roman"/>
          <w:sz w:val="24"/>
          <w:szCs w:val="24"/>
        </w:rPr>
      </w:pPr>
      <w:r>
        <w:rPr>
          <w:rFonts w:ascii="Times New Roman" w:hAnsi="Times New Roman" w:cs="Times New Roman"/>
          <w:sz w:val="24"/>
          <w:szCs w:val="24"/>
        </w:rPr>
        <w:t xml:space="preserve">Although previous investigations have reported the antioxidant activities of </w:t>
      </w:r>
      <w:r>
        <w:rPr>
          <w:rFonts w:ascii="Times New Roman" w:hAnsi="Times New Roman" w:cs="Times New Roman"/>
          <w:i/>
          <w:sz w:val="24"/>
          <w:szCs w:val="24"/>
        </w:rPr>
        <w:t>S. aromaticum</w:t>
      </w:r>
      <w:r>
        <w:rPr>
          <w:rFonts w:ascii="Times New Roman" w:hAnsi="Times New Roman" w:cs="Times New Roman"/>
          <w:sz w:val="24"/>
          <w:szCs w:val="24"/>
        </w:rPr>
        <w:t xml:space="preserve"> in several experimental models, evidence regarding its protective efficacy against oxidative stress induced by the combined exposure to aluminium and benzo[a]pyrene remains limited (</w:t>
      </w:r>
      <w:r>
        <w:rPr>
          <w:rFonts w:ascii="Times New Roman" w:hAnsi="Times New Roman" w:cs="Times New Roman"/>
          <w:sz w:val="24"/>
          <w:szCs w:val="24"/>
          <w:highlight w:val="yellow"/>
        </w:rPr>
        <w:t xml:space="preserve">Akinwande et al., 2019; </w:t>
      </w:r>
      <w:r>
        <w:rPr>
          <w:rFonts w:ascii="Times New Roman" w:hAnsi="Times New Roman" w:cs="Times New Roman"/>
          <w:sz w:val="24"/>
          <w:szCs w:val="24"/>
        </w:rPr>
        <w:t xml:space="preserve">Taghipour et al., 2023). Most available studies have focused on single-toxicant exposure, which does not adequately reflect the complex environmental conditions </w:t>
      </w:r>
      <w:r>
        <w:rPr>
          <w:rFonts w:ascii="Times New Roman" w:hAnsi="Times New Roman" w:cs="Times New Roman"/>
          <w:sz w:val="24"/>
          <w:szCs w:val="24"/>
        </w:rPr>
        <w:lastRenderedPageBreak/>
        <w:t xml:space="preserve">encountered by human populations. Furthermore, limited information exists regarding the ability of </w:t>
      </w:r>
      <w:r>
        <w:rPr>
          <w:rFonts w:ascii="Times New Roman" w:hAnsi="Times New Roman" w:cs="Times New Roman"/>
          <w:i/>
          <w:sz w:val="24"/>
          <w:szCs w:val="24"/>
        </w:rPr>
        <w:t>S. aromaticum</w:t>
      </w:r>
      <w:r>
        <w:rPr>
          <w:rFonts w:ascii="Times New Roman" w:hAnsi="Times New Roman" w:cs="Times New Roman"/>
          <w:sz w:val="24"/>
          <w:szCs w:val="24"/>
        </w:rPr>
        <w:t xml:space="preserve"> to restore both enzymatic and non-enzymatic antioxidant </w:t>
      </w:r>
      <w:r>
        <w:rPr>
          <w:rFonts w:ascii="Times New Roman" w:hAnsi="Times New Roman" w:cs="Times New Roman"/>
          <w:sz w:val="24"/>
          <w:szCs w:val="24"/>
          <w:highlight w:val="yellow"/>
        </w:rPr>
        <w:t>defence</w:t>
      </w:r>
      <w:r>
        <w:rPr>
          <w:rFonts w:ascii="Times New Roman" w:hAnsi="Times New Roman" w:cs="Times New Roman"/>
          <w:sz w:val="24"/>
          <w:szCs w:val="24"/>
        </w:rPr>
        <w:t xml:space="preserve"> mechanisms following concurrent exposure to these environmentally relevant toxicants. Addressing this knowledge gap is important for advancing the understanding of natural antioxidant interventions against mixed toxicant exposure.</w:t>
      </w:r>
    </w:p>
    <w:p w14:paraId="73EE4606" w14:textId="77777777" w:rsidR="003250BA" w:rsidRPr="007C5C3A" w:rsidRDefault="003250BA" w:rsidP="003250BA">
      <w:pPr>
        <w:jc w:val="both"/>
        <w:rPr>
          <w:rFonts w:ascii="Times New Roman" w:hAnsi="Times New Roman" w:cs="Times New Roman"/>
          <w:sz w:val="24"/>
          <w:szCs w:val="24"/>
        </w:rPr>
      </w:pPr>
      <w:r>
        <w:rPr>
          <w:rFonts w:ascii="Times New Roman" w:hAnsi="Times New Roman" w:cs="Times New Roman"/>
          <w:sz w:val="24"/>
          <w:szCs w:val="24"/>
        </w:rPr>
        <w:t xml:space="preserve">Therefore, the present study investigated the protective effects of </w:t>
      </w:r>
      <w:r>
        <w:rPr>
          <w:rFonts w:ascii="Times New Roman" w:hAnsi="Times New Roman" w:cs="Times New Roman"/>
          <w:i/>
          <w:sz w:val="24"/>
          <w:szCs w:val="24"/>
        </w:rPr>
        <w:t>Syzygium aromaticum</w:t>
      </w:r>
      <w:r>
        <w:rPr>
          <w:rFonts w:ascii="Times New Roman" w:hAnsi="Times New Roman" w:cs="Times New Roman"/>
          <w:sz w:val="24"/>
          <w:szCs w:val="24"/>
        </w:rPr>
        <w:t xml:space="preserve"> extract on oxidative stress biomarkers in male Wistar rats exposed to aluminium and benzo[a]pyrene, administered individually and in combination. Specifically, the study evaluated alterations in malondialdehyde (MDA), superoxide dismutase (SOD), catalase (CAT), glutathione peroxidase (GPx), and reduced glutathione (GSH) following toxicant exposure and assessed the capacity of </w:t>
      </w:r>
      <w:r>
        <w:rPr>
          <w:rFonts w:ascii="Times New Roman" w:hAnsi="Times New Roman" w:cs="Times New Roman"/>
          <w:i/>
          <w:sz w:val="24"/>
          <w:szCs w:val="24"/>
        </w:rPr>
        <w:t>S. aromaticum</w:t>
      </w:r>
      <w:r>
        <w:rPr>
          <w:rFonts w:ascii="Times New Roman" w:hAnsi="Times New Roman" w:cs="Times New Roman"/>
          <w:sz w:val="24"/>
          <w:szCs w:val="24"/>
        </w:rPr>
        <w:t xml:space="preserve"> to ameliorate oxidative damage through restoration of endogenous antioxidant </w:t>
      </w:r>
      <w:r>
        <w:rPr>
          <w:rFonts w:ascii="Times New Roman" w:hAnsi="Times New Roman" w:cs="Times New Roman"/>
          <w:sz w:val="24"/>
          <w:szCs w:val="24"/>
          <w:highlight w:val="yellow"/>
        </w:rPr>
        <w:t>defence</w:t>
      </w:r>
      <w:r>
        <w:rPr>
          <w:rFonts w:ascii="Times New Roman" w:hAnsi="Times New Roman" w:cs="Times New Roman"/>
          <w:sz w:val="24"/>
          <w:szCs w:val="24"/>
        </w:rPr>
        <w:t xml:space="preserve"> systems. The findings of this study are expected to provide further insight into the therapeutic potential of </w:t>
      </w:r>
      <w:r>
        <w:rPr>
          <w:rFonts w:ascii="Times New Roman" w:hAnsi="Times New Roman" w:cs="Times New Roman"/>
          <w:i/>
          <w:sz w:val="24"/>
          <w:szCs w:val="24"/>
        </w:rPr>
        <w:t>S. aromaticum</w:t>
      </w:r>
      <w:r>
        <w:rPr>
          <w:rFonts w:ascii="Times New Roman" w:hAnsi="Times New Roman" w:cs="Times New Roman"/>
          <w:sz w:val="24"/>
          <w:szCs w:val="24"/>
        </w:rPr>
        <w:t xml:space="preserve"> as a natural antioxidant against oxidative stress associated with environmental toxicant exposure.</w:t>
      </w:r>
    </w:p>
    <w:p w14:paraId="1701568F" w14:textId="77777777" w:rsidR="003250BA" w:rsidRPr="007C5C3A" w:rsidRDefault="003250BA" w:rsidP="003250BA">
      <w:pPr>
        <w:jc w:val="both"/>
        <w:rPr>
          <w:rFonts w:ascii="Times New Roman" w:hAnsi="Times New Roman" w:cs="Times New Roman"/>
          <w:sz w:val="24"/>
          <w:szCs w:val="24"/>
        </w:rPr>
      </w:pPr>
      <w:r w:rsidRPr="007C5C3A">
        <w:rPr>
          <w:rFonts w:ascii="Times New Roman" w:hAnsi="Times New Roman" w:cs="Times New Roman"/>
          <w:sz w:val="24"/>
          <w:szCs w:val="24"/>
        </w:rPr>
        <w:br w:type="page"/>
      </w:r>
    </w:p>
    <w:p w14:paraId="29626186" w14:textId="77777777" w:rsidR="00EF6CCD" w:rsidRPr="007C5C3A" w:rsidRDefault="00EF6CCD" w:rsidP="00EF6CCD">
      <w:pPr>
        <w:jc w:val="center"/>
        <w:rPr>
          <w:rFonts w:ascii="Times New Roman" w:hAnsi="Times New Roman" w:cs="Times New Roman"/>
          <w:b/>
          <w:bCs/>
          <w:sz w:val="24"/>
          <w:szCs w:val="24"/>
        </w:rPr>
      </w:pPr>
      <w:r w:rsidRPr="007C5C3A">
        <w:rPr>
          <w:rFonts w:ascii="Times New Roman" w:hAnsi="Times New Roman" w:cs="Times New Roman"/>
          <w:b/>
          <w:bCs/>
          <w:sz w:val="24"/>
          <w:szCs w:val="24"/>
        </w:rPr>
        <w:lastRenderedPageBreak/>
        <w:t>Materials and Methods</w:t>
      </w:r>
    </w:p>
    <w:p w14:paraId="3E4426A6"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Chemicals and Reagents</w:t>
      </w:r>
    </w:p>
    <w:p w14:paraId="578B8765" w14:textId="77777777" w:rsidR="00EF6CCD"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Analytical-grade aluminium chloride (</w:t>
      </w:r>
      <w:proofErr w:type="spellStart"/>
      <w:r w:rsidRPr="007C5C3A">
        <w:rPr>
          <w:rFonts w:ascii="Times New Roman" w:hAnsi="Times New Roman" w:cs="Times New Roman"/>
          <w:sz w:val="24"/>
          <w:szCs w:val="24"/>
        </w:rPr>
        <w:t>AlCl</w:t>
      </w:r>
      <w:proofErr w:type="spellEnd"/>
      <w:r w:rsidRPr="007C5C3A">
        <w:rPr>
          <w:rFonts w:ascii="Times New Roman" w:hAnsi="Times New Roman" w:cs="Times New Roman"/>
          <w:sz w:val="24"/>
          <w:szCs w:val="24"/>
        </w:rPr>
        <w:t>₃) and benzo[a]pyrene (</w:t>
      </w:r>
      <w:proofErr w:type="spellStart"/>
      <w:r w:rsidRPr="007C5C3A">
        <w:rPr>
          <w:rFonts w:ascii="Times New Roman" w:hAnsi="Times New Roman" w:cs="Times New Roman"/>
          <w:sz w:val="24"/>
          <w:szCs w:val="24"/>
        </w:rPr>
        <w:t>BaP</w:t>
      </w:r>
      <w:proofErr w:type="spellEnd"/>
      <w:r w:rsidRPr="007C5C3A">
        <w:rPr>
          <w:rFonts w:ascii="Times New Roman" w:hAnsi="Times New Roman" w:cs="Times New Roman"/>
          <w:sz w:val="24"/>
          <w:szCs w:val="24"/>
        </w:rPr>
        <w:t>) were used as the experimental toxicants. Ascorbic acid served as the reference antioxidant. All chemicals and reagents used for the biochemical analyses were of analytical grade and procured from certified commercial suppliers. Diagnostic assay reagents used for the estimation of oxidative stress biomarkers were prepared according to the manufacturers' instructions.</w:t>
      </w:r>
    </w:p>
    <w:p w14:paraId="1ED60669" w14:textId="77777777" w:rsidR="00EF6CCD" w:rsidRPr="006335E5" w:rsidRDefault="00EF6CCD" w:rsidP="00EF6CCD">
      <w:pPr>
        <w:jc w:val="both"/>
        <w:rPr>
          <w:rFonts w:ascii="Times New Roman" w:hAnsi="Times New Roman" w:cs="Times New Roman"/>
          <w:b/>
          <w:bCs/>
          <w:sz w:val="24"/>
          <w:szCs w:val="24"/>
        </w:rPr>
      </w:pPr>
      <w:r w:rsidRPr="006335E5">
        <w:rPr>
          <w:rFonts w:ascii="Times New Roman" w:hAnsi="Times New Roman" w:cs="Times New Roman"/>
          <w:b/>
          <w:bCs/>
          <w:sz w:val="24"/>
          <w:szCs w:val="24"/>
        </w:rPr>
        <w:t>Dose Selection</w:t>
      </w:r>
    </w:p>
    <w:p w14:paraId="13C0A005" w14:textId="77777777" w:rsidR="00EF6CCD" w:rsidRDefault="00EF6CCD" w:rsidP="00EF6CCD">
      <w:pPr>
        <w:jc w:val="both"/>
        <w:rPr>
          <w:rFonts w:ascii="Times New Roman" w:hAnsi="Times New Roman" w:cs="Times New Roman"/>
          <w:sz w:val="24"/>
          <w:szCs w:val="24"/>
        </w:rPr>
      </w:pPr>
      <w:r>
        <w:rPr>
          <w:rFonts w:ascii="Times New Roman" w:hAnsi="Times New Roman" w:cs="Times New Roman"/>
          <w:sz w:val="24"/>
          <w:szCs w:val="24"/>
        </w:rPr>
        <w:t>The doses of AlCl₃ (100 mg/kg) and BaP (100 mg/kg) were selected based on previously validated protocols demonstrating reproducible induction of oxidative stress in rat models without excessive acute mortality (Kadhim et al., 2024; Weyand et al</w:t>
      </w:r>
      <w:r>
        <w:rPr>
          <w:rFonts w:ascii="Times New Roman" w:hAnsi="Times New Roman" w:cs="Times New Roman"/>
          <w:sz w:val="24"/>
          <w:szCs w:val="24"/>
          <w:highlight w:val="yellow"/>
        </w:rPr>
        <w:t>.,</w:t>
      </w:r>
      <w:r>
        <w:rPr>
          <w:rFonts w:ascii="Times New Roman" w:hAnsi="Times New Roman" w:cs="Times New Roman"/>
          <w:sz w:val="24"/>
          <w:szCs w:val="24"/>
        </w:rPr>
        <w:t xml:space="preserve"> 1995). The </w:t>
      </w:r>
      <w:r>
        <w:rPr>
          <w:rFonts w:ascii="Times New Roman" w:hAnsi="Times New Roman" w:cs="Times New Roman"/>
          <w:i/>
          <w:sz w:val="24"/>
          <w:szCs w:val="24"/>
        </w:rPr>
        <w:t>S. aromaticum</w:t>
      </w:r>
      <w:r>
        <w:rPr>
          <w:rFonts w:ascii="Times New Roman" w:hAnsi="Times New Roman" w:cs="Times New Roman"/>
          <w:sz w:val="24"/>
          <w:szCs w:val="24"/>
        </w:rPr>
        <w:t xml:space="preserve"> extract doses (1000, 1500, and 2000 mg/kg) were selected based on prior studies demonstrating antioxidant efficacy of clove extract within this range without observed toxicity (Taghipour et al., 2023).</w:t>
      </w:r>
      <w:r>
        <w:rPr>
          <w:rFonts w:ascii="Times New Roman" w:eastAsia="Times New Roman" w:hAnsi="Times New Roman" w:cs="Times New Roman"/>
          <w:sz w:val="24"/>
          <w:highlight w:val="yellow"/>
        </w:rPr>
        <w:t xml:space="preserve"> The ascorbic acid dose (100 mg/kg) was selected based on a previous study in male Wistar rats in which oral administration at this dose for 28 days produced antioxidant effects against toxicant-induced oxidative stress (Asejeje et al., 2022).</w:t>
      </w:r>
    </w:p>
    <w:p w14:paraId="5FC7AA4B"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Collection and Authentication of Plant Material</w:t>
      </w:r>
    </w:p>
    <w:p w14:paraId="09DCEE38"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 xml:space="preserve">Dried flower buds of </w:t>
      </w:r>
      <w:proofErr w:type="spellStart"/>
      <w:r w:rsidRPr="007C5C3A">
        <w:rPr>
          <w:rFonts w:ascii="Times New Roman" w:hAnsi="Times New Roman" w:cs="Times New Roman"/>
          <w:i/>
          <w:iCs/>
          <w:sz w:val="24"/>
          <w:szCs w:val="24"/>
        </w:rPr>
        <w:t>Syzygium</w:t>
      </w:r>
      <w:proofErr w:type="spellEnd"/>
      <w:r w:rsidRPr="007C5C3A">
        <w:rPr>
          <w:rFonts w:ascii="Times New Roman" w:hAnsi="Times New Roman" w:cs="Times New Roman"/>
          <w:i/>
          <w:iCs/>
          <w:sz w:val="24"/>
          <w:szCs w:val="24"/>
        </w:rPr>
        <w:t xml:space="preserve"> aromaticum</w:t>
      </w:r>
      <w:r w:rsidRPr="007C5C3A">
        <w:rPr>
          <w:rFonts w:ascii="Times New Roman" w:hAnsi="Times New Roman" w:cs="Times New Roman"/>
          <w:sz w:val="24"/>
          <w:szCs w:val="24"/>
        </w:rPr>
        <w:t xml:space="preserve"> (L.) </w:t>
      </w:r>
      <w:proofErr w:type="spellStart"/>
      <w:r w:rsidRPr="007C5C3A">
        <w:rPr>
          <w:rFonts w:ascii="Times New Roman" w:hAnsi="Times New Roman" w:cs="Times New Roman"/>
          <w:sz w:val="24"/>
          <w:szCs w:val="24"/>
        </w:rPr>
        <w:t>Merr</w:t>
      </w:r>
      <w:proofErr w:type="spellEnd"/>
      <w:r w:rsidRPr="007C5C3A">
        <w:rPr>
          <w:rFonts w:ascii="Times New Roman" w:hAnsi="Times New Roman" w:cs="Times New Roman"/>
          <w:sz w:val="24"/>
          <w:szCs w:val="24"/>
        </w:rPr>
        <w:t>. &amp; L.M. Perry were obtained from a certified herbal market in Nigeria. Botanical authentication was carried out by a qualified taxonomist in the Department of Plant Science and Biotechnology, University of Port Harcourt (UNIPORT), Nigeria.</w:t>
      </w:r>
    </w:p>
    <w:p w14:paraId="7BAB8E31"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 xml:space="preserve">Preparation of </w:t>
      </w:r>
      <w:proofErr w:type="spellStart"/>
      <w:r w:rsidRPr="007C5C3A">
        <w:rPr>
          <w:rFonts w:ascii="Times New Roman" w:hAnsi="Times New Roman" w:cs="Times New Roman"/>
          <w:b/>
          <w:bCs/>
          <w:i/>
          <w:iCs/>
          <w:sz w:val="24"/>
          <w:szCs w:val="24"/>
        </w:rPr>
        <w:t>Syzygium</w:t>
      </w:r>
      <w:proofErr w:type="spellEnd"/>
      <w:r w:rsidRPr="007C5C3A">
        <w:rPr>
          <w:rFonts w:ascii="Times New Roman" w:hAnsi="Times New Roman" w:cs="Times New Roman"/>
          <w:b/>
          <w:bCs/>
          <w:i/>
          <w:iCs/>
          <w:sz w:val="24"/>
          <w:szCs w:val="24"/>
        </w:rPr>
        <w:t xml:space="preserve"> aromaticum</w:t>
      </w:r>
      <w:r w:rsidRPr="007C5C3A">
        <w:rPr>
          <w:rFonts w:ascii="Times New Roman" w:hAnsi="Times New Roman" w:cs="Times New Roman"/>
          <w:b/>
          <w:bCs/>
          <w:sz w:val="24"/>
          <w:szCs w:val="24"/>
        </w:rPr>
        <w:t xml:space="preserve"> Extract</w:t>
      </w:r>
    </w:p>
    <w:p w14:paraId="7F7AE250" w14:textId="77777777" w:rsidR="00EF6CCD" w:rsidRPr="007C5C3A" w:rsidRDefault="00EF6CCD" w:rsidP="00EF6CCD">
      <w:pPr>
        <w:jc w:val="both"/>
        <w:rPr>
          <w:rFonts w:ascii="Times New Roman" w:hAnsi="Times New Roman" w:cs="Times New Roman"/>
          <w:sz w:val="24"/>
          <w:szCs w:val="24"/>
        </w:rPr>
      </w:pPr>
      <w:r>
        <w:rPr>
          <w:rFonts w:ascii="Times New Roman" w:hAnsi="Times New Roman" w:cs="Times New Roman"/>
          <w:sz w:val="24"/>
          <w:szCs w:val="24"/>
        </w:rPr>
        <w:t xml:space="preserve">The dried flower buds were thoroughly cleaned, air-dried where necessary, and pulverized into a fine powder using an electric grinder. The powdered material was extracted using distilled water by maceration for 7 days with intermittent agitation. The extract was filtered through Whatman No. 1 filter paper and concentrated under reduced pressure using a rotary </w:t>
      </w:r>
      <w:r>
        <w:rPr>
          <w:rFonts w:ascii="Times New Roman" w:hAnsi="Times New Roman" w:cs="Times New Roman"/>
          <w:sz w:val="24"/>
          <w:szCs w:val="24"/>
          <w:highlight w:val="yellow"/>
        </w:rPr>
        <w:t>evapourator</w:t>
      </w:r>
      <w:r>
        <w:rPr>
          <w:rFonts w:ascii="Times New Roman" w:hAnsi="Times New Roman" w:cs="Times New Roman"/>
          <w:sz w:val="24"/>
          <w:szCs w:val="24"/>
        </w:rPr>
        <w:t xml:space="preserve"> at</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controlled temperature. The concentrated extract was further dried to obtain a stable crude extract, which was stored at 4°C until use. Fresh suspensions were prepared daily in distilled water immediately before administration.</w:t>
      </w:r>
    </w:p>
    <w:p w14:paraId="28490249"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Experimental Animals</w:t>
      </w:r>
    </w:p>
    <w:p w14:paraId="13E981AA" w14:textId="77777777" w:rsidR="00EF6CCD" w:rsidRPr="007C5C3A" w:rsidRDefault="00EF6CCD" w:rsidP="00EF6CCD">
      <w:pPr>
        <w:jc w:val="both"/>
        <w:rPr>
          <w:rFonts w:ascii="Times New Roman" w:hAnsi="Times New Roman" w:cs="Times New Roman"/>
          <w:sz w:val="24"/>
          <w:szCs w:val="24"/>
        </w:rPr>
      </w:pPr>
      <w:r>
        <w:rPr>
          <w:rFonts w:ascii="Times New Roman" w:hAnsi="Times New Roman" w:cs="Times New Roman"/>
          <w:sz w:val="24"/>
          <w:szCs w:val="24"/>
        </w:rPr>
        <w:t xml:space="preserve">Fifty-four healthy adult male Wistar rats weighing approximately </w:t>
      </w:r>
      <w:r>
        <w:rPr>
          <w:rFonts w:ascii="Times New Roman" w:hAnsi="Times New Roman" w:cs="Times New Roman"/>
          <w:sz w:val="24"/>
          <w:szCs w:val="24"/>
          <w:highlight w:val="yellow"/>
        </w:rPr>
        <w:t>160 g</w:t>
      </w:r>
      <w:r>
        <w:rPr>
          <w:rFonts w:ascii="Times New Roman" w:hAnsi="Times New Roman" w:cs="Times New Roman"/>
          <w:sz w:val="24"/>
          <w:szCs w:val="24"/>
        </w:rPr>
        <w:t xml:space="preserve"> were obtained from the Animal House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University of Port Harcourt (UNIPORT). Animals were housed in clean polypropylene cages under standard laboratory conditions (22 ± 2°C; relative humidity 50–60%; 12-hour light/12-hour dark cycle) with unrestricted access to standard laboratory feed and clean drinking water. The animals were </w:t>
      </w:r>
      <w:r>
        <w:rPr>
          <w:rFonts w:ascii="Times New Roman" w:hAnsi="Times New Roman" w:cs="Times New Roman"/>
          <w:sz w:val="24"/>
          <w:szCs w:val="24"/>
          <w:highlight w:val="yellow"/>
        </w:rPr>
        <w:t>acclimatised</w:t>
      </w:r>
      <w:r>
        <w:rPr>
          <w:rFonts w:ascii="Times New Roman" w:hAnsi="Times New Roman" w:cs="Times New Roman"/>
          <w:sz w:val="24"/>
          <w:szCs w:val="24"/>
        </w:rPr>
        <w:t xml:space="preserve"> for two weeks before the commencement of the experiment.</w:t>
      </w:r>
    </w:p>
    <w:p w14:paraId="002013C1"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Experimental Design</w:t>
      </w:r>
    </w:p>
    <w:p w14:paraId="69A2810B" w14:textId="77777777" w:rsidR="00EF6CCD" w:rsidRPr="007C5C3A" w:rsidRDefault="00EF6CCD" w:rsidP="00EF6CCD">
      <w:pPr>
        <w:jc w:val="both"/>
        <w:rPr>
          <w:rFonts w:ascii="Times New Roman" w:hAnsi="Times New Roman" w:cs="Times New Roman"/>
          <w:sz w:val="24"/>
          <w:szCs w:val="24"/>
        </w:rPr>
      </w:pPr>
      <w:r>
        <w:rPr>
          <w:rFonts w:ascii="Times New Roman" w:hAnsi="Times New Roman" w:cs="Times New Roman"/>
          <w:sz w:val="24"/>
          <w:szCs w:val="24"/>
        </w:rPr>
        <w:t xml:space="preserve">Following </w:t>
      </w:r>
      <w:r>
        <w:rPr>
          <w:rFonts w:ascii="Times New Roman" w:hAnsi="Times New Roman" w:cs="Times New Roman"/>
          <w:sz w:val="24"/>
          <w:szCs w:val="24"/>
          <w:highlight w:val="yellow"/>
        </w:rPr>
        <w:t>acclimatisation</w:t>
      </w:r>
      <w:r>
        <w:rPr>
          <w:rFonts w:ascii="Times New Roman" w:hAnsi="Times New Roman" w:cs="Times New Roman"/>
          <w:sz w:val="24"/>
          <w:szCs w:val="24"/>
        </w:rPr>
        <w:t xml:space="preserve">, the animals were randomly assigned </w:t>
      </w:r>
      <w:r>
        <w:rPr>
          <w:rFonts w:ascii="Times New Roman" w:hAnsi="Times New Roman" w:cs="Times New Roman"/>
          <w:sz w:val="24"/>
          <w:szCs w:val="24"/>
          <w:highlight w:val="yellow"/>
        </w:rPr>
        <w:t>to</w:t>
      </w:r>
      <w:r>
        <w:rPr>
          <w:rFonts w:ascii="Times New Roman" w:hAnsi="Times New Roman" w:cs="Times New Roman"/>
          <w:sz w:val="24"/>
          <w:szCs w:val="24"/>
        </w:rPr>
        <w:t xml:space="preserve"> nine experimental groups (n = 6 per group):</w:t>
      </w:r>
    </w:p>
    <w:p w14:paraId="1A3D6A1A" w14:textId="77777777" w:rsidR="00EF6CCD" w:rsidRPr="007C5C3A" w:rsidRDefault="00EF6CCD" w:rsidP="00EF6CCD">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lastRenderedPageBreak/>
        <w:t>Group I (Normal Control):</w:t>
      </w:r>
      <w:r w:rsidRPr="007C5C3A">
        <w:rPr>
          <w:rFonts w:ascii="Times New Roman" w:hAnsi="Times New Roman" w:cs="Times New Roman"/>
          <w:sz w:val="24"/>
          <w:szCs w:val="24"/>
        </w:rPr>
        <w:t xml:space="preserve"> Received distilled water only.</w:t>
      </w:r>
    </w:p>
    <w:p w14:paraId="411C26E9" w14:textId="77777777" w:rsidR="00EF6CCD" w:rsidRPr="007C5C3A" w:rsidRDefault="00EF6CCD" w:rsidP="00EF6CCD">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Group II (Aluminium):</w:t>
      </w:r>
      <w:r w:rsidRPr="007C5C3A">
        <w:rPr>
          <w:rFonts w:ascii="Times New Roman" w:hAnsi="Times New Roman" w:cs="Times New Roman"/>
          <w:sz w:val="24"/>
          <w:szCs w:val="24"/>
        </w:rPr>
        <w:t xml:space="preserve"> Received aluminium chloride (100 mg/kg body weight).</w:t>
      </w:r>
    </w:p>
    <w:p w14:paraId="700D8CB6" w14:textId="77777777" w:rsidR="00EF6CCD" w:rsidRPr="007C5C3A" w:rsidRDefault="00EF6CCD" w:rsidP="00EF6CCD">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Group III (Benzo[a]pyrene):</w:t>
      </w:r>
      <w:r w:rsidRPr="007C5C3A">
        <w:rPr>
          <w:rFonts w:ascii="Times New Roman" w:hAnsi="Times New Roman" w:cs="Times New Roman"/>
          <w:sz w:val="24"/>
          <w:szCs w:val="24"/>
        </w:rPr>
        <w:t xml:space="preserve"> Received benzo[a]pyrene (100 mg/kg body weight).</w:t>
      </w:r>
    </w:p>
    <w:p w14:paraId="52DC1AAD" w14:textId="77777777" w:rsidR="00EF6CCD" w:rsidRPr="007C5C3A" w:rsidRDefault="00EF6CCD" w:rsidP="00EF6CCD">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Group IV (Aluminium + Benzo[a]pyrene):</w:t>
      </w:r>
      <w:r w:rsidRPr="007C5C3A">
        <w:rPr>
          <w:rFonts w:ascii="Times New Roman" w:hAnsi="Times New Roman" w:cs="Times New Roman"/>
          <w:sz w:val="24"/>
          <w:szCs w:val="24"/>
        </w:rPr>
        <w:t xml:space="preserve"> Received aluminium chloride (100 mg/kg) and benzo[a]pyrene (100 mg/kg).</w:t>
      </w:r>
    </w:p>
    <w:p w14:paraId="60F842BA" w14:textId="77777777" w:rsidR="00EF6CCD" w:rsidRPr="007C5C3A" w:rsidRDefault="00EF6CCD" w:rsidP="00EF6CCD">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 xml:space="preserve">Group V (Al + </w:t>
      </w:r>
      <w:proofErr w:type="spellStart"/>
      <w:r w:rsidRPr="007C5C3A">
        <w:rPr>
          <w:rFonts w:ascii="Times New Roman" w:hAnsi="Times New Roman" w:cs="Times New Roman"/>
          <w:b/>
          <w:bCs/>
          <w:sz w:val="24"/>
          <w:szCs w:val="24"/>
        </w:rPr>
        <w:t>BaP</w:t>
      </w:r>
      <w:proofErr w:type="spellEnd"/>
      <w:r w:rsidRPr="007C5C3A">
        <w:rPr>
          <w:rFonts w:ascii="Times New Roman" w:hAnsi="Times New Roman" w:cs="Times New Roman"/>
          <w:b/>
          <w:bCs/>
          <w:sz w:val="24"/>
          <w:szCs w:val="24"/>
        </w:rPr>
        <w:t xml:space="preserve"> + </w:t>
      </w:r>
      <w:r w:rsidRPr="007C5C3A">
        <w:rPr>
          <w:rFonts w:ascii="Times New Roman" w:hAnsi="Times New Roman" w:cs="Times New Roman"/>
          <w:b/>
          <w:bCs/>
          <w:i/>
          <w:iCs/>
          <w:sz w:val="24"/>
          <w:szCs w:val="24"/>
        </w:rPr>
        <w:t>S. aromaticum</w:t>
      </w:r>
      <w:r w:rsidRPr="007C5C3A">
        <w:rPr>
          <w:rFonts w:ascii="Times New Roman" w:hAnsi="Times New Roman" w:cs="Times New Roman"/>
          <w:b/>
          <w:bCs/>
          <w:sz w:val="24"/>
          <w:szCs w:val="24"/>
        </w:rPr>
        <w:t xml:space="preserve"> 1000 mg/kg):</w:t>
      </w:r>
      <w:r w:rsidRPr="007C5C3A">
        <w:rPr>
          <w:rFonts w:ascii="Times New Roman" w:hAnsi="Times New Roman" w:cs="Times New Roman"/>
          <w:sz w:val="24"/>
          <w:szCs w:val="24"/>
        </w:rPr>
        <w:t xml:space="preserve"> Received aluminium chloride, benzo[a]pyrene, and </w:t>
      </w:r>
      <w:proofErr w:type="spellStart"/>
      <w:r w:rsidRPr="007C5C3A">
        <w:rPr>
          <w:rFonts w:ascii="Times New Roman" w:hAnsi="Times New Roman" w:cs="Times New Roman"/>
          <w:i/>
          <w:iCs/>
          <w:sz w:val="24"/>
          <w:szCs w:val="24"/>
        </w:rPr>
        <w:t>Syzygium</w:t>
      </w:r>
      <w:proofErr w:type="spellEnd"/>
      <w:r w:rsidRPr="007C5C3A">
        <w:rPr>
          <w:rFonts w:ascii="Times New Roman" w:hAnsi="Times New Roman" w:cs="Times New Roman"/>
          <w:i/>
          <w:iCs/>
          <w:sz w:val="24"/>
          <w:szCs w:val="24"/>
        </w:rPr>
        <w:t xml:space="preserve"> aromaticum</w:t>
      </w:r>
      <w:r w:rsidRPr="007C5C3A">
        <w:rPr>
          <w:rFonts w:ascii="Times New Roman" w:hAnsi="Times New Roman" w:cs="Times New Roman"/>
          <w:sz w:val="24"/>
          <w:szCs w:val="24"/>
        </w:rPr>
        <w:t xml:space="preserve"> extract (1000 mg/kg body weight).</w:t>
      </w:r>
    </w:p>
    <w:p w14:paraId="2F24B848" w14:textId="77777777" w:rsidR="00EF6CCD" w:rsidRPr="007C5C3A" w:rsidRDefault="00EF6CCD" w:rsidP="00EF6CCD">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 xml:space="preserve">Group VI (Al + </w:t>
      </w:r>
      <w:proofErr w:type="spellStart"/>
      <w:r w:rsidRPr="007C5C3A">
        <w:rPr>
          <w:rFonts w:ascii="Times New Roman" w:hAnsi="Times New Roman" w:cs="Times New Roman"/>
          <w:b/>
          <w:bCs/>
          <w:sz w:val="24"/>
          <w:szCs w:val="24"/>
        </w:rPr>
        <w:t>BaP</w:t>
      </w:r>
      <w:proofErr w:type="spellEnd"/>
      <w:r w:rsidRPr="007C5C3A">
        <w:rPr>
          <w:rFonts w:ascii="Times New Roman" w:hAnsi="Times New Roman" w:cs="Times New Roman"/>
          <w:b/>
          <w:bCs/>
          <w:sz w:val="24"/>
          <w:szCs w:val="24"/>
        </w:rPr>
        <w:t xml:space="preserve"> + </w:t>
      </w:r>
      <w:r w:rsidRPr="007C5C3A">
        <w:rPr>
          <w:rFonts w:ascii="Times New Roman" w:hAnsi="Times New Roman" w:cs="Times New Roman"/>
          <w:b/>
          <w:bCs/>
          <w:i/>
          <w:iCs/>
          <w:sz w:val="24"/>
          <w:szCs w:val="24"/>
        </w:rPr>
        <w:t>S. aromaticum</w:t>
      </w:r>
      <w:r w:rsidRPr="007C5C3A">
        <w:rPr>
          <w:rFonts w:ascii="Times New Roman" w:hAnsi="Times New Roman" w:cs="Times New Roman"/>
          <w:b/>
          <w:bCs/>
          <w:sz w:val="24"/>
          <w:szCs w:val="24"/>
        </w:rPr>
        <w:t xml:space="preserve"> 1500 mg/kg):</w:t>
      </w:r>
      <w:r w:rsidRPr="007C5C3A">
        <w:rPr>
          <w:rFonts w:ascii="Times New Roman" w:hAnsi="Times New Roman" w:cs="Times New Roman"/>
          <w:sz w:val="24"/>
          <w:szCs w:val="24"/>
        </w:rPr>
        <w:t xml:space="preserve"> Received aluminium chloride, benzo[a]pyrene, and </w:t>
      </w:r>
      <w:proofErr w:type="spellStart"/>
      <w:r w:rsidRPr="007C5C3A">
        <w:rPr>
          <w:rFonts w:ascii="Times New Roman" w:hAnsi="Times New Roman" w:cs="Times New Roman"/>
          <w:i/>
          <w:iCs/>
          <w:sz w:val="24"/>
          <w:szCs w:val="24"/>
        </w:rPr>
        <w:t>Syzygium</w:t>
      </w:r>
      <w:proofErr w:type="spellEnd"/>
      <w:r w:rsidRPr="007C5C3A">
        <w:rPr>
          <w:rFonts w:ascii="Times New Roman" w:hAnsi="Times New Roman" w:cs="Times New Roman"/>
          <w:i/>
          <w:iCs/>
          <w:sz w:val="24"/>
          <w:szCs w:val="24"/>
        </w:rPr>
        <w:t xml:space="preserve"> aromaticum</w:t>
      </w:r>
      <w:r w:rsidRPr="007C5C3A">
        <w:rPr>
          <w:rFonts w:ascii="Times New Roman" w:hAnsi="Times New Roman" w:cs="Times New Roman"/>
          <w:sz w:val="24"/>
          <w:szCs w:val="24"/>
        </w:rPr>
        <w:t xml:space="preserve"> extract (1500 mg/kg body weight).</w:t>
      </w:r>
    </w:p>
    <w:p w14:paraId="2EBE6C69" w14:textId="77777777" w:rsidR="00EF6CCD" w:rsidRPr="007C5C3A" w:rsidRDefault="00EF6CCD" w:rsidP="00EF6CCD">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 xml:space="preserve">Group VII (Al + </w:t>
      </w:r>
      <w:proofErr w:type="spellStart"/>
      <w:r w:rsidRPr="007C5C3A">
        <w:rPr>
          <w:rFonts w:ascii="Times New Roman" w:hAnsi="Times New Roman" w:cs="Times New Roman"/>
          <w:b/>
          <w:bCs/>
          <w:sz w:val="24"/>
          <w:szCs w:val="24"/>
        </w:rPr>
        <w:t>BaP</w:t>
      </w:r>
      <w:proofErr w:type="spellEnd"/>
      <w:r w:rsidRPr="007C5C3A">
        <w:rPr>
          <w:rFonts w:ascii="Times New Roman" w:hAnsi="Times New Roman" w:cs="Times New Roman"/>
          <w:b/>
          <w:bCs/>
          <w:sz w:val="24"/>
          <w:szCs w:val="24"/>
        </w:rPr>
        <w:t xml:space="preserve"> + </w:t>
      </w:r>
      <w:r w:rsidRPr="007C5C3A">
        <w:rPr>
          <w:rFonts w:ascii="Times New Roman" w:hAnsi="Times New Roman" w:cs="Times New Roman"/>
          <w:b/>
          <w:bCs/>
          <w:i/>
          <w:iCs/>
          <w:sz w:val="24"/>
          <w:szCs w:val="24"/>
        </w:rPr>
        <w:t>S. aromaticum</w:t>
      </w:r>
      <w:r w:rsidRPr="007C5C3A">
        <w:rPr>
          <w:rFonts w:ascii="Times New Roman" w:hAnsi="Times New Roman" w:cs="Times New Roman"/>
          <w:b/>
          <w:bCs/>
          <w:sz w:val="24"/>
          <w:szCs w:val="24"/>
        </w:rPr>
        <w:t xml:space="preserve"> 2000 mg/kg):</w:t>
      </w:r>
      <w:r w:rsidRPr="007C5C3A">
        <w:rPr>
          <w:rFonts w:ascii="Times New Roman" w:hAnsi="Times New Roman" w:cs="Times New Roman"/>
          <w:sz w:val="24"/>
          <w:szCs w:val="24"/>
        </w:rPr>
        <w:t xml:space="preserve"> Received aluminium chloride, benzo[a]pyrene, and </w:t>
      </w:r>
      <w:proofErr w:type="spellStart"/>
      <w:r w:rsidRPr="007C5C3A">
        <w:rPr>
          <w:rFonts w:ascii="Times New Roman" w:hAnsi="Times New Roman" w:cs="Times New Roman"/>
          <w:i/>
          <w:iCs/>
          <w:sz w:val="24"/>
          <w:szCs w:val="24"/>
        </w:rPr>
        <w:t>Syzygium</w:t>
      </w:r>
      <w:proofErr w:type="spellEnd"/>
      <w:r w:rsidRPr="007C5C3A">
        <w:rPr>
          <w:rFonts w:ascii="Times New Roman" w:hAnsi="Times New Roman" w:cs="Times New Roman"/>
          <w:i/>
          <w:iCs/>
          <w:sz w:val="24"/>
          <w:szCs w:val="24"/>
        </w:rPr>
        <w:t xml:space="preserve"> aromaticum</w:t>
      </w:r>
      <w:r w:rsidRPr="007C5C3A">
        <w:rPr>
          <w:rFonts w:ascii="Times New Roman" w:hAnsi="Times New Roman" w:cs="Times New Roman"/>
          <w:sz w:val="24"/>
          <w:szCs w:val="24"/>
        </w:rPr>
        <w:t xml:space="preserve"> extract (2000 mg/kg body weight).</w:t>
      </w:r>
    </w:p>
    <w:p w14:paraId="5A51D235" w14:textId="77777777" w:rsidR="00EF6CCD" w:rsidRPr="007C5C3A" w:rsidRDefault="00EF6CCD" w:rsidP="00EF6CCD">
      <w:pPr>
        <w:numPr>
          <w:ilvl w:val="0"/>
          <w:numId w:val="4"/>
        </w:numPr>
        <w:jc w:val="both"/>
        <w:rPr>
          <w:rFonts w:ascii="Times New Roman" w:hAnsi="Times New Roman" w:cs="Times New Roman"/>
          <w:sz w:val="24"/>
          <w:szCs w:val="24"/>
        </w:rPr>
      </w:pPr>
      <w:r w:rsidRPr="007C5C3A">
        <w:rPr>
          <w:rFonts w:ascii="Times New Roman" w:hAnsi="Times New Roman" w:cs="Times New Roman"/>
          <w:b/>
          <w:bCs/>
          <w:sz w:val="24"/>
          <w:szCs w:val="24"/>
        </w:rPr>
        <w:t>Group VIII (</w:t>
      </w:r>
      <w:r w:rsidRPr="007C5C3A">
        <w:rPr>
          <w:rFonts w:ascii="Times New Roman" w:hAnsi="Times New Roman" w:cs="Times New Roman"/>
          <w:b/>
          <w:bCs/>
          <w:i/>
          <w:iCs/>
          <w:sz w:val="24"/>
          <w:szCs w:val="24"/>
        </w:rPr>
        <w:t>S. aromaticum</w:t>
      </w:r>
      <w:r w:rsidRPr="007C5C3A">
        <w:rPr>
          <w:rFonts w:ascii="Times New Roman" w:hAnsi="Times New Roman" w:cs="Times New Roman"/>
          <w:b/>
          <w:bCs/>
          <w:sz w:val="24"/>
          <w:szCs w:val="24"/>
        </w:rPr>
        <w:t xml:space="preserve"> only):</w:t>
      </w:r>
      <w:r w:rsidRPr="007C5C3A">
        <w:rPr>
          <w:rFonts w:ascii="Times New Roman" w:hAnsi="Times New Roman" w:cs="Times New Roman"/>
          <w:sz w:val="24"/>
          <w:szCs w:val="24"/>
        </w:rPr>
        <w:t xml:space="preserve"> Received </w:t>
      </w:r>
      <w:proofErr w:type="spellStart"/>
      <w:r w:rsidRPr="007C5C3A">
        <w:rPr>
          <w:rFonts w:ascii="Times New Roman" w:hAnsi="Times New Roman" w:cs="Times New Roman"/>
          <w:i/>
          <w:iCs/>
          <w:sz w:val="24"/>
          <w:szCs w:val="24"/>
        </w:rPr>
        <w:t>Syzygium</w:t>
      </w:r>
      <w:proofErr w:type="spellEnd"/>
      <w:r w:rsidRPr="007C5C3A">
        <w:rPr>
          <w:rFonts w:ascii="Times New Roman" w:hAnsi="Times New Roman" w:cs="Times New Roman"/>
          <w:i/>
          <w:iCs/>
          <w:sz w:val="24"/>
          <w:szCs w:val="24"/>
        </w:rPr>
        <w:t xml:space="preserve"> aromaticum</w:t>
      </w:r>
      <w:r w:rsidRPr="007C5C3A">
        <w:rPr>
          <w:rFonts w:ascii="Times New Roman" w:hAnsi="Times New Roman" w:cs="Times New Roman"/>
          <w:sz w:val="24"/>
          <w:szCs w:val="24"/>
        </w:rPr>
        <w:t xml:space="preserve"> extract (1000 mg/kg body weight).</w:t>
      </w:r>
    </w:p>
    <w:p w14:paraId="0FFA21D6" w14:textId="77777777" w:rsidR="00EF6CCD" w:rsidRPr="007C5C3A" w:rsidRDefault="00EF6CCD" w:rsidP="00EF6CCD">
      <w:pPr>
        <w:numPr>
          <w:ilvl w:val="0"/>
          <w:numId w:val="4"/>
        </w:numPr>
        <w:jc w:val="both"/>
        <w:rPr>
          <w:rFonts w:ascii="Times New Roman" w:hAnsi="Times New Roman" w:cs="Times New Roman"/>
          <w:sz w:val="24"/>
          <w:szCs w:val="24"/>
        </w:rPr>
      </w:pPr>
      <w:r>
        <w:rPr>
          <w:rFonts w:ascii="Times New Roman" w:hAnsi="Times New Roman" w:cs="Times New Roman"/>
          <w:b/>
          <w:bCs/>
          <w:sz w:val="24"/>
          <w:szCs w:val="24"/>
        </w:rPr>
        <w:t>Group IX (Al + BaP + Ascorbic Acid</w:t>
      </w:r>
      <w:r>
        <w:rPr>
          <w:rFonts w:ascii="Times New Roman" w:hAnsi="Times New Roman" w:cs="Times New Roman"/>
          <w:b/>
          <w:bCs/>
          <w:sz w:val="24"/>
          <w:szCs w:val="24"/>
          <w:highlight w:val="yellow"/>
        </w:rPr>
        <w:t>):</w:t>
      </w:r>
      <w:r>
        <w:rPr>
          <w:rFonts w:ascii="Times New Roman" w:hAnsi="Times New Roman" w:cs="Times New Roman"/>
          <w:b/>
          <w:bCs/>
          <w:sz w:val="24"/>
          <w:szCs w:val="24"/>
        </w:rPr>
        <w:t xml:space="preserve"> Received aluminium chloride, benzo[a]pyrene, and ascorbic acid (100 mg/kg body weight).</w:t>
      </w:r>
    </w:p>
    <w:p w14:paraId="09F0B569" w14:textId="77777777" w:rsidR="00EF6CCD" w:rsidRPr="007C5C3A" w:rsidRDefault="00EF6CCD" w:rsidP="00EF6CCD">
      <w:pPr>
        <w:ind w:left="360"/>
        <w:jc w:val="both"/>
        <w:rPr>
          <w:rFonts w:ascii="Times New Roman" w:hAnsi="Times New Roman" w:cs="Times New Roman"/>
          <w:sz w:val="24"/>
          <w:szCs w:val="24"/>
        </w:rPr>
      </w:pPr>
      <w:r w:rsidRPr="007C5C3A">
        <w:rPr>
          <w:rFonts w:ascii="Times New Roman" w:hAnsi="Times New Roman" w:cs="Times New Roman"/>
          <w:sz w:val="24"/>
          <w:szCs w:val="24"/>
        </w:rPr>
        <w:t>All treatments were administered orally once daily for 28 days.</w:t>
      </w:r>
    </w:p>
    <w:p w14:paraId="1FCB342C"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Sample Collection</w:t>
      </w:r>
    </w:p>
    <w:p w14:paraId="519D4A0F" w14:textId="77777777" w:rsidR="00EF6CCD" w:rsidRPr="007C5C3A" w:rsidRDefault="00EF6CCD" w:rsidP="00EF6CCD">
      <w:pPr>
        <w:jc w:val="both"/>
        <w:rPr>
          <w:rFonts w:ascii="Times New Roman" w:hAnsi="Times New Roman" w:cs="Times New Roman"/>
          <w:sz w:val="24"/>
          <w:szCs w:val="24"/>
        </w:rPr>
      </w:pPr>
      <w:r>
        <w:rPr>
          <w:rFonts w:ascii="Times New Roman" w:hAnsi="Times New Roman" w:cs="Times New Roman"/>
          <w:sz w:val="24"/>
          <w:szCs w:val="24"/>
        </w:rPr>
        <w:t xml:space="preserve">Twenty-four hours after the final treatment, animals were fasted overnight and </w:t>
      </w:r>
      <w:r>
        <w:rPr>
          <w:rFonts w:ascii="Times New Roman" w:hAnsi="Times New Roman" w:cs="Times New Roman"/>
          <w:sz w:val="24"/>
          <w:szCs w:val="24"/>
          <w:highlight w:val="yellow"/>
        </w:rPr>
        <w:t>anaesthetised</w:t>
      </w:r>
      <w:r>
        <w:rPr>
          <w:rFonts w:ascii="Times New Roman" w:hAnsi="Times New Roman" w:cs="Times New Roman"/>
          <w:sz w:val="24"/>
          <w:szCs w:val="24"/>
        </w:rPr>
        <w:t xml:space="preserve"> by inhalation of diethyl ether inside a certified, functional chemical fume hood to prevent </w:t>
      </w:r>
      <w:r>
        <w:rPr>
          <w:rFonts w:ascii="Times New Roman" w:hAnsi="Times New Roman" w:cs="Times New Roman"/>
          <w:sz w:val="24"/>
          <w:szCs w:val="24"/>
          <w:highlight w:val="yellow"/>
        </w:rPr>
        <w:t>vapour</w:t>
      </w:r>
      <w:r>
        <w:rPr>
          <w:rFonts w:ascii="Times New Roman" w:hAnsi="Times New Roman" w:cs="Times New Roman"/>
          <w:sz w:val="24"/>
          <w:szCs w:val="24"/>
        </w:rPr>
        <w:t xml:space="preserve"> accumulation and protect laboratory personnel. Following anaesthesia, animals were </w:t>
      </w:r>
      <w:r>
        <w:rPr>
          <w:rFonts w:ascii="Times New Roman" w:hAnsi="Times New Roman" w:cs="Times New Roman"/>
          <w:sz w:val="24"/>
          <w:szCs w:val="24"/>
          <w:highlight w:val="yellow"/>
        </w:rPr>
        <w:t>euthanised</w:t>
      </w:r>
      <w:r>
        <w:rPr>
          <w:rFonts w:ascii="Times New Roman" w:hAnsi="Times New Roman" w:cs="Times New Roman"/>
          <w:sz w:val="24"/>
          <w:szCs w:val="24"/>
        </w:rPr>
        <w:t xml:space="preserve"> by cervical dislocation, and blood samples were immediately collected by cardiac puncture into appropriately labelled EDTA and </w:t>
      </w:r>
      <w:r>
        <w:rPr>
          <w:rFonts w:ascii="Times New Roman" w:hAnsi="Times New Roman" w:cs="Times New Roman"/>
          <w:sz w:val="24"/>
          <w:szCs w:val="24"/>
          <w:highlight w:val="yellow"/>
        </w:rPr>
        <w:t>heparinised</w:t>
      </w:r>
      <w:r>
        <w:rPr>
          <w:rFonts w:ascii="Times New Roman" w:hAnsi="Times New Roman" w:cs="Times New Roman"/>
          <w:sz w:val="24"/>
          <w:szCs w:val="24"/>
        </w:rPr>
        <w:t xml:space="preserve"> sample bottles for subsequent haematological and biochemical analyses. Serum was separated by centrifugation at 3000 rpm for 10 minutes. The testes were excised immediately, rinsed in ice-cold normal saline, blotted dry, weighed, and </w:t>
      </w:r>
      <w:r>
        <w:rPr>
          <w:rFonts w:ascii="Times New Roman" w:hAnsi="Times New Roman" w:cs="Times New Roman"/>
          <w:sz w:val="24"/>
          <w:szCs w:val="24"/>
          <w:highlight w:val="yellow"/>
        </w:rPr>
        <w:t>homogenised</w:t>
      </w:r>
      <w:r>
        <w:rPr>
          <w:rFonts w:ascii="Times New Roman" w:hAnsi="Times New Roman" w:cs="Times New Roman"/>
          <w:sz w:val="24"/>
          <w:szCs w:val="24"/>
        </w:rPr>
        <w:t xml:space="preserve"> in phosphate-buffered saline (pH 7.4). The homogenates were centrifuged at 10,000 × g for 15 minutes at 4°C, and the resulting supernatants were collected and stored at −20°C until biochemical analyses.</w:t>
      </w:r>
    </w:p>
    <w:p w14:paraId="1A2F05A2"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Determination of Oxidative Stress Biomarkers</w:t>
      </w:r>
    </w:p>
    <w:p w14:paraId="18F7C5B6"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Lipid Peroxidation Assay</w:t>
      </w:r>
    </w:p>
    <w:p w14:paraId="746890E2" w14:textId="77777777" w:rsidR="00EF6CCD" w:rsidRPr="007C5C3A" w:rsidRDefault="00EF6CCD" w:rsidP="00EF6CCD">
      <w:pPr>
        <w:jc w:val="both"/>
        <w:rPr>
          <w:rFonts w:ascii="Times New Roman" w:hAnsi="Times New Roman" w:cs="Times New Roman"/>
          <w:sz w:val="24"/>
          <w:szCs w:val="24"/>
        </w:rPr>
      </w:pPr>
      <w:r>
        <w:rPr>
          <w:rFonts w:ascii="Times New Roman" w:hAnsi="Times New Roman" w:cs="Times New Roman"/>
          <w:sz w:val="24"/>
          <w:szCs w:val="24"/>
        </w:rPr>
        <w:t xml:space="preserve">Lipid peroxidation was evaluated by determining malondialdehyde (MDA) concentration using the thiobarbituric acid reactive substances (TBARS) method (Aguilar </w:t>
      </w:r>
      <w:r>
        <w:rPr>
          <w:rFonts w:ascii="Times New Roman" w:hAnsi="Times New Roman" w:cs="Times New Roman"/>
          <w:sz w:val="24"/>
          <w:szCs w:val="24"/>
          <w:highlight w:val="yellow"/>
        </w:rPr>
        <w:t xml:space="preserve">Diaz De Leon </w:t>
      </w:r>
      <w:r>
        <w:rPr>
          <w:rFonts w:ascii="Times New Roman" w:hAnsi="Times New Roman" w:cs="Times New Roman"/>
          <w:sz w:val="24"/>
          <w:szCs w:val="24"/>
        </w:rPr>
        <w:t>&amp; Borges, 2020). The assay is based on the reaction between malondialdehyde and thiobarbituric acid under acidic conditions and</w:t>
      </w:r>
      <w:r>
        <w:rPr>
          <w:rFonts w:ascii="Times New Roman" w:hAnsi="Times New Roman" w:cs="Times New Roman"/>
          <w:sz w:val="24"/>
          <w:szCs w:val="24"/>
          <w:highlight w:val="yellow"/>
        </w:rPr>
        <w:t xml:space="preserve"> at an</w:t>
      </w:r>
      <w:r>
        <w:rPr>
          <w:rFonts w:ascii="Times New Roman" w:hAnsi="Times New Roman" w:cs="Times New Roman"/>
          <w:sz w:val="24"/>
          <w:szCs w:val="24"/>
        </w:rPr>
        <w:t xml:space="preserve"> elevated temperature to produce a pink chromogen, the absorbance of which was measured spectrophotometrically at 532 nm. Results were expressed as nmol MDA/mg protein.</w:t>
      </w:r>
    </w:p>
    <w:p w14:paraId="6A8B3006"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Superoxide Dismutase (SOD) Activity</w:t>
      </w:r>
    </w:p>
    <w:p w14:paraId="78BE552E" w14:textId="77777777" w:rsidR="00EF6CCD" w:rsidRPr="007C5C3A" w:rsidRDefault="00EF6CCD" w:rsidP="00EF6CCD">
      <w:pPr>
        <w:jc w:val="both"/>
        <w:rPr>
          <w:rFonts w:ascii="Times New Roman" w:hAnsi="Times New Roman" w:cs="Times New Roman"/>
          <w:sz w:val="24"/>
          <w:szCs w:val="24"/>
        </w:rPr>
      </w:pPr>
      <w:r>
        <w:rPr>
          <w:rFonts w:ascii="Times New Roman" w:hAnsi="Times New Roman" w:cs="Times New Roman"/>
          <w:sz w:val="24"/>
          <w:szCs w:val="24"/>
        </w:rPr>
        <w:lastRenderedPageBreak/>
        <w:t>Superoxide dismutase activity was determined using the method based on the enzyme's ability to inhibit the autoxidation of epinephrine under alkaline conditions (Sun et al</w:t>
      </w:r>
      <w:r>
        <w:rPr>
          <w:rFonts w:ascii="Times New Roman" w:hAnsi="Times New Roman" w:cs="Times New Roman"/>
          <w:sz w:val="24"/>
          <w:szCs w:val="24"/>
          <w:highlight w:val="yellow"/>
        </w:rPr>
        <w:t>.,</w:t>
      </w:r>
      <w:r>
        <w:rPr>
          <w:rFonts w:ascii="Times New Roman" w:hAnsi="Times New Roman" w:cs="Times New Roman"/>
          <w:sz w:val="24"/>
          <w:szCs w:val="24"/>
        </w:rPr>
        <w:t xml:space="preserve"> 1988). Absorbance changes were monitored spectrophotometrically, and enzyme activity was expressed as units per milligram of protein (U/mg protein).</w:t>
      </w:r>
    </w:p>
    <w:p w14:paraId="38D6C158"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Catalase (CAT) Activity</w:t>
      </w:r>
    </w:p>
    <w:p w14:paraId="21C41BB8" w14:textId="77777777" w:rsidR="00EF6CCD" w:rsidRPr="007C5C3A" w:rsidRDefault="00EF6CCD" w:rsidP="00EF6CCD">
      <w:pPr>
        <w:jc w:val="both"/>
        <w:rPr>
          <w:rFonts w:ascii="Times New Roman" w:hAnsi="Times New Roman" w:cs="Times New Roman"/>
          <w:sz w:val="24"/>
          <w:szCs w:val="24"/>
        </w:rPr>
      </w:pPr>
      <w:r>
        <w:rPr>
          <w:rFonts w:ascii="Times New Roman" w:hAnsi="Times New Roman" w:cs="Times New Roman"/>
          <w:sz w:val="24"/>
          <w:szCs w:val="24"/>
        </w:rPr>
        <w:t>Catalase activity was estimated by measuring the rate of decomposition of hydrogen peroxide. The decrease in absorbance resulting from hydrogen peroxide degradation was monitored spectrophotometrically at 240 nm, and enzyme activity was expressed as U/mg protein (Hamza &amp; Hadwan, 2020</w:t>
      </w:r>
      <w:r>
        <w:rPr>
          <w:rFonts w:ascii="Times New Roman" w:hAnsi="Times New Roman" w:cs="Times New Roman"/>
          <w:sz w:val="24"/>
          <w:szCs w:val="24"/>
          <w:highlight w:val="yellow"/>
        </w:rPr>
        <w:t>).</w:t>
      </w:r>
    </w:p>
    <w:p w14:paraId="7B683802"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Glutathione Peroxidase (</w:t>
      </w:r>
      <w:proofErr w:type="spellStart"/>
      <w:r w:rsidRPr="007C5C3A">
        <w:rPr>
          <w:rFonts w:ascii="Times New Roman" w:hAnsi="Times New Roman" w:cs="Times New Roman"/>
          <w:b/>
          <w:bCs/>
          <w:sz w:val="24"/>
          <w:szCs w:val="24"/>
        </w:rPr>
        <w:t>GPx</w:t>
      </w:r>
      <w:proofErr w:type="spellEnd"/>
      <w:r w:rsidRPr="007C5C3A">
        <w:rPr>
          <w:rFonts w:ascii="Times New Roman" w:hAnsi="Times New Roman" w:cs="Times New Roman"/>
          <w:b/>
          <w:bCs/>
          <w:sz w:val="24"/>
          <w:szCs w:val="24"/>
        </w:rPr>
        <w:t>) Activity</w:t>
      </w:r>
    </w:p>
    <w:p w14:paraId="6839A095" w14:textId="77777777" w:rsidR="00EF6CCD" w:rsidRPr="007C5C3A" w:rsidRDefault="00EF6CCD" w:rsidP="00EF6CCD">
      <w:pPr>
        <w:jc w:val="both"/>
        <w:rPr>
          <w:rFonts w:ascii="Times New Roman" w:hAnsi="Times New Roman" w:cs="Times New Roman"/>
          <w:sz w:val="24"/>
          <w:szCs w:val="24"/>
        </w:rPr>
      </w:pPr>
      <w:r>
        <w:rPr>
          <w:rFonts w:ascii="Times New Roman" w:hAnsi="Times New Roman" w:cs="Times New Roman"/>
          <w:sz w:val="24"/>
          <w:szCs w:val="24"/>
        </w:rPr>
        <w:t xml:space="preserve">Glutathione peroxidase activity was determined by measuring the rate at which reduced glutathione was </w:t>
      </w:r>
      <w:r>
        <w:rPr>
          <w:rFonts w:ascii="Times New Roman" w:hAnsi="Times New Roman" w:cs="Times New Roman"/>
          <w:sz w:val="24"/>
          <w:szCs w:val="24"/>
          <w:highlight w:val="yellow"/>
        </w:rPr>
        <w:t>oxidised</w:t>
      </w:r>
      <w:r>
        <w:rPr>
          <w:rFonts w:ascii="Times New Roman" w:hAnsi="Times New Roman" w:cs="Times New Roman"/>
          <w:sz w:val="24"/>
          <w:szCs w:val="24"/>
        </w:rPr>
        <w:t xml:space="preserve"> in the presence of hydrogen peroxide (Sattar et al</w:t>
      </w:r>
      <w:r>
        <w:rPr>
          <w:rFonts w:ascii="Times New Roman" w:hAnsi="Times New Roman" w:cs="Times New Roman"/>
          <w:sz w:val="24"/>
          <w:szCs w:val="24"/>
          <w:highlight w:val="yellow"/>
        </w:rPr>
        <w:t>.,</w:t>
      </w:r>
      <w:r>
        <w:rPr>
          <w:rFonts w:ascii="Times New Roman" w:hAnsi="Times New Roman" w:cs="Times New Roman"/>
          <w:sz w:val="24"/>
          <w:szCs w:val="24"/>
        </w:rPr>
        <w:t xml:space="preserve"> 2024). Enzyme activity was quantified spectrophotometrically according to the standard assay protocol and expressed as U/mg protein.</w:t>
      </w:r>
    </w:p>
    <w:p w14:paraId="05D257B6"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Reduced Glutathione (GSH)</w:t>
      </w:r>
    </w:p>
    <w:p w14:paraId="717BA3F3" w14:textId="77777777" w:rsidR="00EF6CCD" w:rsidRDefault="00EF6CCD" w:rsidP="00EF6CCD">
      <w:pPr>
        <w:jc w:val="both"/>
        <w:rPr>
          <w:rFonts w:ascii="Times New Roman" w:hAnsi="Times New Roman" w:cs="Times New Roman"/>
          <w:sz w:val="24"/>
          <w:szCs w:val="24"/>
        </w:rPr>
      </w:pPr>
      <w:r>
        <w:rPr>
          <w:rFonts w:ascii="Times New Roman" w:hAnsi="Times New Roman" w:cs="Times New Roman"/>
          <w:sz w:val="24"/>
          <w:szCs w:val="24"/>
        </w:rPr>
        <w:t>Reduced glutathione concentration was determined using Ellman's reagent (5,5'-dithiobis-(2-nitrobenzoic acid), DTNB), which reacts with sulfhydryl groups to produce a yellow-</w:t>
      </w:r>
      <w:r>
        <w:rPr>
          <w:rFonts w:ascii="Times New Roman" w:hAnsi="Times New Roman" w:cs="Times New Roman"/>
          <w:sz w:val="24"/>
          <w:szCs w:val="24"/>
          <w:highlight w:val="yellow"/>
        </w:rPr>
        <w:t>coloured</w:t>
      </w:r>
      <w:r>
        <w:rPr>
          <w:rFonts w:ascii="Times New Roman" w:hAnsi="Times New Roman" w:cs="Times New Roman"/>
          <w:sz w:val="24"/>
          <w:szCs w:val="24"/>
        </w:rPr>
        <w:t xml:space="preserve"> chromophore measurable at 412 nm. GSH concentration was expressed as μmol/mg protein (Ellman, 1959).</w:t>
      </w:r>
    </w:p>
    <w:p w14:paraId="2F4DA261" w14:textId="77777777" w:rsidR="00EF6CCD" w:rsidRPr="00FB621E" w:rsidRDefault="00EF6CCD" w:rsidP="00EF6CCD">
      <w:pPr>
        <w:jc w:val="both"/>
        <w:rPr>
          <w:rFonts w:ascii="Times New Roman" w:hAnsi="Times New Roman" w:cs="Times New Roman"/>
          <w:b/>
          <w:bCs/>
          <w:sz w:val="24"/>
          <w:szCs w:val="24"/>
        </w:rPr>
      </w:pPr>
      <w:r w:rsidRPr="00FB621E">
        <w:rPr>
          <w:rFonts w:ascii="Times New Roman" w:hAnsi="Times New Roman" w:cs="Times New Roman"/>
          <w:b/>
          <w:bCs/>
          <w:sz w:val="24"/>
          <w:szCs w:val="24"/>
        </w:rPr>
        <w:t>Protein Estimation</w:t>
      </w:r>
    </w:p>
    <w:p w14:paraId="505B3BE1" w14:textId="77777777" w:rsidR="00EF6CCD" w:rsidRPr="007C5C3A" w:rsidRDefault="00EF6CCD" w:rsidP="00EF6CCD">
      <w:pPr>
        <w:jc w:val="both"/>
        <w:rPr>
          <w:rFonts w:ascii="Times New Roman" w:hAnsi="Times New Roman" w:cs="Times New Roman"/>
          <w:sz w:val="24"/>
          <w:szCs w:val="24"/>
        </w:rPr>
      </w:pPr>
      <w:r w:rsidRPr="00FB621E">
        <w:rPr>
          <w:rFonts w:ascii="Times New Roman" w:hAnsi="Times New Roman" w:cs="Times New Roman"/>
          <w:sz w:val="24"/>
          <w:szCs w:val="24"/>
        </w:rPr>
        <w:t>Total protein concentration in tissue homogenates was determined by the Bradford method (Bradford, 1976), using bovine serum albumin as the standard, to allow expression of biomarker values per milligram of protein.</w:t>
      </w:r>
    </w:p>
    <w:p w14:paraId="5714FC01" w14:textId="77777777" w:rsidR="00EF6CCD" w:rsidRPr="007C5C3A" w:rsidRDefault="00EF6CCD" w:rsidP="00EF6CCD">
      <w:pPr>
        <w:jc w:val="both"/>
        <w:rPr>
          <w:rFonts w:ascii="Times New Roman" w:hAnsi="Times New Roman" w:cs="Times New Roman"/>
          <w:b/>
          <w:bCs/>
          <w:sz w:val="24"/>
          <w:szCs w:val="24"/>
        </w:rPr>
      </w:pPr>
      <w:r w:rsidRPr="007C5C3A">
        <w:rPr>
          <w:rFonts w:ascii="Times New Roman" w:hAnsi="Times New Roman" w:cs="Times New Roman"/>
          <w:b/>
          <w:bCs/>
          <w:sz w:val="24"/>
          <w:szCs w:val="24"/>
        </w:rPr>
        <w:t>Statistical Analysis</w:t>
      </w:r>
    </w:p>
    <w:p w14:paraId="5B14A753" w14:textId="77777777" w:rsidR="003250BA" w:rsidRPr="007C5C3A" w:rsidRDefault="00EF6CCD" w:rsidP="00EF6CCD">
      <w:pPr>
        <w:jc w:val="both"/>
        <w:rPr>
          <w:rFonts w:ascii="Times New Roman" w:hAnsi="Times New Roman" w:cs="Times New Roman"/>
          <w:sz w:val="24"/>
          <w:szCs w:val="24"/>
        </w:rPr>
      </w:pPr>
      <w:r>
        <w:rPr>
          <w:rFonts w:ascii="Times New Roman" w:hAnsi="Times New Roman" w:cs="Times New Roman"/>
          <w:sz w:val="24"/>
          <w:szCs w:val="24"/>
        </w:rPr>
        <w:t xml:space="preserve">All data were collected and expressed as </w:t>
      </w:r>
      <w:r>
        <w:rPr>
          <w:rFonts w:ascii="Times New Roman" w:hAnsi="Times New Roman" w:cs="Times New Roman"/>
          <w:sz w:val="24"/>
          <w:szCs w:val="24"/>
          <w:highlight w:val="yellow"/>
        </w:rPr>
        <w:t>mean</w:t>
      </w:r>
      <w:r>
        <w:rPr>
          <w:rFonts w:ascii="Times New Roman" w:hAnsi="Times New Roman" w:cs="Times New Roman"/>
          <w:sz w:val="24"/>
          <w:szCs w:val="24"/>
        </w:rPr>
        <w:t xml:space="preserve"> ± </w:t>
      </w:r>
      <w:r>
        <w:rPr>
          <w:rFonts w:ascii="Times New Roman" w:hAnsi="Times New Roman" w:cs="Times New Roman"/>
          <w:sz w:val="24"/>
          <w:szCs w:val="24"/>
          <w:highlight w:val="yellow"/>
        </w:rPr>
        <w:t>standard</w:t>
      </w:r>
      <w:r>
        <w:rPr>
          <w:rFonts w:ascii="Times New Roman" w:hAnsi="Times New Roman" w:cs="Times New Roman"/>
          <w:sz w:val="24"/>
          <w:szCs w:val="24"/>
        </w:rPr>
        <w:t xml:space="preserve"> </w:t>
      </w:r>
      <w:r>
        <w:rPr>
          <w:rFonts w:ascii="Times New Roman" w:hAnsi="Times New Roman" w:cs="Times New Roman"/>
          <w:sz w:val="24"/>
          <w:szCs w:val="24"/>
          <w:highlight w:val="yellow"/>
        </w:rPr>
        <w:t>error</w:t>
      </w:r>
      <w:r>
        <w:rPr>
          <w:rFonts w:ascii="Times New Roman" w:hAnsi="Times New Roman" w:cs="Times New Roman"/>
          <w:sz w:val="24"/>
          <w:szCs w:val="24"/>
        </w:rPr>
        <w:t xml:space="preserve"> of </w:t>
      </w:r>
      <w:r>
        <w:rPr>
          <w:rFonts w:ascii="Times New Roman" w:hAnsi="Times New Roman" w:cs="Times New Roman"/>
          <w:sz w:val="24"/>
          <w:szCs w:val="24"/>
          <w:highlight w:val="yellow"/>
        </w:rPr>
        <w:t>the mean</w:t>
      </w:r>
      <w:r>
        <w:rPr>
          <w:rFonts w:ascii="Times New Roman" w:hAnsi="Times New Roman" w:cs="Times New Roman"/>
          <w:sz w:val="24"/>
          <w:szCs w:val="24"/>
        </w:rPr>
        <w:t xml:space="preserve"> (SEM). Statistical analysis was performed using IBM SPSS Statistics (Version 27) and GraphPad Prism (Version 10.4.2). To determine significant differences between group means, a </w:t>
      </w:r>
      <w:r>
        <w:rPr>
          <w:rFonts w:ascii="Times New Roman" w:hAnsi="Times New Roman" w:cs="Times New Roman"/>
          <w:sz w:val="24"/>
          <w:szCs w:val="24"/>
          <w:highlight w:val="yellow"/>
        </w:rPr>
        <w:t>one</w:t>
      </w:r>
      <w:r>
        <w:rPr>
          <w:rFonts w:ascii="Times New Roman" w:hAnsi="Times New Roman" w:cs="Times New Roman"/>
          <w:sz w:val="24"/>
          <w:szCs w:val="24"/>
        </w:rPr>
        <w:t xml:space="preserve">-way </w:t>
      </w:r>
      <w:r>
        <w:rPr>
          <w:rFonts w:ascii="Times New Roman" w:hAnsi="Times New Roman" w:cs="Times New Roman"/>
          <w:sz w:val="24"/>
          <w:szCs w:val="24"/>
          <w:highlight w:val="yellow"/>
        </w:rPr>
        <w:t>analysis</w:t>
      </w:r>
      <w:r>
        <w:rPr>
          <w:rFonts w:ascii="Times New Roman" w:hAnsi="Times New Roman" w:cs="Times New Roman"/>
          <w:sz w:val="24"/>
          <w:szCs w:val="24"/>
        </w:rPr>
        <w:t xml:space="preserve"> of </w:t>
      </w:r>
      <w:r>
        <w:rPr>
          <w:rFonts w:ascii="Times New Roman" w:hAnsi="Times New Roman" w:cs="Times New Roman"/>
          <w:sz w:val="24"/>
          <w:szCs w:val="24"/>
          <w:highlight w:val="yellow"/>
        </w:rPr>
        <w:t>variance</w:t>
      </w:r>
      <w:r>
        <w:rPr>
          <w:rFonts w:ascii="Times New Roman" w:hAnsi="Times New Roman" w:cs="Times New Roman"/>
          <w:sz w:val="24"/>
          <w:szCs w:val="24"/>
        </w:rPr>
        <w:t xml:space="preserve"> (ANOVA) was conducted. Where significant differences were observed, Tukey’s </w:t>
      </w:r>
      <w:r>
        <w:rPr>
          <w:rFonts w:ascii="Times New Roman" w:hAnsi="Times New Roman" w:cs="Times New Roman"/>
          <w:sz w:val="24"/>
          <w:szCs w:val="24"/>
          <w:highlight w:val="yellow"/>
        </w:rPr>
        <w:t>multiple-comparisons</w:t>
      </w:r>
      <w:r>
        <w:rPr>
          <w:rFonts w:ascii="Times New Roman" w:hAnsi="Times New Roman" w:cs="Times New Roman"/>
          <w:sz w:val="24"/>
          <w:szCs w:val="24"/>
        </w:rPr>
        <w:t xml:space="preserve"> </w:t>
      </w:r>
      <w:r>
        <w:rPr>
          <w:rFonts w:ascii="Times New Roman" w:hAnsi="Times New Roman" w:cs="Times New Roman"/>
          <w:sz w:val="24"/>
          <w:szCs w:val="24"/>
          <w:highlight w:val="yellow"/>
        </w:rPr>
        <w:t>test</w:t>
      </w:r>
      <w:r>
        <w:rPr>
          <w:rFonts w:ascii="Times New Roman" w:hAnsi="Times New Roman" w:cs="Times New Roman"/>
          <w:sz w:val="24"/>
          <w:szCs w:val="24"/>
        </w:rPr>
        <w:t xml:space="preserve"> (Tukey’s HSD) was used as the post</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hoc test to separate the means. A probability value of less than 0.05 (p &lt; 0.05) was considered statistically significant. The results were presented in graphical </w:t>
      </w:r>
      <w:r>
        <w:rPr>
          <w:rFonts w:ascii="Times New Roman" w:hAnsi="Times New Roman" w:cs="Times New Roman"/>
          <w:sz w:val="24"/>
          <w:szCs w:val="24"/>
          <w:highlight w:val="yellow"/>
        </w:rPr>
        <w:t>form</w:t>
      </w:r>
      <w:r>
        <w:rPr>
          <w:rFonts w:ascii="Times New Roman" w:hAnsi="Times New Roman" w:cs="Times New Roman"/>
          <w:sz w:val="24"/>
          <w:szCs w:val="24"/>
        </w:rPr>
        <w:t>. A single asterisk (*) indicates an adjusted p-value ≤ 0.05; two asterisks (**) indicate p ≤ 0.01; three asterisks (***) indicate p ≤ 0.001; and four asterisks (****) indicate a highly significant difference at p ≤ 0.0001.</w:t>
      </w:r>
    </w:p>
    <w:p w14:paraId="426409BF" w14:textId="77777777" w:rsidR="003250BA" w:rsidRPr="007C5C3A" w:rsidRDefault="003250BA">
      <w:pPr>
        <w:rPr>
          <w:rFonts w:ascii="Times New Roman" w:hAnsi="Times New Roman" w:cs="Times New Roman"/>
          <w:sz w:val="24"/>
          <w:szCs w:val="24"/>
        </w:rPr>
      </w:pPr>
      <w:r w:rsidRPr="007C5C3A">
        <w:rPr>
          <w:rFonts w:ascii="Times New Roman" w:hAnsi="Times New Roman" w:cs="Times New Roman"/>
          <w:sz w:val="24"/>
          <w:szCs w:val="24"/>
        </w:rPr>
        <w:br w:type="page"/>
      </w:r>
    </w:p>
    <w:p w14:paraId="12D6C220" w14:textId="77777777" w:rsidR="00EF6CCD" w:rsidRPr="007C5C3A" w:rsidRDefault="00EF6CCD" w:rsidP="00EF6CCD">
      <w:pPr>
        <w:spacing w:line="480" w:lineRule="auto"/>
        <w:jc w:val="center"/>
        <w:rPr>
          <w:rFonts w:ascii="Times New Roman" w:hAnsi="Times New Roman" w:cs="Times New Roman"/>
          <w:b/>
          <w:bCs/>
          <w:sz w:val="24"/>
          <w:szCs w:val="24"/>
        </w:rPr>
      </w:pPr>
      <w:r w:rsidRPr="007C5C3A">
        <w:rPr>
          <w:rFonts w:ascii="Times New Roman" w:hAnsi="Times New Roman" w:cs="Times New Roman"/>
          <w:b/>
          <w:bCs/>
          <w:sz w:val="24"/>
          <w:szCs w:val="24"/>
        </w:rPr>
        <w:lastRenderedPageBreak/>
        <w:t>RESULTS</w:t>
      </w:r>
    </w:p>
    <w:p w14:paraId="53E20204" w14:textId="77777777" w:rsidR="00EF6CCD" w:rsidRDefault="00EF6CCD" w:rsidP="00EF6CCD">
      <w:pPr>
        <w:spacing w:after="0" w:line="240" w:lineRule="auto"/>
        <w:jc w:val="both"/>
        <w:rPr>
          <w:rFonts w:ascii="Times New Roman" w:hAnsi="Times New Roman" w:cs="Times New Roman"/>
          <w:b/>
          <w:bCs/>
          <w:sz w:val="24"/>
          <w:szCs w:val="24"/>
        </w:rPr>
      </w:pPr>
      <w:r w:rsidRPr="007C5C3A">
        <w:rPr>
          <w:rFonts w:ascii="Times New Roman" w:eastAsia="Times New Roman" w:hAnsi="Times New Roman" w:cs="Times New Roman"/>
          <w:b/>
          <w:sz w:val="24"/>
          <w:szCs w:val="24"/>
        </w:rPr>
        <w:t>Effect on Superoxide Dismutase (SOD)</w:t>
      </w:r>
    </w:p>
    <w:p w14:paraId="20743CBB" w14:textId="77777777" w:rsidR="00EF6CCD" w:rsidRPr="001E7F18" w:rsidRDefault="00EF6CCD" w:rsidP="00EF6CCD">
      <w:pPr>
        <w:spacing w:after="0" w:line="240" w:lineRule="auto"/>
        <w:jc w:val="both"/>
        <w:rPr>
          <w:rFonts w:ascii="Times New Roman" w:hAnsi="Times New Roman" w:cs="Times New Roman"/>
          <w:b/>
          <w:bCs/>
          <w:sz w:val="24"/>
          <w:szCs w:val="24"/>
        </w:rPr>
      </w:pPr>
      <w:r>
        <w:rPr>
          <w:rFonts w:ascii="Times New Roman" w:eastAsia="Times New Roman" w:hAnsi="Times New Roman" w:cs="Times New Roman"/>
          <w:bCs/>
          <w:sz w:val="24"/>
          <w:szCs w:val="24"/>
        </w:rPr>
        <w:t xml:space="preserve">One-way ANOVA revealed a significant effect of treatment on SOD activity (F(8,45) = 28.48, p &lt; 0.001). Exposure to aluminium alone (27.44 ± 2.49 U/mg protein) and benzo[a]pyrene alone (25.37 ± 3.43 U/mg protein) significantly reduced SOD activity compared with the normal control (66.98 ± 5.35 U/mg protein; p &lt; 0.001 for both). Combined Al+BaP exposure produced the greatest reduction (18.70 ± 4.53 U/mg protein; p &lt; 0.001 vs. control). Treatment with </w:t>
      </w:r>
      <w:r>
        <w:rPr>
          <w:rFonts w:ascii="Times New Roman" w:eastAsia="Times New Roman" w:hAnsi="Times New Roman" w:cs="Times New Roman"/>
          <w:bCs/>
          <w:i/>
          <w:sz w:val="24"/>
          <w:szCs w:val="24"/>
        </w:rPr>
        <w:t>S. aromaticum</w:t>
      </w:r>
      <w:r>
        <w:rPr>
          <w:rFonts w:ascii="Times New Roman" w:eastAsia="Times New Roman" w:hAnsi="Times New Roman" w:cs="Times New Roman"/>
          <w:bCs/>
          <w:sz w:val="24"/>
          <w:szCs w:val="24"/>
        </w:rPr>
        <w:t xml:space="preserve"> extract at 1000, 1500, and 2000 mg/kg significantly restored SOD activity (79.19 ± 5.67, 68.92 ± 3.00, and 74.12 ± 2.87 U/mg protein, respectively; all p &lt; 0.001 vs. Al+BaP group), with no significant difference from the normal control group at any dose (p &gt; 0.05). SAE alone (75.24 ± 5.03) and the ascorbic acid-treated group (59.92 ± 6.55) also did not differ significantly from control.</w:t>
      </w:r>
    </w:p>
    <w:p w14:paraId="264A8D47" w14:textId="77777777" w:rsidR="00EF6CCD" w:rsidRPr="007C5C3A" w:rsidRDefault="00EF6CCD" w:rsidP="00EF6CCD">
      <w:pPr>
        <w:spacing w:line="480" w:lineRule="auto"/>
        <w:rPr>
          <w:rFonts w:ascii="Times New Roman" w:eastAsia="Times New Roman" w:hAnsi="Times New Roman" w:cs="Times New Roman"/>
          <w:bCs/>
          <w:sz w:val="24"/>
          <w:szCs w:val="24"/>
        </w:rPr>
      </w:pPr>
    </w:p>
    <w:p w14:paraId="151AB13D" w14:textId="77777777" w:rsidR="00EF6CCD" w:rsidRPr="007C5C3A" w:rsidRDefault="00EF6CCD" w:rsidP="00EF6CCD">
      <w:pPr>
        <w:spacing w:line="480" w:lineRule="auto"/>
        <w:rPr>
          <w:rFonts w:ascii="Times New Roman" w:hAnsi="Times New Roman" w:cs="Times New Roman"/>
          <w:sz w:val="24"/>
          <w:szCs w:val="24"/>
        </w:rPr>
      </w:pPr>
      <w:r w:rsidRPr="007C5C3A">
        <w:rPr>
          <w:rFonts w:ascii="Times New Roman" w:hAnsi="Times New Roman" w:cs="Times New Roman"/>
          <w:sz w:val="24"/>
          <w:szCs w:val="24"/>
        </w:rPr>
        <w:object w:dxaOrig="6614" w:dyaOrig="7956" w14:anchorId="0B9C91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25pt;height:357pt" o:ole="">
            <v:imagedata r:id="rId7" o:title=""/>
          </v:shape>
          <o:OLEObject Type="Embed" ProgID="Prism10.Document" ShapeID="_x0000_i1025" DrawAspect="Content" ObjectID="_1848666429" r:id="rId8"/>
        </w:object>
      </w:r>
    </w:p>
    <w:p w14:paraId="3C0E3FD6" w14:textId="77777777" w:rsidR="00EF6CCD" w:rsidRPr="007C5C3A" w:rsidRDefault="00EF6CCD" w:rsidP="00EF6CCD">
      <w:pPr>
        <w:spacing w:after="0" w:line="240" w:lineRule="auto"/>
        <w:jc w:val="both"/>
        <w:rPr>
          <w:rFonts w:ascii="Times New Roman" w:eastAsia="Times New Roman" w:hAnsi="Times New Roman" w:cs="Times New Roman"/>
          <w:b/>
          <w:bCs/>
          <w:sz w:val="24"/>
          <w:szCs w:val="24"/>
        </w:rPr>
      </w:pPr>
      <w:r w:rsidRPr="007C5C3A">
        <w:rPr>
          <w:rFonts w:ascii="Times New Roman" w:eastAsia="Times New Roman" w:hAnsi="Times New Roman" w:cs="Times New Roman"/>
          <w:b/>
          <w:bCs/>
          <w:sz w:val="24"/>
          <w:szCs w:val="24"/>
        </w:rPr>
        <w:t xml:space="preserve">Figure 1: Effect of Extract on Superoxide Dismutase Level. </w:t>
      </w:r>
    </w:p>
    <w:p w14:paraId="09B3C3F2" w14:textId="77777777" w:rsidR="00EF6CCD" w:rsidRPr="007C5C3A" w:rsidRDefault="00EF6CCD" w:rsidP="00EF6CCD">
      <w:pPr>
        <w:spacing w:after="0" w:line="240" w:lineRule="auto"/>
        <w:jc w:val="both"/>
        <w:rPr>
          <w:rFonts w:ascii="Times New Roman" w:eastAsia="Times New Roman" w:hAnsi="Times New Roman" w:cs="Times New Roman"/>
          <w:sz w:val="24"/>
          <w:szCs w:val="24"/>
        </w:rPr>
      </w:pPr>
      <w:r w:rsidRPr="007C5C3A">
        <w:rPr>
          <w:rFonts w:ascii="Times New Roman" w:eastAsia="Times New Roman" w:hAnsi="Times New Roman" w:cs="Times New Roman"/>
          <w:sz w:val="24"/>
          <w:szCs w:val="24"/>
        </w:rPr>
        <w:t xml:space="preserve">Data are presented as Mean ± SEM (n=6). “a” indicates significant difference (p &lt; 0.05) compared to Normal Control (Group 1). “b” indicates significant difference (p &lt; 0.05) compared to Negative Control (Group 4). </w:t>
      </w:r>
      <w:r w:rsidRPr="007C5C3A">
        <w:rPr>
          <w:rFonts w:ascii="Times New Roman" w:hAnsi="Times New Roman" w:cs="Times New Roman"/>
          <w:sz w:val="24"/>
          <w:szCs w:val="24"/>
        </w:rPr>
        <w:t>A single asterisk (*) indicates an adjusted p-value ≤ 0.05; two asterisks (**) indicate p ≤ 0.01; three asterisks (***) indicate p ≤ 0.001; and four asterisks (****) indicate a highly significant difference at p ≤ 0.0001.</w:t>
      </w:r>
    </w:p>
    <w:p w14:paraId="5070CE2A" w14:textId="77777777" w:rsidR="00EF6CCD" w:rsidRPr="007C5C3A" w:rsidRDefault="00EF6CCD" w:rsidP="00EF6CCD">
      <w:pPr>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lastRenderedPageBreak/>
        <w:br w:type="page"/>
      </w:r>
    </w:p>
    <w:p w14:paraId="12A20464" w14:textId="77777777" w:rsidR="00EF6CCD" w:rsidRPr="007C5C3A" w:rsidRDefault="00EF6CCD" w:rsidP="00EF6CCD">
      <w:pPr>
        <w:spacing w:after="0" w:line="240" w:lineRule="auto"/>
        <w:jc w:val="both"/>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lastRenderedPageBreak/>
        <w:t>Effect on MDA</w:t>
      </w:r>
    </w:p>
    <w:p w14:paraId="6C8F2FB7" w14:textId="77777777" w:rsidR="00EF6CCD" w:rsidRDefault="00EF6CCD" w:rsidP="00EF6CCD">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MDA levels differed significantly across groups (F(8,45) = 17.65, p &lt; 0.001). Aluminium (12.80 ± 1.21 nmol/mg protein), BaP (12.04 ± 0.99 nmol/mg protein), and combined Al+BaP exposure (13.71 ± 1.81 nmol/mg protein) all produced significant elevations in MDA relative to control (3.28 ± 0.27 nmol/mg protein; p &lt; 0.001 for all). Treatment with </w:t>
      </w:r>
      <w:r>
        <w:rPr>
          <w:rFonts w:ascii="Times New Roman" w:eastAsia="Times New Roman" w:hAnsi="Times New Roman" w:cs="Times New Roman"/>
          <w:bCs/>
          <w:i/>
          <w:sz w:val="24"/>
          <w:szCs w:val="24"/>
        </w:rPr>
        <w:t>S. aromaticum</w:t>
      </w:r>
      <w:r>
        <w:rPr>
          <w:rFonts w:ascii="Times New Roman" w:eastAsia="Times New Roman" w:hAnsi="Times New Roman" w:cs="Times New Roman"/>
          <w:bCs/>
          <w:sz w:val="24"/>
          <w:szCs w:val="24"/>
        </w:rPr>
        <w:t xml:space="preserve"> extract at all three doses significantly reduced MDA relative to the Al+BaP group (p &lt; 0.001), restoring levels that were not significantly different from control (1000 mg/kg: 3.97 ± 0.65; 1500 mg/kg: 5.65 ± 0.72; 2000 mg/kg: 5.60 ± 0.62 nmol/mg protein; all p &gt; 0.05 vs. control).</w:t>
      </w:r>
    </w:p>
    <w:p w14:paraId="4C2672F2" w14:textId="77777777" w:rsidR="00EF6CCD" w:rsidRPr="007C5C3A" w:rsidRDefault="00EF6CCD" w:rsidP="00EF6CCD">
      <w:pPr>
        <w:spacing w:line="480" w:lineRule="auto"/>
        <w:rPr>
          <w:rFonts w:ascii="Times New Roman" w:eastAsia="Times New Roman" w:hAnsi="Times New Roman" w:cs="Times New Roman"/>
          <w:bCs/>
          <w:sz w:val="24"/>
          <w:szCs w:val="24"/>
        </w:rPr>
      </w:pPr>
    </w:p>
    <w:p w14:paraId="7A14844E" w14:textId="77777777" w:rsidR="00EF6CCD" w:rsidRPr="007C5C3A" w:rsidRDefault="00EF6CCD" w:rsidP="00EF6CCD">
      <w:pPr>
        <w:rPr>
          <w:rFonts w:ascii="Times New Roman" w:eastAsia="Times New Roman" w:hAnsi="Times New Roman" w:cs="Times New Roman"/>
          <w:bCs/>
          <w:sz w:val="24"/>
          <w:szCs w:val="24"/>
        </w:rPr>
      </w:pPr>
      <w:r w:rsidRPr="007C5C3A">
        <w:rPr>
          <w:rFonts w:ascii="Times New Roman" w:hAnsi="Times New Roman" w:cs="Times New Roman"/>
          <w:sz w:val="24"/>
          <w:szCs w:val="24"/>
        </w:rPr>
        <w:object w:dxaOrig="6614" w:dyaOrig="7743" w14:anchorId="10970685">
          <v:shape id="_x0000_i1026" type="#_x0000_t75" style="width:427.5pt;height:387pt" o:ole="">
            <v:imagedata r:id="rId9" o:title=""/>
          </v:shape>
          <o:OLEObject Type="Embed" ProgID="Prism10.Document" ShapeID="_x0000_i1026" DrawAspect="Content" ObjectID="_1848666430" r:id="rId10"/>
        </w:object>
      </w:r>
    </w:p>
    <w:p w14:paraId="00248EBD" w14:textId="77777777" w:rsidR="00EF6CCD" w:rsidRPr="007C5C3A" w:rsidRDefault="00EF6CCD" w:rsidP="00EF6CCD">
      <w:pPr>
        <w:spacing w:after="0" w:line="240" w:lineRule="auto"/>
        <w:jc w:val="both"/>
        <w:rPr>
          <w:rFonts w:ascii="Times New Roman" w:eastAsia="Times New Roman" w:hAnsi="Times New Roman" w:cs="Times New Roman"/>
          <w:b/>
          <w:bCs/>
          <w:sz w:val="24"/>
          <w:szCs w:val="24"/>
        </w:rPr>
      </w:pPr>
      <w:r w:rsidRPr="007C5C3A">
        <w:rPr>
          <w:rFonts w:ascii="Times New Roman" w:eastAsia="Times New Roman" w:hAnsi="Times New Roman" w:cs="Times New Roman"/>
          <w:b/>
          <w:bCs/>
          <w:sz w:val="24"/>
          <w:szCs w:val="24"/>
        </w:rPr>
        <w:t xml:space="preserve">Figure 2: Effect of </w:t>
      </w:r>
      <w:proofErr w:type="spellStart"/>
      <w:r w:rsidRPr="007C5C3A">
        <w:rPr>
          <w:rFonts w:ascii="Times New Roman" w:eastAsia="Times New Roman" w:hAnsi="Times New Roman" w:cs="Times New Roman"/>
          <w:b/>
          <w:bCs/>
          <w:i/>
          <w:iCs/>
          <w:sz w:val="24"/>
          <w:szCs w:val="24"/>
        </w:rPr>
        <w:t>Syzygium</w:t>
      </w:r>
      <w:proofErr w:type="spellEnd"/>
      <w:r w:rsidRPr="007C5C3A">
        <w:rPr>
          <w:rFonts w:ascii="Times New Roman" w:eastAsia="Times New Roman" w:hAnsi="Times New Roman" w:cs="Times New Roman"/>
          <w:b/>
          <w:bCs/>
          <w:i/>
          <w:iCs/>
          <w:sz w:val="24"/>
          <w:szCs w:val="24"/>
        </w:rPr>
        <w:t xml:space="preserve"> aromaticum</w:t>
      </w:r>
      <w:r w:rsidRPr="007C5C3A">
        <w:rPr>
          <w:rFonts w:ascii="Times New Roman" w:eastAsia="Times New Roman" w:hAnsi="Times New Roman" w:cs="Times New Roman"/>
          <w:b/>
          <w:bCs/>
          <w:sz w:val="24"/>
          <w:szCs w:val="24"/>
        </w:rPr>
        <w:t xml:space="preserve"> Extract on MDA level. </w:t>
      </w:r>
    </w:p>
    <w:p w14:paraId="15849971" w14:textId="77777777" w:rsidR="00EF6CCD" w:rsidRPr="007C5C3A" w:rsidRDefault="00EF6CCD" w:rsidP="00EF6CCD">
      <w:pPr>
        <w:spacing w:after="0" w:line="240" w:lineRule="auto"/>
        <w:jc w:val="both"/>
        <w:rPr>
          <w:rFonts w:ascii="Times New Roman" w:eastAsia="Times New Roman" w:hAnsi="Times New Roman" w:cs="Times New Roman"/>
          <w:sz w:val="24"/>
          <w:szCs w:val="24"/>
        </w:rPr>
      </w:pPr>
      <w:r w:rsidRPr="007C5C3A">
        <w:rPr>
          <w:rFonts w:ascii="Times New Roman" w:eastAsia="Times New Roman" w:hAnsi="Times New Roman" w:cs="Times New Roman"/>
          <w:sz w:val="24"/>
          <w:szCs w:val="24"/>
        </w:rPr>
        <w:t xml:space="preserve">Data are presented as Mean ± SEM (n=6). “a” indicates significant difference (p &lt; 0.05) compared to Normal Control (Group 1). “b” indicates significant difference (p &lt; 0.05) compared to Negative Control (Group 4). </w:t>
      </w:r>
      <w:r w:rsidRPr="007C5C3A">
        <w:rPr>
          <w:rFonts w:ascii="Times New Roman" w:hAnsi="Times New Roman" w:cs="Times New Roman"/>
          <w:sz w:val="24"/>
          <w:szCs w:val="24"/>
        </w:rPr>
        <w:t>A single asterisk (*) indicates an adjusted p-value ≤ 0.05; two asterisks (**) indicate p ≤ 0.01; three asterisks (***) indicate p ≤ 0.001; and four asterisks (****) indicate a highly significant difference at p ≤ 0.0001.</w:t>
      </w:r>
    </w:p>
    <w:p w14:paraId="1AFF410C" w14:textId="77777777" w:rsidR="00EF6CCD" w:rsidRPr="007C5C3A" w:rsidRDefault="00EF6CCD" w:rsidP="00EF6CCD">
      <w:pPr>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br w:type="page"/>
      </w:r>
    </w:p>
    <w:p w14:paraId="4D6F25A8" w14:textId="77777777" w:rsidR="00EF6CCD" w:rsidRPr="007C5C3A" w:rsidRDefault="00EF6CCD" w:rsidP="00EF6CCD">
      <w:pPr>
        <w:spacing w:after="0" w:line="240" w:lineRule="auto"/>
        <w:jc w:val="both"/>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lastRenderedPageBreak/>
        <w:t>Effect on Catalase</w:t>
      </w:r>
    </w:p>
    <w:p w14:paraId="3C048835" w14:textId="77777777" w:rsidR="00EF6CCD" w:rsidRDefault="00EF6CCD" w:rsidP="00EF6CCD">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 significant overall effect of treatment on catalase activity was observed (F(8,45) = 14.74, p &lt; 0.001), driven primarily by differences among the </w:t>
      </w:r>
      <w:r>
        <w:rPr>
          <w:rFonts w:ascii="Times New Roman" w:eastAsia="Times New Roman" w:hAnsi="Times New Roman" w:cs="Times New Roman"/>
          <w:bCs/>
          <w:i/>
          <w:sz w:val="24"/>
          <w:szCs w:val="24"/>
        </w:rPr>
        <w:t>S. aromaticum</w:t>
      </w:r>
      <w:r>
        <w:rPr>
          <w:rFonts w:ascii="Times New Roman" w:eastAsia="Times New Roman" w:hAnsi="Times New Roman" w:cs="Times New Roman"/>
          <w:bCs/>
          <w:sz w:val="24"/>
          <w:szCs w:val="24"/>
        </w:rPr>
        <w:t xml:space="preserve">-treated groups rather than by toxicant-induced reductions relative to control. Although catalase activity was numerically lower following aluminium (18.55 ± 2.49 U/mg protein), BaP (24.92 ± 2.10 U/mg protein), and combined exposure (18.76 ± 1.67 U/mg protein) compared with control (43.74 ± 2.17 U/mg protein), these reductions did not reach statistical significance in post hoc comparisons (p = 0.050, 0.292, and 0.054, respectively). Treatment with </w:t>
      </w:r>
      <w:r>
        <w:rPr>
          <w:rFonts w:ascii="Times New Roman" w:eastAsia="Times New Roman" w:hAnsi="Times New Roman" w:cs="Times New Roman"/>
          <w:bCs/>
          <w:i/>
          <w:sz w:val="24"/>
          <w:szCs w:val="24"/>
        </w:rPr>
        <w:t>S. aromaticum</w:t>
      </w:r>
      <w:r>
        <w:rPr>
          <w:rFonts w:ascii="Times New Roman" w:eastAsia="Times New Roman" w:hAnsi="Times New Roman" w:cs="Times New Roman"/>
          <w:bCs/>
          <w:sz w:val="24"/>
          <w:szCs w:val="24"/>
        </w:rPr>
        <w:t xml:space="preserve"> significantly increased catalase activity relative to the toxicant-exposed groups (p &lt; 0.001-0.012), with the 1500 mg/kg group (70.81 ± 8.17 U/mg protein) showing activity significantly above control (p = 0.027).</w:t>
      </w:r>
    </w:p>
    <w:p w14:paraId="14EA1B7E" w14:textId="77777777" w:rsidR="00EF6CCD" w:rsidRPr="007C5C3A" w:rsidRDefault="00EF6CCD" w:rsidP="00EF6CCD">
      <w:pPr>
        <w:spacing w:line="480" w:lineRule="auto"/>
        <w:rPr>
          <w:rFonts w:ascii="Times New Roman" w:eastAsia="Times New Roman" w:hAnsi="Times New Roman" w:cs="Times New Roman"/>
          <w:bCs/>
          <w:sz w:val="24"/>
          <w:szCs w:val="24"/>
        </w:rPr>
      </w:pPr>
    </w:p>
    <w:p w14:paraId="742D7A20" w14:textId="77777777" w:rsidR="00EF6CCD" w:rsidRPr="007C5C3A" w:rsidRDefault="00EF6CCD" w:rsidP="00EF6CCD">
      <w:pPr>
        <w:rPr>
          <w:rFonts w:ascii="Times New Roman" w:eastAsia="Times New Roman" w:hAnsi="Times New Roman" w:cs="Times New Roman"/>
          <w:bCs/>
          <w:sz w:val="24"/>
          <w:szCs w:val="24"/>
        </w:rPr>
      </w:pPr>
      <w:r w:rsidRPr="007C5C3A">
        <w:rPr>
          <w:rFonts w:ascii="Times New Roman" w:hAnsi="Times New Roman" w:cs="Times New Roman"/>
          <w:sz w:val="24"/>
          <w:szCs w:val="24"/>
        </w:rPr>
        <w:object w:dxaOrig="6614" w:dyaOrig="7786" w14:anchorId="0CE1D27E">
          <v:shape id="_x0000_i1027" type="#_x0000_t75" style="width:436.5pt;height:389.25pt" o:ole="">
            <v:imagedata r:id="rId11" o:title=""/>
          </v:shape>
          <o:OLEObject Type="Embed" ProgID="Prism10.Document" ShapeID="_x0000_i1027" DrawAspect="Content" ObjectID="_1848666431" r:id="rId12"/>
        </w:object>
      </w:r>
    </w:p>
    <w:p w14:paraId="0FB31729" w14:textId="77777777" w:rsidR="00EF6CCD" w:rsidRPr="007C5C3A" w:rsidRDefault="00EF6CCD" w:rsidP="00EF6CCD">
      <w:pPr>
        <w:spacing w:after="0" w:line="240" w:lineRule="auto"/>
        <w:rPr>
          <w:rFonts w:ascii="Times New Roman" w:eastAsia="Times New Roman" w:hAnsi="Times New Roman" w:cs="Times New Roman"/>
          <w:sz w:val="24"/>
          <w:szCs w:val="24"/>
        </w:rPr>
      </w:pPr>
      <w:r w:rsidRPr="007C5C3A">
        <w:rPr>
          <w:rFonts w:ascii="Times New Roman" w:eastAsia="Times New Roman" w:hAnsi="Times New Roman" w:cs="Times New Roman"/>
          <w:b/>
          <w:bCs/>
          <w:sz w:val="24"/>
          <w:szCs w:val="24"/>
        </w:rPr>
        <w:t xml:space="preserve">Figure 3: Effect of </w:t>
      </w:r>
      <w:proofErr w:type="spellStart"/>
      <w:r w:rsidRPr="007C5C3A">
        <w:rPr>
          <w:rFonts w:ascii="Times New Roman" w:eastAsia="Times New Roman" w:hAnsi="Times New Roman" w:cs="Times New Roman"/>
          <w:b/>
          <w:bCs/>
          <w:i/>
          <w:iCs/>
          <w:sz w:val="24"/>
          <w:szCs w:val="24"/>
        </w:rPr>
        <w:t>Syzygium</w:t>
      </w:r>
      <w:proofErr w:type="spellEnd"/>
      <w:r w:rsidRPr="007C5C3A">
        <w:rPr>
          <w:rFonts w:ascii="Times New Roman" w:eastAsia="Times New Roman" w:hAnsi="Times New Roman" w:cs="Times New Roman"/>
          <w:b/>
          <w:bCs/>
          <w:i/>
          <w:iCs/>
          <w:sz w:val="24"/>
          <w:szCs w:val="24"/>
        </w:rPr>
        <w:t xml:space="preserve"> aromaticum</w:t>
      </w:r>
      <w:r w:rsidRPr="007C5C3A">
        <w:rPr>
          <w:rFonts w:ascii="Times New Roman" w:eastAsia="Times New Roman" w:hAnsi="Times New Roman" w:cs="Times New Roman"/>
          <w:b/>
          <w:bCs/>
          <w:sz w:val="24"/>
          <w:szCs w:val="24"/>
        </w:rPr>
        <w:t xml:space="preserve"> Extract on Catalase level.</w:t>
      </w:r>
      <w:r w:rsidRPr="007C5C3A">
        <w:rPr>
          <w:rFonts w:ascii="Times New Roman" w:eastAsia="Times New Roman" w:hAnsi="Times New Roman" w:cs="Times New Roman"/>
          <w:sz w:val="24"/>
          <w:szCs w:val="24"/>
        </w:rPr>
        <w:t xml:space="preserve"> </w:t>
      </w:r>
    </w:p>
    <w:p w14:paraId="648C4B58" w14:textId="77777777" w:rsidR="00EF6CCD" w:rsidRPr="007C5C3A" w:rsidRDefault="00EF6CCD" w:rsidP="00EF6CCD">
      <w:pPr>
        <w:spacing w:after="0" w:line="240" w:lineRule="auto"/>
        <w:jc w:val="both"/>
        <w:rPr>
          <w:rFonts w:ascii="Times New Roman" w:eastAsia="Times New Roman" w:hAnsi="Times New Roman" w:cs="Times New Roman"/>
          <w:sz w:val="24"/>
          <w:szCs w:val="24"/>
        </w:rPr>
      </w:pPr>
      <w:r w:rsidRPr="007C5C3A">
        <w:rPr>
          <w:rFonts w:ascii="Times New Roman" w:eastAsia="Times New Roman" w:hAnsi="Times New Roman" w:cs="Times New Roman"/>
          <w:sz w:val="24"/>
          <w:szCs w:val="24"/>
        </w:rPr>
        <w:t xml:space="preserve">Data are presented as Mean ± SEM (n=6). “a” indicates significant difference (p &lt; 0.05) compared to Normal Control (Group 1). “b” indicates significant difference (p &lt; 0.05) compared to Negative Control (Group 4). “c” indicates significant difference (p&lt;0.05) compared to the Standard Drug (Group 9). </w:t>
      </w:r>
      <w:r w:rsidRPr="007C5C3A">
        <w:rPr>
          <w:rFonts w:ascii="Times New Roman" w:hAnsi="Times New Roman" w:cs="Times New Roman"/>
          <w:sz w:val="24"/>
          <w:szCs w:val="24"/>
        </w:rPr>
        <w:t>A single asterisk (*) indicates an adjusted p-value ≤ 0.05; two asterisks (**) indicate p ≤ 0.01; three asterisks (***) indicate p ≤ 0.001; and four asterisks (****) indicate a highly significant difference at p ≤ 0.0001.</w:t>
      </w:r>
    </w:p>
    <w:p w14:paraId="75336BCC" w14:textId="77777777" w:rsidR="00EF6CCD" w:rsidRPr="007C5C3A" w:rsidRDefault="00EF6CCD" w:rsidP="00EF6CCD">
      <w:pPr>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br w:type="page"/>
      </w:r>
    </w:p>
    <w:p w14:paraId="50BB627A" w14:textId="77777777" w:rsidR="00EF6CCD" w:rsidRPr="007C5C3A" w:rsidRDefault="00EF6CCD" w:rsidP="00EF6CCD">
      <w:pPr>
        <w:spacing w:after="0" w:line="240" w:lineRule="auto"/>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lastRenderedPageBreak/>
        <w:t>Effect on GPX</w:t>
      </w:r>
    </w:p>
    <w:p w14:paraId="3FBDB56B" w14:textId="77777777" w:rsidR="00EF6CCD" w:rsidRPr="007C5C3A" w:rsidRDefault="00EF6CCD" w:rsidP="00EF6CCD">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GPx activity differed significantly across groups (F(8,45) = 17.30, p &lt; 0.001). BaP exposure produced the most pronounced reduction (28.67 ± 3.56 U/mg protein vs. 127.00 ± 7.21 in control; p &lt; 0.001), followed by combined Al+BaP exposure (55.25 ± 5.80; p = 0.002) and aluminium alone (61.17 ± 3.49; p = 0.005); notably, the reduction in the combined Al+BaP group was less severe than in the BaP-only group. Treatment with </w:t>
      </w:r>
      <w:r>
        <w:rPr>
          <w:rFonts w:ascii="Times New Roman" w:eastAsia="Times New Roman" w:hAnsi="Times New Roman" w:cs="Times New Roman"/>
          <w:bCs/>
          <w:i/>
          <w:sz w:val="24"/>
          <w:szCs w:val="24"/>
        </w:rPr>
        <w:t>S. aromaticum</w:t>
      </w:r>
      <w:r>
        <w:rPr>
          <w:rFonts w:ascii="Times New Roman" w:eastAsia="Times New Roman" w:hAnsi="Times New Roman" w:cs="Times New Roman"/>
          <w:bCs/>
          <w:sz w:val="24"/>
          <w:szCs w:val="24"/>
        </w:rPr>
        <w:t xml:space="preserve"> restored GPx activity to levels not significantly different from control at 1500 mg/kg (133.50 ± 4.83), 2000 mg/kg (127.67 ± 15.13), and in the SAE-alone (125.00 ± 13.72) and ascorbic acid (123.33 ± 13.88) groups (all p = 1.000). The 1000 mg/kg dose (178.33 ± 20.86) showed a non-significant trend </w:t>
      </w:r>
      <w:r>
        <w:rPr>
          <w:rFonts w:ascii="Times New Roman" w:eastAsia="Times New Roman" w:hAnsi="Times New Roman" w:cs="Times New Roman"/>
          <w:bCs/>
          <w:sz w:val="24"/>
          <w:szCs w:val="24"/>
          <w:highlight w:val="yellow"/>
        </w:rPr>
        <w:t>towards</w:t>
      </w:r>
      <w:r>
        <w:rPr>
          <w:rFonts w:ascii="Times New Roman" w:eastAsia="Times New Roman" w:hAnsi="Times New Roman" w:cs="Times New Roman"/>
          <w:bCs/>
          <w:sz w:val="24"/>
          <w:szCs w:val="24"/>
        </w:rPr>
        <w:t xml:space="preserve"> exceeding control levels (p = 0.062).</w:t>
      </w:r>
    </w:p>
    <w:p w14:paraId="6BE58E34" w14:textId="77777777" w:rsidR="00EF6CCD" w:rsidRPr="007C5C3A" w:rsidRDefault="00EF6CCD" w:rsidP="00EF6CCD">
      <w:pPr>
        <w:rPr>
          <w:rFonts w:ascii="Times New Roman" w:eastAsia="Times New Roman" w:hAnsi="Times New Roman" w:cs="Times New Roman"/>
          <w:bCs/>
          <w:sz w:val="24"/>
          <w:szCs w:val="24"/>
        </w:rPr>
      </w:pPr>
      <w:r w:rsidRPr="007C5C3A">
        <w:rPr>
          <w:rFonts w:ascii="Times New Roman" w:hAnsi="Times New Roman" w:cs="Times New Roman"/>
          <w:sz w:val="24"/>
          <w:szCs w:val="24"/>
        </w:rPr>
        <w:object w:dxaOrig="6614" w:dyaOrig="7821" w14:anchorId="4E54EBC3">
          <v:shape id="_x0000_i1028" type="#_x0000_t75" style="width:330.75pt;height:390.75pt" o:ole="">
            <v:imagedata r:id="rId13" o:title=""/>
          </v:shape>
          <o:OLEObject Type="Embed" ProgID="Prism10.Document" ShapeID="_x0000_i1028" DrawAspect="Content" ObjectID="_1848666432" r:id="rId14"/>
        </w:object>
      </w:r>
    </w:p>
    <w:p w14:paraId="608D53E7" w14:textId="77777777" w:rsidR="00EF6CCD" w:rsidRPr="007C5C3A" w:rsidRDefault="00EF6CCD" w:rsidP="00EF6CCD">
      <w:pPr>
        <w:spacing w:line="240" w:lineRule="auto"/>
        <w:jc w:val="both"/>
        <w:rPr>
          <w:rFonts w:ascii="Times New Roman" w:eastAsia="Times New Roman" w:hAnsi="Times New Roman" w:cs="Times New Roman"/>
          <w:sz w:val="24"/>
          <w:szCs w:val="24"/>
        </w:rPr>
      </w:pPr>
      <w:r w:rsidRPr="007C5C3A">
        <w:rPr>
          <w:rFonts w:ascii="Times New Roman" w:eastAsia="Times New Roman" w:hAnsi="Times New Roman" w:cs="Times New Roman"/>
          <w:b/>
          <w:bCs/>
          <w:sz w:val="24"/>
          <w:szCs w:val="24"/>
        </w:rPr>
        <w:t xml:space="preserve">Figure 4: Effect of </w:t>
      </w:r>
      <w:proofErr w:type="spellStart"/>
      <w:r w:rsidRPr="007C5C3A">
        <w:rPr>
          <w:rFonts w:ascii="Times New Roman" w:eastAsia="Times New Roman" w:hAnsi="Times New Roman" w:cs="Times New Roman"/>
          <w:b/>
          <w:bCs/>
          <w:i/>
          <w:iCs/>
          <w:sz w:val="24"/>
          <w:szCs w:val="24"/>
        </w:rPr>
        <w:t>Syzygium</w:t>
      </w:r>
      <w:proofErr w:type="spellEnd"/>
      <w:r w:rsidRPr="007C5C3A">
        <w:rPr>
          <w:rFonts w:ascii="Times New Roman" w:eastAsia="Times New Roman" w:hAnsi="Times New Roman" w:cs="Times New Roman"/>
          <w:b/>
          <w:bCs/>
          <w:i/>
          <w:iCs/>
          <w:sz w:val="24"/>
          <w:szCs w:val="24"/>
        </w:rPr>
        <w:t xml:space="preserve"> aromaticum</w:t>
      </w:r>
      <w:r w:rsidRPr="007C5C3A">
        <w:rPr>
          <w:rFonts w:ascii="Times New Roman" w:eastAsia="Times New Roman" w:hAnsi="Times New Roman" w:cs="Times New Roman"/>
          <w:b/>
          <w:bCs/>
          <w:sz w:val="24"/>
          <w:szCs w:val="24"/>
        </w:rPr>
        <w:t xml:space="preserve"> Extract on GPX level.</w:t>
      </w:r>
      <w:r w:rsidRPr="007C5C3A">
        <w:rPr>
          <w:rFonts w:ascii="Times New Roman" w:eastAsia="Times New Roman" w:hAnsi="Times New Roman" w:cs="Times New Roman"/>
          <w:sz w:val="24"/>
          <w:szCs w:val="24"/>
        </w:rPr>
        <w:t xml:space="preserve"> </w:t>
      </w:r>
    </w:p>
    <w:p w14:paraId="28D8BE3B" w14:textId="77777777" w:rsidR="00EF6CCD" w:rsidRPr="007C5C3A" w:rsidRDefault="00EF6CCD" w:rsidP="00EF6CCD">
      <w:pPr>
        <w:spacing w:line="240" w:lineRule="auto"/>
        <w:jc w:val="both"/>
        <w:rPr>
          <w:rFonts w:ascii="Times New Roman" w:eastAsia="Times New Roman" w:hAnsi="Times New Roman" w:cs="Times New Roman"/>
          <w:sz w:val="24"/>
          <w:szCs w:val="24"/>
        </w:rPr>
      </w:pPr>
      <w:r w:rsidRPr="007C5C3A">
        <w:rPr>
          <w:rFonts w:ascii="Times New Roman" w:eastAsia="Times New Roman" w:hAnsi="Times New Roman" w:cs="Times New Roman"/>
          <w:sz w:val="24"/>
          <w:szCs w:val="24"/>
        </w:rPr>
        <w:t xml:space="preserve">Data are presented as Mean ± SEM (n=6). “a” indicates significant difference (p &lt; 0.05) compared to Normal Control (Group 1). “b” indicates significant difference (p &lt; 0.05) compared to Negative Control (Group 4). “c” indicates significant difference (p &lt; 0.05) compared to the Standard Drug (Group 9). </w:t>
      </w:r>
      <w:r w:rsidRPr="007C5C3A">
        <w:rPr>
          <w:rFonts w:ascii="Times New Roman" w:hAnsi="Times New Roman" w:cs="Times New Roman"/>
          <w:sz w:val="24"/>
          <w:szCs w:val="24"/>
        </w:rPr>
        <w:t>A single asterisk (*) indicates an adjusted p-value ≤ 0.05; two asterisks (**) indicate p ≤ 0.01; three asterisks (***) indicate p ≤ 0.001; and four asterisks (****) indicate a highly significant difference at p ≤ 0.0001.</w:t>
      </w:r>
    </w:p>
    <w:p w14:paraId="1E0693D5" w14:textId="77777777" w:rsidR="00EF6CCD" w:rsidRPr="007C5C3A" w:rsidRDefault="00EF6CCD" w:rsidP="00EF6CCD">
      <w:pPr>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br w:type="page"/>
      </w:r>
    </w:p>
    <w:p w14:paraId="7D622745" w14:textId="77777777" w:rsidR="00EF6CCD" w:rsidRPr="001E7F18" w:rsidRDefault="00EF6CCD" w:rsidP="00EF6CCD">
      <w:pPr>
        <w:spacing w:after="0" w:line="240" w:lineRule="auto"/>
        <w:rPr>
          <w:rFonts w:ascii="Times New Roman" w:eastAsia="Times New Roman" w:hAnsi="Times New Roman" w:cs="Times New Roman"/>
          <w:b/>
          <w:sz w:val="24"/>
          <w:szCs w:val="24"/>
        </w:rPr>
      </w:pPr>
      <w:r w:rsidRPr="007C5C3A">
        <w:rPr>
          <w:rFonts w:ascii="Times New Roman" w:eastAsia="Times New Roman" w:hAnsi="Times New Roman" w:cs="Times New Roman"/>
          <w:b/>
          <w:sz w:val="24"/>
          <w:szCs w:val="24"/>
        </w:rPr>
        <w:lastRenderedPageBreak/>
        <w:t>Effect on GSH</w:t>
      </w:r>
    </w:p>
    <w:p w14:paraId="39897A8D" w14:textId="77777777" w:rsidR="00EF6CCD" w:rsidRDefault="00EF6CCD" w:rsidP="00EF6CCD">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GSH concentration differed significantly across groups (F(8,45) = 15.96, p &lt; 0.001). Aluminium (111.00 ± 9.80 μg/mg protein), BaP (132.50 ± 15.44), and combined Al+BaP exposure (70.00 ± 7.53, the greatest depletion) all significantly reduced GSH relative to control (267.83 ± 7.18; p &lt; 0.001 for all). Treatment with </w:t>
      </w:r>
      <w:r>
        <w:rPr>
          <w:rFonts w:ascii="Times New Roman" w:eastAsia="Times New Roman" w:hAnsi="Times New Roman" w:cs="Times New Roman"/>
          <w:bCs/>
          <w:i/>
          <w:sz w:val="24"/>
          <w:szCs w:val="24"/>
        </w:rPr>
        <w:t>S. aromaticum</w:t>
      </w:r>
      <w:r>
        <w:rPr>
          <w:rFonts w:ascii="Times New Roman" w:eastAsia="Times New Roman" w:hAnsi="Times New Roman" w:cs="Times New Roman"/>
          <w:bCs/>
          <w:sz w:val="24"/>
          <w:szCs w:val="24"/>
        </w:rPr>
        <w:t xml:space="preserve"> significantly improved GSH relative to the Al+BaP group at all doses (p &lt; 0.001-0.007), with the 1500 mg/kg group showing the greatest recovery (197.83 ± 11.78). However, unlike SOD and MDA, GSH levels in all treatment groups, including the ascorbic acid standard (142.50 ± 18.51), remained significantly below control (p &lt; 0.001-0.024), indicating only partial restoration of glutathione stores.</w:t>
      </w:r>
    </w:p>
    <w:p w14:paraId="6A2F500E" w14:textId="77777777" w:rsidR="00EF6CCD" w:rsidRPr="007C5C3A" w:rsidRDefault="00EF6CCD" w:rsidP="00EF6CCD">
      <w:pPr>
        <w:spacing w:line="480" w:lineRule="auto"/>
        <w:rPr>
          <w:rFonts w:ascii="Times New Roman" w:eastAsia="Times New Roman" w:hAnsi="Times New Roman" w:cs="Times New Roman"/>
          <w:bCs/>
          <w:sz w:val="24"/>
          <w:szCs w:val="24"/>
        </w:rPr>
      </w:pPr>
    </w:p>
    <w:p w14:paraId="341F2B50" w14:textId="77777777" w:rsidR="00EF6CCD" w:rsidRPr="007C5C3A" w:rsidRDefault="00EF6CCD" w:rsidP="00EF6CCD">
      <w:pPr>
        <w:rPr>
          <w:rFonts w:ascii="Times New Roman" w:eastAsia="Times New Roman" w:hAnsi="Times New Roman" w:cs="Times New Roman"/>
          <w:bCs/>
          <w:sz w:val="24"/>
          <w:szCs w:val="24"/>
        </w:rPr>
      </w:pPr>
      <w:r w:rsidRPr="007C5C3A">
        <w:rPr>
          <w:rFonts w:ascii="Times New Roman" w:hAnsi="Times New Roman" w:cs="Times New Roman"/>
          <w:sz w:val="24"/>
          <w:szCs w:val="24"/>
        </w:rPr>
        <w:object w:dxaOrig="6614" w:dyaOrig="11189" w14:anchorId="2AE57653">
          <v:shape id="_x0000_i1029" type="#_x0000_t75" style="width:408.75pt;height:423.75pt" o:ole="">
            <v:imagedata r:id="rId15" o:title=""/>
          </v:shape>
          <o:OLEObject Type="Embed" ProgID="Prism10.Document" ShapeID="_x0000_i1029" DrawAspect="Content" ObjectID="_1848666433" r:id="rId16"/>
        </w:object>
      </w:r>
    </w:p>
    <w:p w14:paraId="2ACD6A11" w14:textId="77777777" w:rsidR="003250BA" w:rsidRPr="007C5C3A" w:rsidRDefault="00EF6CCD" w:rsidP="00EF6CCD">
      <w:pPr>
        <w:spacing w:after="0" w:line="240" w:lineRule="auto"/>
        <w:jc w:val="both"/>
        <w:rPr>
          <w:rFonts w:ascii="Times New Roman" w:eastAsia="Times New Roman" w:hAnsi="Times New Roman" w:cs="Times New Roman"/>
          <w:sz w:val="24"/>
          <w:szCs w:val="24"/>
        </w:rPr>
      </w:pPr>
      <w:r w:rsidRPr="007C5C3A">
        <w:rPr>
          <w:rFonts w:ascii="Times New Roman" w:eastAsia="Times New Roman" w:hAnsi="Times New Roman" w:cs="Times New Roman"/>
          <w:b/>
          <w:bCs/>
          <w:sz w:val="24"/>
          <w:szCs w:val="24"/>
        </w:rPr>
        <w:t>Figure 5: Effect of Extract on GSH level.</w:t>
      </w:r>
      <w:r w:rsidRPr="007C5C3A">
        <w:rPr>
          <w:rFonts w:ascii="Times New Roman" w:eastAsia="Times New Roman" w:hAnsi="Times New Roman" w:cs="Times New Roman"/>
          <w:sz w:val="24"/>
          <w:szCs w:val="24"/>
        </w:rPr>
        <w:t xml:space="preserve"> Data are presented as Mean ± SEM (n=6). “a” indicates significant difference (p &lt; 0.05) compared to Normal Control (Group 1). “b” indicates significant difference (p &lt; 0.05) compared to Negative Control (Group 4). </w:t>
      </w:r>
      <w:r w:rsidRPr="007C5C3A">
        <w:rPr>
          <w:rFonts w:ascii="Times New Roman" w:hAnsi="Times New Roman" w:cs="Times New Roman"/>
          <w:sz w:val="24"/>
          <w:szCs w:val="24"/>
        </w:rPr>
        <w:t>A single asterisk (*) indicates an adjusted p-value ≤ 0.05; two asterisks (**) indicate p ≤ 0.01; three asterisks (***) indicate p ≤ 0.001; and four asterisks (****) indicate a highly significant difference at p ≤ 0.0001</w:t>
      </w:r>
      <w:r w:rsidR="003250BA" w:rsidRPr="007C5C3A">
        <w:rPr>
          <w:rFonts w:ascii="Times New Roman" w:hAnsi="Times New Roman" w:cs="Times New Roman"/>
          <w:sz w:val="24"/>
          <w:szCs w:val="24"/>
        </w:rPr>
        <w:t>.</w:t>
      </w:r>
    </w:p>
    <w:p w14:paraId="256AC506" w14:textId="77777777" w:rsidR="003250BA" w:rsidRPr="007C5C3A" w:rsidRDefault="003250BA" w:rsidP="003250BA">
      <w:pPr>
        <w:rPr>
          <w:rFonts w:ascii="Times New Roman" w:hAnsi="Times New Roman" w:cs="Times New Roman"/>
          <w:b/>
          <w:bCs/>
          <w:sz w:val="24"/>
          <w:szCs w:val="24"/>
        </w:rPr>
      </w:pPr>
      <w:r w:rsidRPr="007C5C3A">
        <w:rPr>
          <w:rFonts w:ascii="Times New Roman" w:eastAsia="Times New Roman" w:hAnsi="Times New Roman" w:cs="Times New Roman"/>
          <w:b/>
          <w:sz w:val="24"/>
          <w:szCs w:val="24"/>
        </w:rPr>
        <w:br w:type="page"/>
      </w:r>
    </w:p>
    <w:p w14:paraId="0C154F86" w14:textId="77777777" w:rsidR="00EF6CCD" w:rsidRPr="007C5C3A" w:rsidRDefault="00EF6CCD" w:rsidP="00EF6CCD">
      <w:pPr>
        <w:jc w:val="center"/>
        <w:rPr>
          <w:rFonts w:ascii="Times New Roman" w:hAnsi="Times New Roman" w:cs="Times New Roman"/>
          <w:b/>
          <w:bCs/>
          <w:sz w:val="24"/>
          <w:szCs w:val="24"/>
        </w:rPr>
      </w:pPr>
      <w:r w:rsidRPr="007C5C3A">
        <w:rPr>
          <w:rFonts w:ascii="Times New Roman" w:hAnsi="Times New Roman" w:cs="Times New Roman"/>
          <w:b/>
          <w:bCs/>
          <w:sz w:val="24"/>
          <w:szCs w:val="24"/>
        </w:rPr>
        <w:lastRenderedPageBreak/>
        <w:t>DISCUSSION</w:t>
      </w:r>
    </w:p>
    <w:p w14:paraId="28988114" w14:textId="77777777" w:rsidR="00EF6CCD" w:rsidRPr="007C5C3A" w:rsidRDefault="00EF6CCD" w:rsidP="00EF6CCD">
      <w:pPr>
        <w:jc w:val="both"/>
        <w:rPr>
          <w:rFonts w:ascii="Times New Roman" w:hAnsi="Times New Roman" w:cs="Times New Roman"/>
          <w:sz w:val="24"/>
          <w:szCs w:val="24"/>
        </w:rPr>
      </w:pPr>
      <w:r>
        <w:rPr>
          <w:rFonts w:ascii="Times New Roman" w:hAnsi="Times New Roman" w:cs="Times New Roman"/>
          <w:sz w:val="24"/>
          <w:szCs w:val="24"/>
        </w:rPr>
        <w:t xml:space="preserve">The present study investigated the protective effects of </w:t>
      </w:r>
      <w:r>
        <w:rPr>
          <w:rFonts w:ascii="Times New Roman" w:hAnsi="Times New Roman" w:cs="Times New Roman"/>
          <w:i/>
          <w:sz w:val="24"/>
          <w:szCs w:val="24"/>
        </w:rPr>
        <w:t>Syzygium aromaticum</w:t>
      </w:r>
      <w:r>
        <w:rPr>
          <w:rFonts w:ascii="Times New Roman" w:hAnsi="Times New Roman" w:cs="Times New Roman"/>
          <w:sz w:val="24"/>
          <w:szCs w:val="24"/>
        </w:rPr>
        <w:t xml:space="preserve"> extract against oxidative stress induced by aluminium and benzo[a]pyrene exposure in male Wistar rats. The findings demonstrated that </w:t>
      </w:r>
      <w:r>
        <w:rPr>
          <w:rFonts w:ascii="Times New Roman" w:hAnsi="Times New Roman" w:cs="Times New Roman"/>
          <w:sz w:val="24"/>
          <w:szCs w:val="24"/>
          <w:highlight w:val="yellow"/>
        </w:rPr>
        <w:t xml:space="preserve">individual </w:t>
      </w:r>
      <w:r>
        <w:rPr>
          <w:rFonts w:ascii="Times New Roman" w:hAnsi="Times New Roman" w:cs="Times New Roman"/>
          <w:sz w:val="24"/>
          <w:szCs w:val="24"/>
        </w:rPr>
        <w:t xml:space="preserve">exposure to either toxicant significantly disrupted the antioxidant </w:t>
      </w:r>
      <w:r>
        <w:rPr>
          <w:rFonts w:ascii="Times New Roman" w:hAnsi="Times New Roman" w:cs="Times New Roman"/>
          <w:sz w:val="24"/>
          <w:szCs w:val="24"/>
          <w:highlight w:val="yellow"/>
        </w:rPr>
        <w:t>defence</w:t>
      </w:r>
      <w:r>
        <w:rPr>
          <w:rFonts w:ascii="Times New Roman" w:hAnsi="Times New Roman" w:cs="Times New Roman"/>
          <w:sz w:val="24"/>
          <w:szCs w:val="24"/>
        </w:rPr>
        <w:t xml:space="preserve"> system, and combined exposure generally produced the most pronounced oxidative imbalance, evidenced by elevated malondialdehyde (MDA) levels and concomitant reductions in superoxide dismutase (SOD), glutathione peroxidase (GPx), and reduced glutathione (GSH). Catalase (CAT) activity showed a similar downward trend following toxicant exposure, although this did not reach statistical significance. Notably, GPx reduction was less severe in the combined Al+BaP group than following BaP exposure alone, indicating that the interaction between these toxicants was not uniformly additive across all biomarkers assessed. Administration of </w:t>
      </w:r>
      <w:r>
        <w:rPr>
          <w:rFonts w:ascii="Times New Roman" w:hAnsi="Times New Roman" w:cs="Times New Roman"/>
          <w:i/>
          <w:sz w:val="24"/>
          <w:szCs w:val="24"/>
        </w:rPr>
        <w:t>S. aromaticum</w:t>
      </w:r>
      <w:r>
        <w:rPr>
          <w:rFonts w:ascii="Times New Roman" w:hAnsi="Times New Roman" w:cs="Times New Roman"/>
          <w:sz w:val="24"/>
          <w:szCs w:val="24"/>
        </w:rPr>
        <w:t xml:space="preserve"> extract attenuated these alterations across all tested doses, indicating a substantial antioxidant and cytoprotective effect.</w:t>
      </w:r>
    </w:p>
    <w:p w14:paraId="7D9C94FC" w14:textId="77777777" w:rsidR="00EF6CCD" w:rsidRPr="007C5C3A" w:rsidRDefault="00EF6CCD" w:rsidP="00EF6CCD">
      <w:pPr>
        <w:jc w:val="both"/>
        <w:rPr>
          <w:rFonts w:ascii="Times New Roman" w:hAnsi="Times New Roman" w:cs="Times New Roman"/>
          <w:sz w:val="24"/>
          <w:szCs w:val="24"/>
        </w:rPr>
      </w:pPr>
      <w:r>
        <w:rPr>
          <w:rFonts w:ascii="Times New Roman" w:hAnsi="Times New Roman" w:cs="Times New Roman"/>
          <w:sz w:val="24"/>
          <w:szCs w:val="24"/>
        </w:rPr>
        <w:t>Lipid peroxidation is one of the earliest biochemical consequences of excessive reactive oxygen species (ROS) generation (</w:t>
      </w:r>
      <w:r>
        <w:rPr>
          <w:rFonts w:ascii="Times New Roman" w:hAnsi="Times New Roman" w:cs="Times New Roman"/>
          <w:sz w:val="24"/>
          <w:szCs w:val="24"/>
          <w:highlight w:val="yellow"/>
        </w:rPr>
        <w:t>Dahiru</w:t>
      </w:r>
      <w:r>
        <w:rPr>
          <w:rFonts w:ascii="Times New Roman" w:hAnsi="Times New Roman" w:cs="Times New Roman"/>
          <w:sz w:val="24"/>
          <w:szCs w:val="24"/>
        </w:rPr>
        <w:t xml:space="preserve"> et al., 2022; </w:t>
      </w:r>
      <w:r>
        <w:rPr>
          <w:rFonts w:ascii="Times New Roman" w:hAnsi="Times New Roman" w:cs="Times New Roman"/>
          <w:sz w:val="24"/>
          <w:szCs w:val="24"/>
          <w:highlight w:val="yellow"/>
        </w:rPr>
        <w:t>Mannucci</w:t>
      </w:r>
      <w:r>
        <w:rPr>
          <w:rFonts w:ascii="Times New Roman" w:hAnsi="Times New Roman" w:cs="Times New Roman"/>
          <w:sz w:val="24"/>
          <w:szCs w:val="24"/>
        </w:rPr>
        <w:t xml:space="preserve"> et al., 2022). In the present study, exposure to aluminium and benzo[a]pyrene significantly increased MDA concentrations, indicating enhanced oxidative degradation of membrane lipids. Malondialdehyde is a widely </w:t>
      </w:r>
      <w:r>
        <w:rPr>
          <w:rFonts w:ascii="Times New Roman" w:hAnsi="Times New Roman" w:cs="Times New Roman"/>
          <w:sz w:val="24"/>
          <w:szCs w:val="24"/>
          <w:highlight w:val="yellow"/>
        </w:rPr>
        <w:t>recognised</w:t>
      </w:r>
      <w:r>
        <w:rPr>
          <w:rFonts w:ascii="Times New Roman" w:hAnsi="Times New Roman" w:cs="Times New Roman"/>
          <w:sz w:val="24"/>
          <w:szCs w:val="24"/>
        </w:rPr>
        <w:t xml:space="preserve"> biomarker of oxidative stress because it reflects the extent of free radical-mediated peroxidation of polyunsaturated fatty acids within cellular membranes. Elevated MDA levels suggest severe disruption of membrane integrity, increased cellular permeability, and impairment of normal cellular functions. The more pronounced increase observed following combined exposure indicates that aluminium and benzo[a]pyrene may exert additive effects through convergent oxidative pathways (Zeng et al</w:t>
      </w:r>
      <w:r>
        <w:rPr>
          <w:rFonts w:ascii="Times New Roman" w:hAnsi="Times New Roman" w:cs="Times New Roman"/>
          <w:sz w:val="24"/>
          <w:szCs w:val="24"/>
          <w:highlight w:val="yellow"/>
        </w:rPr>
        <w:t>.,</w:t>
      </w:r>
      <w:r>
        <w:rPr>
          <w:rFonts w:ascii="Times New Roman" w:hAnsi="Times New Roman" w:cs="Times New Roman"/>
          <w:sz w:val="24"/>
          <w:szCs w:val="24"/>
        </w:rPr>
        <w:t xml:space="preserve"> 2022). Aluminium has been shown to promote ROS generation through interference with mitochondrial electron transport and disruption of intracellular iron homeostasis, whereas benzo[a]pyrene undergoes cytochrome P450-mediated bioactivation to reactive metabolites capable of generating free radicals and initiating lipid peroxidation (Jorge et al., 2021; Traini et al., 2023). The interaction of these mechanisms likely accounts for the greater oxidative injury observed in animals exposed to both toxicants simultaneously. </w:t>
      </w:r>
    </w:p>
    <w:p w14:paraId="7B0C74A4" w14:textId="77777777" w:rsidR="00EF6CCD" w:rsidRPr="007C5C3A" w:rsidRDefault="00EF6CCD" w:rsidP="00EF6CCD">
      <w:pPr>
        <w:jc w:val="both"/>
        <w:rPr>
          <w:rFonts w:ascii="Times New Roman" w:hAnsi="Times New Roman" w:cs="Times New Roman"/>
          <w:sz w:val="24"/>
          <w:szCs w:val="24"/>
        </w:rPr>
      </w:pPr>
      <w:r>
        <w:rPr>
          <w:rFonts w:ascii="Times New Roman" w:hAnsi="Times New Roman" w:cs="Times New Roman"/>
          <w:sz w:val="24"/>
          <w:szCs w:val="24"/>
        </w:rPr>
        <w:t xml:space="preserve">The significant reduction in superoxide dismutase activity observed following toxicant exposure further confirms impairment of endogenous antioxidant </w:t>
      </w:r>
      <w:r>
        <w:rPr>
          <w:rFonts w:ascii="Times New Roman" w:hAnsi="Times New Roman" w:cs="Times New Roman"/>
          <w:sz w:val="24"/>
          <w:szCs w:val="24"/>
          <w:highlight w:val="yellow"/>
        </w:rPr>
        <w:t>defence</w:t>
      </w:r>
      <w:r>
        <w:rPr>
          <w:rFonts w:ascii="Times New Roman" w:hAnsi="Times New Roman" w:cs="Times New Roman"/>
          <w:sz w:val="24"/>
          <w:szCs w:val="24"/>
        </w:rPr>
        <w:t xml:space="preserve"> mechanisms. Superoxide dismutase constitutes the first enzymatic line of </w:t>
      </w:r>
      <w:r>
        <w:rPr>
          <w:rFonts w:ascii="Times New Roman" w:hAnsi="Times New Roman" w:cs="Times New Roman"/>
          <w:sz w:val="24"/>
          <w:szCs w:val="24"/>
          <w:highlight w:val="yellow"/>
        </w:rPr>
        <w:t>defence</w:t>
      </w:r>
      <w:r>
        <w:rPr>
          <w:rFonts w:ascii="Times New Roman" w:hAnsi="Times New Roman" w:cs="Times New Roman"/>
          <w:sz w:val="24"/>
          <w:szCs w:val="24"/>
        </w:rPr>
        <w:t xml:space="preserve"> against oxidative stress by catalysing the conversion of superoxide anions into hydrogen peroxide (Yu &amp; Xiao, 2021). Reduced SOD activity therefore permits the accumulation of superoxide radicals, thereby amplifying oxidative damage and promoting secondary free radical reactions. Similar reductions in SOD activity have been reported in experimental models of aluminium and polycyclic aromatic hydrocarbon toxicity, where excessive ROS generation overwhelms endogenous antioxidant capacity (Olanrewaju et al., 2021; Zeng et al., 2022). Restoration of SOD activity following treatment with </w:t>
      </w:r>
      <w:r>
        <w:rPr>
          <w:rFonts w:ascii="Times New Roman" w:hAnsi="Times New Roman" w:cs="Times New Roman"/>
          <w:i/>
          <w:sz w:val="24"/>
          <w:szCs w:val="24"/>
        </w:rPr>
        <w:t>S. aromaticum</w:t>
      </w:r>
      <w:r>
        <w:rPr>
          <w:rFonts w:ascii="Times New Roman" w:hAnsi="Times New Roman" w:cs="Times New Roman"/>
          <w:sz w:val="24"/>
          <w:szCs w:val="24"/>
        </w:rPr>
        <w:t xml:space="preserve"> indicates preservation of antioxidant enzyme function and enhanced scavenging of superoxide radicals, thereby limiting oxidative injury.</w:t>
      </w:r>
    </w:p>
    <w:p w14:paraId="27E3A367" w14:textId="77777777" w:rsidR="00EF6CCD" w:rsidRPr="007C5C3A" w:rsidRDefault="00EF6CCD" w:rsidP="00EF6CCD">
      <w:pPr>
        <w:jc w:val="both"/>
        <w:rPr>
          <w:rFonts w:ascii="Times New Roman" w:hAnsi="Times New Roman" w:cs="Times New Roman"/>
          <w:sz w:val="24"/>
          <w:szCs w:val="24"/>
        </w:rPr>
      </w:pPr>
      <w:r>
        <w:rPr>
          <w:rFonts w:ascii="Times New Roman" w:hAnsi="Times New Roman" w:cs="Times New Roman"/>
          <w:sz w:val="24"/>
          <w:szCs w:val="24"/>
        </w:rPr>
        <w:t xml:space="preserve">Catalase activity showed a numerical, though not statistically significant, reduction in toxicant-treated animals. Catalase plays an essential role in cellular antioxidant </w:t>
      </w:r>
      <w:r>
        <w:rPr>
          <w:rFonts w:ascii="Times New Roman" w:hAnsi="Times New Roman" w:cs="Times New Roman"/>
          <w:sz w:val="24"/>
          <w:szCs w:val="24"/>
          <w:highlight w:val="yellow"/>
        </w:rPr>
        <w:t>defence</w:t>
      </w:r>
      <w:r>
        <w:rPr>
          <w:rFonts w:ascii="Times New Roman" w:hAnsi="Times New Roman" w:cs="Times New Roman"/>
          <w:sz w:val="24"/>
          <w:szCs w:val="24"/>
        </w:rPr>
        <w:t xml:space="preserve"> by rapidly converting hydrogen peroxide into water and molecular oxygen, thereby preventing the </w:t>
      </w:r>
      <w:r>
        <w:rPr>
          <w:rFonts w:ascii="Times New Roman" w:hAnsi="Times New Roman" w:cs="Times New Roman"/>
          <w:sz w:val="24"/>
          <w:szCs w:val="24"/>
        </w:rPr>
        <w:lastRenderedPageBreak/>
        <w:t xml:space="preserve">formation of highly reactive hydroxyl radicals through Fenton-type reactions (Yu &amp; Xiao, 2021). Although the reductions observed in this study following aluminium, BaP, and combined exposure did not reach statistical significance, the consistent downward trend is in line with the pattern observed for the other antioxidant biomarkers. Administration of </w:t>
      </w:r>
      <w:r>
        <w:rPr>
          <w:rFonts w:ascii="Times New Roman" w:hAnsi="Times New Roman" w:cs="Times New Roman"/>
          <w:i/>
          <w:sz w:val="24"/>
          <w:szCs w:val="24"/>
        </w:rPr>
        <w:t>S. aromaticum</w:t>
      </w:r>
      <w:r>
        <w:rPr>
          <w:rFonts w:ascii="Times New Roman" w:hAnsi="Times New Roman" w:cs="Times New Roman"/>
          <w:sz w:val="24"/>
          <w:szCs w:val="24"/>
        </w:rPr>
        <w:t xml:space="preserve"> significantly increased catalase activity relative to the toxicant-exposed groups, with the 1500 mg/kg dose producing activity significantly above the normal control, suggesting a potentially stimulatory effect on catalase at this dose. This finding is broadly consistent with previous reports demonstrating the ability of clove-derived phytochemicals to enhance endogenous antioxidant enzyme activities under conditions of oxidative stress (</w:t>
      </w:r>
      <w:r>
        <w:rPr>
          <w:rFonts w:ascii="Times New Roman" w:hAnsi="Times New Roman" w:cs="Times New Roman"/>
          <w:sz w:val="24"/>
          <w:szCs w:val="24"/>
          <w:highlight w:val="yellow"/>
        </w:rPr>
        <w:t xml:space="preserve">Akinwande et al., 2019; </w:t>
      </w:r>
      <w:r>
        <w:rPr>
          <w:rFonts w:ascii="Times New Roman" w:hAnsi="Times New Roman" w:cs="Times New Roman"/>
          <w:sz w:val="24"/>
          <w:szCs w:val="24"/>
        </w:rPr>
        <w:t>Taghipour et al., 2023).</w:t>
      </w:r>
    </w:p>
    <w:p w14:paraId="63006894" w14:textId="77777777" w:rsidR="00EF6CCD" w:rsidRPr="007C5C3A" w:rsidRDefault="00EF6CCD" w:rsidP="00EF6CCD">
      <w:pPr>
        <w:jc w:val="both"/>
        <w:rPr>
          <w:rFonts w:ascii="Times New Roman" w:hAnsi="Times New Roman" w:cs="Times New Roman"/>
          <w:sz w:val="24"/>
          <w:szCs w:val="24"/>
        </w:rPr>
      </w:pPr>
      <w:r>
        <w:rPr>
          <w:rFonts w:ascii="Times New Roman" w:hAnsi="Times New Roman" w:cs="Times New Roman"/>
          <w:sz w:val="24"/>
          <w:szCs w:val="24"/>
        </w:rPr>
        <w:t xml:space="preserve">Glutathione peroxidase and reduced glutathione constitute another critical component of intracellular antioxidant </w:t>
      </w:r>
      <w:r>
        <w:rPr>
          <w:rFonts w:ascii="Times New Roman" w:hAnsi="Times New Roman" w:cs="Times New Roman"/>
          <w:sz w:val="24"/>
          <w:szCs w:val="24"/>
          <w:highlight w:val="yellow"/>
        </w:rPr>
        <w:t>defence</w:t>
      </w:r>
      <w:r>
        <w:rPr>
          <w:rFonts w:ascii="Times New Roman" w:hAnsi="Times New Roman" w:cs="Times New Roman"/>
          <w:sz w:val="24"/>
          <w:szCs w:val="24"/>
        </w:rPr>
        <w:t xml:space="preserve">. Glutathione peroxidase </w:t>
      </w:r>
      <w:r>
        <w:rPr>
          <w:rFonts w:ascii="Times New Roman" w:hAnsi="Times New Roman" w:cs="Times New Roman"/>
          <w:sz w:val="24"/>
          <w:szCs w:val="24"/>
          <w:highlight w:val="yellow"/>
        </w:rPr>
        <w:t>utilises</w:t>
      </w:r>
      <w:r>
        <w:rPr>
          <w:rFonts w:ascii="Times New Roman" w:hAnsi="Times New Roman" w:cs="Times New Roman"/>
          <w:sz w:val="24"/>
          <w:szCs w:val="24"/>
        </w:rPr>
        <w:t xml:space="preserve"> reduced glutathione as a cofactor to detoxify hydrogen peroxide and lipid hydroperoxides, thereby protecting cellular membranes from oxidative injury (Mannucci et al., 2022). In the present study, significant reductions in GPx activity and GSH concentration following aluminium and benzo[a]pyrene exposure indicate depletion of intracellular antioxidant reserves as a consequence of sustained oxidative stress. Depletion of GSH compromises cellular redox homeostasis, enhances susceptibility to oxidative injury, and promotes mitochondrial dysfunction and apoptosis (Yu &amp; Xiao, 2021). The ability of </w:t>
      </w:r>
      <w:r>
        <w:rPr>
          <w:rFonts w:ascii="Times New Roman" w:hAnsi="Times New Roman" w:cs="Times New Roman"/>
          <w:i/>
          <w:sz w:val="24"/>
          <w:szCs w:val="24"/>
        </w:rPr>
        <w:t>S. aromaticum</w:t>
      </w:r>
      <w:r>
        <w:rPr>
          <w:rFonts w:ascii="Times New Roman" w:hAnsi="Times New Roman" w:cs="Times New Roman"/>
          <w:sz w:val="24"/>
          <w:szCs w:val="24"/>
        </w:rPr>
        <w:t xml:space="preserve"> extract to restore both GPx activity and GSH concentration suggests improved maintenance of intracellular redox balance and enhanced capacity to </w:t>
      </w:r>
      <w:r>
        <w:rPr>
          <w:rFonts w:ascii="Times New Roman" w:hAnsi="Times New Roman" w:cs="Times New Roman"/>
          <w:sz w:val="24"/>
          <w:szCs w:val="24"/>
          <w:highlight w:val="yellow"/>
        </w:rPr>
        <w:t>neutralise</w:t>
      </w:r>
      <w:r>
        <w:rPr>
          <w:rFonts w:ascii="Times New Roman" w:hAnsi="Times New Roman" w:cs="Times New Roman"/>
          <w:sz w:val="24"/>
          <w:szCs w:val="24"/>
        </w:rPr>
        <w:t xml:space="preserve"> reactive oxygen species generated during toxicant exposure.</w:t>
      </w:r>
    </w:p>
    <w:p w14:paraId="21B8DE84" w14:textId="77777777" w:rsidR="00EF6CCD" w:rsidRPr="007C5C3A" w:rsidRDefault="00EF6CCD" w:rsidP="00EF6CCD">
      <w:pPr>
        <w:jc w:val="both"/>
        <w:rPr>
          <w:rFonts w:ascii="Times New Roman" w:hAnsi="Times New Roman" w:cs="Times New Roman"/>
          <w:sz w:val="24"/>
          <w:szCs w:val="24"/>
        </w:rPr>
      </w:pPr>
      <w:r>
        <w:rPr>
          <w:rFonts w:ascii="Times New Roman" w:hAnsi="Times New Roman" w:cs="Times New Roman"/>
          <w:sz w:val="24"/>
          <w:szCs w:val="24"/>
        </w:rPr>
        <w:t xml:space="preserve">The antioxidant effects observed in the present study are likely attributable to the diverse phytochemical constituents of </w:t>
      </w:r>
      <w:r>
        <w:rPr>
          <w:rFonts w:ascii="Times New Roman" w:hAnsi="Times New Roman" w:cs="Times New Roman"/>
          <w:i/>
          <w:sz w:val="24"/>
          <w:szCs w:val="24"/>
        </w:rPr>
        <w:t>S. aromaticum</w:t>
      </w:r>
      <w:r>
        <w:rPr>
          <w:rFonts w:ascii="Times New Roman" w:hAnsi="Times New Roman" w:cs="Times New Roman"/>
          <w:sz w:val="24"/>
          <w:szCs w:val="24"/>
        </w:rPr>
        <w:t xml:space="preserve">, particularly eugenol, which has been extensively reported as one of the most potent naturally occurring phenolic antioxidants (Nisar et al., 2021). Eugenol possesses a phenolic hydroxyl group capable of donating hydrogen atoms to </w:t>
      </w:r>
      <w:r>
        <w:rPr>
          <w:rFonts w:ascii="Times New Roman" w:hAnsi="Times New Roman" w:cs="Times New Roman"/>
          <w:sz w:val="24"/>
          <w:szCs w:val="24"/>
          <w:highlight w:val="yellow"/>
        </w:rPr>
        <w:t>neutralise</w:t>
      </w:r>
      <w:r>
        <w:rPr>
          <w:rFonts w:ascii="Times New Roman" w:hAnsi="Times New Roman" w:cs="Times New Roman"/>
          <w:sz w:val="24"/>
          <w:szCs w:val="24"/>
        </w:rPr>
        <w:t xml:space="preserve"> free radicals, thereby terminating lipid peroxidation chain reactions. In addition to direct free radical scavenging, eugenol and other phenolic constituents of clove have been reported to enhance endogenous antioxidant enzyme activities, preserve glutathione homeostasis, inhibit inflammatory mediators, </w:t>
      </w:r>
      <w:r>
        <w:rPr>
          <w:rFonts w:ascii="Times New Roman" w:hAnsi="Times New Roman" w:cs="Times New Roman"/>
          <w:sz w:val="24"/>
          <w:szCs w:val="24"/>
          <w:highlight w:val="yellow"/>
        </w:rPr>
        <w:t>stabilise</w:t>
      </w:r>
      <w:r>
        <w:rPr>
          <w:rFonts w:ascii="Times New Roman" w:hAnsi="Times New Roman" w:cs="Times New Roman"/>
          <w:sz w:val="24"/>
          <w:szCs w:val="24"/>
        </w:rPr>
        <w:t xml:space="preserve"> biological membranes, and reduce mitochondrial oxidative damage (Taghipour et al., 2023). Other bioactive compounds identified in </w:t>
      </w:r>
      <w:r>
        <w:rPr>
          <w:rFonts w:ascii="Times New Roman" w:hAnsi="Times New Roman" w:cs="Times New Roman"/>
          <w:i/>
          <w:sz w:val="24"/>
          <w:szCs w:val="24"/>
        </w:rPr>
        <w:t>S. aromaticum</w:t>
      </w:r>
      <w:r>
        <w:rPr>
          <w:rFonts w:ascii="Times New Roman" w:hAnsi="Times New Roman" w:cs="Times New Roman"/>
          <w:sz w:val="24"/>
          <w:szCs w:val="24"/>
        </w:rPr>
        <w:t xml:space="preserve">, including flavonoids, tannins, and β-caryophyllene, may also contribute synergistically to the observed antioxidant effects through complementary mechanisms involving radical scavenging, metal ion chelation, and modulation of oxidative stress </w:t>
      </w:r>
      <w:r>
        <w:rPr>
          <w:rFonts w:ascii="Times New Roman" w:hAnsi="Times New Roman" w:cs="Times New Roman"/>
          <w:sz w:val="24"/>
          <w:szCs w:val="24"/>
          <w:highlight w:val="yellow"/>
        </w:rPr>
        <w:t>signalling</w:t>
      </w:r>
      <w:r>
        <w:rPr>
          <w:rFonts w:ascii="Times New Roman" w:hAnsi="Times New Roman" w:cs="Times New Roman"/>
          <w:sz w:val="24"/>
          <w:szCs w:val="24"/>
        </w:rPr>
        <w:t xml:space="preserve"> pathways (Taghipour et al., 2023). It should be noted that the </w:t>
      </w:r>
      <w:r>
        <w:rPr>
          <w:rFonts w:ascii="Times New Roman" w:hAnsi="Times New Roman" w:cs="Times New Roman"/>
          <w:i/>
          <w:sz w:val="24"/>
          <w:szCs w:val="24"/>
        </w:rPr>
        <w:t>S. aromaticum</w:t>
      </w:r>
      <w:r>
        <w:rPr>
          <w:rFonts w:ascii="Times New Roman" w:hAnsi="Times New Roman" w:cs="Times New Roman"/>
          <w:sz w:val="24"/>
          <w:szCs w:val="24"/>
        </w:rPr>
        <w:t xml:space="preserve"> extract used in this study was not independently subjected to chemical </w:t>
      </w:r>
      <w:r>
        <w:rPr>
          <w:rFonts w:ascii="Times New Roman" w:hAnsi="Times New Roman" w:cs="Times New Roman"/>
          <w:sz w:val="24"/>
          <w:szCs w:val="24"/>
          <w:highlight w:val="yellow"/>
        </w:rPr>
        <w:t>characterisation</w:t>
      </w:r>
      <w:r>
        <w:rPr>
          <w:rFonts w:ascii="Times New Roman" w:hAnsi="Times New Roman" w:cs="Times New Roman"/>
          <w:sz w:val="24"/>
          <w:szCs w:val="24"/>
        </w:rPr>
        <w:t xml:space="preserve"> (either GC-MS or HPLC analysis); therefore, the attribution of the observed antioxidant effects to eugenol and other specific phytochemicals is based on the established phytochemical profile of </w:t>
      </w:r>
      <w:r>
        <w:rPr>
          <w:rFonts w:ascii="Times New Roman" w:hAnsi="Times New Roman" w:cs="Times New Roman"/>
          <w:i/>
          <w:sz w:val="24"/>
          <w:szCs w:val="24"/>
        </w:rPr>
        <w:t>S. aromaticum</w:t>
      </w:r>
      <w:r>
        <w:rPr>
          <w:rFonts w:ascii="Times New Roman" w:hAnsi="Times New Roman" w:cs="Times New Roman"/>
          <w:sz w:val="24"/>
          <w:szCs w:val="24"/>
        </w:rPr>
        <w:t xml:space="preserve"> reported in the literature (Taghipour et al., 2023) rather than direct chemical confirmation in the present extract batch.</w:t>
      </w:r>
    </w:p>
    <w:p w14:paraId="4C3D453F" w14:textId="77777777" w:rsidR="00EF6CCD" w:rsidRPr="007C5C3A" w:rsidRDefault="00EF6CCD" w:rsidP="00EF6CCD">
      <w:pPr>
        <w:jc w:val="both"/>
        <w:rPr>
          <w:rFonts w:ascii="Times New Roman" w:hAnsi="Times New Roman" w:cs="Times New Roman"/>
          <w:sz w:val="24"/>
          <w:szCs w:val="24"/>
        </w:rPr>
      </w:pPr>
      <w:r>
        <w:rPr>
          <w:rFonts w:ascii="Times New Roman" w:hAnsi="Times New Roman" w:cs="Times New Roman"/>
          <w:sz w:val="24"/>
          <w:szCs w:val="24"/>
        </w:rPr>
        <w:t xml:space="preserve">Administration of </w:t>
      </w:r>
      <w:r>
        <w:rPr>
          <w:rFonts w:ascii="Times New Roman" w:hAnsi="Times New Roman" w:cs="Times New Roman"/>
          <w:i/>
          <w:sz w:val="24"/>
          <w:szCs w:val="24"/>
        </w:rPr>
        <w:t>S. aromaticum</w:t>
      </w:r>
      <w:r>
        <w:rPr>
          <w:rFonts w:ascii="Times New Roman" w:hAnsi="Times New Roman" w:cs="Times New Roman"/>
          <w:sz w:val="24"/>
          <w:szCs w:val="24"/>
        </w:rPr>
        <w:t xml:space="preserve"> extract produced a marked improvement in antioxidant biomarkers across all three tested doses (1000, 1500, and 2000 mg/kg), rather than a strictly monotonic dose-dependent pattern. For SOD and MDA, the 1000 mg/kg dose produced effects comparable to, or exceeding, those of the higher doses, while the 1500 mg/kg dose produced the greatest recovery in GSH. This suggests that the protective effect of </w:t>
      </w:r>
      <w:r>
        <w:rPr>
          <w:rFonts w:ascii="Times New Roman" w:hAnsi="Times New Roman" w:cs="Times New Roman"/>
          <w:i/>
          <w:sz w:val="24"/>
          <w:szCs w:val="24"/>
        </w:rPr>
        <w:t>S. aromaticum</w:t>
      </w:r>
      <w:r>
        <w:rPr>
          <w:rFonts w:ascii="Times New Roman" w:hAnsi="Times New Roman" w:cs="Times New Roman"/>
          <w:sz w:val="24"/>
          <w:szCs w:val="24"/>
        </w:rPr>
        <w:t xml:space="preserve"> plateaus within the dose range tested, rather than increasing progressively with dose. Notably, across all </w:t>
      </w:r>
      <w:r>
        <w:rPr>
          <w:rFonts w:ascii="Times New Roman" w:hAnsi="Times New Roman" w:cs="Times New Roman"/>
          <w:sz w:val="24"/>
          <w:szCs w:val="24"/>
        </w:rPr>
        <w:lastRenderedPageBreak/>
        <w:t xml:space="preserve">biomarkers, the extract-treated groups produced antioxidant effects statistically comparable to those observed with ascorbic acid, a well-established antioxidant reference compound. This finding indicates that </w:t>
      </w:r>
      <w:r>
        <w:rPr>
          <w:rFonts w:ascii="Times New Roman" w:hAnsi="Times New Roman" w:cs="Times New Roman"/>
          <w:i/>
          <w:sz w:val="24"/>
          <w:szCs w:val="24"/>
        </w:rPr>
        <w:t>S. aromaticum</w:t>
      </w:r>
      <w:r>
        <w:rPr>
          <w:rFonts w:ascii="Times New Roman" w:hAnsi="Times New Roman" w:cs="Times New Roman"/>
          <w:sz w:val="24"/>
          <w:szCs w:val="24"/>
        </w:rPr>
        <w:t xml:space="preserve"> possesses considerable antioxidant efficacy, even at the lowest dose tested, and may represent a promising natural alternative for mitigating oxidative stress associated with environmental toxicant exposure.</w:t>
      </w:r>
    </w:p>
    <w:p w14:paraId="65964CD0" w14:textId="77777777" w:rsidR="00EF6CCD" w:rsidRPr="007C5C3A" w:rsidRDefault="00EF6CCD" w:rsidP="00EF6CCD">
      <w:pPr>
        <w:jc w:val="both"/>
        <w:rPr>
          <w:rFonts w:ascii="Times New Roman" w:hAnsi="Times New Roman" w:cs="Times New Roman"/>
          <w:sz w:val="24"/>
          <w:szCs w:val="24"/>
        </w:rPr>
      </w:pPr>
      <w:r>
        <w:rPr>
          <w:rFonts w:ascii="Times New Roman" w:hAnsi="Times New Roman" w:cs="Times New Roman"/>
          <w:sz w:val="24"/>
          <w:szCs w:val="24"/>
        </w:rPr>
        <w:t xml:space="preserve">The present findings are consistent with previous reports demonstrating that natural antioxidant-rich plant extracts protect against chemically induced oxidative injury through enhancement of endogenous antioxidant </w:t>
      </w:r>
      <w:r>
        <w:rPr>
          <w:rFonts w:ascii="Times New Roman" w:hAnsi="Times New Roman" w:cs="Times New Roman"/>
          <w:sz w:val="24"/>
          <w:szCs w:val="24"/>
          <w:highlight w:val="yellow"/>
        </w:rPr>
        <w:t>defences</w:t>
      </w:r>
      <w:r>
        <w:rPr>
          <w:rFonts w:ascii="Times New Roman" w:hAnsi="Times New Roman" w:cs="Times New Roman"/>
          <w:sz w:val="24"/>
          <w:szCs w:val="24"/>
        </w:rPr>
        <w:t xml:space="preserve"> and suppression of lipid peroxidation (Akinwande et al., 2019; Falade et al., 2022). However, unlike many earlier investigations that evaluated single-toxicant exposure, the present study employed a combined aluminium and benzo[a]pyrene exposure model that more closely reflects real-life environmental conditions (</w:t>
      </w:r>
      <w:r>
        <w:rPr>
          <w:rFonts w:ascii="Times New Roman" w:hAnsi="Times New Roman" w:cs="Times New Roman"/>
          <w:sz w:val="24"/>
          <w:szCs w:val="24"/>
          <w:highlight w:val="yellow"/>
        </w:rPr>
        <w:t>Mitra</w:t>
      </w:r>
      <w:r>
        <w:rPr>
          <w:rFonts w:ascii="Times New Roman" w:hAnsi="Times New Roman" w:cs="Times New Roman"/>
          <w:sz w:val="24"/>
          <w:szCs w:val="24"/>
        </w:rPr>
        <w:t xml:space="preserve"> et al., 2022; </w:t>
      </w:r>
      <w:r>
        <w:rPr>
          <w:rFonts w:ascii="Times New Roman" w:hAnsi="Times New Roman" w:cs="Times New Roman"/>
          <w:sz w:val="24"/>
          <w:szCs w:val="24"/>
          <w:highlight w:val="yellow"/>
        </w:rPr>
        <w:t>Zeng</w:t>
      </w:r>
      <w:r>
        <w:rPr>
          <w:rFonts w:ascii="Times New Roman" w:hAnsi="Times New Roman" w:cs="Times New Roman"/>
          <w:sz w:val="24"/>
          <w:szCs w:val="24"/>
        </w:rPr>
        <w:t xml:space="preserve"> et al., 2022). This experimental design strengthens the translational relevance of the findings and provides additional evidence supporting the therapeutic potential of </w:t>
      </w:r>
      <w:r>
        <w:rPr>
          <w:rFonts w:ascii="Times New Roman" w:hAnsi="Times New Roman" w:cs="Times New Roman"/>
          <w:i/>
          <w:sz w:val="24"/>
          <w:szCs w:val="24"/>
        </w:rPr>
        <w:t>S. aromaticum</w:t>
      </w:r>
      <w:r>
        <w:rPr>
          <w:rFonts w:ascii="Times New Roman" w:hAnsi="Times New Roman" w:cs="Times New Roman"/>
          <w:sz w:val="24"/>
          <w:szCs w:val="24"/>
        </w:rPr>
        <w:t xml:space="preserve"> under complex environmental exposure scenarios.</w:t>
      </w:r>
    </w:p>
    <w:p w14:paraId="520DB9FA" w14:textId="77777777" w:rsidR="0006358B" w:rsidRPr="0006358B" w:rsidRDefault="0006358B" w:rsidP="00EF6CCD">
      <w:pPr>
        <w:jc w:val="both"/>
        <w:rPr>
          <w:rFonts w:ascii="Times New Roman" w:hAnsi="Times New Roman" w:cs="Times New Roman"/>
          <w:b/>
          <w:bCs/>
          <w:sz w:val="24"/>
          <w:szCs w:val="24"/>
        </w:rPr>
      </w:pPr>
      <w:r w:rsidRPr="0006358B">
        <w:rPr>
          <w:rFonts w:ascii="Times New Roman" w:hAnsi="Times New Roman" w:cs="Times New Roman"/>
          <w:b/>
          <w:bCs/>
          <w:sz w:val="24"/>
          <w:szCs w:val="24"/>
        </w:rPr>
        <w:t>Limitation</w:t>
      </w:r>
    </w:p>
    <w:p w14:paraId="73A493AB" w14:textId="77777777" w:rsidR="00EF6CCD" w:rsidRPr="007C5C3A" w:rsidRDefault="00EF6CCD" w:rsidP="00EF6CCD">
      <w:pPr>
        <w:jc w:val="both"/>
        <w:rPr>
          <w:rFonts w:ascii="Times New Roman" w:hAnsi="Times New Roman" w:cs="Times New Roman"/>
          <w:sz w:val="24"/>
          <w:szCs w:val="24"/>
        </w:rPr>
      </w:pPr>
      <w:r>
        <w:rPr>
          <w:rFonts w:ascii="Times New Roman" w:hAnsi="Times New Roman" w:cs="Times New Roman"/>
          <w:sz w:val="24"/>
          <w:szCs w:val="24"/>
        </w:rPr>
        <w:t xml:space="preserve">Although the present study demonstrates significant antioxidant effects of </w:t>
      </w:r>
      <w:r>
        <w:rPr>
          <w:rFonts w:ascii="Times New Roman" w:hAnsi="Times New Roman" w:cs="Times New Roman"/>
          <w:i/>
          <w:sz w:val="24"/>
          <w:szCs w:val="24"/>
        </w:rPr>
        <w:t>S. aromaticum</w:t>
      </w:r>
      <w:r>
        <w:rPr>
          <w:rFonts w:ascii="Times New Roman" w:hAnsi="Times New Roman" w:cs="Times New Roman"/>
          <w:sz w:val="24"/>
          <w:szCs w:val="24"/>
        </w:rPr>
        <w:t xml:space="preserve">, certain limitations should be acknowledged. The study primarily evaluated biochemical indices of oxidative stress without investigating molecular pathways regulating antioxidant responses, such as nuclear factor erythroid 2-related factor 2 (Nrf2), heme oxygenase-1 (HO-1), nuclear factor-kappa B (NF-κB), or apoptotic </w:t>
      </w:r>
      <w:r>
        <w:rPr>
          <w:rFonts w:ascii="Times New Roman" w:hAnsi="Times New Roman" w:cs="Times New Roman"/>
          <w:sz w:val="24"/>
          <w:szCs w:val="24"/>
          <w:highlight w:val="yellow"/>
        </w:rPr>
        <w:t>signalling</w:t>
      </w:r>
      <w:r>
        <w:rPr>
          <w:rFonts w:ascii="Times New Roman" w:hAnsi="Times New Roman" w:cs="Times New Roman"/>
          <w:sz w:val="24"/>
          <w:szCs w:val="24"/>
        </w:rPr>
        <w:t xml:space="preserve"> proteins (Yu &amp; Xiao, 2021). Furthermore, </w:t>
      </w:r>
      <w:r>
        <w:rPr>
          <w:rFonts w:ascii="Times New Roman" w:hAnsi="Times New Roman" w:cs="Times New Roman"/>
          <w:sz w:val="24"/>
          <w:szCs w:val="24"/>
          <w:highlight w:val="yellow"/>
        </w:rPr>
        <w:t>characterisation</w:t>
      </w:r>
      <w:r>
        <w:rPr>
          <w:rFonts w:ascii="Times New Roman" w:hAnsi="Times New Roman" w:cs="Times New Roman"/>
          <w:sz w:val="24"/>
          <w:szCs w:val="24"/>
        </w:rPr>
        <w:t xml:space="preserve"> of individual phytochemicals responsible for the observed biological effects was beyond the scope of this investigation. Future studies incorporating molecular analyses, gene and protein expression profiling, molecular dynamics simulations, and pharmacokinetic evaluation would provide a more comprehensive understanding of the mechanisms through which </w:t>
      </w:r>
      <w:r>
        <w:rPr>
          <w:rFonts w:ascii="Times New Roman" w:hAnsi="Times New Roman" w:cs="Times New Roman"/>
          <w:i/>
          <w:sz w:val="24"/>
          <w:szCs w:val="24"/>
        </w:rPr>
        <w:t>S. aromaticum</w:t>
      </w:r>
      <w:r>
        <w:rPr>
          <w:rFonts w:ascii="Times New Roman" w:hAnsi="Times New Roman" w:cs="Times New Roman"/>
          <w:sz w:val="24"/>
          <w:szCs w:val="24"/>
        </w:rPr>
        <w:t xml:space="preserve"> confers protection against mixed environmental toxicant exposure.</w:t>
      </w:r>
    </w:p>
    <w:p w14:paraId="0BC1FDE3" w14:textId="77777777" w:rsidR="00EF6CCD" w:rsidRPr="007C5C3A"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br w:type="page"/>
      </w:r>
    </w:p>
    <w:p w14:paraId="2C359D32" w14:textId="77777777" w:rsidR="00EF6CCD" w:rsidRPr="007C5C3A" w:rsidRDefault="00EF6CCD" w:rsidP="00EF6CCD">
      <w:pPr>
        <w:jc w:val="center"/>
        <w:rPr>
          <w:rFonts w:ascii="Times New Roman" w:hAnsi="Times New Roman" w:cs="Times New Roman"/>
          <w:b/>
          <w:bCs/>
          <w:sz w:val="24"/>
          <w:szCs w:val="24"/>
        </w:rPr>
      </w:pPr>
      <w:r w:rsidRPr="007C5C3A">
        <w:rPr>
          <w:rFonts w:ascii="Times New Roman" w:hAnsi="Times New Roman" w:cs="Times New Roman"/>
          <w:b/>
          <w:bCs/>
          <w:sz w:val="24"/>
          <w:szCs w:val="24"/>
        </w:rPr>
        <w:lastRenderedPageBreak/>
        <w:t>CONCLUSION</w:t>
      </w:r>
    </w:p>
    <w:p w14:paraId="1FDC55B1" w14:textId="77777777" w:rsidR="00EF6CCD" w:rsidRPr="007C5C3A" w:rsidRDefault="00EF6CCD" w:rsidP="00EF6CCD">
      <w:pPr>
        <w:jc w:val="both"/>
        <w:rPr>
          <w:rFonts w:ascii="Times New Roman" w:hAnsi="Times New Roman" w:cs="Times New Roman"/>
          <w:sz w:val="24"/>
          <w:szCs w:val="24"/>
        </w:rPr>
      </w:pPr>
      <w:r>
        <w:rPr>
          <w:rFonts w:ascii="Times New Roman" w:hAnsi="Times New Roman" w:cs="Times New Roman"/>
          <w:sz w:val="24"/>
          <w:szCs w:val="24"/>
        </w:rPr>
        <w:t xml:space="preserve">The findings of the present study demonstrate that exposure to aluminium and benzo[a]pyrene, both individually and in combination, induces oxidative stress by disrupting the endogenous antioxidant </w:t>
      </w:r>
      <w:r>
        <w:rPr>
          <w:rFonts w:ascii="Times New Roman" w:hAnsi="Times New Roman" w:cs="Times New Roman"/>
          <w:sz w:val="24"/>
          <w:szCs w:val="24"/>
          <w:highlight w:val="yellow"/>
        </w:rPr>
        <w:t>defence</w:t>
      </w:r>
      <w:r>
        <w:rPr>
          <w:rFonts w:ascii="Times New Roman" w:hAnsi="Times New Roman" w:cs="Times New Roman"/>
          <w:sz w:val="24"/>
          <w:szCs w:val="24"/>
        </w:rPr>
        <w:t xml:space="preserve"> system and promoting lipid peroxidation. The observed elevation in malondialdehyde levels, together with the depletion of superoxide dismutase, glutathione peroxidase, and reduced glutathione, confirms that oxidative stress is a major mechanism underlying the toxicity of these environmental contaminants; catalase showed a similar, though not statistically significant, downward trend. For most biomarkers assessed, combined exposure produced more severe oxidative damage than exposure to either toxicant alone, suggesting a predominantly additive interaction between aluminium and benzo[a]pyrene, although this pattern was not observed for glutathione peroxidase, where BaP alone produced the greatest reduction.</w:t>
      </w:r>
    </w:p>
    <w:p w14:paraId="62D02890" w14:textId="77777777" w:rsidR="00EF6CCD" w:rsidRPr="007C5C3A" w:rsidRDefault="00EF6CCD" w:rsidP="00EF6CCD">
      <w:pPr>
        <w:jc w:val="both"/>
        <w:rPr>
          <w:rFonts w:ascii="Times New Roman" w:hAnsi="Times New Roman" w:cs="Times New Roman"/>
          <w:sz w:val="24"/>
          <w:szCs w:val="24"/>
        </w:rPr>
      </w:pPr>
      <w:r>
        <w:rPr>
          <w:rFonts w:ascii="Times New Roman" w:hAnsi="Times New Roman" w:cs="Times New Roman"/>
          <w:sz w:val="24"/>
          <w:szCs w:val="24"/>
        </w:rPr>
        <w:t xml:space="preserve">Administration of </w:t>
      </w:r>
      <w:r>
        <w:rPr>
          <w:rFonts w:ascii="Times New Roman" w:hAnsi="Times New Roman" w:cs="Times New Roman"/>
          <w:i/>
          <w:sz w:val="24"/>
          <w:szCs w:val="24"/>
        </w:rPr>
        <w:t>Syzygium aromaticum</w:t>
      </w:r>
      <w:r>
        <w:rPr>
          <w:rFonts w:ascii="Times New Roman" w:hAnsi="Times New Roman" w:cs="Times New Roman"/>
          <w:sz w:val="24"/>
          <w:szCs w:val="24"/>
        </w:rPr>
        <w:t xml:space="preserve"> extract effectively ameliorated these alterations across all tested doses by suppressing lipid peroxidation and restoring both enzymatic and non-enzymatic antioxidant </w:t>
      </w:r>
      <w:r>
        <w:rPr>
          <w:rFonts w:ascii="Times New Roman" w:hAnsi="Times New Roman" w:cs="Times New Roman"/>
          <w:sz w:val="24"/>
          <w:szCs w:val="24"/>
          <w:highlight w:val="yellow"/>
        </w:rPr>
        <w:t>defences</w:t>
      </w:r>
      <w:r>
        <w:rPr>
          <w:rFonts w:ascii="Times New Roman" w:hAnsi="Times New Roman" w:cs="Times New Roman"/>
          <w:sz w:val="24"/>
          <w:szCs w:val="24"/>
        </w:rPr>
        <w:t xml:space="preserve">, although the magnitude of protection did not increase in strict proportion to dose across all biomarkers. The improvement in oxidative stress biomarkers demonstrates the ability of </w:t>
      </w:r>
      <w:r>
        <w:rPr>
          <w:rFonts w:ascii="Times New Roman" w:hAnsi="Times New Roman" w:cs="Times New Roman"/>
          <w:i/>
          <w:sz w:val="24"/>
          <w:szCs w:val="24"/>
        </w:rPr>
        <w:t>S. aromaticum</w:t>
      </w:r>
      <w:r>
        <w:rPr>
          <w:rFonts w:ascii="Times New Roman" w:hAnsi="Times New Roman" w:cs="Times New Roman"/>
          <w:sz w:val="24"/>
          <w:szCs w:val="24"/>
        </w:rPr>
        <w:t xml:space="preserve"> to preserve cellular redox homeostasis and protect biological tissues against free radical-mediated injury. These protective effects are presumed, based on the established literature, to be attributable in part to eugenol and other phenolic constituents of the extract, which possess potent free radical scavenging and antioxidant properties, although the extract used in this study was not independently chemically </w:t>
      </w:r>
      <w:r>
        <w:rPr>
          <w:rFonts w:ascii="Times New Roman" w:hAnsi="Times New Roman" w:cs="Times New Roman"/>
          <w:sz w:val="24"/>
          <w:szCs w:val="24"/>
          <w:highlight w:val="yellow"/>
        </w:rPr>
        <w:t>characterised</w:t>
      </w:r>
      <w:r>
        <w:rPr>
          <w:rFonts w:ascii="Times New Roman" w:hAnsi="Times New Roman" w:cs="Times New Roman"/>
          <w:sz w:val="24"/>
          <w:szCs w:val="24"/>
        </w:rPr>
        <w:t>.</w:t>
      </w:r>
    </w:p>
    <w:p w14:paraId="66B0FE2B" w14:textId="77777777" w:rsidR="004D5966" w:rsidRDefault="00EF6CCD" w:rsidP="00EF6CCD">
      <w:pPr>
        <w:jc w:val="both"/>
        <w:rPr>
          <w:rFonts w:ascii="Times New Roman" w:hAnsi="Times New Roman" w:cs="Times New Roman"/>
          <w:sz w:val="24"/>
          <w:szCs w:val="24"/>
        </w:rPr>
      </w:pPr>
      <w:r w:rsidRPr="007C5C3A">
        <w:rPr>
          <w:rFonts w:ascii="Times New Roman" w:hAnsi="Times New Roman" w:cs="Times New Roman"/>
          <w:sz w:val="24"/>
          <w:szCs w:val="24"/>
        </w:rPr>
        <w:t xml:space="preserve">Overall, the present study provides experimental evidence supporting the antioxidant potential of </w:t>
      </w:r>
      <w:proofErr w:type="spellStart"/>
      <w:r w:rsidRPr="007C5C3A">
        <w:rPr>
          <w:rFonts w:ascii="Times New Roman" w:hAnsi="Times New Roman" w:cs="Times New Roman"/>
          <w:i/>
          <w:iCs/>
          <w:sz w:val="24"/>
          <w:szCs w:val="24"/>
        </w:rPr>
        <w:t>Syzygium</w:t>
      </w:r>
      <w:proofErr w:type="spellEnd"/>
      <w:r w:rsidRPr="007C5C3A">
        <w:rPr>
          <w:rFonts w:ascii="Times New Roman" w:hAnsi="Times New Roman" w:cs="Times New Roman"/>
          <w:i/>
          <w:iCs/>
          <w:sz w:val="24"/>
          <w:szCs w:val="24"/>
        </w:rPr>
        <w:t xml:space="preserve"> aromaticum</w:t>
      </w:r>
      <w:r w:rsidRPr="007C5C3A">
        <w:rPr>
          <w:rFonts w:ascii="Times New Roman" w:hAnsi="Times New Roman" w:cs="Times New Roman"/>
          <w:sz w:val="24"/>
          <w:szCs w:val="24"/>
        </w:rPr>
        <w:t xml:space="preserve"> as a natural therapeutic agent against oxidative damage induced by mixed environmental toxicants. Given the increasing human exposure to multiple environmental pollutants, the use of antioxidant-rich medicinal plants such as </w:t>
      </w:r>
      <w:r w:rsidRPr="007C5C3A">
        <w:rPr>
          <w:rFonts w:ascii="Times New Roman" w:hAnsi="Times New Roman" w:cs="Times New Roman"/>
          <w:i/>
          <w:iCs/>
          <w:sz w:val="24"/>
          <w:szCs w:val="24"/>
        </w:rPr>
        <w:t>S. aromaticum</w:t>
      </w:r>
      <w:r w:rsidRPr="007C5C3A">
        <w:rPr>
          <w:rFonts w:ascii="Times New Roman" w:hAnsi="Times New Roman" w:cs="Times New Roman"/>
          <w:sz w:val="24"/>
          <w:szCs w:val="24"/>
        </w:rPr>
        <w:t xml:space="preserve"> may represent a promising complementary strategy for reducing oxidative injury and its associated pathological consequences. Future studies should focus on elucidating the molecular mechanisms underlying these protective effects through gene and protein expression analyses, advanced computational modelling, and well-designed clinical investigations to facilitate the translation of these findings into preventive and therapeutic applications</w:t>
      </w:r>
      <w:r w:rsidR="003250BA" w:rsidRPr="007C5C3A">
        <w:rPr>
          <w:rFonts w:ascii="Times New Roman" w:hAnsi="Times New Roman" w:cs="Times New Roman"/>
          <w:sz w:val="24"/>
          <w:szCs w:val="24"/>
        </w:rPr>
        <w:t>.</w:t>
      </w:r>
    </w:p>
    <w:p w14:paraId="2F139A01" w14:textId="77777777" w:rsidR="004D5966" w:rsidRDefault="004D5966" w:rsidP="004D5966">
      <w:pPr>
        <w:jc w:val="both"/>
        <w:rPr>
          <w:rFonts w:ascii="Times New Roman" w:hAnsi="Times New Roman" w:cs="Times New Roman"/>
          <w:b/>
          <w:bCs/>
          <w:sz w:val="24"/>
          <w:szCs w:val="24"/>
        </w:rPr>
      </w:pPr>
    </w:p>
    <w:p w14:paraId="1E07DECC" w14:textId="77777777" w:rsidR="00373486" w:rsidRPr="005F7880" w:rsidRDefault="00373486" w:rsidP="00373486">
      <w:pPr>
        <w:jc w:val="center"/>
        <w:rPr>
          <w:rFonts w:ascii="Times New Roman" w:hAnsi="Times New Roman" w:cs="Times New Roman"/>
          <w:sz w:val="24"/>
          <w:szCs w:val="24"/>
        </w:rPr>
      </w:pPr>
      <w:r w:rsidRPr="005F7880">
        <w:rPr>
          <w:rFonts w:ascii="Times New Roman" w:hAnsi="Times New Roman" w:cs="Times New Roman"/>
          <w:b/>
          <w:bCs/>
          <w:sz w:val="24"/>
          <w:szCs w:val="24"/>
        </w:rPr>
        <w:t>DATA AVAILABILITY STATEMENT</w:t>
      </w:r>
    </w:p>
    <w:p w14:paraId="2EFB080F" w14:textId="77777777" w:rsidR="00373486" w:rsidRDefault="00373486" w:rsidP="004D5966">
      <w:pPr>
        <w:jc w:val="both"/>
        <w:rPr>
          <w:rFonts w:ascii="Times New Roman" w:hAnsi="Times New Roman" w:cs="Times New Roman"/>
          <w:sz w:val="24"/>
          <w:szCs w:val="24"/>
        </w:rPr>
      </w:pPr>
      <w:r w:rsidRPr="005F7880">
        <w:rPr>
          <w:rFonts w:ascii="Times New Roman" w:hAnsi="Times New Roman" w:cs="Times New Roman"/>
          <w:sz w:val="24"/>
          <w:szCs w:val="24"/>
        </w:rPr>
        <w:t>The data supporting the findings of this study are available from the corresponding author upon reasonable request.</w:t>
      </w:r>
      <w:r>
        <w:rPr>
          <w:rFonts w:ascii="Times New Roman" w:hAnsi="Times New Roman" w:cs="Times New Roman"/>
          <w:sz w:val="24"/>
          <w:szCs w:val="24"/>
        </w:rPr>
        <w:br w:type="page"/>
      </w:r>
    </w:p>
    <w:p w14:paraId="3356B542" w14:textId="77777777" w:rsidR="000A211D" w:rsidRDefault="000A211D" w:rsidP="004D5966">
      <w:pPr>
        <w:jc w:val="both"/>
        <w:rPr>
          <w:rFonts w:ascii="Times New Roman" w:hAnsi="Times New Roman" w:cs="Times New Roman"/>
          <w:sz w:val="24"/>
          <w:szCs w:val="24"/>
        </w:rPr>
      </w:pPr>
    </w:p>
    <w:p w14:paraId="5F27E826" w14:textId="77777777" w:rsidR="000A211D" w:rsidRPr="000A211D" w:rsidRDefault="000A211D" w:rsidP="000A211D">
      <w:pPr>
        <w:jc w:val="both"/>
        <w:rPr>
          <w:rFonts w:ascii="Times New Roman" w:hAnsi="Times New Roman" w:cs="Times New Roman"/>
          <w:sz w:val="24"/>
          <w:szCs w:val="24"/>
        </w:rPr>
      </w:pPr>
      <w:r w:rsidRPr="000A211D">
        <w:rPr>
          <w:rFonts w:ascii="Times New Roman" w:hAnsi="Times New Roman" w:cs="Times New Roman"/>
          <w:sz w:val="24"/>
          <w:szCs w:val="24"/>
        </w:rPr>
        <w:t>Ethical Approval</w:t>
      </w:r>
    </w:p>
    <w:p w14:paraId="2CA87256" w14:textId="1901E21C" w:rsidR="000A211D" w:rsidRDefault="000A211D" w:rsidP="000A211D">
      <w:pPr>
        <w:jc w:val="both"/>
        <w:rPr>
          <w:rFonts w:ascii="Times New Roman" w:hAnsi="Times New Roman" w:cs="Times New Roman"/>
          <w:sz w:val="24"/>
          <w:szCs w:val="24"/>
        </w:rPr>
      </w:pPr>
      <w:r w:rsidRPr="000A211D">
        <w:rPr>
          <w:rFonts w:ascii="Times New Roman" w:hAnsi="Times New Roman" w:cs="Times New Roman"/>
          <w:sz w:val="24"/>
          <w:szCs w:val="24"/>
        </w:rPr>
        <w:t>All experimental procedures involving animals were conducted in accordance with institutional and international guidelines for the care and use of laboratory animals. Ethical approval for this study was applied for and is pending from the University of Port Harcourt Research Ethics Committee, under the Office of the Deputy Vice Chancellor, Research and Development (approval number to be inserted upon issuance). Animals were monitored daily throughout the study for signs of distress or morbidity, and predefined humane endpoints (including greater than 20% body weight loss, severe lethargy, or inability to access food or water) were applied; no animals met these criteria during the study period.</w:t>
      </w:r>
    </w:p>
    <w:p w14:paraId="15B55F53" w14:textId="77777777" w:rsidR="000A211D" w:rsidRDefault="000A211D" w:rsidP="000A211D">
      <w:pPr>
        <w:jc w:val="both"/>
        <w:rPr>
          <w:rFonts w:ascii="Times New Roman" w:hAnsi="Times New Roman" w:cs="Times New Roman"/>
          <w:sz w:val="24"/>
          <w:szCs w:val="24"/>
        </w:rPr>
      </w:pPr>
    </w:p>
    <w:p w14:paraId="6F70FA05" w14:textId="77777777" w:rsidR="00373486" w:rsidRDefault="00373486" w:rsidP="00373486">
      <w:pPr>
        <w:jc w:val="center"/>
        <w:rPr>
          <w:rFonts w:ascii="Times New Roman" w:hAnsi="Times New Roman" w:cs="Times New Roman"/>
          <w:sz w:val="24"/>
          <w:szCs w:val="24"/>
        </w:rPr>
      </w:pPr>
      <w:r w:rsidRPr="00212C8E">
        <w:rPr>
          <w:rFonts w:ascii="Times New Roman" w:hAnsi="Times New Roman" w:cs="Times New Roman"/>
          <w:b/>
          <w:bCs/>
          <w:sz w:val="24"/>
          <w:szCs w:val="24"/>
        </w:rPr>
        <w:t>CONFLICT OF INTEREST</w:t>
      </w:r>
    </w:p>
    <w:p w14:paraId="5C347219" w14:textId="77777777" w:rsidR="00373486" w:rsidRDefault="00373486" w:rsidP="004D5966">
      <w:pPr>
        <w:jc w:val="both"/>
        <w:rPr>
          <w:rFonts w:ascii="Times New Roman" w:hAnsi="Times New Roman" w:cs="Times New Roman"/>
          <w:sz w:val="24"/>
          <w:szCs w:val="24"/>
        </w:rPr>
      </w:pPr>
      <w:r w:rsidRPr="00212C8E">
        <w:rPr>
          <w:rFonts w:ascii="Times New Roman" w:hAnsi="Times New Roman" w:cs="Times New Roman"/>
          <w:sz w:val="24"/>
          <w:szCs w:val="24"/>
        </w:rPr>
        <w:t>The authors declare that they have no known competing financial interests or personal relationships that could have appeared to influence the work reported in this paper.</w:t>
      </w:r>
    </w:p>
    <w:p w14:paraId="630A12A7" w14:textId="77777777" w:rsidR="004D5966" w:rsidRDefault="004D5966" w:rsidP="004D5966">
      <w:pPr>
        <w:jc w:val="both"/>
        <w:rPr>
          <w:rFonts w:ascii="Times New Roman" w:hAnsi="Times New Roman" w:cs="Times New Roman"/>
          <w:b/>
          <w:bCs/>
          <w:sz w:val="24"/>
          <w:szCs w:val="24"/>
        </w:rPr>
      </w:pPr>
    </w:p>
    <w:p w14:paraId="147A8E40" w14:textId="77777777" w:rsidR="00170D28" w:rsidRPr="00542A27" w:rsidRDefault="00170D28" w:rsidP="00170D28">
      <w:pPr>
        <w:rPr>
          <w:rFonts w:ascii="Arial" w:hAnsi="Arial" w:cs="Arial"/>
          <w:b/>
          <w:bCs/>
        </w:rPr>
      </w:pPr>
      <w:r w:rsidRPr="00542A27">
        <w:rPr>
          <w:rFonts w:ascii="Arial" w:hAnsi="Arial" w:cs="Arial"/>
          <w:b/>
          <w:bCs/>
        </w:rPr>
        <w:t>Declaration of AI Use</w:t>
      </w:r>
    </w:p>
    <w:p w14:paraId="3CAFF136" w14:textId="77777777" w:rsidR="00170D28" w:rsidRPr="00CA12BC" w:rsidRDefault="00170D28" w:rsidP="00170D28">
      <w:pPr>
        <w:rPr>
          <w:rFonts w:ascii="Arial" w:hAnsi="Arial" w:cs="Arial"/>
        </w:rPr>
      </w:pPr>
      <w:r w:rsidRPr="00A40685">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4C574CA" w14:textId="77777777" w:rsidR="004D5966" w:rsidRDefault="004D5966" w:rsidP="004D5966">
      <w:pPr>
        <w:jc w:val="both"/>
        <w:rPr>
          <w:rFonts w:ascii="Times New Roman" w:hAnsi="Times New Roman" w:cs="Times New Roman"/>
          <w:b/>
          <w:bCs/>
          <w:sz w:val="24"/>
          <w:szCs w:val="24"/>
        </w:rPr>
      </w:pPr>
    </w:p>
    <w:p w14:paraId="661E50DB" w14:textId="77777777" w:rsidR="00EF6CCD" w:rsidRPr="00373486" w:rsidRDefault="00EF6CCD" w:rsidP="00EF6CCD">
      <w:pPr>
        <w:jc w:val="center"/>
        <w:rPr>
          <w:rFonts w:ascii="Times New Roman" w:hAnsi="Times New Roman" w:cs="Times New Roman"/>
          <w:b/>
          <w:bCs/>
          <w:sz w:val="24"/>
          <w:szCs w:val="24"/>
        </w:rPr>
      </w:pPr>
      <w:r w:rsidRPr="007C5C3A">
        <w:rPr>
          <w:rFonts w:ascii="Times New Roman" w:hAnsi="Times New Roman" w:cs="Times New Roman"/>
          <w:b/>
          <w:bCs/>
          <w:sz w:val="24"/>
          <w:szCs w:val="24"/>
        </w:rPr>
        <w:t>REFERENCES</w:t>
      </w:r>
    </w:p>
    <w:p w14:paraId="3410DBD8"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Adeniji, A. O., Okoh, O. O., &amp; Okoh, A. I. (2019). Levels of polycyclic aromatic hydrocarbons in the water and sediment of Buffalo River Estuary, South Africa and their health risk assessment. </w:t>
      </w:r>
      <w:r>
        <w:rPr>
          <w:rFonts w:ascii="Times New Roman" w:eastAsia="Times New Roman" w:hAnsi="Times New Roman" w:cs="Times New Roman"/>
          <w:i/>
          <w:kern w:val="0"/>
          <w:sz w:val="24"/>
          <w:szCs w:val="24"/>
          <w:lang w:val="en-US"/>
          <w14:ligatures w14:val="none"/>
        </w:rPr>
        <w:t>Archives of Environmental Contamination and Toxicology, 76</w:t>
      </w:r>
      <w:r>
        <w:rPr>
          <w:rFonts w:ascii="Times New Roman" w:eastAsia="Times New Roman" w:hAnsi="Times New Roman" w:cs="Times New Roman"/>
          <w:kern w:val="0"/>
          <w:sz w:val="24"/>
          <w:szCs w:val="24"/>
          <w:lang w:val="en-US"/>
          <w14:ligatures w14:val="none"/>
        </w:rPr>
        <w:t>(4), 657–669. https://doi.org/10.1007/s00244-019-00617-w</w:t>
      </w:r>
    </w:p>
    <w:p w14:paraId="05CEB1BB"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Aguilar Diaz De Leon, J., &amp; Borges, C. R. (2020). Evaluation of oxidative stress in biological samples using the thiobarbituric acid reactive substances assay. </w:t>
      </w:r>
      <w:r>
        <w:rPr>
          <w:rFonts w:ascii="Times New Roman" w:eastAsia="Times New Roman" w:hAnsi="Times New Roman" w:cs="Times New Roman"/>
          <w:i/>
          <w:kern w:val="0"/>
          <w:sz w:val="24"/>
          <w:szCs w:val="24"/>
          <w:lang w:val="en-US"/>
          <w14:ligatures w14:val="none"/>
        </w:rPr>
        <w:t>Journal of Visualized Experiments</w:t>
      </w:r>
      <w:r>
        <w:rPr>
          <w:rFonts w:ascii="Times New Roman" w:eastAsia="Times New Roman" w:hAnsi="Times New Roman" w:cs="Times New Roman"/>
          <w:kern w:val="0"/>
          <w:sz w:val="24"/>
          <w:szCs w:val="24"/>
          <w:lang w:val="en-US"/>
          <w14:ligatures w14:val="none"/>
        </w:rPr>
        <w:t xml:space="preserve">, </w:t>
      </w:r>
      <w:r>
        <w:rPr>
          <w:rFonts w:ascii="Times New Roman" w:eastAsia="Times New Roman" w:hAnsi="Times New Roman" w:cs="Times New Roman"/>
          <w:kern w:val="0"/>
          <w:sz w:val="24"/>
          <w:szCs w:val="24"/>
          <w:highlight w:val="yellow"/>
          <w:lang w:val="en-US"/>
          <w14:ligatures w14:val="none"/>
        </w:rPr>
        <w:t>(159)</w:t>
      </w:r>
      <w:r>
        <w:rPr>
          <w:rFonts w:ascii="Times New Roman" w:eastAsia="Times New Roman" w:hAnsi="Times New Roman" w:cs="Times New Roman"/>
          <w:kern w:val="0"/>
          <w:sz w:val="24"/>
          <w:szCs w:val="24"/>
          <w:lang w:val="en-US"/>
          <w14:ligatures w14:val="none"/>
        </w:rPr>
        <w:t>, e61122. https://doi.org/10.3791/61122</w:t>
      </w:r>
    </w:p>
    <w:p w14:paraId="6585189D"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Akinwande, D. V., Adeyemi, J. A., Olawuyi, S. T., Akinola, B. K., &amp; Adedire, C. O. (2019). Protective effects of </w:t>
      </w:r>
      <w:r>
        <w:rPr>
          <w:rFonts w:ascii="Times New Roman" w:eastAsia="Times New Roman" w:hAnsi="Times New Roman" w:cs="Times New Roman"/>
          <w:i/>
          <w:kern w:val="0"/>
          <w:sz w:val="24"/>
          <w:szCs w:val="24"/>
          <w:lang w:val="en-US"/>
          <w14:ligatures w14:val="none"/>
        </w:rPr>
        <w:t>Camellia sinensis</w:t>
      </w:r>
      <w:r>
        <w:rPr>
          <w:rFonts w:ascii="Times New Roman" w:eastAsia="Times New Roman" w:hAnsi="Times New Roman" w:cs="Times New Roman"/>
          <w:kern w:val="0"/>
          <w:sz w:val="24"/>
          <w:szCs w:val="24"/>
          <w:lang w:val="en-US"/>
          <w14:ligatures w14:val="none"/>
        </w:rPr>
        <w:t xml:space="preserve"> on </w:t>
      </w:r>
      <w:r>
        <w:rPr>
          <w:rFonts w:ascii="Times New Roman" w:eastAsia="Times New Roman" w:hAnsi="Times New Roman" w:cs="Times New Roman"/>
          <w:i/>
          <w:kern w:val="0"/>
          <w:sz w:val="24"/>
          <w:szCs w:val="24"/>
          <w:lang w:val="en-US"/>
          <w14:ligatures w14:val="none"/>
        </w:rPr>
        <w:t>Syzygium aromaticum</w:t>
      </w:r>
      <w:r>
        <w:rPr>
          <w:rFonts w:ascii="Times New Roman" w:eastAsia="Times New Roman" w:hAnsi="Times New Roman" w:cs="Times New Roman"/>
          <w:kern w:val="0"/>
          <w:sz w:val="24"/>
          <w:szCs w:val="24"/>
          <w:lang w:val="en-US"/>
          <w14:ligatures w14:val="none"/>
        </w:rPr>
        <w:t xml:space="preserve">- or chlorpyrifos-induced reproductive toxicity in male Wistar rats. </w:t>
      </w:r>
      <w:r>
        <w:rPr>
          <w:rFonts w:ascii="Times New Roman" w:eastAsia="Times New Roman" w:hAnsi="Times New Roman" w:cs="Times New Roman"/>
          <w:i/>
          <w:kern w:val="0"/>
          <w:sz w:val="24"/>
          <w:szCs w:val="24"/>
          <w:lang w:val="en-US"/>
          <w14:ligatures w14:val="none"/>
        </w:rPr>
        <w:t>The Journal of Basic and Applied Zoology, 80</w:t>
      </w:r>
      <w:r>
        <w:rPr>
          <w:rFonts w:ascii="Times New Roman" w:eastAsia="Times New Roman" w:hAnsi="Times New Roman" w:cs="Times New Roman"/>
          <w:kern w:val="0"/>
          <w:sz w:val="24"/>
          <w:szCs w:val="24"/>
          <w:lang w:val="en-US"/>
          <w14:ligatures w14:val="none"/>
        </w:rPr>
        <w:t>, Article 48. https://doi.org/10.1186/s41936-019-0122-2</w:t>
      </w:r>
    </w:p>
    <w:p w14:paraId="3E0E3C64"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Amirdivani, S., Khorshidian, N., Ghobadi Dana, M., Mohammadi, R., Mortazavian, A. M., Quiterio de Souza, S. L., Barbosa Rocha, H., &amp; Raices, R. (2019). Polycyclic aromatic hydrocarbons in milk and dairy products. </w:t>
      </w:r>
      <w:r>
        <w:rPr>
          <w:rFonts w:ascii="Times New Roman" w:eastAsia="Times New Roman" w:hAnsi="Times New Roman" w:cs="Times New Roman"/>
          <w:i/>
          <w:kern w:val="0"/>
          <w:sz w:val="24"/>
          <w:szCs w:val="24"/>
          <w:lang w:val="en-US"/>
          <w14:ligatures w14:val="none"/>
        </w:rPr>
        <w:t>International Journal of Dairy Technology, 72</w:t>
      </w:r>
      <w:r>
        <w:rPr>
          <w:rFonts w:ascii="Times New Roman" w:eastAsia="Times New Roman" w:hAnsi="Times New Roman" w:cs="Times New Roman"/>
          <w:kern w:val="0"/>
          <w:sz w:val="24"/>
          <w:szCs w:val="24"/>
          <w:lang w:val="en-US"/>
          <w14:ligatures w14:val="none"/>
        </w:rPr>
        <w:t>(1), 120–131. https://doi.org/10.1111/1471-0307.12567</w:t>
      </w:r>
    </w:p>
    <w:p w14:paraId="432F9DBF" w14:textId="77777777" w:rsidR="00423F3D"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sz w:val="24"/>
          <w:highlight w:val="yellow"/>
        </w:rPr>
        <w:lastRenderedPageBreak/>
        <w:t xml:space="preserve">Asejeje, F. O., Ajayi, B. O., Abiola, M. A., Samuel, O., Asejeje, G. I., Ajiboye, E. O., &amp; Ajayi, A. M. (2022). Sodium benzoate induces neurobehavioral deficits and brain oxido-inflammatory stress in male Wistar rats: Ameliorative role of ascorbic acid. </w:t>
      </w:r>
      <w:r>
        <w:rPr>
          <w:rFonts w:ascii="Times New Roman" w:eastAsia="Times New Roman" w:hAnsi="Times New Roman" w:cs="Times New Roman"/>
          <w:i/>
          <w:sz w:val="24"/>
          <w:highlight w:val="yellow"/>
        </w:rPr>
        <w:t>Journal of Biochemical and Molecular Toxicology, 36</w:t>
      </w:r>
      <w:r>
        <w:rPr>
          <w:rFonts w:ascii="Times New Roman" w:eastAsia="Times New Roman" w:hAnsi="Times New Roman" w:cs="Times New Roman"/>
          <w:sz w:val="24"/>
          <w:highlight w:val="yellow"/>
        </w:rPr>
        <w:t>(5), e23010. https://doi.org/10.1002/jbt.23010</w:t>
      </w:r>
    </w:p>
    <w:p w14:paraId="14C384ED"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Boughroud, H., Chgari, O., Wahnou, H., El Amrani, A., El Faqer, O., Amarir, F., Mtairag, E. M., Rais, S., &amp; Bourjilat, F. (2025). Assessing </w:t>
      </w:r>
      <w:r>
        <w:rPr>
          <w:rFonts w:ascii="Times New Roman" w:eastAsia="Times New Roman" w:hAnsi="Times New Roman" w:cs="Times New Roman"/>
          <w:i/>
          <w:kern w:val="0"/>
          <w:sz w:val="24"/>
          <w:szCs w:val="24"/>
          <w:lang w:val="en-US"/>
          <w14:ligatures w14:val="none"/>
        </w:rPr>
        <w:t>Syzygium aromaticum</w:t>
      </w:r>
      <w:r>
        <w:rPr>
          <w:rFonts w:ascii="Times New Roman" w:eastAsia="Times New Roman" w:hAnsi="Times New Roman" w:cs="Times New Roman"/>
          <w:kern w:val="0"/>
          <w:sz w:val="24"/>
          <w:szCs w:val="24"/>
          <w:lang w:val="en-US"/>
          <w14:ligatures w14:val="none"/>
        </w:rPr>
        <w:t xml:space="preserve">: From chemical profiling to antioxidant, antistaphylococcal, and biocompatibility attributes. </w:t>
      </w:r>
      <w:r>
        <w:rPr>
          <w:rFonts w:ascii="Times New Roman" w:eastAsia="Times New Roman" w:hAnsi="Times New Roman" w:cs="Times New Roman"/>
          <w:i/>
          <w:kern w:val="0"/>
          <w:sz w:val="24"/>
          <w:szCs w:val="24"/>
          <w:lang w:val="en-US"/>
          <w14:ligatures w14:val="none"/>
        </w:rPr>
        <w:t>Chemistry &amp; Biodiversity, 22</w:t>
      </w:r>
      <w:r>
        <w:rPr>
          <w:rFonts w:ascii="Times New Roman" w:eastAsia="Times New Roman" w:hAnsi="Times New Roman" w:cs="Times New Roman"/>
          <w:kern w:val="0"/>
          <w:sz w:val="24"/>
          <w:szCs w:val="24"/>
          <w:lang w:val="en-US"/>
          <w14:ligatures w14:val="none"/>
        </w:rPr>
        <w:t>(4), e202402605. https://doi.org/10.1002/cbdv.202402605</w:t>
      </w:r>
    </w:p>
    <w:p w14:paraId="2BCF3817"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highlight w:val="yellow"/>
          <w:lang w:val="en-US"/>
          <w14:ligatures w14:val="none"/>
        </w:rPr>
        <w:t xml:space="preserve">Bradford, M. M. (1976). A rapid and sensitive method for the quantitation of microgram quantities of protein utilizing the principle of protein-dye binding. </w:t>
      </w:r>
      <w:r>
        <w:rPr>
          <w:rFonts w:ascii="Times New Roman" w:eastAsia="Times New Roman" w:hAnsi="Times New Roman" w:cs="Times New Roman"/>
          <w:i/>
          <w:kern w:val="0"/>
          <w:sz w:val="24"/>
          <w:szCs w:val="24"/>
          <w:highlight w:val="yellow"/>
          <w:lang w:val="en-US"/>
          <w14:ligatures w14:val="none"/>
        </w:rPr>
        <w:t>Analytical Biochemistry, 72</w:t>
      </w:r>
      <w:r>
        <w:rPr>
          <w:rFonts w:ascii="Times New Roman" w:eastAsia="Times New Roman" w:hAnsi="Times New Roman" w:cs="Times New Roman"/>
          <w:kern w:val="0"/>
          <w:sz w:val="24"/>
          <w:szCs w:val="24"/>
          <w:highlight w:val="yellow"/>
          <w:lang w:val="en-US"/>
          <w14:ligatures w14:val="none"/>
        </w:rPr>
        <w:t>, 248–254. https://doi.org/10.1016/0003-2697(76)90527-3</w:t>
      </w:r>
    </w:p>
    <w:p w14:paraId="47A7827A"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highlight w:val="yellow"/>
          <w:lang w:val="en-US"/>
          <w14:ligatures w14:val="none"/>
        </w:rPr>
        <w:t xml:space="preserve">Dahiru, N., Paliwal, R., Madungurum, M. A., Abubakar, A. S., &amp; Abdullahi, B. (2022). Study on antioxidant property of </w:t>
      </w:r>
      <w:r>
        <w:rPr>
          <w:rFonts w:ascii="Times New Roman" w:eastAsia="Times New Roman" w:hAnsi="Times New Roman" w:cs="Times New Roman"/>
          <w:i/>
          <w:kern w:val="0"/>
          <w:sz w:val="24"/>
          <w:szCs w:val="24"/>
          <w:highlight w:val="yellow"/>
          <w:lang w:val="en-US"/>
          <w14:ligatures w14:val="none"/>
        </w:rPr>
        <w:t>Syzygium aromaticum</w:t>
      </w:r>
      <w:r>
        <w:rPr>
          <w:rFonts w:ascii="Times New Roman" w:eastAsia="Times New Roman" w:hAnsi="Times New Roman" w:cs="Times New Roman"/>
          <w:kern w:val="0"/>
          <w:sz w:val="24"/>
          <w:szCs w:val="24"/>
          <w:highlight w:val="yellow"/>
          <w:lang w:val="en-US"/>
          <w14:ligatures w14:val="none"/>
        </w:rPr>
        <w:t xml:space="preserve"> (clove). </w:t>
      </w:r>
      <w:r>
        <w:rPr>
          <w:rFonts w:ascii="Times New Roman" w:eastAsia="Times New Roman" w:hAnsi="Times New Roman" w:cs="Times New Roman"/>
          <w:i/>
          <w:kern w:val="0"/>
          <w:sz w:val="24"/>
          <w:szCs w:val="24"/>
          <w:highlight w:val="yellow"/>
          <w:lang w:val="en-US"/>
          <w14:ligatures w14:val="none"/>
        </w:rPr>
        <w:t>Journal of Biochemistry, Microbiology and Biotechnology, 10</w:t>
      </w:r>
      <w:r>
        <w:rPr>
          <w:rFonts w:ascii="Times New Roman" w:eastAsia="Times New Roman" w:hAnsi="Times New Roman" w:cs="Times New Roman"/>
          <w:kern w:val="0"/>
          <w:sz w:val="24"/>
          <w:szCs w:val="24"/>
          <w:highlight w:val="yellow"/>
          <w:lang w:val="en-US"/>
          <w14:ligatures w14:val="none"/>
        </w:rPr>
        <w:t>(1), 13–16. https://doi.org/10.54987/jobimb.v10i1.657</w:t>
      </w:r>
    </w:p>
    <w:p w14:paraId="00455E09"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Ellman, G. L. (1959). Tissue sulfhydryl groups. </w:t>
      </w:r>
      <w:r>
        <w:rPr>
          <w:rFonts w:ascii="Times New Roman" w:eastAsia="Times New Roman" w:hAnsi="Times New Roman" w:cs="Times New Roman"/>
          <w:i/>
          <w:kern w:val="0"/>
          <w:sz w:val="24"/>
          <w:szCs w:val="24"/>
          <w:lang w:val="en-US"/>
          <w14:ligatures w14:val="none"/>
        </w:rPr>
        <w:t>Archives of Biochemistry and Biophysics, 82</w:t>
      </w:r>
      <w:r>
        <w:rPr>
          <w:rFonts w:ascii="Times New Roman" w:eastAsia="Times New Roman" w:hAnsi="Times New Roman" w:cs="Times New Roman"/>
          <w:kern w:val="0"/>
          <w:sz w:val="24"/>
          <w:szCs w:val="24"/>
          <w:lang w:val="en-US"/>
          <w14:ligatures w14:val="none"/>
        </w:rPr>
        <w:t>(1), 70–77. https://doi.org/10.1016/0003-9861(59)90090-6</w:t>
      </w:r>
    </w:p>
    <w:p w14:paraId="00353F56"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Falade, A. O., Adewole, K. E., Adekola, A.-R. O., Ikokoh, H. A., Okaiyeto, K., &amp; Oguntibeju, O. O. (2022). Aqueous extract of bay leaf (</w:t>
      </w:r>
      <w:r>
        <w:rPr>
          <w:rFonts w:ascii="Times New Roman" w:eastAsia="Times New Roman" w:hAnsi="Times New Roman" w:cs="Times New Roman"/>
          <w:i/>
          <w:kern w:val="0"/>
          <w:sz w:val="24"/>
          <w:szCs w:val="24"/>
          <w:lang w:val="en-US"/>
          <w14:ligatures w14:val="none"/>
        </w:rPr>
        <w:t>Laurus nobilis</w:t>
      </w:r>
      <w:r>
        <w:rPr>
          <w:rFonts w:ascii="Times New Roman" w:eastAsia="Times New Roman" w:hAnsi="Times New Roman" w:cs="Times New Roman"/>
          <w:kern w:val="0"/>
          <w:sz w:val="24"/>
          <w:szCs w:val="24"/>
          <w:lang w:val="en-US"/>
          <w14:ligatures w14:val="none"/>
        </w:rPr>
        <w:t xml:space="preserve">) ameliorates testicular toxicity induced by aluminum chloride in rats. </w:t>
      </w:r>
      <w:r>
        <w:rPr>
          <w:rFonts w:ascii="Times New Roman" w:eastAsia="Times New Roman" w:hAnsi="Times New Roman" w:cs="Times New Roman"/>
          <w:i/>
          <w:kern w:val="0"/>
          <w:sz w:val="24"/>
          <w:szCs w:val="24"/>
          <w:lang w:val="en-US"/>
          <w14:ligatures w14:val="none"/>
        </w:rPr>
        <w:t>Veterinary World, 15</w:t>
      </w:r>
      <w:r>
        <w:rPr>
          <w:rFonts w:ascii="Times New Roman" w:eastAsia="Times New Roman" w:hAnsi="Times New Roman" w:cs="Times New Roman"/>
          <w:kern w:val="0"/>
          <w:sz w:val="24"/>
          <w:szCs w:val="24"/>
          <w:lang w:val="en-US"/>
          <w14:ligatures w14:val="none"/>
        </w:rPr>
        <w:t>(11), 2525–2534. https://doi.org/10.14202/vetworld.2022.2525-2534</w:t>
      </w:r>
    </w:p>
    <w:p w14:paraId="15CB8556"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Hamza, T. A., &amp; Hadwan, M. H. (2020). New spectrophotometric method for the assessment of catalase enzyme activity in biological tissues. </w:t>
      </w:r>
      <w:r>
        <w:rPr>
          <w:rFonts w:ascii="Times New Roman" w:eastAsia="Times New Roman" w:hAnsi="Times New Roman" w:cs="Times New Roman"/>
          <w:i/>
          <w:kern w:val="0"/>
          <w:sz w:val="24"/>
          <w:szCs w:val="24"/>
          <w:lang w:val="en-US"/>
          <w14:ligatures w14:val="none"/>
        </w:rPr>
        <w:t>Current Analytical Chemistry, 16</w:t>
      </w:r>
      <w:r>
        <w:rPr>
          <w:rFonts w:ascii="Times New Roman" w:eastAsia="Times New Roman" w:hAnsi="Times New Roman" w:cs="Times New Roman"/>
          <w:kern w:val="0"/>
          <w:sz w:val="24"/>
          <w:szCs w:val="24"/>
          <w:lang w:val="en-US"/>
          <w14:ligatures w14:val="none"/>
        </w:rPr>
        <w:t>(8), 1054–1062. https://doi.org/10.2174/1573411016666200116091238</w:t>
      </w:r>
    </w:p>
    <w:p w14:paraId="3BC6F3D8"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Iroha, T. A., Agene, K. R., &amp; Onyegeme-Okerenta, B. M. (2026). Pharmacological study of flower bud extract of </w:t>
      </w:r>
      <w:r>
        <w:rPr>
          <w:rFonts w:ascii="Times New Roman" w:eastAsia="Times New Roman" w:hAnsi="Times New Roman" w:cs="Times New Roman"/>
          <w:i/>
          <w:kern w:val="0"/>
          <w:sz w:val="24"/>
          <w:szCs w:val="24"/>
          <w:lang w:val="en-US"/>
          <w14:ligatures w14:val="none"/>
        </w:rPr>
        <w:t>Syzygium aromaticum</w:t>
      </w:r>
      <w:r>
        <w:rPr>
          <w:rFonts w:ascii="Times New Roman" w:eastAsia="Times New Roman" w:hAnsi="Times New Roman" w:cs="Times New Roman"/>
          <w:kern w:val="0"/>
          <w:sz w:val="24"/>
          <w:szCs w:val="24"/>
          <w:lang w:val="en-US"/>
          <w14:ligatures w14:val="none"/>
        </w:rPr>
        <w:t xml:space="preserve"> (clove) in modulating weight, oxidative stress and glycaemic indices in alloxan-induced diabetic rats. </w:t>
      </w:r>
      <w:r>
        <w:rPr>
          <w:rFonts w:ascii="Times New Roman" w:eastAsia="Times New Roman" w:hAnsi="Times New Roman" w:cs="Times New Roman"/>
          <w:i/>
          <w:kern w:val="0"/>
          <w:sz w:val="24"/>
          <w:szCs w:val="24"/>
          <w:lang w:val="en-US"/>
          <w14:ligatures w14:val="none"/>
        </w:rPr>
        <w:t>International Journal of Biochemistry Research &amp; Review, 35</w:t>
      </w:r>
      <w:r>
        <w:rPr>
          <w:rFonts w:ascii="Times New Roman" w:eastAsia="Times New Roman" w:hAnsi="Times New Roman" w:cs="Times New Roman"/>
          <w:kern w:val="0"/>
          <w:sz w:val="24"/>
          <w:szCs w:val="24"/>
          <w:lang w:val="en-US"/>
          <w14:ligatures w14:val="none"/>
        </w:rPr>
        <w:t xml:space="preserve">(1), </w:t>
      </w:r>
      <w:r>
        <w:rPr>
          <w:rFonts w:ascii="Times New Roman" w:eastAsia="Times New Roman" w:hAnsi="Times New Roman" w:cs="Times New Roman"/>
          <w:kern w:val="0"/>
          <w:sz w:val="24"/>
          <w:szCs w:val="24"/>
          <w:highlight w:val="yellow"/>
          <w:lang w:val="en-US"/>
          <w14:ligatures w14:val="none"/>
        </w:rPr>
        <w:t>149–162</w:t>
      </w:r>
      <w:r>
        <w:rPr>
          <w:rFonts w:ascii="Times New Roman" w:eastAsia="Times New Roman" w:hAnsi="Times New Roman" w:cs="Times New Roman"/>
          <w:kern w:val="0"/>
          <w:sz w:val="24"/>
          <w:szCs w:val="24"/>
          <w:lang w:val="en-US"/>
          <w14:ligatures w14:val="none"/>
        </w:rPr>
        <w:t>. https://doi.org/10.9734/ijbcrr/2026/v35i11095</w:t>
      </w:r>
    </w:p>
    <w:p w14:paraId="5A8581D6"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Jorge, B. C., Reis, A. C. C., Sterde, É. T., Balin, P. D. S., Scarano, W. R., Hisano, H., &amp; Arena, A. C. (2021). Exposure to benzo(a)pyrene from juvenile period to peripubertal impairs male reproductive parameters in adult rats. </w:t>
      </w:r>
      <w:r>
        <w:rPr>
          <w:rFonts w:ascii="Times New Roman" w:eastAsia="Times New Roman" w:hAnsi="Times New Roman" w:cs="Times New Roman"/>
          <w:i/>
          <w:kern w:val="0"/>
          <w:sz w:val="24"/>
          <w:szCs w:val="24"/>
          <w:lang w:val="en-US"/>
          <w14:ligatures w14:val="none"/>
        </w:rPr>
        <w:t>Chemosphere, 263</w:t>
      </w:r>
      <w:r>
        <w:rPr>
          <w:rFonts w:ascii="Times New Roman" w:eastAsia="Times New Roman" w:hAnsi="Times New Roman" w:cs="Times New Roman"/>
          <w:kern w:val="0"/>
          <w:sz w:val="24"/>
          <w:szCs w:val="24"/>
          <w:lang w:val="en-US"/>
          <w14:ligatures w14:val="none"/>
        </w:rPr>
        <w:t>, Article 128016. https://doi.org/10.1016/j.chemosphere.2020.128016</w:t>
      </w:r>
    </w:p>
    <w:p w14:paraId="4ED2CF06"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Jorge, B. C., Reis, A. C. C., Stein, J., Paschoalini, B. R., Bueno, J. N., Moreira, S. S., Godoi, A. R., Fioravante, V. C., Martinez, F. E., Pinheiro, P. F. F., &amp; Arena, A. C. (2024). A low dose of benzo(a)pyrene during prepuberty in male rats generated immediate oxidative stress in the testes and compromised steroidogenic enzymes/proteins. </w:t>
      </w:r>
      <w:r>
        <w:rPr>
          <w:rFonts w:ascii="Times New Roman" w:eastAsia="Times New Roman" w:hAnsi="Times New Roman" w:cs="Times New Roman"/>
          <w:i/>
          <w:kern w:val="0"/>
          <w:sz w:val="24"/>
          <w:szCs w:val="24"/>
          <w:lang w:val="en-US"/>
          <w14:ligatures w14:val="none"/>
        </w:rPr>
        <w:t>Reproductive Toxicology, 124</w:t>
      </w:r>
      <w:r>
        <w:rPr>
          <w:rFonts w:ascii="Times New Roman" w:eastAsia="Times New Roman" w:hAnsi="Times New Roman" w:cs="Times New Roman"/>
          <w:kern w:val="0"/>
          <w:sz w:val="24"/>
          <w:szCs w:val="24"/>
          <w:lang w:val="en-US"/>
          <w14:ligatures w14:val="none"/>
        </w:rPr>
        <w:t>, 108549. https://doi.org/10.1016/j.reprotox.2024.108549</w:t>
      </w:r>
    </w:p>
    <w:p w14:paraId="085D02AF"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Kadhim, A., Ben Slima, A., Alneamah, G., &amp; Makni, M. (2024). Assessment of histopathological alterations and oxidative stress in the liver and kidney of male rats </w:t>
      </w:r>
      <w:r>
        <w:rPr>
          <w:rFonts w:ascii="Times New Roman" w:eastAsia="Times New Roman" w:hAnsi="Times New Roman" w:cs="Times New Roman"/>
          <w:kern w:val="0"/>
          <w:sz w:val="24"/>
          <w:szCs w:val="24"/>
          <w:lang w:val="en-US"/>
          <w14:ligatures w14:val="none"/>
        </w:rPr>
        <w:lastRenderedPageBreak/>
        <w:t xml:space="preserve">following exposure to aluminum chloride. </w:t>
      </w:r>
      <w:r>
        <w:rPr>
          <w:rFonts w:ascii="Times New Roman" w:eastAsia="Times New Roman" w:hAnsi="Times New Roman" w:cs="Times New Roman"/>
          <w:i/>
          <w:kern w:val="0"/>
          <w:sz w:val="24"/>
          <w:szCs w:val="24"/>
          <w:lang w:val="en-US"/>
          <w14:ligatures w14:val="none"/>
        </w:rPr>
        <w:t>Journal of Toxicology, 2024</w:t>
      </w:r>
      <w:r>
        <w:rPr>
          <w:rFonts w:ascii="Times New Roman" w:eastAsia="Times New Roman" w:hAnsi="Times New Roman" w:cs="Times New Roman"/>
          <w:kern w:val="0"/>
          <w:sz w:val="24"/>
          <w:szCs w:val="24"/>
          <w:lang w:val="en-US"/>
          <w14:ligatures w14:val="none"/>
        </w:rPr>
        <w:t>, Article 3997463. https://doi.org/10.1155/2024/3997463</w:t>
      </w:r>
    </w:p>
    <w:p w14:paraId="733C9D75"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Mannucci, A., Argento, F. R., Fini, E., Coccia, M. E., Taddei, N., Becatti, M., &amp; Fiorillo, C. (2022). The impact of oxidative stress in male infertility. </w:t>
      </w:r>
      <w:r>
        <w:rPr>
          <w:rFonts w:ascii="Times New Roman" w:eastAsia="Times New Roman" w:hAnsi="Times New Roman" w:cs="Times New Roman"/>
          <w:i/>
          <w:kern w:val="0"/>
          <w:sz w:val="24"/>
          <w:szCs w:val="24"/>
          <w:lang w:val="en-US"/>
          <w14:ligatures w14:val="none"/>
        </w:rPr>
        <w:t>Frontiers in Molecular Biosciences, 8</w:t>
      </w:r>
      <w:r>
        <w:rPr>
          <w:rFonts w:ascii="Times New Roman" w:eastAsia="Times New Roman" w:hAnsi="Times New Roman" w:cs="Times New Roman"/>
          <w:kern w:val="0"/>
          <w:sz w:val="24"/>
          <w:szCs w:val="24"/>
          <w:lang w:val="en-US"/>
          <w14:ligatures w14:val="none"/>
        </w:rPr>
        <w:t>, Article 799294. https://doi.org/10.3389/fmolb.2021.799294</w:t>
      </w:r>
    </w:p>
    <w:p w14:paraId="77717FF2"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Mitra, S., Chakraborty, A. J., Tareq, A. M., Emran, T. B., Nainu, F., Khusro, A., Idris, A. M., Khandaker, M. U., Osman, H., Alhumaydhi, F. A., &amp; Simal-Gandara, J. (2022). Impact of heavy metals on the environment and human health: Novel therapeutic insights to counter the toxicity. </w:t>
      </w:r>
      <w:r>
        <w:rPr>
          <w:rFonts w:ascii="Times New Roman" w:eastAsia="Times New Roman" w:hAnsi="Times New Roman" w:cs="Times New Roman"/>
          <w:i/>
          <w:kern w:val="0"/>
          <w:sz w:val="24"/>
          <w:szCs w:val="24"/>
          <w:lang w:val="en-US"/>
          <w14:ligatures w14:val="none"/>
        </w:rPr>
        <w:t>Journal of King Saud University - Science, 34</w:t>
      </w:r>
      <w:r>
        <w:rPr>
          <w:rFonts w:ascii="Times New Roman" w:eastAsia="Times New Roman" w:hAnsi="Times New Roman" w:cs="Times New Roman"/>
          <w:kern w:val="0"/>
          <w:sz w:val="24"/>
          <w:szCs w:val="24"/>
          <w:lang w:val="en-US"/>
          <w14:ligatures w14:val="none"/>
        </w:rPr>
        <w:t>(3), Article 101865. https://doi.org/10.1016/j.jksus.2022.101865</w:t>
      </w:r>
    </w:p>
    <w:p w14:paraId="58465D3A"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Nisar, M. F., Khadim, M., Rafiq, M., Chen, J., Yang, Y., &amp; Wan, C. C. (2021). Pharmacological properties and health benefits of eugenol: A comprehensive review. </w:t>
      </w:r>
      <w:r>
        <w:rPr>
          <w:rFonts w:ascii="Times New Roman" w:eastAsia="Times New Roman" w:hAnsi="Times New Roman" w:cs="Times New Roman"/>
          <w:i/>
          <w:kern w:val="0"/>
          <w:sz w:val="24"/>
          <w:szCs w:val="24"/>
          <w:lang w:val="en-US"/>
          <w14:ligatures w14:val="none"/>
        </w:rPr>
        <w:t>Oxidative Medicine and Cellular Longevity, 2021</w:t>
      </w:r>
      <w:r>
        <w:rPr>
          <w:rFonts w:ascii="Times New Roman" w:eastAsia="Times New Roman" w:hAnsi="Times New Roman" w:cs="Times New Roman"/>
          <w:kern w:val="0"/>
          <w:sz w:val="24"/>
          <w:szCs w:val="24"/>
          <w:lang w:val="en-US"/>
          <w14:ligatures w14:val="none"/>
        </w:rPr>
        <w:t>, Article 2497354. https://doi.org/10.1155/2021/2497354</w:t>
      </w:r>
    </w:p>
    <w:p w14:paraId="1E734CB8"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Olanrewaju, J. A., Akinpade, T. G., Olatunji, S. Y., Owolabi, J. O., Enya, J. I., Adelodun, S. T., Fabiyi, S. O., &amp; Desalu, A. B. (2021). Observable protective activities of quercetin on aluminum chloride-induced testicular toxicity in adult male Wistar rat. </w:t>
      </w:r>
      <w:r>
        <w:rPr>
          <w:rFonts w:ascii="Times New Roman" w:eastAsia="Times New Roman" w:hAnsi="Times New Roman" w:cs="Times New Roman"/>
          <w:i/>
          <w:kern w:val="0"/>
          <w:sz w:val="24"/>
          <w:szCs w:val="24"/>
          <w:lang w:val="en-US"/>
          <w14:ligatures w14:val="none"/>
        </w:rPr>
        <w:t>Journal of Human Reproductive Sciences, 14</w:t>
      </w:r>
      <w:r>
        <w:rPr>
          <w:rFonts w:ascii="Times New Roman" w:eastAsia="Times New Roman" w:hAnsi="Times New Roman" w:cs="Times New Roman"/>
          <w:kern w:val="0"/>
          <w:sz w:val="24"/>
          <w:szCs w:val="24"/>
          <w:lang w:val="en-US"/>
          <w14:ligatures w14:val="none"/>
        </w:rPr>
        <w:t>(2), 113–120. https://doi.org/10.4103/jhrs.jhrs_190_20</w:t>
      </w:r>
    </w:p>
    <w:p w14:paraId="4852EFBB"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Ounaceur, L. S., Bouacha, M., Taguida, O., Djaber, N., Messarah, M., &amp; Boumendjel, A. (2023). Chemical composition, antioxidant and antimicrobial activities of the aqueous extract of </w:t>
      </w:r>
      <w:r>
        <w:rPr>
          <w:rFonts w:ascii="Times New Roman" w:eastAsia="Times New Roman" w:hAnsi="Times New Roman" w:cs="Times New Roman"/>
          <w:i/>
          <w:kern w:val="0"/>
          <w:sz w:val="24"/>
          <w:szCs w:val="24"/>
          <w:lang w:val="en-US"/>
          <w14:ligatures w14:val="none"/>
        </w:rPr>
        <w:t>Syzygium aromaticum</w:t>
      </w:r>
      <w:r>
        <w:rPr>
          <w:rFonts w:ascii="Times New Roman" w:eastAsia="Times New Roman" w:hAnsi="Times New Roman" w:cs="Times New Roman"/>
          <w:kern w:val="0"/>
          <w:sz w:val="24"/>
          <w:szCs w:val="24"/>
          <w:lang w:val="en-US"/>
          <w14:ligatures w14:val="none"/>
        </w:rPr>
        <w:t xml:space="preserve"> (clove) from Indonesia. </w:t>
      </w:r>
      <w:r>
        <w:rPr>
          <w:rFonts w:ascii="Times New Roman" w:eastAsia="Times New Roman" w:hAnsi="Times New Roman" w:cs="Times New Roman"/>
          <w:i/>
          <w:kern w:val="0"/>
          <w:sz w:val="24"/>
          <w:szCs w:val="24"/>
          <w:lang w:val="en-US"/>
          <w14:ligatures w14:val="none"/>
        </w:rPr>
        <w:t>Uttar Pradesh Journal of Zoology, 44</w:t>
      </w:r>
      <w:r>
        <w:rPr>
          <w:rFonts w:ascii="Times New Roman" w:eastAsia="Times New Roman" w:hAnsi="Times New Roman" w:cs="Times New Roman"/>
          <w:kern w:val="0"/>
          <w:sz w:val="24"/>
          <w:szCs w:val="24"/>
          <w:lang w:val="en-US"/>
          <w14:ligatures w14:val="none"/>
        </w:rPr>
        <w:t xml:space="preserve">(21), </w:t>
      </w:r>
      <w:r>
        <w:rPr>
          <w:rFonts w:ascii="Times New Roman" w:eastAsia="Times New Roman" w:hAnsi="Times New Roman" w:cs="Times New Roman"/>
          <w:kern w:val="0"/>
          <w:sz w:val="24"/>
          <w:szCs w:val="24"/>
          <w:highlight w:val="yellow"/>
          <w:lang w:val="en-US"/>
          <w14:ligatures w14:val="none"/>
        </w:rPr>
        <w:t>178–191</w:t>
      </w:r>
      <w:r>
        <w:rPr>
          <w:rFonts w:ascii="Times New Roman" w:eastAsia="Times New Roman" w:hAnsi="Times New Roman" w:cs="Times New Roman"/>
          <w:kern w:val="0"/>
          <w:sz w:val="24"/>
          <w:szCs w:val="24"/>
          <w:lang w:val="en-US"/>
          <w14:ligatures w14:val="none"/>
        </w:rPr>
        <w:t>. https://doi.org/10.56557/upjoz/2023/v44i213686</w:t>
      </w:r>
    </w:p>
    <w:p w14:paraId="30C3BE50"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highlight w:val="yellow"/>
          <w:lang w:val="en-US"/>
          <w14:ligatures w14:val="none"/>
        </w:rPr>
        <w:t xml:space="preserve">Rajeswari, T. R., &amp; Sailaja, N. (2014). Impact of heavy metals on environmental pollution. </w:t>
      </w:r>
      <w:r>
        <w:rPr>
          <w:rFonts w:ascii="Times New Roman" w:eastAsia="Times New Roman" w:hAnsi="Times New Roman" w:cs="Times New Roman"/>
          <w:i/>
          <w:kern w:val="0"/>
          <w:sz w:val="24"/>
          <w:szCs w:val="24"/>
          <w:highlight w:val="yellow"/>
          <w:lang w:val="en-US"/>
          <w14:ligatures w14:val="none"/>
        </w:rPr>
        <w:t>Journal of Chemical and Pharmaceutical Sciences, Special Issue 3</w:t>
      </w:r>
      <w:r>
        <w:rPr>
          <w:rFonts w:ascii="Times New Roman" w:eastAsia="Times New Roman" w:hAnsi="Times New Roman" w:cs="Times New Roman"/>
          <w:kern w:val="0"/>
          <w:sz w:val="24"/>
          <w:szCs w:val="24"/>
          <w:highlight w:val="yellow"/>
          <w:lang w:val="en-US"/>
          <w14:ligatures w14:val="none"/>
        </w:rPr>
        <w:t>, 175–181. https://jchps.com/specialissues/Special%20issue3/42%20jchps%20si3%20addn%20sailaja%20175-181.pdf</w:t>
      </w:r>
    </w:p>
    <w:p w14:paraId="6068D3AF"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Sattar, A. A., Matin, A. A., Hadwan, M. H., Hadwan, A. M., &amp; Mohammed, R. M. (2024). Rapid and effective protocol to measure glutathione peroxidase activity. </w:t>
      </w:r>
      <w:r>
        <w:rPr>
          <w:rFonts w:ascii="Times New Roman" w:eastAsia="Times New Roman" w:hAnsi="Times New Roman" w:cs="Times New Roman"/>
          <w:i/>
          <w:kern w:val="0"/>
          <w:sz w:val="24"/>
          <w:szCs w:val="24"/>
          <w:lang w:val="en-US"/>
          <w14:ligatures w14:val="none"/>
        </w:rPr>
        <w:t>Bulletin of the National Research Centre, 48</w:t>
      </w:r>
      <w:r>
        <w:rPr>
          <w:rFonts w:ascii="Times New Roman" w:eastAsia="Times New Roman" w:hAnsi="Times New Roman" w:cs="Times New Roman"/>
          <w:kern w:val="0"/>
          <w:sz w:val="24"/>
          <w:szCs w:val="24"/>
          <w:lang w:val="en-US"/>
          <w14:ligatures w14:val="none"/>
        </w:rPr>
        <w:t>, Article 100. https://doi.org/10.1186/s42269-024-01250-x</w:t>
      </w:r>
    </w:p>
    <w:p w14:paraId="308DCB80"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Sun, Y., Oberley, L. W., &amp; Li, Y. (1988). A simple method for clinical assay of superoxide dismutase. </w:t>
      </w:r>
      <w:r>
        <w:rPr>
          <w:rFonts w:ascii="Times New Roman" w:eastAsia="Times New Roman" w:hAnsi="Times New Roman" w:cs="Times New Roman"/>
          <w:i/>
          <w:kern w:val="0"/>
          <w:sz w:val="24"/>
          <w:szCs w:val="24"/>
          <w:lang w:val="en-US"/>
          <w14:ligatures w14:val="none"/>
        </w:rPr>
        <w:t>Clinical Chemistry, 34</w:t>
      </w:r>
      <w:r>
        <w:rPr>
          <w:rFonts w:ascii="Times New Roman" w:eastAsia="Times New Roman" w:hAnsi="Times New Roman" w:cs="Times New Roman"/>
          <w:kern w:val="0"/>
          <w:sz w:val="24"/>
          <w:szCs w:val="24"/>
          <w:lang w:val="en-US"/>
          <w14:ligatures w14:val="none"/>
        </w:rPr>
        <w:t>(3), 497–500. https://doi.org/10.1093/clinchem/34.3.497</w:t>
      </w:r>
    </w:p>
    <w:p w14:paraId="4AC4A8B1"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Taghipour, Z., Bahmanzadeh, M., &amp; Rahimi, R. (2023). The effects of clove and its constituents on reproductive system: A comprehensive review. </w:t>
      </w:r>
      <w:r>
        <w:rPr>
          <w:rFonts w:ascii="Times New Roman" w:eastAsia="Times New Roman" w:hAnsi="Times New Roman" w:cs="Times New Roman"/>
          <w:i/>
          <w:kern w:val="0"/>
          <w:sz w:val="24"/>
          <w:szCs w:val="24"/>
          <w:lang w:val="en-US"/>
          <w14:ligatures w14:val="none"/>
        </w:rPr>
        <w:t>Reproductive Sciences, 30</w:t>
      </w:r>
      <w:r>
        <w:rPr>
          <w:rFonts w:ascii="Times New Roman" w:eastAsia="Times New Roman" w:hAnsi="Times New Roman" w:cs="Times New Roman"/>
          <w:kern w:val="0"/>
          <w:sz w:val="24"/>
          <w:szCs w:val="24"/>
          <w:lang w:val="en-US"/>
          <w14:ligatures w14:val="none"/>
        </w:rPr>
        <w:t>(9), 2591–2614. https://doi.org/10.1007/s43032-023-01223-x</w:t>
      </w:r>
    </w:p>
    <w:p w14:paraId="75887B2B"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Traini, G., Tamburrino, L., Ragosta, M. E., Guarnieri, G., Morelli, A., Vignozzi, L., Baldi, E., &amp; Marchiani, S. (2023). Effects of benzo[a]pyrene on human sperm functions: An in vitro study. </w:t>
      </w:r>
      <w:r>
        <w:rPr>
          <w:rFonts w:ascii="Times New Roman" w:eastAsia="Times New Roman" w:hAnsi="Times New Roman" w:cs="Times New Roman"/>
          <w:i/>
          <w:kern w:val="0"/>
          <w:sz w:val="24"/>
          <w:szCs w:val="24"/>
          <w:lang w:val="en-US"/>
          <w14:ligatures w14:val="none"/>
        </w:rPr>
        <w:t>International Journal of Molecular Sciences, 24</w:t>
      </w:r>
      <w:r>
        <w:rPr>
          <w:rFonts w:ascii="Times New Roman" w:eastAsia="Times New Roman" w:hAnsi="Times New Roman" w:cs="Times New Roman"/>
          <w:kern w:val="0"/>
          <w:sz w:val="24"/>
          <w:szCs w:val="24"/>
          <w:lang w:val="en-US"/>
          <w14:ligatures w14:val="none"/>
        </w:rPr>
        <w:t>(19), Article 14411. https://doi.org/10.3390/ijms241914411</w:t>
      </w:r>
    </w:p>
    <w:p w14:paraId="0FEA1DE8"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lastRenderedPageBreak/>
        <w:t xml:space="preserve">Weyand, E. H., Chen, Y.-C., Wu, Y., Koganti, A., Dunsford, H. A., &amp; Rodriguez, L. V. (1995). Differences in the tumorigenic activity of a pure hydrocarbon and a complex mixture following ingestion: Benzo[a]pyrene vs. manufactured gas plant residue. </w:t>
      </w:r>
      <w:r>
        <w:rPr>
          <w:rFonts w:ascii="Times New Roman" w:eastAsia="Times New Roman" w:hAnsi="Times New Roman" w:cs="Times New Roman"/>
          <w:i/>
          <w:kern w:val="0"/>
          <w:sz w:val="24"/>
          <w:szCs w:val="24"/>
          <w:lang w:val="en-US"/>
          <w14:ligatures w14:val="none"/>
        </w:rPr>
        <w:t>Chemical Research in Toxicology, 8</w:t>
      </w:r>
      <w:r>
        <w:rPr>
          <w:rFonts w:ascii="Times New Roman" w:eastAsia="Times New Roman" w:hAnsi="Times New Roman" w:cs="Times New Roman"/>
          <w:kern w:val="0"/>
          <w:sz w:val="24"/>
          <w:szCs w:val="24"/>
          <w:lang w:val="en-US"/>
          <w14:ligatures w14:val="none"/>
        </w:rPr>
        <w:t>(7), 949–954. https://doi.org/10.1021/tx00049a008</w:t>
      </w:r>
    </w:p>
    <w:p w14:paraId="2389F55F"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Yu, C., &amp; Xiao, J.-H. (2021). The Keap1-Nrf2 system: A mediator between oxidative stress and aging. </w:t>
      </w:r>
      <w:r>
        <w:rPr>
          <w:rFonts w:ascii="Times New Roman" w:eastAsia="Times New Roman" w:hAnsi="Times New Roman" w:cs="Times New Roman"/>
          <w:i/>
          <w:kern w:val="0"/>
          <w:sz w:val="24"/>
          <w:szCs w:val="24"/>
          <w:lang w:val="en-US"/>
          <w14:ligatures w14:val="none"/>
        </w:rPr>
        <w:t>Oxidative Medicine and Cellular Longevity, 2021</w:t>
      </w:r>
      <w:r>
        <w:rPr>
          <w:rFonts w:ascii="Times New Roman" w:eastAsia="Times New Roman" w:hAnsi="Times New Roman" w:cs="Times New Roman"/>
          <w:kern w:val="0"/>
          <w:sz w:val="24"/>
          <w:szCs w:val="24"/>
          <w:lang w:val="en-US"/>
          <w14:ligatures w14:val="none"/>
        </w:rPr>
        <w:t>, Article 6635460. https://doi.org/10.1155/2021/6635460</w:t>
      </w:r>
    </w:p>
    <w:p w14:paraId="7E96F7CD" w14:textId="77777777" w:rsidR="005E281B" w:rsidRDefault="00000000">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Zeng, H., Fang, B., Hao, K., Wang, H., Zhang, L., Wang, M., Hao, Y., Wang, X., Wang, Q., Yang, W., &amp; Rong, S. (2022). Combined effects of exposure to polycyclic aromatic hydrocarbons and metals on oxidative stress among healthy adults in Caofeidian, China. </w:t>
      </w:r>
      <w:r>
        <w:rPr>
          <w:rFonts w:ascii="Times New Roman" w:eastAsia="Times New Roman" w:hAnsi="Times New Roman" w:cs="Times New Roman"/>
          <w:i/>
          <w:kern w:val="0"/>
          <w:sz w:val="24"/>
          <w:szCs w:val="24"/>
          <w:lang w:val="en-US"/>
          <w14:ligatures w14:val="none"/>
        </w:rPr>
        <w:t>Ecotoxicology and Environmental Safety, 230</w:t>
      </w:r>
      <w:r>
        <w:rPr>
          <w:rFonts w:ascii="Times New Roman" w:eastAsia="Times New Roman" w:hAnsi="Times New Roman" w:cs="Times New Roman"/>
          <w:kern w:val="0"/>
          <w:sz w:val="24"/>
          <w:szCs w:val="24"/>
          <w:lang w:val="en-US"/>
          <w14:ligatures w14:val="none"/>
        </w:rPr>
        <w:t>, Article 113168. https://doi.org/10.1016/j.ecoenv.2022.113168</w:t>
      </w:r>
    </w:p>
    <w:sectPr w:rsidR="005E281B">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D34EB" w14:textId="77777777" w:rsidR="00A953CE" w:rsidRDefault="00A953CE" w:rsidP="00CB706C">
      <w:pPr>
        <w:spacing w:after="0" w:line="240" w:lineRule="auto"/>
      </w:pPr>
      <w:r>
        <w:separator/>
      </w:r>
    </w:p>
  </w:endnote>
  <w:endnote w:type="continuationSeparator" w:id="0">
    <w:p w14:paraId="6B2237FF" w14:textId="77777777" w:rsidR="00A953CE" w:rsidRDefault="00A953CE" w:rsidP="00CB7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107028"/>
      <w:docPartObj>
        <w:docPartGallery w:val="Page Numbers (Bottom of Page)"/>
        <w:docPartUnique/>
      </w:docPartObj>
    </w:sdtPr>
    <w:sdtEndPr>
      <w:rPr>
        <w:color w:val="7F7F7F" w:themeColor="background1" w:themeShade="7F"/>
        <w:spacing w:val="60"/>
      </w:rPr>
    </w:sdtEndPr>
    <w:sdtContent>
      <w:p w14:paraId="79462C1F" w14:textId="77777777" w:rsidR="00CB706C" w:rsidRDefault="00CB706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1417A30B" w14:textId="77777777" w:rsidR="00CB706C" w:rsidRDefault="00CB70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BCBBF" w14:textId="77777777" w:rsidR="00A953CE" w:rsidRDefault="00A953CE" w:rsidP="00CB706C">
      <w:pPr>
        <w:spacing w:after="0" w:line="240" w:lineRule="auto"/>
      </w:pPr>
      <w:r>
        <w:separator/>
      </w:r>
    </w:p>
  </w:footnote>
  <w:footnote w:type="continuationSeparator" w:id="0">
    <w:p w14:paraId="495DA4D4" w14:textId="77777777" w:rsidR="00A953CE" w:rsidRDefault="00A953CE" w:rsidP="00CB70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D2C67"/>
    <w:multiLevelType w:val="multilevel"/>
    <w:tmpl w:val="FBF489E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7A5539"/>
    <w:multiLevelType w:val="multilevel"/>
    <w:tmpl w:val="8A5C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F33606"/>
    <w:multiLevelType w:val="multilevel"/>
    <w:tmpl w:val="716A5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8E3768"/>
    <w:multiLevelType w:val="hybridMultilevel"/>
    <w:tmpl w:val="7D4C721C"/>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16cid:durableId="965938600">
    <w:abstractNumId w:val="2"/>
  </w:num>
  <w:num w:numId="2" w16cid:durableId="743257217">
    <w:abstractNumId w:val="0"/>
  </w:num>
  <w:num w:numId="3" w16cid:durableId="1029992172">
    <w:abstractNumId w:val="1"/>
  </w:num>
  <w:num w:numId="4" w16cid:durableId="14916045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QzNDY2M7I0tDA3tTRX0lEKTi0uzszPAykwrAUA5zL8YCwAAAA="/>
  </w:docVars>
  <w:rsids>
    <w:rsidRoot w:val="003250BA"/>
    <w:rsid w:val="0006358B"/>
    <w:rsid w:val="000956F8"/>
    <w:rsid w:val="000A211D"/>
    <w:rsid w:val="000D57C8"/>
    <w:rsid w:val="00116B2C"/>
    <w:rsid w:val="00170D28"/>
    <w:rsid w:val="001F1377"/>
    <w:rsid w:val="00222CF6"/>
    <w:rsid w:val="0024526C"/>
    <w:rsid w:val="002C578A"/>
    <w:rsid w:val="002F3E79"/>
    <w:rsid w:val="003250BA"/>
    <w:rsid w:val="0033655D"/>
    <w:rsid w:val="00373486"/>
    <w:rsid w:val="003A46B6"/>
    <w:rsid w:val="003E5AEA"/>
    <w:rsid w:val="00412A19"/>
    <w:rsid w:val="00423F3D"/>
    <w:rsid w:val="00494E06"/>
    <w:rsid w:val="004D5966"/>
    <w:rsid w:val="005E281B"/>
    <w:rsid w:val="00614C73"/>
    <w:rsid w:val="0069107B"/>
    <w:rsid w:val="006B5DD8"/>
    <w:rsid w:val="006E2DDB"/>
    <w:rsid w:val="007351E0"/>
    <w:rsid w:val="00757C9C"/>
    <w:rsid w:val="00765A89"/>
    <w:rsid w:val="00774A37"/>
    <w:rsid w:val="007B5208"/>
    <w:rsid w:val="007C5C3A"/>
    <w:rsid w:val="007F1CC0"/>
    <w:rsid w:val="007F3E63"/>
    <w:rsid w:val="00875325"/>
    <w:rsid w:val="008C502F"/>
    <w:rsid w:val="009972B2"/>
    <w:rsid w:val="00A05859"/>
    <w:rsid w:val="00A23E89"/>
    <w:rsid w:val="00A73844"/>
    <w:rsid w:val="00A953CE"/>
    <w:rsid w:val="00AF6110"/>
    <w:rsid w:val="00B00250"/>
    <w:rsid w:val="00B459C5"/>
    <w:rsid w:val="00B57B8F"/>
    <w:rsid w:val="00BB5243"/>
    <w:rsid w:val="00C0046F"/>
    <w:rsid w:val="00C00D49"/>
    <w:rsid w:val="00C52647"/>
    <w:rsid w:val="00C6078E"/>
    <w:rsid w:val="00C8149E"/>
    <w:rsid w:val="00CA59B4"/>
    <w:rsid w:val="00CB706C"/>
    <w:rsid w:val="00D23853"/>
    <w:rsid w:val="00D523D2"/>
    <w:rsid w:val="00E937CB"/>
    <w:rsid w:val="00EF6CCD"/>
    <w:rsid w:val="00F21DAF"/>
    <w:rsid w:val="00F642E1"/>
    <w:rsid w:val="00F64C25"/>
    <w:rsid w:val="00FB360D"/>
    <w:rsid w:val="00FF12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FEBD4"/>
  <w15:chartTrackingRefBased/>
  <w15:docId w15:val="{78CE1A9D-6350-412D-9707-3C63D9A30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50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50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50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50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250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250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50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50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50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0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50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50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50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50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50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50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50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50BA"/>
    <w:rPr>
      <w:rFonts w:eastAsiaTheme="majorEastAsia" w:cstheme="majorBidi"/>
      <w:color w:val="272727" w:themeColor="text1" w:themeTint="D8"/>
    </w:rPr>
  </w:style>
  <w:style w:type="paragraph" w:styleId="Title">
    <w:name w:val="Title"/>
    <w:basedOn w:val="Normal"/>
    <w:next w:val="Normal"/>
    <w:link w:val="TitleChar"/>
    <w:uiPriority w:val="10"/>
    <w:qFormat/>
    <w:rsid w:val="003250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0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50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50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50BA"/>
    <w:pPr>
      <w:spacing w:before="160"/>
      <w:jc w:val="center"/>
    </w:pPr>
    <w:rPr>
      <w:i/>
      <w:iCs/>
      <w:color w:val="404040" w:themeColor="text1" w:themeTint="BF"/>
    </w:rPr>
  </w:style>
  <w:style w:type="character" w:customStyle="1" w:styleId="QuoteChar">
    <w:name w:val="Quote Char"/>
    <w:basedOn w:val="DefaultParagraphFont"/>
    <w:link w:val="Quote"/>
    <w:uiPriority w:val="29"/>
    <w:rsid w:val="003250BA"/>
    <w:rPr>
      <w:i/>
      <w:iCs/>
      <w:color w:val="404040" w:themeColor="text1" w:themeTint="BF"/>
    </w:rPr>
  </w:style>
  <w:style w:type="paragraph" w:styleId="ListParagraph">
    <w:name w:val="List Paragraph"/>
    <w:basedOn w:val="Normal"/>
    <w:uiPriority w:val="34"/>
    <w:qFormat/>
    <w:rsid w:val="003250BA"/>
    <w:pPr>
      <w:ind w:left="720"/>
      <w:contextualSpacing/>
    </w:pPr>
  </w:style>
  <w:style w:type="character" w:styleId="IntenseEmphasis">
    <w:name w:val="Intense Emphasis"/>
    <w:basedOn w:val="DefaultParagraphFont"/>
    <w:uiPriority w:val="21"/>
    <w:qFormat/>
    <w:rsid w:val="003250BA"/>
    <w:rPr>
      <w:i/>
      <w:iCs/>
      <w:color w:val="2F5496" w:themeColor="accent1" w:themeShade="BF"/>
    </w:rPr>
  </w:style>
  <w:style w:type="paragraph" w:styleId="IntenseQuote">
    <w:name w:val="Intense Quote"/>
    <w:basedOn w:val="Normal"/>
    <w:next w:val="Normal"/>
    <w:link w:val="IntenseQuoteChar"/>
    <w:uiPriority w:val="30"/>
    <w:qFormat/>
    <w:rsid w:val="003250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50BA"/>
    <w:rPr>
      <w:i/>
      <w:iCs/>
      <w:color w:val="2F5496" w:themeColor="accent1" w:themeShade="BF"/>
    </w:rPr>
  </w:style>
  <w:style w:type="character" w:styleId="IntenseReference">
    <w:name w:val="Intense Reference"/>
    <w:basedOn w:val="DefaultParagraphFont"/>
    <w:uiPriority w:val="32"/>
    <w:qFormat/>
    <w:rsid w:val="003250BA"/>
    <w:rPr>
      <w:b/>
      <w:bCs/>
      <w:smallCaps/>
      <w:color w:val="2F5496" w:themeColor="accent1" w:themeShade="BF"/>
      <w:spacing w:val="5"/>
    </w:rPr>
  </w:style>
  <w:style w:type="character" w:styleId="Hyperlink">
    <w:name w:val="Hyperlink"/>
    <w:basedOn w:val="DefaultParagraphFont"/>
    <w:uiPriority w:val="99"/>
    <w:unhideWhenUsed/>
    <w:rsid w:val="006E2DDB"/>
    <w:rPr>
      <w:color w:val="0563C1" w:themeColor="hyperlink"/>
      <w:u w:val="single"/>
    </w:rPr>
  </w:style>
  <w:style w:type="character" w:styleId="UnresolvedMention">
    <w:name w:val="Unresolved Mention"/>
    <w:basedOn w:val="DefaultParagraphFont"/>
    <w:uiPriority w:val="99"/>
    <w:semiHidden/>
    <w:unhideWhenUsed/>
    <w:rsid w:val="006E2DDB"/>
    <w:rPr>
      <w:color w:val="605E5C"/>
      <w:shd w:val="clear" w:color="auto" w:fill="E1DFDD"/>
    </w:rPr>
  </w:style>
  <w:style w:type="character" w:styleId="FollowedHyperlink">
    <w:name w:val="FollowedHyperlink"/>
    <w:basedOn w:val="DefaultParagraphFont"/>
    <w:uiPriority w:val="99"/>
    <w:semiHidden/>
    <w:unhideWhenUsed/>
    <w:rsid w:val="006E2DDB"/>
    <w:rPr>
      <w:color w:val="954F72" w:themeColor="followedHyperlink"/>
      <w:u w:val="single"/>
    </w:rPr>
  </w:style>
  <w:style w:type="paragraph" w:styleId="Header">
    <w:name w:val="header"/>
    <w:basedOn w:val="Normal"/>
    <w:link w:val="HeaderChar"/>
    <w:uiPriority w:val="99"/>
    <w:unhideWhenUsed/>
    <w:rsid w:val="00CB70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706C"/>
  </w:style>
  <w:style w:type="paragraph" w:styleId="Footer">
    <w:name w:val="footer"/>
    <w:basedOn w:val="Normal"/>
    <w:link w:val="FooterChar"/>
    <w:uiPriority w:val="99"/>
    <w:unhideWhenUsed/>
    <w:rsid w:val="00CB70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7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oleObject" Target="embeddings/oleObject5.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5.emf"/><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216</TotalTime>
  <Pages>21</Pages>
  <Words>7093</Words>
  <Characters>40433</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Nebai Chinekwu Ogbonna</dc:creator>
  <cp:keywords/>
  <dc:description/>
  <cp:lastModifiedBy>SDI 1158</cp:lastModifiedBy>
  <cp:revision>23</cp:revision>
  <dcterms:created xsi:type="dcterms:W3CDTF">2026-07-29T19:20:00Z</dcterms:created>
  <dcterms:modified xsi:type="dcterms:W3CDTF">2026-08-19T12:10:00Z</dcterms:modified>
</cp:coreProperties>
</file>