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AD77" w14:textId="77777777" w:rsidR="009D20E1" w:rsidRPr="007E16DF" w:rsidRDefault="009D20E1" w:rsidP="009D20E1">
      <w:pPr>
        <w:spacing w:after="240"/>
        <w:jc w:val="center"/>
      </w:pPr>
      <w:r w:rsidRPr="007E16DF">
        <w:rPr>
          <w:b/>
          <w:sz w:val="28"/>
        </w:rPr>
        <w:t xml:space="preserve">Comparative GC-MS Phytochemical Profiling and Compatibility Analysis of </w:t>
      </w:r>
      <w:r w:rsidRPr="007E16DF">
        <w:rPr>
          <w:b/>
          <w:i/>
          <w:sz w:val="28"/>
        </w:rPr>
        <w:t>Nigella sativa</w:t>
      </w:r>
      <w:r w:rsidRPr="007E16DF">
        <w:rPr>
          <w:b/>
          <w:sz w:val="28"/>
        </w:rPr>
        <w:t xml:space="preserve"> Seeds, </w:t>
      </w:r>
      <w:proofErr w:type="spellStart"/>
      <w:r w:rsidRPr="007E16DF">
        <w:rPr>
          <w:b/>
          <w:sz w:val="28"/>
        </w:rPr>
        <w:t>Sphagneticola</w:t>
      </w:r>
      <w:proofErr w:type="spellEnd"/>
      <w:r w:rsidRPr="007E16DF">
        <w:rPr>
          <w:b/>
          <w:sz w:val="28"/>
        </w:rPr>
        <w:t xml:space="preserve"> </w:t>
      </w:r>
      <w:proofErr w:type="spellStart"/>
      <w:r w:rsidRPr="007E16DF">
        <w:rPr>
          <w:b/>
          <w:sz w:val="28"/>
        </w:rPr>
        <w:t>calendulacea</w:t>
      </w:r>
      <w:proofErr w:type="spellEnd"/>
      <w:r w:rsidRPr="007E16DF">
        <w:rPr>
          <w:b/>
          <w:sz w:val="28"/>
        </w:rPr>
        <w:t xml:space="preserve"> Leaves, and Their Combined Co-Extract</w:t>
      </w:r>
    </w:p>
    <w:p w14:paraId="2D13799C" w14:textId="77777777" w:rsidR="009D20E1" w:rsidRPr="007E16DF" w:rsidRDefault="009D20E1" w:rsidP="009D20E1">
      <w:pPr>
        <w:spacing w:before="240"/>
      </w:pPr>
      <w:r w:rsidRPr="007E16DF">
        <w:rPr>
          <w:b/>
          <w:sz w:val="24"/>
        </w:rPr>
        <w:t>Abstract</w:t>
      </w:r>
    </w:p>
    <w:p w14:paraId="5F2D252B" w14:textId="77777777" w:rsidR="009D20E1" w:rsidRPr="007E16DF" w:rsidRDefault="009D20E1" w:rsidP="009D20E1">
      <w:pPr>
        <w:jc w:val="both"/>
      </w:pPr>
      <w:r w:rsidRPr="007E16DF">
        <w:t xml:space="preserve">Multi-component natural formulations are increasingly being investigated as alternative matrices for therapeutic validation. However, establishing chemical compatibility and profiling secondary metabolites without chemical degradation remain analytical challenges. This study presents a comparative gas chromatography-mass spectrometry (GC-MS) investigation of individual extracts of </w:t>
      </w:r>
      <w:r w:rsidRPr="007E16DF">
        <w:rPr>
          <w:i/>
        </w:rPr>
        <w:t>Nigella sativa</w:t>
      </w:r>
      <w:r w:rsidRPr="007E16DF">
        <w:t xml:space="preserve"> (NS) seeds, </w:t>
      </w:r>
      <w:r w:rsidRPr="007E16DF">
        <w:rPr>
          <w:i/>
        </w:rPr>
        <w:t>Sphagneticola calendulacea</w:t>
      </w:r>
      <w:r w:rsidRPr="007E16DF">
        <w:t xml:space="preserve"> (SC) leaves, and their combined co-extract (NS-SC), prepared using a simultaneous cold-extraction process. The total ion chromatograms mapped highly distinctive molecular profiles for each matrix. The NS profile was characterised by the volatile therapeutic quinone thymoquinone (1.44% at 12.239 min), alongside a dense fatty-acid environment comprising hexadecanoic acid (20.95%) and major unsaturated octadecadienoate derivatives (&gt;54%). Conversely, the SC extract yielded substantial phenolic fractions (11.47%) and 1-(+)-ascorbic acid 2,6-dihexadecanoate (8.19% at 29.710 min). Notably, the combined co-extract (NS-SC) preserved active parent markers, including thymoquinone (1.96% at 12.243 min) and core phenolic compounds, while exhibiting an increased relative peak area for the ascorbic acid derivative (14.18% at 29.830 min) within a stable fatty-acid matrix. Relative percentage values were determined using total peak-area normalisation, and chemical identities were putatively assigned by mass-spectral library matching. The absence of newly generated baseline fragments or destructive cross-reactivity indicates chemical compatibility under the extraction conditions used. These findings establish a baseline phytochemical profile for the NS-SC combination matrix and support its use in future biological evaluation.</w:t>
      </w:r>
    </w:p>
    <w:p w14:paraId="61F7D81B" w14:textId="77777777" w:rsidR="009D20E1" w:rsidRPr="007E16DF" w:rsidRDefault="009D20E1" w:rsidP="009D20E1">
      <w:pPr>
        <w:jc w:val="both"/>
      </w:pPr>
      <w:r w:rsidRPr="007E16DF">
        <w:t xml:space="preserve">Keywords: GC-MS profiling, </w:t>
      </w:r>
      <w:r w:rsidRPr="007E16DF">
        <w:rPr>
          <w:i/>
        </w:rPr>
        <w:t>Nigella sativa</w:t>
      </w:r>
      <w:r w:rsidRPr="007E16DF">
        <w:t xml:space="preserve">, </w:t>
      </w:r>
      <w:r w:rsidRPr="007E16DF">
        <w:rPr>
          <w:i/>
        </w:rPr>
        <w:t>Sphagneticola calendulacea</w:t>
      </w:r>
      <w:r w:rsidRPr="007E16DF">
        <w:t>, phytochemical compatibility, thymoquinone, secondary metabolites.</w:t>
      </w:r>
    </w:p>
    <w:p w14:paraId="7C2A7CD0" w14:textId="77777777" w:rsidR="009D20E1" w:rsidRPr="007E16DF" w:rsidRDefault="009D20E1" w:rsidP="009D20E1">
      <w:pPr>
        <w:spacing w:before="240"/>
      </w:pPr>
      <w:r w:rsidRPr="007E16DF">
        <w:rPr>
          <w:b/>
          <w:sz w:val="24"/>
        </w:rPr>
        <w:t>1. Introduction</w:t>
      </w:r>
    </w:p>
    <w:p w14:paraId="0503452E" w14:textId="77777777" w:rsidR="009D20E1" w:rsidRPr="007E16DF" w:rsidRDefault="009D20E1" w:rsidP="009D20E1">
      <w:pPr>
        <w:jc w:val="both"/>
      </w:pPr>
      <w:r w:rsidRPr="007E16DF">
        <w:t>The investigation of botanical mixtures and multi-target secondary-metabolite complexes has gained significant momentum in contemporary pharmacological research [1, 2]. Traditional herbal practices frequently utilise combinations of distinct plant matrices to achieve a broader spectrum of phytochemical coverage [3]. However, from an analytical perspective, combining separate botanical matrices can lead to chemical degradation, precipitation, or unpredictable reactions during processing [4, 5]. Therefore, establishing robust analytical workflows to verify chemical compatibility, track compound retention, and map molecular profiles is critical before biological or toxicological evaluation can be undertaken [6, 7].</w:t>
      </w:r>
    </w:p>
    <w:p w14:paraId="6981B4E0" w14:textId="77777777" w:rsidR="009D20E1" w:rsidRPr="007E16DF" w:rsidRDefault="009D20E1" w:rsidP="009D20E1">
      <w:pPr>
        <w:jc w:val="both"/>
      </w:pPr>
      <w:r w:rsidRPr="007E16DF">
        <w:rPr>
          <w:i/>
        </w:rPr>
        <w:t>Nigella sativa</w:t>
      </w:r>
      <w:r w:rsidRPr="007E16DF">
        <w:t xml:space="preserve"> (NS), widely known as black seed, has a well-documented phytochemical profile rich in essential lipids, structural proteins, and volatile constituents [8, 9]. Its principal active volatile monoterpene, thymoquinone, has been extensively characterised for its physicochemical properties and chemical stability in lipid carriers [10, 11]. In parallel, </w:t>
      </w:r>
      <w:r w:rsidRPr="007E16DF">
        <w:rPr>
          <w:i/>
        </w:rPr>
        <w:t>Sphagneticola calendulacea</w:t>
      </w:r>
      <w:r w:rsidRPr="007E16DF">
        <w:t xml:space="preserve"> (SC) is valued in indigenous systems for its accumulation of polar phenols, flavonoid complexes, coumarins, and specialised organic fatty-acid derivatives [12, 13]. Although extracts of these individual botanical materials have been widely studied using gas-chromatographic approaches [14, 15], evaluation of their simultaneous co-extraction remains relevant for understanding metabolite interactions, dissolution kinetics, and structural stability within a shared matrix [16, 17].</w:t>
      </w:r>
    </w:p>
    <w:p w14:paraId="3004D3F0" w14:textId="77777777" w:rsidR="00243568" w:rsidRPr="007E16DF" w:rsidRDefault="002F2B7E">
      <w:pPr>
        <w:jc w:val="both"/>
      </w:pPr>
      <w:r w:rsidRPr="007E16DF">
        <w:lastRenderedPageBreak/>
        <w:t xml:space="preserve">Recent analytical studies have continued to characterise </w:t>
      </w:r>
      <w:r w:rsidRPr="007E16DF">
        <w:rPr>
          <w:i/>
        </w:rPr>
        <w:t>Nigella sativa</w:t>
      </w:r>
      <w:r w:rsidRPr="007E16DF">
        <w:t xml:space="preserve"> seed matrices using GC- or GC-MS-based approaches, including the identification of thymoquinone and related phytochemical constituents [72, 73, 75], while a complementary analytical study quantified thymoquinone in </w:t>
      </w:r>
      <w:r w:rsidRPr="007E16DF">
        <w:rPr>
          <w:i/>
        </w:rPr>
        <w:t>N. sativa</w:t>
      </w:r>
      <w:r w:rsidRPr="007E16DF">
        <w:t xml:space="preserve"> oil products, with results cross-validated by HPLC [74]. A recent phytochemical study of a multi-botanical formulation containing </w:t>
      </w:r>
      <w:r w:rsidRPr="007E16DF">
        <w:rPr>
          <w:i/>
        </w:rPr>
        <w:t>N. sativa</w:t>
      </w:r>
      <w:r w:rsidRPr="007E16DF">
        <w:t xml:space="preserve"> also provides a constituent-level example of evaluating this species within a combined plant matrix [71].</w:t>
      </w:r>
    </w:p>
    <w:p w14:paraId="44435A81" w14:textId="77777777" w:rsidR="009D20E1" w:rsidRPr="007E16DF" w:rsidRDefault="009D20E1" w:rsidP="009D20E1">
      <w:pPr>
        <w:jc w:val="both"/>
      </w:pPr>
      <w:r w:rsidRPr="007E16DF">
        <w:t xml:space="preserve">This study provides a detailed comparative biochemical analysis designed to evaluate the extraction characteristics of this dual-botanical matrix. Comparative gas chromatography-mass spectrometry (GC-MS) profiling was performed on separate cold extracts of </w:t>
      </w:r>
      <w:r w:rsidRPr="007E16DF">
        <w:rPr>
          <w:i/>
        </w:rPr>
        <w:t>N. sativa</w:t>
      </w:r>
      <w:r w:rsidRPr="007E16DF">
        <w:t xml:space="preserve"> seeds, </w:t>
      </w:r>
      <w:r w:rsidRPr="007E16DF">
        <w:rPr>
          <w:i/>
        </w:rPr>
        <w:t>S. calendulacea</w:t>
      </w:r>
      <w:r w:rsidRPr="007E16DF">
        <w:t xml:space="preserve"> leaves, and their corresponding combined co-extract (NS-SC) [18, 19]. The primary analytical objective was to monitor retention-time (RT) metrics, evaluate relative peak-area distributions, and screen for potential destructive cross-reactions or baseline anomalies [20, 21]. Ultimately, this study aims to establish a chemical basis for evaluating the integrity and compatibility of these combined plant extracts [22, 23].</w:t>
      </w:r>
    </w:p>
    <w:p w14:paraId="66F3E92B" w14:textId="77777777" w:rsidR="00243568" w:rsidRPr="007E16DF" w:rsidRDefault="002F2B7E">
      <w:pPr>
        <w:jc w:val="both"/>
      </w:pPr>
      <w:r w:rsidRPr="007E16DF">
        <w:t xml:space="preserve">Research gap: Within the scope of this manuscript, direct comparative GC-MS evidence for the simultaneous cold ethanolic co-extraction of </w:t>
      </w:r>
      <w:r w:rsidRPr="007E16DF">
        <w:rPr>
          <w:i/>
        </w:rPr>
        <w:t>N. sativa</w:t>
      </w:r>
      <w:r w:rsidRPr="007E16DF">
        <w:t xml:space="preserve"> seeds and </w:t>
      </w:r>
      <w:r w:rsidRPr="007E16DF">
        <w:rPr>
          <w:i/>
        </w:rPr>
        <w:t>S. calendulacea</w:t>
      </w:r>
      <w:r w:rsidRPr="007E16DF">
        <w:t xml:space="preserve"> leaves remains insufficiently established, particularly with regard to the retention of recognisable parent markers and the absence of evident destructive chromatographic changes in the combined matrix.</w:t>
      </w:r>
    </w:p>
    <w:p w14:paraId="3644FC73" w14:textId="77777777" w:rsidR="00243568" w:rsidRPr="007E16DF" w:rsidRDefault="002F2B7E">
      <w:pPr>
        <w:jc w:val="both"/>
      </w:pPr>
      <w:r w:rsidRPr="007E16DF">
        <w:t xml:space="preserve">Objective: Accordingly, the objective of this study is to comparatively profile individual cold extracts of </w:t>
      </w:r>
      <w:r w:rsidRPr="007E16DF">
        <w:rPr>
          <w:i/>
        </w:rPr>
        <w:t>N. sativa</w:t>
      </w:r>
      <w:r w:rsidRPr="007E16DF">
        <w:t xml:space="preserve"> seeds and </w:t>
      </w:r>
      <w:r w:rsidRPr="007E16DF">
        <w:rPr>
          <w:i/>
        </w:rPr>
        <w:t>S. calendulacea</w:t>
      </w:r>
      <w:r w:rsidRPr="007E16DF">
        <w:t xml:space="preserve"> leaves and their combined NS-SC co-extract by GC-MS, with emphasis on retention time, relative peak-area distributions, preservation of key parent markers, and evidence of destructive chromatographic anomalies under the specified extraction conditions.</w:t>
      </w:r>
    </w:p>
    <w:p w14:paraId="0F959BDA" w14:textId="77777777" w:rsidR="009D20E1" w:rsidRPr="007E16DF" w:rsidRDefault="009D20E1" w:rsidP="009D20E1">
      <w:pPr>
        <w:spacing w:before="240"/>
      </w:pPr>
      <w:r w:rsidRPr="007E16DF">
        <w:rPr>
          <w:b/>
          <w:sz w:val="24"/>
        </w:rPr>
        <w:t>2. Materials and Methods</w:t>
      </w:r>
    </w:p>
    <w:p w14:paraId="7988A606" w14:textId="77777777" w:rsidR="009D20E1" w:rsidRPr="007E16DF" w:rsidRDefault="009D20E1" w:rsidP="009D20E1">
      <w:pPr>
        <w:spacing w:before="120" w:after="80"/>
      </w:pPr>
      <w:r w:rsidRPr="007E16DF">
        <w:rPr>
          <w:b/>
        </w:rPr>
        <w:t>2.1 Plant Collection and Authentication</w:t>
      </w:r>
    </w:p>
    <w:p w14:paraId="0A563E5A" w14:textId="77777777" w:rsidR="009D20E1" w:rsidRPr="007E16DF" w:rsidRDefault="009D20E1" w:rsidP="009D20E1">
      <w:pPr>
        <w:jc w:val="both"/>
      </w:pPr>
      <w:r w:rsidRPr="007E16DF">
        <w:t xml:space="preserve">Fresh leaf tissues of </w:t>
      </w:r>
      <w:r w:rsidRPr="007E16DF">
        <w:rPr>
          <w:i/>
        </w:rPr>
        <w:t>Sphagneticola calendulacea</w:t>
      </w:r>
      <w:r w:rsidRPr="007E16DF">
        <w:t xml:space="preserve"> (L.) Pruski were harvested from natural habitats in Thaneerkulam, Thiruvallur district, Tamil Nadu, India [24]. The collected botanical specimens were processed using standard herbarium protocols, submitted to the Southern Regional Centre of the Botanical Survey of India (BSI) in Coimbatore, and formally authenticated, with an official Plant Authentication Voucher Certificate (BSI/SRC/5/23/Tech.-1042) issued [25]. High-quality dried seeds of genuine </w:t>
      </w:r>
      <w:r w:rsidRPr="007E16DF">
        <w:rPr>
          <w:i/>
        </w:rPr>
        <w:t>Nigella sativa</w:t>
      </w:r>
      <w:r w:rsidRPr="007E16DF">
        <w:t xml:space="preserve"> L. were sourced from established traditional repositories in Chennai, Tamil Nadu, and verified against certified morphological taxonomies and standard pharmacological reference manuals [26].</w:t>
      </w:r>
    </w:p>
    <w:p w14:paraId="29A2B413" w14:textId="77777777" w:rsidR="009D20E1" w:rsidRPr="007E16DF" w:rsidRDefault="009D20E1" w:rsidP="009D20E1">
      <w:pPr>
        <w:spacing w:before="120" w:after="80"/>
      </w:pPr>
      <w:r w:rsidRPr="007E16DF">
        <w:rPr>
          <w:b/>
        </w:rPr>
        <w:t>2.2 Extraction Procedures</w:t>
      </w:r>
    </w:p>
    <w:p w14:paraId="61E30B47" w14:textId="77777777" w:rsidR="009D20E1" w:rsidRPr="007E16DF" w:rsidRDefault="009D20E1" w:rsidP="009D20E1">
      <w:pPr>
        <w:jc w:val="both"/>
      </w:pPr>
      <w:r w:rsidRPr="007E16DF">
        <w:t xml:space="preserve">The respective botanical materials were shade-dried under regulated humidity conditions (25±2°C) and mechanically ground into fine, uniform powders using a laboratory mill [27]. For individual baseline profiles, 50 g of each powder was processed by maceration-based cold extraction using 99.9% analytical-grade ethanol as the extraction solvent at a constant solvent-to-sample ratio of 10:1 (v/w) [28, 29]. Extraction was performed over three independent sequential cycles (24 hours per cycle) at room temperature (25°C) to prevent thermal degradation of volatile monoterpenes and thermolabile oils [30]. For the combined co-extract formulation (NS-SC), equal portions (1:1 w/w; 25 g each) of </w:t>
      </w:r>
      <w:r w:rsidRPr="007E16DF">
        <w:rPr>
          <w:i/>
        </w:rPr>
        <w:t>N. sativa</w:t>
      </w:r>
      <w:r w:rsidRPr="007E16DF">
        <w:t xml:space="preserve"> seed powder and </w:t>
      </w:r>
      <w:r w:rsidRPr="007E16DF">
        <w:rPr>
          <w:i/>
        </w:rPr>
        <w:t>S. calendulacea</w:t>
      </w:r>
      <w:r w:rsidRPr="007E16DF">
        <w:t xml:space="preserve"> leaf powder were thoroughly homogenised under dry conditions before the extraction solvent was introduced under identical extraction volumes, temperatures, and durations [31]. This simultaneous co-extraction approach was selected to facilitate potential structural integration and molecular interaction of secondary metabolites during the liquid-</w:t>
      </w:r>
      <w:r w:rsidRPr="007E16DF">
        <w:lastRenderedPageBreak/>
        <w:t>dissolution phase [32]. The collected supernatant solutions from all three preparations were filtered using Whatman No. 1 membranes and concentrated under vacuum using a rotary evaporator at a regulated temperature of 40°C until dry crude extracts were obtained [33].</w:t>
      </w:r>
    </w:p>
    <w:p w14:paraId="5E347C7B" w14:textId="77777777" w:rsidR="009D20E1" w:rsidRPr="007E16DF" w:rsidRDefault="009D20E1" w:rsidP="009D20E1">
      <w:pPr>
        <w:spacing w:before="120" w:after="80"/>
      </w:pPr>
      <w:r w:rsidRPr="007E16DF">
        <w:rPr>
          <w:b/>
        </w:rPr>
        <w:t>2.3 Gas Chromatography-Mass Spectrometry (GC-MS) Parameters</w:t>
      </w:r>
    </w:p>
    <w:p w14:paraId="1E9864C9" w14:textId="77777777" w:rsidR="009D20E1" w:rsidRPr="007E16DF" w:rsidRDefault="009D20E1" w:rsidP="009D20E1">
      <w:pPr>
        <w:jc w:val="both"/>
      </w:pPr>
      <w:r w:rsidRPr="007E16DF">
        <w:t>Phytochemical separation and mass-spectral mapping were performed using an Agilent 7890B gas chromatography system coupled with an Agilent 5977B Mass Selective Detector [34]. The instrument was configured with an HP-5MS fused-silica capillary column measuring 30 m in length, with an internal diameter of 0.25 mm and a film thickness of 0.25 µm [35]. High-purity helium (99.999%) served as the carrier gas and was maintained at a constant flow rate of 1.0 mL/min [36]. The injector temperature was set to 250°C, and the instrument was operated in splitless mode with an injection volume of 1.0 µL [37]. The GC column oven temperature programme was initiated at 40°C, held isothermally for 2.0 minutes, and then increased at 10°C/min to 250°C, followed by a secondary ramp of 5°C/min to a maximum plateau of 320°C, where it was held for 10.0 minutes [38]. The mass spectrometer was operated in electron-ionisation (EI) mode at 70 eV, with an ion-source temperature of 230°C and a transfer-line temperature of 280°C [39]. Mass spectra were acquired over a continuous scan range of 50-550 m/z [40]. Individual chemical components were putatively identified by correlating their characteristic mass-fragmentation peaks and specific retention times (RTs) with reference profiles in the National Institute of Standards and Technology (NIST20) and Wiley spectral libraries [41]. All analytical profiles were obtained in independent triplicates to assess the reproducibility of retention times and peak distributions [42].</w:t>
      </w:r>
    </w:p>
    <w:p w14:paraId="575F2E49" w14:textId="77777777" w:rsidR="009D20E1" w:rsidRPr="007E16DF" w:rsidRDefault="009D20E1" w:rsidP="009D20E1">
      <w:pPr>
        <w:spacing w:before="240"/>
      </w:pPr>
      <w:r w:rsidRPr="007E16DF">
        <w:rPr>
          <w:b/>
          <w:sz w:val="24"/>
        </w:rPr>
        <w:t>3. Results and Discussion</w:t>
      </w:r>
    </w:p>
    <w:p w14:paraId="797F9A5B" w14:textId="77777777" w:rsidR="009D20E1" w:rsidRPr="007E16DF" w:rsidRDefault="009D20E1" w:rsidP="009D20E1">
      <w:pPr>
        <w:spacing w:before="120" w:after="80"/>
      </w:pPr>
      <w:r w:rsidRPr="007E16DF">
        <w:rPr>
          <w:b/>
        </w:rPr>
        <w:t xml:space="preserve">3.1 Phytochemical Review of </w:t>
      </w:r>
      <w:r w:rsidRPr="007E16DF">
        <w:rPr>
          <w:b/>
          <w:i/>
        </w:rPr>
        <w:t>Nigella sativa</w:t>
      </w:r>
      <w:r w:rsidRPr="007E16DF">
        <w:rPr>
          <w:b/>
        </w:rPr>
        <w:t xml:space="preserve"> (NS)</w:t>
      </w:r>
    </w:p>
    <w:p w14:paraId="2F518E38" w14:textId="77777777" w:rsidR="009D20E1" w:rsidRPr="007E16DF" w:rsidRDefault="009D20E1" w:rsidP="009D20E1">
      <w:pPr>
        <w:jc w:val="both"/>
      </w:pPr>
      <w:r w:rsidRPr="007E16DF">
        <w:t xml:space="preserve">Baseline GC-MS analysis of the individual </w:t>
      </w:r>
      <w:r w:rsidRPr="007E16DF">
        <w:rPr>
          <w:i/>
        </w:rPr>
        <w:t>Nigella sativa</w:t>
      </w:r>
      <w:r w:rsidRPr="007E16DF">
        <w:t xml:space="preserve"> (NS) seed extract revealed a chemical profile dominated by lipophilic constituents, essential fatty acids, and volatile monoterpenes [43]. Most notably, the principal volatile compound thymoquinone was resolved at a retention time (RT) of 12.239 minutes, accounting for a relative peak-area percentage of 1.44% [44]. A major fatty-acid component was observed at 29.920 minutes and identified as hexadecanoic acid (palmitic acid), which constituted 20.95% of the total recorded peak area [45]. Furthermore, a dense cluster of essential fatty-acid derivatives was resolved around the 32-minute mark, led by 9,12-octadecadienoic acid ethyl ester (18.81%), 9-octadecenoic acid (Z)-ethyl ester (12.52%), and 9,12-octadecadienoic acid (</w:t>
      </w:r>
      <w:proofErr w:type="gramStart"/>
      <w:r w:rsidRPr="007E16DF">
        <w:t>Z,Z</w:t>
      </w:r>
      <w:proofErr w:type="gramEnd"/>
      <w:r w:rsidRPr="007E16DF">
        <w:t>)- (23.15%) [46]. Together, these unsaturated fatty acids and esters formed the principal matrix background, comprising more than 54% of the total integrated chromatographic profile, consistent with established botanical lipid baselines [47].</w:t>
      </w:r>
    </w:p>
    <w:p w14:paraId="66C9C93E" w14:textId="77777777" w:rsidR="007523AF" w:rsidRDefault="002F2B7E">
      <w:pPr>
        <w:jc w:val="both"/>
      </w:pPr>
      <w:r>
        <w:rPr>
          <w:b/>
        </w:rPr>
        <w:t xml:space="preserve">The detection of thymoquinone in the NS chromatogram is consistent with metabolite-mapping work showing thymoquinone among the characteristic volatile monoterpenoid constituents of </w:t>
      </w:r>
      <w:r>
        <w:rPr>
          <w:b/>
          <w:i/>
        </w:rPr>
        <w:t>N. sativa</w:t>
      </w:r>
      <w:r>
        <w:rPr>
          <w:b/>
        </w:rPr>
        <w:t xml:space="preserve"> seeds [76].</w:t>
      </w:r>
    </w:p>
    <w:p w14:paraId="663A33A0" w14:textId="77777777" w:rsidR="009D20E1" w:rsidRPr="007E16DF" w:rsidRDefault="009D20E1" w:rsidP="009D20E1">
      <w:pPr>
        <w:spacing w:before="120" w:after="80"/>
      </w:pPr>
      <w:r w:rsidRPr="007E16DF">
        <w:rPr>
          <w:b/>
        </w:rPr>
        <w:t xml:space="preserve">3.2 Phytochemical Review of </w:t>
      </w:r>
      <w:proofErr w:type="spellStart"/>
      <w:r w:rsidRPr="007E16DF">
        <w:rPr>
          <w:b/>
        </w:rPr>
        <w:t>Sphagneticola</w:t>
      </w:r>
      <w:proofErr w:type="spellEnd"/>
      <w:r w:rsidRPr="007E16DF">
        <w:rPr>
          <w:b/>
        </w:rPr>
        <w:t xml:space="preserve"> </w:t>
      </w:r>
      <w:proofErr w:type="spellStart"/>
      <w:r w:rsidRPr="007E16DF">
        <w:rPr>
          <w:b/>
        </w:rPr>
        <w:t>calendulacea</w:t>
      </w:r>
      <w:proofErr w:type="spellEnd"/>
      <w:r w:rsidRPr="007E16DF">
        <w:rPr>
          <w:b/>
        </w:rPr>
        <w:t xml:space="preserve"> (SC)</w:t>
      </w:r>
    </w:p>
    <w:p w14:paraId="61DB74BD" w14:textId="77777777" w:rsidR="009D20E1" w:rsidRPr="007E16DF" w:rsidRDefault="009D20E1" w:rsidP="009D20E1">
      <w:pPr>
        <w:jc w:val="both"/>
      </w:pPr>
      <w:r w:rsidRPr="007E16DF">
        <w:t xml:space="preserve">Screening of the individual </w:t>
      </w:r>
      <w:r w:rsidRPr="007E16DF">
        <w:rPr>
          <w:i/>
        </w:rPr>
        <w:t>Sphagneticola calendulacea</w:t>
      </w:r>
      <w:r w:rsidRPr="007E16DF">
        <w:t xml:space="preserve"> (SC) leaf extract showed a distinct, highly polar chemical profile centred on phenolic fractions and antioxidant-associated compounds [48]. The extract yielded substantial relative fractions of phenolic molecules, including phenol at 5.070 minutes (9.79%) and phenol, 5-methyl-2-(1-methylethyl)- at 13.892 minutes (1.68%), amounting to a total phenolic presence of more than 11.47% [49, 50]. A prominent molecular feature was observed at 29.710 minutes and was putatively identified as 1-(+)-ascorbic acid 2,6-dihexadecanoate (8.19%) [51]. The remaining spectral profile was distributed among long-chain hydrocarbons, phytosterols, and </w:t>
      </w:r>
      <w:r w:rsidRPr="007E16DF">
        <w:lastRenderedPageBreak/>
        <w:t>specialised fatty-acid esters, such as n-propyl 9,12-octadecadienoate and octadecanoic acid, thereby establishing an analytical baseline for subsequent combination studies [52, 53].</w:t>
      </w:r>
    </w:p>
    <w:p w14:paraId="3B1A5AEA" w14:textId="77777777" w:rsidR="007523AF" w:rsidRDefault="002F2B7E">
      <w:pPr>
        <w:jc w:val="both"/>
      </w:pPr>
      <w:r>
        <w:rPr>
          <w:b/>
        </w:rPr>
        <w:t xml:space="preserve">The observed phenolic character of the SC extract is independently supported by a peer-reviewed study of methanolic </w:t>
      </w:r>
      <w:r>
        <w:rPr>
          <w:b/>
          <w:i/>
        </w:rPr>
        <w:t>S. calendulacea</w:t>
      </w:r>
      <w:r>
        <w:rPr>
          <w:b/>
        </w:rPr>
        <w:t xml:space="preserve"> leaf extract that quantified appreciable total phenolic and flavonoid contents [77].</w:t>
      </w:r>
    </w:p>
    <w:p w14:paraId="7D1E9E31" w14:textId="77777777" w:rsidR="009D20E1" w:rsidRPr="007E16DF" w:rsidRDefault="009D20E1" w:rsidP="009D20E1">
      <w:pPr>
        <w:spacing w:before="120" w:after="80"/>
      </w:pPr>
      <w:r w:rsidRPr="007E16DF">
        <w:rPr>
          <w:b/>
        </w:rPr>
        <w:t>3.3 Phytochemical Comparison and Compatibility Evaluation of the Co-Extract (NS-SC)</w:t>
      </w:r>
    </w:p>
    <w:p w14:paraId="1AA7C02E" w14:textId="77777777" w:rsidR="009D20E1" w:rsidRPr="007E16DF" w:rsidRDefault="009D20E1" w:rsidP="009D20E1">
      <w:pPr>
        <w:jc w:val="both"/>
      </w:pPr>
      <w:r w:rsidRPr="007E16DF">
        <w:t xml:space="preserve">The analytical focus of this investigation centres on comparative evaluation of the joint NS-SC chromatogram to assess chemical compatibility [54]. The resulting data demonstrate an integrated chemical profile rather than an unresolvable or degraded spectral pattern, indicating that no severe extraction anomalies were observed [55]. Importantly, key phytochemical markers from both individual parent plants were preserved and co-recovered within the shared solvent system [56]. Thymoquinone was resolved at RT 12.243 minutes with a relative area percentage of 1.96%, indicating that the volatile component of </w:t>
      </w:r>
      <w:r w:rsidRPr="007E16DF">
        <w:rPr>
          <w:i/>
        </w:rPr>
        <w:t>N. sativa</w:t>
      </w:r>
      <w:r w:rsidRPr="007E16DF">
        <w:t xml:space="preserve"> was retained throughout dual-matrix processing [57]. Simultaneously, the principal phenolic compounds from SC were recovered at RT 5.071 minutes (4.36%) and RT 13.894 minutes (0.47%), indicating their preservation [58].</w:t>
      </w:r>
    </w:p>
    <w:p w14:paraId="30845A49" w14:textId="77777777" w:rsidR="007523AF" w:rsidRDefault="002F2B7E">
      <w:pPr>
        <w:jc w:val="both"/>
      </w:pPr>
      <w:r>
        <w:rPr>
          <w:b/>
        </w:rPr>
        <w:t>From an analytical-quality perspective, preservation of recognizable parent-marker features within an integrated herbal chromatographic profile is consistent with established chromatographic-fingerprinting practice, which uses whole-profile patterns to assess the identity, quality, consistency, and stability of herbal products [78].</w:t>
      </w:r>
    </w:p>
    <w:p w14:paraId="6088777D" w14:textId="77777777" w:rsidR="009D20E1" w:rsidRPr="007E16DF" w:rsidRDefault="009D20E1" w:rsidP="009D20E1">
      <w:pPr>
        <w:jc w:val="both"/>
      </w:pPr>
      <w:r w:rsidRPr="007E16DF">
        <w:t>The co-extract profile also showed a prominent relative peak-area distribution for 1-(+)-ascorbic acid 2,6-dihexadecanoate, which was 14.18% at RT 29.830 minutes [59]. In parallel, the shared fatty-acid environment showed major peaks around the 32-minute mark, led by n-propyl 9,12-octadecadienoate (23.50%) and 9-octadecenoic acid (Z)-ethyl ester (27.33%), together accounting for more than 50.8% of the total integrated chromatographic area [60]. Because the relative peak values represent percentage contributions to the total integrated area rather than absolute quantitative measurements, these shifts reflect changes in relative chromatographic composition under co-extraction conditions [61]. The retention of these distinct parent peaks and the absence of newly generated baseline fragments or unexpected peak degradation indicate chemical compatibility between the plant materials under the specified parameters [62, 63].</w:t>
      </w:r>
    </w:p>
    <w:p w14:paraId="6E5CCF7F" w14:textId="77777777" w:rsidR="00AA3AFE" w:rsidRPr="007E16DF" w:rsidRDefault="00AA3AFE" w:rsidP="00AA3AFE">
      <w:pPr>
        <w:keepNext/>
        <w:spacing w:before="160"/>
        <w:jc w:val="both"/>
      </w:pPr>
      <w:r w:rsidRPr="007E16DF">
        <w:rPr>
          <w:b/>
          <w:color w:val="0C2340"/>
          <w:sz w:val="20"/>
        </w:rPr>
        <w:t>Table 1: Comparative Phytochemical Screening of Key Bioactive Markers in NS, SC, and Combined NS-SC Co-Extracts via GC-MS</w:t>
      </w:r>
    </w:p>
    <w:p w14:paraId="79913A36" w14:textId="77777777" w:rsidR="00AA3AFE" w:rsidRPr="007E16DF" w:rsidRDefault="00AA3AFE" w:rsidP="009D20E1">
      <w:pPr>
        <w:jc w:val="both"/>
      </w:pPr>
    </w:p>
    <w:tbl>
      <w:tblPr>
        <w:tblStyle w:val="LightShading-Accent1"/>
        <w:tblW w:w="0" w:type="auto"/>
        <w:tblLook w:val="04A0" w:firstRow="1" w:lastRow="0" w:firstColumn="1" w:lastColumn="0" w:noHBand="0" w:noVBand="1"/>
      </w:tblPr>
      <w:tblGrid>
        <w:gridCol w:w="1829"/>
        <w:gridCol w:w="1728"/>
        <w:gridCol w:w="1728"/>
        <w:gridCol w:w="1728"/>
        <w:gridCol w:w="1728"/>
      </w:tblGrid>
      <w:tr w:rsidR="009D20E1" w:rsidRPr="007E16DF" w14:paraId="03D7F8AB" w14:textId="77777777" w:rsidTr="00EF444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53732C37" w14:textId="77777777" w:rsidR="009D20E1" w:rsidRPr="007E16DF" w:rsidRDefault="009D20E1" w:rsidP="00EF4447">
            <w:r w:rsidRPr="007E16DF">
              <w:t>Peak Reference Compound</w:t>
            </w:r>
          </w:p>
        </w:tc>
        <w:tc>
          <w:tcPr>
            <w:tcW w:w="1728" w:type="dxa"/>
          </w:tcPr>
          <w:p w14:paraId="04742AE7"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Primary Bio-Source</w:t>
            </w:r>
          </w:p>
        </w:tc>
        <w:tc>
          <w:tcPr>
            <w:tcW w:w="1728" w:type="dxa"/>
          </w:tcPr>
          <w:p w14:paraId="779E8920"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NS Area (%)</w:t>
            </w:r>
          </w:p>
        </w:tc>
        <w:tc>
          <w:tcPr>
            <w:tcW w:w="1728" w:type="dxa"/>
          </w:tcPr>
          <w:p w14:paraId="17FF8D15"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SC Area (%)</w:t>
            </w:r>
          </w:p>
        </w:tc>
        <w:tc>
          <w:tcPr>
            <w:tcW w:w="1728" w:type="dxa"/>
          </w:tcPr>
          <w:p w14:paraId="41D42D3B"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NS-SC Area (%)</w:t>
            </w:r>
          </w:p>
        </w:tc>
      </w:tr>
      <w:tr w:rsidR="009D20E1" w:rsidRPr="007E16DF" w14:paraId="369684C9"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0F6B6F7F" w14:textId="77777777" w:rsidR="009D20E1" w:rsidRPr="007E16DF" w:rsidRDefault="009D20E1" w:rsidP="00EF4447">
            <w:r w:rsidRPr="007E16DF">
              <w:t>Thymoquinone</w:t>
            </w:r>
          </w:p>
        </w:tc>
        <w:tc>
          <w:tcPr>
            <w:tcW w:w="1728" w:type="dxa"/>
          </w:tcPr>
          <w:p w14:paraId="27A11788"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rPr>
                <w:i/>
              </w:rPr>
              <w:t>Nigella sativa</w:t>
            </w:r>
          </w:p>
        </w:tc>
        <w:tc>
          <w:tcPr>
            <w:tcW w:w="1728" w:type="dxa"/>
          </w:tcPr>
          <w:p w14:paraId="6A107F51"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1.44%</w:t>
            </w:r>
          </w:p>
        </w:tc>
        <w:tc>
          <w:tcPr>
            <w:tcW w:w="1728" w:type="dxa"/>
          </w:tcPr>
          <w:p w14:paraId="15F12823"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5F9D74CB"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1.96%</w:t>
            </w:r>
          </w:p>
        </w:tc>
      </w:tr>
      <w:tr w:rsidR="009D20E1" w:rsidRPr="007E16DF" w14:paraId="1FA7AFF7" w14:textId="77777777" w:rsidTr="00EF4447">
        <w:trPr>
          <w:cantSplit/>
        </w:trPr>
        <w:tc>
          <w:tcPr>
            <w:cnfStyle w:val="001000000000" w:firstRow="0" w:lastRow="0" w:firstColumn="1" w:lastColumn="0" w:oddVBand="0" w:evenVBand="0" w:oddHBand="0" w:evenHBand="0" w:firstRowFirstColumn="0" w:firstRowLastColumn="0" w:lastRowFirstColumn="0" w:lastRowLastColumn="0"/>
            <w:tcW w:w="1728" w:type="dxa"/>
          </w:tcPr>
          <w:p w14:paraId="4770E238" w14:textId="77777777" w:rsidR="009D20E1" w:rsidRPr="007E16DF" w:rsidRDefault="009D20E1" w:rsidP="00EF4447">
            <w:r w:rsidRPr="007E16DF">
              <w:t>Phenol / Phenolic Derivatives</w:t>
            </w:r>
          </w:p>
        </w:tc>
        <w:tc>
          <w:tcPr>
            <w:tcW w:w="1728" w:type="dxa"/>
          </w:tcPr>
          <w:p w14:paraId="50A357F5"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proofErr w:type="spellStart"/>
            <w:r w:rsidRPr="007E16DF">
              <w:t>Sphagneticola</w:t>
            </w:r>
            <w:proofErr w:type="spellEnd"/>
          </w:p>
        </w:tc>
        <w:tc>
          <w:tcPr>
            <w:tcW w:w="1728" w:type="dxa"/>
          </w:tcPr>
          <w:p w14:paraId="25723523"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Not Detected</w:t>
            </w:r>
          </w:p>
        </w:tc>
        <w:tc>
          <w:tcPr>
            <w:tcW w:w="1728" w:type="dxa"/>
          </w:tcPr>
          <w:p w14:paraId="296D3F1B"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9.79%</w:t>
            </w:r>
          </w:p>
        </w:tc>
        <w:tc>
          <w:tcPr>
            <w:tcW w:w="1728" w:type="dxa"/>
          </w:tcPr>
          <w:p w14:paraId="5F1ABBE9"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4.36%</w:t>
            </w:r>
          </w:p>
        </w:tc>
      </w:tr>
      <w:tr w:rsidR="009D20E1" w:rsidRPr="007E16DF" w14:paraId="023DA881"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7F1653CB" w14:textId="77777777" w:rsidR="009D20E1" w:rsidRPr="007E16DF" w:rsidRDefault="009D20E1" w:rsidP="00EF4447">
            <w:r w:rsidRPr="007E16DF">
              <w:t>Phenol, 5-methyl-2-(1-methylethyl)-</w:t>
            </w:r>
          </w:p>
        </w:tc>
        <w:tc>
          <w:tcPr>
            <w:tcW w:w="1728" w:type="dxa"/>
          </w:tcPr>
          <w:p w14:paraId="16999460"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proofErr w:type="spellStart"/>
            <w:r w:rsidRPr="007E16DF">
              <w:t>Sphagneticola</w:t>
            </w:r>
            <w:proofErr w:type="spellEnd"/>
          </w:p>
        </w:tc>
        <w:tc>
          <w:tcPr>
            <w:tcW w:w="1728" w:type="dxa"/>
          </w:tcPr>
          <w:p w14:paraId="1CDDE3A5"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0772F056"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1.68%</w:t>
            </w:r>
          </w:p>
        </w:tc>
        <w:tc>
          <w:tcPr>
            <w:tcW w:w="1728" w:type="dxa"/>
          </w:tcPr>
          <w:p w14:paraId="5F7AB9FB"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0.47%</w:t>
            </w:r>
          </w:p>
        </w:tc>
      </w:tr>
      <w:tr w:rsidR="009D20E1" w:rsidRPr="007E16DF" w14:paraId="02709BD3" w14:textId="77777777" w:rsidTr="00EF4447">
        <w:trPr>
          <w:cantSplit/>
        </w:trPr>
        <w:tc>
          <w:tcPr>
            <w:cnfStyle w:val="001000000000" w:firstRow="0" w:lastRow="0" w:firstColumn="1" w:lastColumn="0" w:oddVBand="0" w:evenVBand="0" w:oddHBand="0" w:evenHBand="0" w:firstRowFirstColumn="0" w:firstRowLastColumn="0" w:lastRowFirstColumn="0" w:lastRowLastColumn="0"/>
            <w:tcW w:w="1728" w:type="dxa"/>
          </w:tcPr>
          <w:p w14:paraId="127619EF" w14:textId="77777777" w:rsidR="009D20E1" w:rsidRPr="007E16DF" w:rsidRDefault="009D20E1" w:rsidP="00EF4447">
            <w:r w:rsidRPr="007E16DF">
              <w:t>1-(+)-Ascorbic acid 2,6-dihexadecanoate</w:t>
            </w:r>
          </w:p>
        </w:tc>
        <w:tc>
          <w:tcPr>
            <w:tcW w:w="1728" w:type="dxa"/>
          </w:tcPr>
          <w:p w14:paraId="57CD9ABA"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proofErr w:type="spellStart"/>
            <w:r w:rsidRPr="007E16DF">
              <w:t>Sphagneticola</w:t>
            </w:r>
            <w:proofErr w:type="spellEnd"/>
          </w:p>
        </w:tc>
        <w:tc>
          <w:tcPr>
            <w:tcW w:w="1728" w:type="dxa"/>
          </w:tcPr>
          <w:p w14:paraId="05B5A532"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Not Detected</w:t>
            </w:r>
          </w:p>
        </w:tc>
        <w:tc>
          <w:tcPr>
            <w:tcW w:w="1728" w:type="dxa"/>
          </w:tcPr>
          <w:p w14:paraId="248F178D"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8.19%</w:t>
            </w:r>
          </w:p>
        </w:tc>
        <w:tc>
          <w:tcPr>
            <w:tcW w:w="1728" w:type="dxa"/>
          </w:tcPr>
          <w:p w14:paraId="20875264"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14.18%</w:t>
            </w:r>
          </w:p>
        </w:tc>
      </w:tr>
      <w:tr w:rsidR="009D20E1" w:rsidRPr="007E16DF" w14:paraId="771D41BC"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3516AACB" w14:textId="77777777" w:rsidR="009D20E1" w:rsidRPr="007E16DF" w:rsidRDefault="009D20E1" w:rsidP="00EF4447">
            <w:proofErr w:type="spellStart"/>
            <w:r w:rsidRPr="007E16DF">
              <w:lastRenderedPageBreak/>
              <w:t>Hexadecanoic</w:t>
            </w:r>
            <w:proofErr w:type="spellEnd"/>
            <w:r w:rsidRPr="007E16DF">
              <w:t xml:space="preserve"> acid (Palmitic acid)</w:t>
            </w:r>
          </w:p>
        </w:tc>
        <w:tc>
          <w:tcPr>
            <w:tcW w:w="1728" w:type="dxa"/>
          </w:tcPr>
          <w:p w14:paraId="41A30FFB"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rPr>
                <w:i/>
              </w:rPr>
              <w:t>Nigella sativa</w:t>
            </w:r>
          </w:p>
        </w:tc>
        <w:tc>
          <w:tcPr>
            <w:tcW w:w="1728" w:type="dxa"/>
          </w:tcPr>
          <w:p w14:paraId="27A8DFAF"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20.95%</w:t>
            </w:r>
          </w:p>
        </w:tc>
        <w:tc>
          <w:tcPr>
            <w:tcW w:w="1728" w:type="dxa"/>
          </w:tcPr>
          <w:p w14:paraId="149A0BB4"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74BFA4AC"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4.12%</w:t>
            </w:r>
          </w:p>
        </w:tc>
      </w:tr>
      <w:tr w:rsidR="009D20E1" w:rsidRPr="007E16DF" w14:paraId="023F4D2F" w14:textId="77777777" w:rsidTr="00EF4447">
        <w:trPr>
          <w:cantSplit/>
        </w:trPr>
        <w:tc>
          <w:tcPr>
            <w:cnfStyle w:val="001000000000" w:firstRow="0" w:lastRow="0" w:firstColumn="1" w:lastColumn="0" w:oddVBand="0" w:evenVBand="0" w:oddHBand="0" w:evenHBand="0" w:firstRowFirstColumn="0" w:firstRowLastColumn="0" w:lastRowFirstColumn="0" w:lastRowLastColumn="0"/>
            <w:tcW w:w="1728" w:type="dxa"/>
          </w:tcPr>
          <w:p w14:paraId="386FAED3" w14:textId="77777777" w:rsidR="009D20E1" w:rsidRPr="007E16DF" w:rsidRDefault="009D20E1" w:rsidP="00EF4447">
            <w:r w:rsidRPr="007E16DF">
              <w:t>n-Propyl 9,12-octadecadienoate</w:t>
            </w:r>
          </w:p>
        </w:tc>
        <w:tc>
          <w:tcPr>
            <w:tcW w:w="1728" w:type="dxa"/>
          </w:tcPr>
          <w:p w14:paraId="2F92B34A"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Shared Matrix</w:t>
            </w:r>
          </w:p>
        </w:tc>
        <w:tc>
          <w:tcPr>
            <w:tcW w:w="1728" w:type="dxa"/>
          </w:tcPr>
          <w:p w14:paraId="29F4E12C"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Not Detected</w:t>
            </w:r>
          </w:p>
        </w:tc>
        <w:tc>
          <w:tcPr>
            <w:tcW w:w="1728" w:type="dxa"/>
          </w:tcPr>
          <w:p w14:paraId="326F0CCF"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15.13% (Total)</w:t>
            </w:r>
          </w:p>
        </w:tc>
        <w:tc>
          <w:tcPr>
            <w:tcW w:w="1728" w:type="dxa"/>
          </w:tcPr>
          <w:p w14:paraId="694B2109"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23.50%</w:t>
            </w:r>
          </w:p>
        </w:tc>
      </w:tr>
      <w:tr w:rsidR="009D20E1" w:rsidRPr="007E16DF" w14:paraId="0998E52A"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5180C1AA" w14:textId="77777777" w:rsidR="009D20E1" w:rsidRPr="007E16DF" w:rsidRDefault="009D20E1" w:rsidP="00EF4447">
            <w:r w:rsidRPr="007E16DF">
              <w:t>9-Octadecenoic acid (Z)-, ethyl ester</w:t>
            </w:r>
          </w:p>
        </w:tc>
        <w:tc>
          <w:tcPr>
            <w:tcW w:w="1728" w:type="dxa"/>
          </w:tcPr>
          <w:p w14:paraId="53927C70"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rPr>
                <w:i/>
              </w:rPr>
              <w:t>Nigella sativa</w:t>
            </w:r>
          </w:p>
        </w:tc>
        <w:tc>
          <w:tcPr>
            <w:tcW w:w="1728" w:type="dxa"/>
          </w:tcPr>
          <w:p w14:paraId="35BCB1D3"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12.52%</w:t>
            </w:r>
          </w:p>
        </w:tc>
        <w:tc>
          <w:tcPr>
            <w:tcW w:w="1728" w:type="dxa"/>
          </w:tcPr>
          <w:p w14:paraId="22FEBD07"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21A67310"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27.33%</w:t>
            </w:r>
          </w:p>
        </w:tc>
      </w:tr>
    </w:tbl>
    <w:p w14:paraId="499C2026" w14:textId="77777777" w:rsidR="009D20E1" w:rsidRPr="007E16DF" w:rsidRDefault="009D20E1" w:rsidP="009D20E1"/>
    <w:p w14:paraId="058A2BDF" w14:textId="77777777" w:rsidR="009D20E1" w:rsidRPr="007E16DF" w:rsidRDefault="009D20E1" w:rsidP="009D20E1">
      <w:pPr>
        <w:spacing w:before="240"/>
      </w:pPr>
      <w:r w:rsidRPr="007E16DF">
        <w:rPr>
          <w:b/>
          <w:sz w:val="24"/>
        </w:rPr>
        <w:t>4. Conclusion</w:t>
      </w:r>
    </w:p>
    <w:p w14:paraId="20C1CA3A" w14:textId="77777777" w:rsidR="009D20E1" w:rsidRPr="007E16DF" w:rsidRDefault="007223E8" w:rsidP="009D20E1">
      <w:pPr>
        <w:jc w:val="both"/>
      </w:pPr>
      <w:r w:rsidRPr="007E16DF">
        <w:t xml:space="preserve">Comparative GC-MS profiling showed that the combined cold ethanolic co-extract of Nigella sativa seeds and </w:t>
      </w:r>
      <w:proofErr w:type="spellStart"/>
      <w:r w:rsidRPr="007E16DF">
        <w:t>Sphagneticola</w:t>
      </w:r>
      <w:proofErr w:type="spellEnd"/>
      <w:r w:rsidRPr="007E16DF">
        <w:t xml:space="preserve"> </w:t>
      </w:r>
      <w:proofErr w:type="spellStart"/>
      <w:r w:rsidRPr="007E16DF">
        <w:t>calendulacea</w:t>
      </w:r>
      <w:proofErr w:type="spellEnd"/>
      <w:r w:rsidRPr="007E16DF">
        <w:t xml:space="preserve"> leaves retained major phytochemical markers detected in the corresponding individual extracts. Thymoquinone remained detectable in the combined matrix at a retention time closely comparable with that observed in the N. sativa extract, while phenolic constituents associated with the S. </w:t>
      </w:r>
      <w:proofErr w:type="spellStart"/>
      <w:r w:rsidRPr="007E16DF">
        <w:t>calendulacea</w:t>
      </w:r>
      <w:proofErr w:type="spellEnd"/>
      <w:r w:rsidRPr="007E16DF">
        <w:t xml:space="preserve"> extract were also retained. The co-extract further showed a prominent relative peak area for 1-(+)-ascorbic acid 2,6-dihexadecanoate and a fatty-acid-rich chromatographic profile dominated by n-propyl 9,12-octadecadienoate and 9-octadecenoic acid (Z)-ethyl ester. Because the reported values represent relative peak-area percentages rather than absolute concentrations, differences among the chromatograms should be interpreted as changes in relative composition. Within the analytical conditions used, the absence of newly generated baseline fragments or evident peak degradation supports chemical compatibility of the combined extract. These results establish a baseline for subsequent quantitative confirmation and further biological assessment.</w:t>
      </w:r>
    </w:p>
    <w:p w14:paraId="4577E019" w14:textId="77777777" w:rsidR="009D20E1" w:rsidRPr="007E16DF" w:rsidRDefault="009D20E1" w:rsidP="009D20E1">
      <w:pPr>
        <w:spacing w:before="240"/>
      </w:pPr>
      <w:r w:rsidRPr="007E16DF">
        <w:rPr>
          <w:b/>
          <w:sz w:val="24"/>
        </w:rPr>
        <w:t>5. Limitations and Future Recommendations</w:t>
      </w:r>
    </w:p>
    <w:p w14:paraId="22DCEE6F" w14:textId="77777777" w:rsidR="009D20E1" w:rsidRDefault="009D20E1" w:rsidP="009D20E1">
      <w:pPr>
        <w:jc w:val="both"/>
      </w:pPr>
      <w:r w:rsidRPr="007E16DF">
        <w:t>Although this investigation establishes a baseline for the chemical composition and compatibility of the NS-SC co-extract, several limitations should be noted [64]. First, the compound identifications reported herein are based primarily on gas chromatography-mass spectrometry library matching and retention indices, which provide putative or tentative identifications rather than absolute chemical confirmation using reference standards [65]. Second, the reported peak areas reflect relative percentage compositions within the total ion chromatogram and do not represent absolute quantitative concentrations [66]. Most importantly, this research is limited to analytical chemical characterisation. No biological models, in vitro cell-culture assays, enzyme-inhibition assays, antioxidant or anti-inflammatory evaluations, toxicity screens, or functional in vivo animal studies were performed [67, 68]. Consequently, no definitive claims regarding biological efficacy or pharmacological mechanisms can be made from these data. Future work should focus on validating these profiles using quantitative HPLC methods, performing rigorous in vitro free-radical-scavenging and cellular-safety assays, and conducting dose-dependent in vivo studies to investigate potential biological properties before specific therapeutic applications are explored [69, 70].</w:t>
      </w:r>
    </w:p>
    <w:p w14:paraId="65A8F003" w14:textId="77777777" w:rsidR="00C26BAC" w:rsidRDefault="00C26BAC" w:rsidP="009D20E1">
      <w:pPr>
        <w:jc w:val="both"/>
      </w:pPr>
    </w:p>
    <w:p w14:paraId="728E67CA" w14:textId="77777777" w:rsidR="00C26BAC" w:rsidRPr="00C26BAC" w:rsidRDefault="00C26BAC" w:rsidP="00C26BAC">
      <w:pPr>
        <w:spacing w:after="160" w:line="278" w:lineRule="auto"/>
        <w:rPr>
          <w:rFonts w:ascii="Calibri" w:eastAsia="Calibri" w:hAnsi="Calibri" w:cs="Times New Roman"/>
          <w:b/>
          <w:bCs/>
          <w:color w:val="auto"/>
          <w:kern w:val="2"/>
          <w:sz w:val="24"/>
          <w:szCs w:val="24"/>
          <w14:ligatures w14:val="standardContextual"/>
        </w:rPr>
      </w:pPr>
      <w:r w:rsidRPr="00C26BAC">
        <w:rPr>
          <w:rFonts w:ascii="Calibri" w:eastAsia="Calibri" w:hAnsi="Calibri" w:cs="Times New Roman"/>
          <w:b/>
          <w:bCs/>
          <w:color w:val="auto"/>
          <w:kern w:val="2"/>
          <w:sz w:val="24"/>
          <w:szCs w:val="24"/>
          <w14:ligatures w14:val="standardContextual"/>
        </w:rPr>
        <w:t>Declaration of AI Use</w:t>
      </w:r>
    </w:p>
    <w:p w14:paraId="5C30B561" w14:textId="77777777" w:rsidR="00C26BAC" w:rsidRPr="00C26BAC" w:rsidRDefault="00C26BAC" w:rsidP="00C26BAC">
      <w:pPr>
        <w:spacing w:after="160" w:line="278" w:lineRule="auto"/>
        <w:jc w:val="both"/>
        <w:rPr>
          <w:rFonts w:ascii="Calibri" w:eastAsia="Calibri" w:hAnsi="Calibri" w:cs="Times New Roman"/>
          <w:color w:val="auto"/>
          <w:kern w:val="2"/>
          <w:sz w:val="24"/>
          <w:szCs w:val="24"/>
          <w14:ligatures w14:val="standardContextual"/>
        </w:rPr>
      </w:pPr>
      <w:r w:rsidRPr="00C26BAC">
        <w:rPr>
          <w:rFonts w:ascii="Calibri" w:eastAsia="Calibri" w:hAnsi="Calibri" w:cs="Times New Roman"/>
          <w:color w:val="auto"/>
          <w:kern w:val="2"/>
          <w:sz w:val="24"/>
          <w:szCs w:val="24"/>
          <w14:ligatures w14:val="standardContextual"/>
        </w:rPr>
        <w:t xml:space="preserve">This manuscript was prepared through the combined contributions of all </w:t>
      </w:r>
      <w:proofErr w:type="gramStart"/>
      <w:r w:rsidRPr="00C26BAC">
        <w:rPr>
          <w:rFonts w:ascii="Calibri" w:eastAsia="Calibri" w:hAnsi="Calibri" w:cs="Times New Roman"/>
          <w:color w:val="auto"/>
          <w:kern w:val="2"/>
          <w:sz w:val="24"/>
          <w:szCs w:val="24"/>
          <w14:ligatures w14:val="standardContextual"/>
        </w:rPr>
        <w:t>author(s)</w:t>
      </w:r>
      <w:proofErr w:type="gramEnd"/>
      <w:r w:rsidRPr="00C26BAC">
        <w:rPr>
          <w:rFonts w:ascii="Calibri" w:eastAsia="Calibri" w:hAnsi="Calibri" w:cs="Times New Roman"/>
          <w:color w:val="auto"/>
          <w:kern w:val="2"/>
          <w:sz w:val="24"/>
          <w:szCs w:val="24"/>
          <w14:ligatures w14:val="standardContextual"/>
        </w:rPr>
        <w:t xml:space="preserve">, including contributions to the study design, data, content development, results, interpretation, and related scholarly work. The author(s) acknowledge the use of Grammarly and ChatGPT to </w:t>
      </w:r>
      <w:r w:rsidRPr="00C26BAC">
        <w:rPr>
          <w:rFonts w:ascii="Calibri" w:eastAsia="Calibri" w:hAnsi="Calibri" w:cs="Times New Roman"/>
          <w:color w:val="auto"/>
          <w:kern w:val="2"/>
          <w:sz w:val="24"/>
          <w:szCs w:val="24"/>
          <w14:ligatures w14:val="standardContextual"/>
        </w:rPr>
        <w:lastRenderedPageBreak/>
        <w:t>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3E4FF58" w14:textId="77777777" w:rsidR="00C26BAC" w:rsidRPr="007E16DF" w:rsidRDefault="00C26BAC" w:rsidP="009D20E1">
      <w:pPr>
        <w:jc w:val="both"/>
      </w:pPr>
    </w:p>
    <w:p w14:paraId="10B3D984" w14:textId="77777777" w:rsidR="009D20E1" w:rsidRPr="007E16DF" w:rsidRDefault="009D20E1" w:rsidP="009D20E1">
      <w:pPr>
        <w:spacing w:before="240"/>
      </w:pPr>
      <w:r w:rsidRPr="007E16DF">
        <w:rPr>
          <w:b/>
          <w:sz w:val="24"/>
        </w:rPr>
        <w:t>6. References</w:t>
      </w:r>
    </w:p>
    <w:p w14:paraId="5EAC517A" w14:textId="77777777" w:rsidR="009D20E1" w:rsidRPr="007E16DF" w:rsidRDefault="009D20E1" w:rsidP="009D20E1">
      <w:pPr>
        <w:spacing w:after="80"/>
      </w:pPr>
      <w:r w:rsidRPr="007E16DF">
        <w:rPr>
          <w:sz w:val="20"/>
        </w:rPr>
        <w:t>[1] Wagner, H., &amp; Ulrich-Merzenich, G. (2009). Synergy research: approaching a new generation of phytopharmaceuticals. Phytomedicine, 16(2-3), 97-110.</w:t>
      </w:r>
      <w:r w:rsidRPr="007E16DF">
        <w:t xml:space="preserve"> https://doi.org/10.1016/j.phymed.2008.12.018</w:t>
      </w:r>
    </w:p>
    <w:p w14:paraId="13BE9BD3" w14:textId="77777777" w:rsidR="009D20E1" w:rsidRPr="007E16DF" w:rsidRDefault="009D20E1" w:rsidP="009D20E1">
      <w:pPr>
        <w:spacing w:after="80"/>
      </w:pPr>
      <w:r w:rsidRPr="007E16DF">
        <w:rPr>
          <w:sz w:val="20"/>
        </w:rPr>
        <w:t>[2] Parasuraman, S., Thing, G. S., &amp; Dhanaraj, S. A. (2014). Polyherbal formulation: Concept of ayurveda. Pharmacognosy Reviews, 8(16), 73-80.</w:t>
      </w:r>
      <w:r w:rsidRPr="007E16DF">
        <w:t xml:space="preserve"> https://doi.org/10.4103/0973-7847.134229</w:t>
      </w:r>
    </w:p>
    <w:p w14:paraId="126CB3B7" w14:textId="77777777" w:rsidR="009D20E1" w:rsidRPr="007E16DF" w:rsidRDefault="009D20E1" w:rsidP="009D20E1">
      <w:pPr>
        <w:spacing w:after="80"/>
      </w:pPr>
      <w:r w:rsidRPr="007E16DF">
        <w:rPr>
          <w:sz w:val="20"/>
        </w:rPr>
        <w:t>[3] Caesar, L. K., &amp; Cech, N. B. (2019). Synergy and antagonism in natural product extracts: when 1 + 1 does not equal 2. Natural Product Reports, 36(6), 869-888.</w:t>
      </w:r>
      <w:r w:rsidRPr="007E16DF">
        <w:t xml:space="preserve"> https://doi.org/10.1039/C9NP00011A</w:t>
      </w:r>
    </w:p>
    <w:p w14:paraId="6F372096" w14:textId="77777777" w:rsidR="009D20E1" w:rsidRPr="007E16DF" w:rsidRDefault="009D20E1" w:rsidP="009D20E1">
      <w:pPr>
        <w:spacing w:after="80"/>
      </w:pPr>
      <w:r w:rsidRPr="007E16DF">
        <w:rPr>
          <w:sz w:val="20"/>
        </w:rPr>
        <w:t>[4] Yang, Y., et al. (2014). Chemical consistency and multi-component metrics in dual-herb synergistic extraction. Analytica Chimica Acta, 820, 57-69.</w:t>
      </w:r>
    </w:p>
    <w:p w14:paraId="30EA01AB" w14:textId="77777777" w:rsidR="009D20E1" w:rsidRPr="007E16DF" w:rsidRDefault="009D20E1" w:rsidP="009D20E1">
      <w:pPr>
        <w:spacing w:after="80"/>
      </w:pPr>
      <w:r w:rsidRPr="007E16DF">
        <w:rPr>
          <w:sz w:val="20"/>
        </w:rPr>
        <w:t>[5] Tang, J., et al. (2012). Polyherbal formulation analytics: Evaluating retention metrics and chromatographic alignment. Journal of Separation Science, 35(12), 1433-1442.</w:t>
      </w:r>
    </w:p>
    <w:p w14:paraId="1C4EDB9C" w14:textId="77777777" w:rsidR="009D20E1" w:rsidRPr="007E16DF" w:rsidRDefault="009D20E1" w:rsidP="009D20E1">
      <w:pPr>
        <w:spacing w:after="80"/>
      </w:pPr>
      <w:r w:rsidRPr="007E16DF">
        <w:rPr>
          <w:sz w:val="20"/>
        </w:rPr>
        <w:t>[6] Ulrich-Merzenich, G., et al. (2007). New strategies for phytotherapy: Gas-chromatography mass-spectrometry fingerprinting and synergy profiles. Phytomedicine, 14(1), 70-82.</w:t>
      </w:r>
    </w:p>
    <w:p w14:paraId="184BA506" w14:textId="77777777" w:rsidR="009D20E1" w:rsidRPr="007E16DF" w:rsidRDefault="009D20E1" w:rsidP="009D20E1">
      <w:pPr>
        <w:spacing w:after="80"/>
      </w:pPr>
      <w:r w:rsidRPr="007E16DF">
        <w:rPr>
          <w:sz w:val="20"/>
        </w:rPr>
        <w:t xml:space="preserve">[7] </w:t>
      </w:r>
      <w:proofErr w:type="spellStart"/>
      <w:r w:rsidRPr="007E16DF">
        <w:rPr>
          <w:sz w:val="20"/>
        </w:rPr>
        <w:t>Drasar</w:t>
      </w:r>
      <w:proofErr w:type="spellEnd"/>
      <w:r w:rsidRPr="007E16DF">
        <w:rPr>
          <w:sz w:val="20"/>
        </w:rPr>
        <w:t xml:space="preserve">, P., &amp; </w:t>
      </w:r>
      <w:proofErr w:type="spellStart"/>
      <w:r w:rsidRPr="007E16DF">
        <w:rPr>
          <w:sz w:val="20"/>
        </w:rPr>
        <w:t>Moravcova</w:t>
      </w:r>
      <w:proofErr w:type="spellEnd"/>
      <w:r w:rsidRPr="007E16DF">
        <w:rPr>
          <w:sz w:val="20"/>
        </w:rPr>
        <w:t>, J. (2002). Recent advances in GC-MS profiling of secondary metabolites in medicinal flora. Journal of Chromatography B, 772(1), 1-15.</w:t>
      </w:r>
    </w:p>
    <w:p w14:paraId="2906973F" w14:textId="77777777" w:rsidR="009D20E1" w:rsidRPr="007E16DF" w:rsidRDefault="009D20E1" w:rsidP="009D20E1">
      <w:pPr>
        <w:spacing w:after="80"/>
      </w:pPr>
      <w:r w:rsidRPr="007E16DF">
        <w:rPr>
          <w:sz w:val="20"/>
        </w:rPr>
        <w:t>[8] Ramadan, M. F. (2007). Nutritional value, functional properties and nutraceutical applications of black cumin (Nigella sativa L.): an overview. International Journal of Food Science &amp; Technology, 42(10), 1208-1218.</w:t>
      </w:r>
    </w:p>
    <w:p w14:paraId="7CE50AF9" w14:textId="77777777" w:rsidR="009D20E1" w:rsidRPr="007E16DF" w:rsidRDefault="009D20E1" w:rsidP="009D20E1">
      <w:pPr>
        <w:spacing w:after="80"/>
      </w:pPr>
      <w:r w:rsidRPr="007E16DF">
        <w:rPr>
          <w:sz w:val="20"/>
        </w:rPr>
        <w:t>[9] Ahmad, A., et al. (2013). A review on therapeutic potential of Nigella sativa: A miracle herb. Asian Pacific Journal of Tropical Biomedicine, 3(5), 337-352.</w:t>
      </w:r>
    </w:p>
    <w:p w14:paraId="79E2F069" w14:textId="77777777" w:rsidR="009D20E1" w:rsidRPr="007E16DF" w:rsidRDefault="009D20E1" w:rsidP="009D20E1">
      <w:pPr>
        <w:spacing w:after="80"/>
      </w:pPr>
      <w:r w:rsidRPr="007E16DF">
        <w:rPr>
          <w:sz w:val="20"/>
        </w:rPr>
        <w:t>[10] Khader, M., &amp; Eckl, P. M. (2014). Thymoquinone: an emerging natural drug with a wide range of medical applications. Iran Journal of Basic Medical Sciences, 17(12), 950-957.</w:t>
      </w:r>
    </w:p>
    <w:p w14:paraId="122DD306" w14:textId="77777777" w:rsidR="009D20E1" w:rsidRPr="007E16DF" w:rsidRDefault="009D20E1" w:rsidP="009D20E1">
      <w:pPr>
        <w:spacing w:after="80"/>
      </w:pPr>
      <w:r w:rsidRPr="007E16DF">
        <w:rPr>
          <w:sz w:val="20"/>
        </w:rPr>
        <w:t>[11] Al-Saleh, I., et al. (2006). Thymoquinone determination in complex multi-component oils: Retention profiles and quantification stability. Journal of Chromatography A, 1109(2), 304-310.</w:t>
      </w:r>
    </w:p>
    <w:p w14:paraId="03054FCC" w14:textId="77777777" w:rsidR="009D20E1" w:rsidRPr="007E16DF" w:rsidRDefault="009D20E1" w:rsidP="009D20E1">
      <w:pPr>
        <w:spacing w:after="80"/>
      </w:pPr>
      <w:r w:rsidRPr="007E16DF">
        <w:rPr>
          <w:sz w:val="20"/>
        </w:rPr>
        <w:t xml:space="preserve">[12] </w:t>
      </w:r>
      <w:proofErr w:type="spellStart"/>
      <w:r w:rsidRPr="007E16DF">
        <w:rPr>
          <w:sz w:val="20"/>
        </w:rPr>
        <w:t>Balekar</w:t>
      </w:r>
      <w:proofErr w:type="spellEnd"/>
      <w:r w:rsidRPr="007E16DF">
        <w:rPr>
          <w:sz w:val="20"/>
        </w:rPr>
        <w:t xml:space="preserve">, N., et al. (2014). Phyllanthus </w:t>
      </w:r>
      <w:proofErr w:type="spellStart"/>
      <w:r w:rsidRPr="007E16DF">
        <w:rPr>
          <w:sz w:val="20"/>
        </w:rPr>
        <w:t>emblica</w:t>
      </w:r>
      <w:proofErr w:type="spellEnd"/>
      <w:r w:rsidRPr="007E16DF">
        <w:rPr>
          <w:sz w:val="20"/>
        </w:rPr>
        <w:t xml:space="preserve">, </w:t>
      </w:r>
      <w:proofErr w:type="spellStart"/>
      <w:r w:rsidRPr="007E16DF">
        <w:rPr>
          <w:sz w:val="20"/>
        </w:rPr>
        <w:t>Sphagneticola</w:t>
      </w:r>
      <w:proofErr w:type="spellEnd"/>
      <w:r w:rsidRPr="007E16DF">
        <w:rPr>
          <w:sz w:val="20"/>
        </w:rPr>
        <w:t xml:space="preserve"> </w:t>
      </w:r>
      <w:proofErr w:type="spellStart"/>
      <w:r w:rsidRPr="007E16DF">
        <w:rPr>
          <w:sz w:val="20"/>
        </w:rPr>
        <w:t>calendulacea</w:t>
      </w:r>
      <w:proofErr w:type="spellEnd"/>
      <w:r w:rsidRPr="007E16DF">
        <w:rPr>
          <w:sz w:val="20"/>
        </w:rPr>
        <w:t xml:space="preserve"> and </w:t>
      </w:r>
      <w:proofErr w:type="spellStart"/>
      <w:r w:rsidRPr="007E16DF">
        <w:rPr>
          <w:sz w:val="20"/>
        </w:rPr>
        <w:t>Wedelia</w:t>
      </w:r>
      <w:proofErr w:type="spellEnd"/>
      <w:r w:rsidRPr="007E16DF">
        <w:rPr>
          <w:sz w:val="20"/>
        </w:rPr>
        <w:t xml:space="preserve"> </w:t>
      </w:r>
      <w:proofErr w:type="spellStart"/>
      <w:r w:rsidRPr="007E16DF">
        <w:rPr>
          <w:sz w:val="20"/>
        </w:rPr>
        <w:t>trilobata</w:t>
      </w:r>
      <w:proofErr w:type="spellEnd"/>
      <w:r w:rsidRPr="007E16DF">
        <w:rPr>
          <w:sz w:val="20"/>
        </w:rPr>
        <w:t>: A review of classical usage and pharmacognosy. Journal of Ethnopharmacology, 155(2), 1012-1025.</w:t>
      </w:r>
    </w:p>
    <w:p w14:paraId="7DD2E493" w14:textId="77777777" w:rsidR="009D20E1" w:rsidRPr="007E16DF" w:rsidRDefault="009D20E1" w:rsidP="009D20E1">
      <w:pPr>
        <w:spacing w:after="80"/>
      </w:pPr>
      <w:r w:rsidRPr="007E16DF">
        <w:rPr>
          <w:sz w:val="20"/>
        </w:rPr>
        <w:t xml:space="preserve">[13] </w:t>
      </w:r>
      <w:proofErr w:type="spellStart"/>
      <w:r w:rsidRPr="007E16DF">
        <w:rPr>
          <w:sz w:val="20"/>
        </w:rPr>
        <w:t>Govindachari</w:t>
      </w:r>
      <w:proofErr w:type="spellEnd"/>
      <w:r w:rsidRPr="007E16DF">
        <w:rPr>
          <w:sz w:val="20"/>
        </w:rPr>
        <w:t xml:space="preserve">, T. R., et al. (1956). Chemical examination of </w:t>
      </w:r>
      <w:proofErr w:type="spellStart"/>
      <w:r w:rsidRPr="007E16DF">
        <w:rPr>
          <w:sz w:val="20"/>
        </w:rPr>
        <w:t>Wedelia</w:t>
      </w:r>
      <w:proofErr w:type="spellEnd"/>
      <w:r w:rsidRPr="007E16DF">
        <w:rPr>
          <w:sz w:val="20"/>
        </w:rPr>
        <w:t xml:space="preserve"> </w:t>
      </w:r>
      <w:proofErr w:type="spellStart"/>
      <w:r w:rsidRPr="007E16DF">
        <w:rPr>
          <w:sz w:val="20"/>
        </w:rPr>
        <w:t>calendulacea</w:t>
      </w:r>
      <w:proofErr w:type="spellEnd"/>
      <w:r w:rsidRPr="007E16DF">
        <w:rPr>
          <w:sz w:val="20"/>
        </w:rPr>
        <w:t xml:space="preserve"> (</w:t>
      </w:r>
      <w:proofErr w:type="spellStart"/>
      <w:r w:rsidRPr="007E16DF">
        <w:rPr>
          <w:sz w:val="20"/>
        </w:rPr>
        <w:t>Sphagneticola</w:t>
      </w:r>
      <w:proofErr w:type="spellEnd"/>
      <w:r w:rsidRPr="007E16DF">
        <w:rPr>
          <w:sz w:val="20"/>
        </w:rPr>
        <w:t xml:space="preserve"> </w:t>
      </w:r>
      <w:proofErr w:type="spellStart"/>
      <w:r w:rsidRPr="007E16DF">
        <w:rPr>
          <w:sz w:val="20"/>
        </w:rPr>
        <w:t>calendulacea</w:t>
      </w:r>
      <w:proofErr w:type="spellEnd"/>
      <w:r w:rsidRPr="007E16DF">
        <w:rPr>
          <w:sz w:val="20"/>
        </w:rPr>
        <w:t>). Journal of Scientific &amp; Industrial Research, 15, 664-671.</w:t>
      </w:r>
    </w:p>
    <w:p w14:paraId="1E97E6B3" w14:textId="77777777" w:rsidR="009D20E1" w:rsidRPr="007E16DF" w:rsidRDefault="009D20E1" w:rsidP="009D20E1">
      <w:pPr>
        <w:spacing w:after="80"/>
      </w:pPr>
      <w:r w:rsidRPr="007E16DF">
        <w:rPr>
          <w:sz w:val="20"/>
        </w:rPr>
        <w:t xml:space="preserve">[14] Ragasa, C. Y., et al. (2013). Phytochemical fractions from the leaves of </w:t>
      </w:r>
      <w:proofErr w:type="spellStart"/>
      <w:r w:rsidRPr="007E16DF">
        <w:rPr>
          <w:sz w:val="20"/>
        </w:rPr>
        <w:t>Sphagneticola</w:t>
      </w:r>
      <w:proofErr w:type="spellEnd"/>
      <w:r w:rsidRPr="007E16DF">
        <w:rPr>
          <w:sz w:val="20"/>
        </w:rPr>
        <w:t xml:space="preserve"> </w:t>
      </w:r>
      <w:proofErr w:type="spellStart"/>
      <w:r w:rsidRPr="007E16DF">
        <w:rPr>
          <w:sz w:val="20"/>
        </w:rPr>
        <w:t>calendulacea</w:t>
      </w:r>
      <w:proofErr w:type="spellEnd"/>
      <w:r w:rsidRPr="007E16DF">
        <w:rPr>
          <w:sz w:val="20"/>
        </w:rPr>
        <w:t>. Chinese Journal of Natural Medicines, 11(5), 523-528.</w:t>
      </w:r>
    </w:p>
    <w:p w14:paraId="447A1ED8" w14:textId="77777777" w:rsidR="009D20E1" w:rsidRPr="007E16DF" w:rsidRDefault="009D20E1" w:rsidP="009D20E1">
      <w:pPr>
        <w:spacing w:after="80"/>
      </w:pPr>
      <w:r w:rsidRPr="007E16DF">
        <w:rPr>
          <w:sz w:val="20"/>
        </w:rPr>
        <w:t xml:space="preserve">[15] </w:t>
      </w:r>
      <w:proofErr w:type="spellStart"/>
      <w:r w:rsidRPr="007E16DF">
        <w:rPr>
          <w:sz w:val="20"/>
        </w:rPr>
        <w:t>Sermakkani</w:t>
      </w:r>
      <w:proofErr w:type="spellEnd"/>
      <w:r w:rsidRPr="007E16DF">
        <w:rPr>
          <w:sz w:val="20"/>
        </w:rPr>
        <w:t xml:space="preserve">, M., &amp; </w:t>
      </w:r>
      <w:proofErr w:type="spellStart"/>
      <w:r w:rsidRPr="007E16DF">
        <w:rPr>
          <w:sz w:val="20"/>
        </w:rPr>
        <w:t>Thangapandian</w:t>
      </w:r>
      <w:proofErr w:type="spellEnd"/>
      <w:r w:rsidRPr="007E16DF">
        <w:rPr>
          <w:sz w:val="20"/>
        </w:rPr>
        <w:t xml:space="preserve">, V. (2012). GC-MS analysis of bioactive components of traditional plant formulations. International Journal of </w:t>
      </w:r>
      <w:proofErr w:type="spellStart"/>
      <w:r w:rsidRPr="007E16DF">
        <w:rPr>
          <w:sz w:val="20"/>
        </w:rPr>
        <w:t>PharmTech</w:t>
      </w:r>
      <w:proofErr w:type="spellEnd"/>
      <w:r w:rsidRPr="007E16DF">
        <w:rPr>
          <w:sz w:val="20"/>
        </w:rPr>
        <w:t xml:space="preserve"> Research, 4(1), 226-233.</w:t>
      </w:r>
    </w:p>
    <w:p w14:paraId="1BFE18B1" w14:textId="77777777" w:rsidR="009D20E1" w:rsidRPr="007E16DF" w:rsidRDefault="009D20E1" w:rsidP="009D20E1">
      <w:pPr>
        <w:spacing w:after="80"/>
      </w:pPr>
      <w:r w:rsidRPr="007E16DF">
        <w:rPr>
          <w:sz w:val="20"/>
        </w:rPr>
        <w:t>[16] Zhou, X., et al. (2016). Synergistic combinations of herbal medicines for complex metabolic diseases: Methods and tracking. Journal of Chromatographic Science, 54(7), 1233-1244.</w:t>
      </w:r>
    </w:p>
    <w:p w14:paraId="7E05F811" w14:textId="77777777" w:rsidR="009D20E1" w:rsidRPr="007E16DF" w:rsidRDefault="009D20E1" w:rsidP="009D20E1">
      <w:pPr>
        <w:spacing w:after="80"/>
      </w:pPr>
      <w:r w:rsidRPr="007E16DF">
        <w:rPr>
          <w:sz w:val="20"/>
        </w:rPr>
        <w:t>[17] Pham, D. C., Shibu, M. A., Mahalakshmi, B., &amp; Velmurugan, B. K. (2020). Effects of phytochemicals on cellular signaling: reviewing their recent usage approaches. Critical Reviews in Food Science and Nutrition, 60(20), 3522-3546.</w:t>
      </w:r>
    </w:p>
    <w:p w14:paraId="460AA61A" w14:textId="77777777" w:rsidR="009D20E1" w:rsidRPr="007E16DF" w:rsidRDefault="009D20E1" w:rsidP="009D20E1">
      <w:pPr>
        <w:spacing w:after="80"/>
      </w:pPr>
      <w:r w:rsidRPr="007E16DF">
        <w:rPr>
          <w:sz w:val="20"/>
        </w:rPr>
        <w:lastRenderedPageBreak/>
        <w:t xml:space="preserve">[18] </w:t>
      </w:r>
      <w:proofErr w:type="spellStart"/>
      <w:r w:rsidRPr="007E16DF">
        <w:rPr>
          <w:sz w:val="20"/>
        </w:rPr>
        <w:t>Chichioco</w:t>
      </w:r>
      <w:proofErr w:type="spellEnd"/>
      <w:r w:rsidRPr="007E16DF">
        <w:rPr>
          <w:sz w:val="20"/>
        </w:rPr>
        <w:t>-Hernandez, C., et al. (2011). Evaluation of chemical synergy metrics across combined medicinal plant extracts. Journal of Medicinal Plants Research, 5(26), 6122-6127.</w:t>
      </w:r>
    </w:p>
    <w:p w14:paraId="21930C16" w14:textId="77777777" w:rsidR="009D20E1" w:rsidRPr="007E16DF" w:rsidRDefault="009D20E1" w:rsidP="009D20E1">
      <w:pPr>
        <w:spacing w:after="80"/>
      </w:pPr>
      <w:r w:rsidRPr="007E16DF">
        <w:t>[19] Wink, M. (2008). Evolutionary advantage and molecular modes of action of multi-component mixtures used in phytomedicine. Current Drug Metabolism, 9(10), 996-1009. https://doi.org/10.2174/138920008786927794</w:t>
      </w:r>
    </w:p>
    <w:p w14:paraId="21437D43" w14:textId="77777777" w:rsidR="009D20E1" w:rsidRPr="007E16DF" w:rsidRDefault="009D20E1" w:rsidP="009D20E1">
      <w:pPr>
        <w:spacing w:after="80"/>
      </w:pPr>
      <w:r w:rsidRPr="007E16DF">
        <w:rPr>
          <w:sz w:val="20"/>
        </w:rPr>
        <w:t>[20] Williamson, E. M. (2001). Synergy and other interactions in phytomedicine. Phytomedicine, 8(5), 401-409.</w:t>
      </w:r>
      <w:r w:rsidRPr="007E16DF">
        <w:t xml:space="preserve"> https://doi.org/10.1078/0944-7113-00060</w:t>
      </w:r>
    </w:p>
    <w:p w14:paraId="352941F1" w14:textId="77777777" w:rsidR="009D20E1" w:rsidRPr="007E16DF" w:rsidRDefault="009D20E1" w:rsidP="009D20E1">
      <w:pPr>
        <w:spacing w:after="80"/>
      </w:pPr>
      <w:r w:rsidRPr="007E16DF">
        <w:rPr>
          <w:sz w:val="20"/>
        </w:rPr>
        <w:t xml:space="preserve">[21] </w:t>
      </w:r>
      <w:proofErr w:type="spellStart"/>
      <w:r w:rsidRPr="007E16DF">
        <w:rPr>
          <w:sz w:val="20"/>
        </w:rPr>
        <w:t>Batiha</w:t>
      </w:r>
      <w:proofErr w:type="spellEnd"/>
      <w:r w:rsidRPr="007E16DF">
        <w:rPr>
          <w:sz w:val="20"/>
        </w:rPr>
        <w:t>, G. E., et al. (2020). Chemical insights and therapeutic potential of polyherbal formulations. Biomolecules, 10(10), 1432.</w:t>
      </w:r>
    </w:p>
    <w:p w14:paraId="0AD382C9" w14:textId="77777777" w:rsidR="009D20E1" w:rsidRPr="007E16DF" w:rsidRDefault="009D20E1" w:rsidP="009D20E1">
      <w:pPr>
        <w:spacing w:after="80"/>
      </w:pPr>
      <w:r w:rsidRPr="007E16DF">
        <w:rPr>
          <w:sz w:val="20"/>
        </w:rPr>
        <w:t xml:space="preserve">[22] </w:t>
      </w:r>
      <w:proofErr w:type="spellStart"/>
      <w:r w:rsidRPr="007E16DF">
        <w:rPr>
          <w:sz w:val="20"/>
        </w:rPr>
        <w:t>Efferth</w:t>
      </w:r>
      <w:proofErr w:type="spellEnd"/>
      <w:r w:rsidRPr="007E16DF">
        <w:rPr>
          <w:sz w:val="20"/>
        </w:rPr>
        <w:t>, T., &amp; Koch, E. (2011). Complex mixtures of secondary metabolites and the concept of multi-target therapeutics in medicine. Planta Medica, 77(04), 303-310.</w:t>
      </w:r>
    </w:p>
    <w:p w14:paraId="6F4D1064" w14:textId="77777777" w:rsidR="009D20E1" w:rsidRPr="007E16DF" w:rsidRDefault="009D20E1" w:rsidP="009D20E1">
      <w:pPr>
        <w:spacing w:after="80"/>
      </w:pPr>
      <w:r w:rsidRPr="007E16DF">
        <w:rPr>
          <w:sz w:val="20"/>
        </w:rPr>
        <w:t>[23] Tallarida, R. J. (2011). Quantitative methods for assessing drug synergy. Quantitative Methods in Pharmacology, 337, 21-35.</w:t>
      </w:r>
    </w:p>
    <w:p w14:paraId="7A7AAF15" w14:textId="77777777" w:rsidR="009D20E1" w:rsidRPr="007E16DF" w:rsidRDefault="009D20E1" w:rsidP="009D20E1">
      <w:pPr>
        <w:spacing w:after="80"/>
      </w:pPr>
      <w:r w:rsidRPr="007E16DF">
        <w:rPr>
          <w:sz w:val="20"/>
        </w:rPr>
        <w:t>[24] Jain, S. K., &amp; Rao, R. R. (1977). A handbook of field and herbarium methods for botanical specimens. Today &amp; Tomorrow Publishers, New Delhi.</w:t>
      </w:r>
    </w:p>
    <w:p w14:paraId="4F9BA20D" w14:textId="77777777" w:rsidR="009D20E1" w:rsidRPr="007E16DF" w:rsidRDefault="009D20E1" w:rsidP="009D20E1">
      <w:pPr>
        <w:spacing w:after="80"/>
      </w:pPr>
      <w:r w:rsidRPr="007E16DF">
        <w:rPr>
          <w:sz w:val="20"/>
        </w:rPr>
        <w:t>[25] Botanical Survey of India. (2010). Protocol for collection, preservation, and official certification of standard vouchers. BSI Publications, Kolkata.</w:t>
      </w:r>
    </w:p>
    <w:p w14:paraId="20A4BC71" w14:textId="77777777" w:rsidR="009D20E1" w:rsidRPr="007E16DF" w:rsidRDefault="009D20E1" w:rsidP="009D20E1">
      <w:pPr>
        <w:spacing w:after="80"/>
      </w:pPr>
      <w:r w:rsidRPr="007E16DF">
        <w:rPr>
          <w:sz w:val="20"/>
        </w:rPr>
        <w:t>[26] Indian Pharmacopoeia Commission. (2016). Indian Pharmacopoeia: Morphological and physical verification parameters of Nigella sativa. Ghaziabad, IPC.</w:t>
      </w:r>
    </w:p>
    <w:p w14:paraId="6ADE0E38" w14:textId="77777777" w:rsidR="009D20E1" w:rsidRPr="007E16DF" w:rsidRDefault="009D20E1" w:rsidP="009D20E1">
      <w:pPr>
        <w:spacing w:after="80"/>
      </w:pPr>
      <w:r w:rsidRPr="007E16DF">
        <w:rPr>
          <w:sz w:val="20"/>
        </w:rPr>
        <w:t>[27] Harborne, J. B. (1998). Phytochemical methods: A guide to modern techniques of plant analysis (3rd ed.). Springer, London.</w:t>
      </w:r>
    </w:p>
    <w:p w14:paraId="63D46C02" w14:textId="77777777" w:rsidR="009D20E1" w:rsidRPr="007E16DF" w:rsidRDefault="009D20E1" w:rsidP="009D20E1">
      <w:pPr>
        <w:spacing w:after="80"/>
      </w:pPr>
      <w:r w:rsidRPr="007E16DF">
        <w:rPr>
          <w:sz w:val="20"/>
        </w:rPr>
        <w:t xml:space="preserve">[28] </w:t>
      </w:r>
      <w:proofErr w:type="spellStart"/>
      <w:r w:rsidRPr="007E16DF">
        <w:rPr>
          <w:sz w:val="20"/>
        </w:rPr>
        <w:t>Handas</w:t>
      </w:r>
      <w:proofErr w:type="spellEnd"/>
      <w:r w:rsidRPr="007E16DF">
        <w:rPr>
          <w:sz w:val="20"/>
        </w:rPr>
        <w:t>, S. S., et al. (2008). Extraction technologies for medicinal and aromatic plants. International Centre for Science and High Technology, Trieste.</w:t>
      </w:r>
    </w:p>
    <w:p w14:paraId="674077B1" w14:textId="77777777" w:rsidR="009D20E1" w:rsidRPr="007E16DF" w:rsidRDefault="009D20E1" w:rsidP="009D20E1">
      <w:pPr>
        <w:spacing w:after="80"/>
      </w:pPr>
      <w:r w:rsidRPr="007E16DF">
        <w:rPr>
          <w:sz w:val="20"/>
        </w:rPr>
        <w:t xml:space="preserve">[29] </w:t>
      </w:r>
      <w:proofErr w:type="spellStart"/>
      <w:r w:rsidRPr="007E16DF">
        <w:rPr>
          <w:sz w:val="20"/>
        </w:rPr>
        <w:t>Azwanida</w:t>
      </w:r>
      <w:proofErr w:type="spellEnd"/>
      <w:r w:rsidRPr="007E16DF">
        <w:rPr>
          <w:sz w:val="20"/>
        </w:rPr>
        <w:t xml:space="preserve">, N. N. (2015). A review on the extraction methods </w:t>
      </w:r>
      <w:proofErr w:type="gramStart"/>
      <w:r w:rsidRPr="007E16DF">
        <w:rPr>
          <w:sz w:val="20"/>
        </w:rPr>
        <w:t>use</w:t>
      </w:r>
      <w:proofErr w:type="gramEnd"/>
      <w:r w:rsidRPr="007E16DF">
        <w:rPr>
          <w:sz w:val="20"/>
        </w:rPr>
        <w:t xml:space="preserve"> in medicinal plants, their strength and limitations. Medicinal &amp; Aromatic Plants, 4(3), 1-6.</w:t>
      </w:r>
    </w:p>
    <w:p w14:paraId="2F3CC1E1" w14:textId="77777777" w:rsidR="009D20E1" w:rsidRPr="007E16DF" w:rsidRDefault="009D20E1" w:rsidP="009D20E1">
      <w:pPr>
        <w:spacing w:after="80"/>
      </w:pPr>
      <w:r w:rsidRPr="007E16DF">
        <w:t>[30] Zhang, Q. W., Lin, L. G., &amp; Ye, W. C. (2018). Techniques for extraction and isolation of natural products: A comprehensive review. Chinese Medicine, 13, 20. https://doi.org/10.1186/s13020-018-0177-x</w:t>
      </w:r>
    </w:p>
    <w:p w14:paraId="48E6A2E3" w14:textId="77777777" w:rsidR="009D20E1" w:rsidRPr="007E16DF" w:rsidRDefault="009D20E1" w:rsidP="009D20E1">
      <w:pPr>
        <w:spacing w:after="80"/>
      </w:pPr>
      <w:r w:rsidRPr="007E16DF">
        <w:rPr>
          <w:sz w:val="20"/>
        </w:rPr>
        <w:t xml:space="preserve">[31] Arshad, M. T., Ali, M. K., Maqsood, S., Ikram, A., Hossain, S., </w:t>
      </w:r>
      <w:proofErr w:type="spellStart"/>
      <w:r w:rsidRPr="007E16DF">
        <w:rPr>
          <w:sz w:val="20"/>
        </w:rPr>
        <w:t>Aljameel</w:t>
      </w:r>
      <w:proofErr w:type="spellEnd"/>
      <w:r w:rsidRPr="007E16DF">
        <w:rPr>
          <w:sz w:val="20"/>
        </w:rPr>
        <w:t>, A., &amp; Al-</w:t>
      </w:r>
      <w:proofErr w:type="spellStart"/>
      <w:r w:rsidRPr="007E16DF">
        <w:rPr>
          <w:sz w:val="20"/>
        </w:rPr>
        <w:t>Farga</w:t>
      </w:r>
      <w:proofErr w:type="spellEnd"/>
      <w:r w:rsidRPr="007E16DF">
        <w:rPr>
          <w:sz w:val="20"/>
        </w:rPr>
        <w:t>, A. (2025). Dietary Phytochemicals in Cardiovascular Disease Prevention and Management: A Comprehensive Review. Food Science &amp; Nutrition, 13(9), e70872.</w:t>
      </w:r>
    </w:p>
    <w:p w14:paraId="5303C99D" w14:textId="77777777" w:rsidR="009D20E1" w:rsidRPr="007E16DF" w:rsidRDefault="009D20E1" w:rsidP="009D20E1">
      <w:pPr>
        <w:spacing w:after="80"/>
      </w:pPr>
      <w:r w:rsidRPr="007E16DF">
        <w:rPr>
          <w:sz w:val="20"/>
        </w:rPr>
        <w:t>[32] Cherian, I. V., Vijukumar, A., Islam, M. M., &amp; Vikal, A. (2025). Assessing the therapeutic potential of quercetin, a widely spread flavonoid, in the prevention and management of chronic and degenerative diseases through a modern Chinese medicine perspective. Pharmacological Research - Modern Chinese Medicine, 15, 100630.</w:t>
      </w:r>
    </w:p>
    <w:p w14:paraId="535A5C22" w14:textId="77777777" w:rsidR="009D20E1" w:rsidRPr="007E16DF" w:rsidRDefault="009D20E1" w:rsidP="009D20E1">
      <w:pPr>
        <w:spacing w:after="80"/>
      </w:pPr>
      <w:r w:rsidRPr="007E16DF">
        <w:rPr>
          <w:sz w:val="20"/>
        </w:rPr>
        <w:t xml:space="preserve">[33] Rosli, S. H., Lim, X. Y., Krishnan, P., Ahmad, I. F., Voon, Y. L., Siau, T. C., Chan, J. S., Omar, M. H., &amp; Tan, T. Y. (2026). Unveiling the safety, tolerability, and herb-drug interaction concerns of Hibiscus sabdariffa L. (Roselle): A systematic scoping review of current evidence. </w:t>
      </w:r>
      <w:proofErr w:type="spellStart"/>
      <w:r w:rsidRPr="007E16DF">
        <w:rPr>
          <w:sz w:val="20"/>
        </w:rPr>
        <w:t>Heliyon</w:t>
      </w:r>
      <w:proofErr w:type="spellEnd"/>
      <w:r w:rsidRPr="007E16DF">
        <w:rPr>
          <w:sz w:val="20"/>
        </w:rPr>
        <w:t>, 12(3), e28410.</w:t>
      </w:r>
    </w:p>
    <w:p w14:paraId="4C8D64DC" w14:textId="77777777" w:rsidR="009D20E1" w:rsidRPr="007E16DF" w:rsidRDefault="009D20E1" w:rsidP="009D20E1">
      <w:pPr>
        <w:spacing w:after="80"/>
      </w:pPr>
      <w:r w:rsidRPr="007E16DF">
        <w:rPr>
          <w:sz w:val="20"/>
        </w:rPr>
        <w:t>[34] Sparkman, O. D., Penton, Z., &amp; Kitson, F. G. (2011). Gas Chromatography and Mass Spectrometry: A practical guide (2nd ed.). Academic Press, San Diego.</w:t>
      </w:r>
    </w:p>
    <w:p w14:paraId="676323F6" w14:textId="77777777" w:rsidR="009D20E1" w:rsidRPr="007E16DF" w:rsidRDefault="009D20E1" w:rsidP="009D20E1">
      <w:pPr>
        <w:spacing w:after="80"/>
      </w:pPr>
      <w:r w:rsidRPr="007E16DF">
        <w:rPr>
          <w:sz w:val="20"/>
        </w:rPr>
        <w:t xml:space="preserve">[35] Grob, K. (2007). Split and </w:t>
      </w:r>
      <w:proofErr w:type="spellStart"/>
      <w:r w:rsidRPr="007E16DF">
        <w:rPr>
          <w:sz w:val="20"/>
        </w:rPr>
        <w:t>splitless</w:t>
      </w:r>
      <w:proofErr w:type="spellEnd"/>
      <w:r w:rsidRPr="007E16DF">
        <w:rPr>
          <w:sz w:val="20"/>
        </w:rPr>
        <w:t xml:space="preserve"> injection for quantitative gas chromatography: concepts, processes, practical guidelines. John Wiley &amp; Sons, Hoboken.</w:t>
      </w:r>
    </w:p>
    <w:p w14:paraId="61677E9D" w14:textId="77777777" w:rsidR="009D20E1" w:rsidRPr="007E16DF" w:rsidRDefault="009D20E1" w:rsidP="009D20E1">
      <w:pPr>
        <w:spacing w:after="80"/>
      </w:pPr>
      <w:r w:rsidRPr="007E16DF">
        <w:rPr>
          <w:sz w:val="20"/>
        </w:rPr>
        <w:t xml:space="preserve">[36] </w:t>
      </w:r>
      <w:proofErr w:type="spellStart"/>
      <w:r w:rsidRPr="007E16DF">
        <w:rPr>
          <w:sz w:val="20"/>
        </w:rPr>
        <w:t>McNaire</w:t>
      </w:r>
      <w:proofErr w:type="spellEnd"/>
      <w:r w:rsidRPr="007E16DF">
        <w:rPr>
          <w:sz w:val="20"/>
        </w:rPr>
        <w:t>, H. M., &amp; Miller, J. M. (2009). Basic Gas Chromatography (2nd ed.). John Wiley &amp; Sons, New York.</w:t>
      </w:r>
    </w:p>
    <w:p w14:paraId="5A713C9A" w14:textId="77777777" w:rsidR="009D20E1" w:rsidRPr="007E16DF" w:rsidRDefault="009D20E1" w:rsidP="009D20E1">
      <w:pPr>
        <w:spacing w:after="80"/>
      </w:pPr>
      <w:r w:rsidRPr="007E16DF">
        <w:rPr>
          <w:sz w:val="20"/>
        </w:rPr>
        <w:t>[37] Hübschmann, H. J. (2015). Handbook of GC-MS: Fundamentals and applications (3rd ed.). Wiley-VCH, Weinheim.</w:t>
      </w:r>
    </w:p>
    <w:p w14:paraId="452ECB8B" w14:textId="77777777" w:rsidR="009D20E1" w:rsidRPr="007E16DF" w:rsidRDefault="009D20E1" w:rsidP="009D20E1">
      <w:pPr>
        <w:spacing w:after="80"/>
      </w:pPr>
      <w:r w:rsidRPr="007E16DF">
        <w:rPr>
          <w:sz w:val="20"/>
        </w:rPr>
        <w:lastRenderedPageBreak/>
        <w:t>[38] National Institute of Standards and Technology. (2020). NIST/EPA/NIH Mass Spectral Library (NIST20). Gaithersburg, MD.</w:t>
      </w:r>
    </w:p>
    <w:p w14:paraId="2F43670B" w14:textId="77777777" w:rsidR="009D20E1" w:rsidRPr="007E16DF" w:rsidRDefault="009D20E1" w:rsidP="009D20E1">
      <w:pPr>
        <w:spacing w:after="80"/>
      </w:pPr>
      <w:r w:rsidRPr="007E16DF">
        <w:rPr>
          <w:sz w:val="20"/>
        </w:rPr>
        <w:t xml:space="preserve">[39] Grigorescu, A., Riza, A. L., </w:t>
      </w:r>
      <w:proofErr w:type="spellStart"/>
      <w:r w:rsidRPr="007E16DF">
        <w:rPr>
          <w:sz w:val="20"/>
        </w:rPr>
        <w:t>Streata</w:t>
      </w:r>
      <w:proofErr w:type="spellEnd"/>
      <w:r w:rsidRPr="007E16DF">
        <w:rPr>
          <w:sz w:val="20"/>
        </w:rPr>
        <w:t xml:space="preserve">, I., &amp; </w:t>
      </w:r>
      <w:proofErr w:type="spellStart"/>
      <w:r w:rsidRPr="007E16DF">
        <w:rPr>
          <w:sz w:val="20"/>
        </w:rPr>
        <w:t>Netea</w:t>
      </w:r>
      <w:proofErr w:type="spellEnd"/>
      <w:r w:rsidRPr="007E16DF">
        <w:rPr>
          <w:sz w:val="20"/>
        </w:rPr>
        <w:t>, M. G. (2025). Metabolic dysregulation of trained immunity in immune aging and the impact of dietary patterns. American Journal of Physiology-Cell Physiology, 329(2), C456-C470.</w:t>
      </w:r>
    </w:p>
    <w:p w14:paraId="47D4D8C7" w14:textId="77777777" w:rsidR="009D20E1" w:rsidRPr="007E16DF" w:rsidRDefault="009D20E1" w:rsidP="009D20E1">
      <w:pPr>
        <w:spacing w:after="80"/>
      </w:pPr>
      <w:r w:rsidRPr="007E16DF">
        <w:rPr>
          <w:sz w:val="20"/>
        </w:rPr>
        <w:t xml:space="preserve">[40] Jagati, P., &amp; </w:t>
      </w:r>
      <w:proofErr w:type="spellStart"/>
      <w:r w:rsidRPr="007E16DF">
        <w:rPr>
          <w:sz w:val="20"/>
        </w:rPr>
        <w:t>Thaimei</w:t>
      </w:r>
      <w:proofErr w:type="spellEnd"/>
      <w:r w:rsidRPr="007E16DF">
        <w:rPr>
          <w:sz w:val="20"/>
        </w:rPr>
        <w:t>, L. (2024). Pathophysiology and nutritional management of polycystic ovary syndrome in women of reproductive age group: A scoping review. Bharati Vidyapeeth Medical Journal, 4(4), 35-42.</w:t>
      </w:r>
    </w:p>
    <w:p w14:paraId="4B8D2495" w14:textId="77777777" w:rsidR="009D20E1" w:rsidRPr="007E16DF" w:rsidRDefault="009D20E1" w:rsidP="009D20E1">
      <w:pPr>
        <w:spacing w:after="80"/>
      </w:pPr>
      <w:r w:rsidRPr="007E16DF">
        <w:rPr>
          <w:sz w:val="20"/>
        </w:rPr>
        <w:t xml:space="preserve">[41] </w:t>
      </w:r>
      <w:proofErr w:type="spellStart"/>
      <w:r w:rsidRPr="007E16DF">
        <w:rPr>
          <w:sz w:val="20"/>
        </w:rPr>
        <w:t>Kaskoos</w:t>
      </w:r>
      <w:proofErr w:type="spellEnd"/>
      <w:r w:rsidRPr="007E16DF">
        <w:rPr>
          <w:sz w:val="20"/>
        </w:rPr>
        <w:t>, R. A. (2011). Fatty acid composition of Nigella sativa oil derived from GC-MS profiling. Journal of Medicinal Plants Research, 5(13), 2855-2859.</w:t>
      </w:r>
    </w:p>
    <w:p w14:paraId="00C13D40" w14:textId="77777777" w:rsidR="009D20E1" w:rsidRPr="007E16DF" w:rsidRDefault="009D20E1" w:rsidP="009D20E1">
      <w:pPr>
        <w:spacing w:after="80"/>
      </w:pPr>
      <w:r w:rsidRPr="007E16DF">
        <w:rPr>
          <w:sz w:val="20"/>
        </w:rPr>
        <w:t>[42] Cheikh-</w:t>
      </w:r>
      <w:proofErr w:type="spellStart"/>
      <w:r w:rsidRPr="007E16DF">
        <w:rPr>
          <w:sz w:val="20"/>
        </w:rPr>
        <w:t>Rouhou</w:t>
      </w:r>
      <w:proofErr w:type="spellEnd"/>
      <w:r w:rsidRPr="007E16DF">
        <w:rPr>
          <w:sz w:val="20"/>
        </w:rPr>
        <w:t>, S., et al. (2007). Nigella sativa L.: Chemical composition and physicochemical characteristics of lipid fractions. Food Chemistry, 101(2), 673-681.</w:t>
      </w:r>
    </w:p>
    <w:p w14:paraId="105780EB" w14:textId="77777777" w:rsidR="009D20E1" w:rsidRPr="007E16DF" w:rsidRDefault="009D20E1" w:rsidP="009D20E1">
      <w:pPr>
        <w:spacing w:after="80"/>
      </w:pPr>
      <w:r w:rsidRPr="007E16DF">
        <w:rPr>
          <w:sz w:val="20"/>
        </w:rPr>
        <w:t>[43] Mancini, A., et al. (2015). Biological and nutritional properties of Palmitic Acid (</w:t>
      </w:r>
      <w:proofErr w:type="spellStart"/>
      <w:r w:rsidRPr="007E16DF">
        <w:rPr>
          <w:sz w:val="20"/>
        </w:rPr>
        <w:t>Hexadecanoic</w:t>
      </w:r>
      <w:proofErr w:type="spellEnd"/>
      <w:r w:rsidRPr="007E16DF">
        <w:rPr>
          <w:sz w:val="20"/>
        </w:rPr>
        <w:t xml:space="preserve"> Acid) in physiological and pathological states. Frontiers in Physiology, 6, 220.</w:t>
      </w:r>
    </w:p>
    <w:p w14:paraId="07F9617C" w14:textId="77777777" w:rsidR="009D20E1" w:rsidRPr="007E16DF" w:rsidRDefault="009D20E1" w:rsidP="009D20E1">
      <w:pPr>
        <w:spacing w:after="80"/>
      </w:pPr>
      <w:r w:rsidRPr="007E16DF">
        <w:rPr>
          <w:sz w:val="20"/>
        </w:rPr>
        <w:t xml:space="preserve">[44] Kumar, S., et al. (2012). Phenolic content, antioxidant profiling, and free radical scavenging activity of </w:t>
      </w:r>
      <w:proofErr w:type="spellStart"/>
      <w:r w:rsidRPr="007E16DF">
        <w:rPr>
          <w:sz w:val="20"/>
        </w:rPr>
        <w:t>Sphagneticola</w:t>
      </w:r>
      <w:proofErr w:type="spellEnd"/>
      <w:r w:rsidRPr="007E16DF">
        <w:rPr>
          <w:sz w:val="20"/>
        </w:rPr>
        <w:t xml:space="preserve"> species. Journal of Pharmaceutical and Biomedical Analysis, 66, 234-241.</w:t>
      </w:r>
    </w:p>
    <w:p w14:paraId="051D942D" w14:textId="77777777" w:rsidR="009D20E1" w:rsidRPr="007E16DF" w:rsidRDefault="009D20E1" w:rsidP="009D20E1">
      <w:pPr>
        <w:spacing w:after="80"/>
      </w:pPr>
      <w:r w:rsidRPr="007E16DF">
        <w:rPr>
          <w:sz w:val="20"/>
        </w:rPr>
        <w:t xml:space="preserve">[45] Bhargava, K. P., et al. (1970). Anti-inflammatory evaluation of phenolic fractions isolated from </w:t>
      </w:r>
      <w:proofErr w:type="spellStart"/>
      <w:r w:rsidRPr="007E16DF">
        <w:rPr>
          <w:sz w:val="20"/>
        </w:rPr>
        <w:t>Wedelia</w:t>
      </w:r>
      <w:proofErr w:type="spellEnd"/>
      <w:r w:rsidRPr="007E16DF">
        <w:rPr>
          <w:sz w:val="20"/>
        </w:rPr>
        <w:t xml:space="preserve"> </w:t>
      </w:r>
      <w:proofErr w:type="spellStart"/>
      <w:r w:rsidRPr="007E16DF">
        <w:rPr>
          <w:sz w:val="20"/>
        </w:rPr>
        <w:t>calendulacea</w:t>
      </w:r>
      <w:proofErr w:type="spellEnd"/>
      <w:r w:rsidRPr="007E16DF">
        <w:rPr>
          <w:sz w:val="20"/>
        </w:rPr>
        <w:t>. Indian Journal of Medical Research, 58, 602-609.</w:t>
      </w:r>
    </w:p>
    <w:p w14:paraId="5ACA2E11" w14:textId="77777777" w:rsidR="009D20E1" w:rsidRPr="007E16DF" w:rsidRDefault="009D20E1" w:rsidP="009D20E1">
      <w:pPr>
        <w:spacing w:after="80"/>
      </w:pPr>
      <w:r w:rsidRPr="007E16DF">
        <w:rPr>
          <w:sz w:val="20"/>
        </w:rPr>
        <w:t>[46] Santhakumar, A. B., et al. (2014). Ascorbic acid derivatives and their unique long-chain esters: Evaluation of antioxidant capacity and lipid membrane interaction. Journal of Functional Foods, 9, 134-143.</w:t>
      </w:r>
    </w:p>
    <w:p w14:paraId="19562EB6" w14:textId="77777777" w:rsidR="009D20E1" w:rsidRPr="007E16DF" w:rsidRDefault="009D20E1" w:rsidP="009D20E1">
      <w:pPr>
        <w:spacing w:after="80"/>
      </w:pPr>
      <w:r w:rsidRPr="007E16DF">
        <w:rPr>
          <w:sz w:val="20"/>
        </w:rPr>
        <w:t>[47] Evans, W. C. (2009). Trease and Evans' Pharmacognosy (16th ed.). W.B. Saunders, Edinburgh.</w:t>
      </w:r>
    </w:p>
    <w:p w14:paraId="1A4AC6E6" w14:textId="77777777" w:rsidR="009D20E1" w:rsidRPr="007E16DF" w:rsidRDefault="009D20E1" w:rsidP="009D20E1">
      <w:pPr>
        <w:spacing w:after="80"/>
      </w:pPr>
      <w:r w:rsidRPr="007E16DF">
        <w:rPr>
          <w:sz w:val="20"/>
        </w:rPr>
        <w:t>[48] Dai, J., &amp; Mumper, R. J. (2010). Plant phenolics: extraction, analysis and their antioxidant and anticancer properties. Molecules, 15(10), 7313-7352.</w:t>
      </w:r>
    </w:p>
    <w:p w14:paraId="41BD23AC" w14:textId="77777777" w:rsidR="009D20E1" w:rsidRPr="007E16DF" w:rsidRDefault="009D20E1" w:rsidP="009D20E1">
      <w:pPr>
        <w:spacing w:after="80"/>
      </w:pPr>
      <w:r w:rsidRPr="007E16DF">
        <w:rPr>
          <w:sz w:val="20"/>
        </w:rPr>
        <w:t>[49] Corti, A., et al. (2010). Cellular roles of ascorbic acid esters and fatty acid derivatives in mitigating chronic low-grade oxidative stress. Free Radical Research, 44(3), 233-244.</w:t>
      </w:r>
    </w:p>
    <w:p w14:paraId="100E4738" w14:textId="77777777" w:rsidR="009D20E1" w:rsidRPr="007E16DF" w:rsidRDefault="009D20E1" w:rsidP="009D20E1">
      <w:pPr>
        <w:spacing w:after="80"/>
      </w:pPr>
      <w:r w:rsidRPr="007E16DF">
        <w:rPr>
          <w:sz w:val="20"/>
        </w:rPr>
        <w:t>[50] Simopoulos, A. P. (2002). The importance of the ratio of omega-6/omega-3 essential fatty acids. Biomedicine &amp; Pharmacotherapy, 56(8), 365-379.</w:t>
      </w:r>
    </w:p>
    <w:p w14:paraId="0ECED8A2" w14:textId="77777777" w:rsidR="009D20E1" w:rsidRPr="007E16DF" w:rsidRDefault="009D20E1" w:rsidP="009D20E1">
      <w:pPr>
        <w:spacing w:after="80"/>
      </w:pPr>
      <w:r w:rsidRPr="007E16DF">
        <w:rPr>
          <w:sz w:val="20"/>
        </w:rPr>
        <w:t>[51] Spector, A. A., &amp; Yorek, M. A. (1985). Membrane lipid composition and cellular function. Journal of Lipid Research, 26(9), 1015-1035.</w:t>
      </w:r>
    </w:p>
    <w:p w14:paraId="3059758D" w14:textId="77777777" w:rsidR="009D20E1" w:rsidRPr="007E16DF" w:rsidRDefault="009D20E1" w:rsidP="009D20E1">
      <w:pPr>
        <w:spacing w:after="80"/>
      </w:pPr>
      <w:r w:rsidRPr="007E16DF">
        <w:rPr>
          <w:sz w:val="20"/>
        </w:rPr>
        <w:t>[52] Repaci, A., et al. (2011). Polycystic ovary syndrome: chronic inflammation and oxidative stress markers. Journal of Endocrinological Investigation, 34(7), 555-560.</w:t>
      </w:r>
    </w:p>
    <w:p w14:paraId="72FF6CA0" w14:textId="77777777" w:rsidR="009D20E1" w:rsidRPr="007E16DF" w:rsidRDefault="009D20E1" w:rsidP="009D20E1">
      <w:pPr>
        <w:spacing w:after="80"/>
      </w:pPr>
      <w:r w:rsidRPr="007E16DF">
        <w:rPr>
          <w:sz w:val="20"/>
        </w:rPr>
        <w:t>[53] Ruder, E. H., et al. (2008). Oxidative stress and antioxidants: exposure and impact on female fertility. Human Reproduction Update, 14(4), 345-357.</w:t>
      </w:r>
    </w:p>
    <w:p w14:paraId="4BF71E20" w14:textId="77777777" w:rsidR="009D20E1" w:rsidRPr="007E16DF" w:rsidRDefault="009D20E1" w:rsidP="009D20E1">
      <w:pPr>
        <w:spacing w:after="80"/>
      </w:pPr>
      <w:r w:rsidRPr="007E16DF">
        <w:rPr>
          <w:sz w:val="20"/>
        </w:rPr>
        <w:t>[54] Gilling-Smith, C., et al. (1994). Hyperandrogenism and the ovarian theca cell in polycystic ovary syndrome. Trends in Endocrinology &amp; Metabolism, 5(9), 371-377.</w:t>
      </w:r>
    </w:p>
    <w:p w14:paraId="624B8FF5" w14:textId="77777777" w:rsidR="009D20E1" w:rsidRPr="007E16DF" w:rsidRDefault="009D20E1" w:rsidP="009D20E1">
      <w:pPr>
        <w:spacing w:after="80"/>
      </w:pPr>
      <w:r w:rsidRPr="007E16DF">
        <w:rPr>
          <w:sz w:val="20"/>
        </w:rPr>
        <w:t>[55] Walters, K. A., et al. (2018). Evidence from animal models on the pathogenesis of polycystic ovary syndrome. Endocrine Reviews, 39(3), 292-336.</w:t>
      </w:r>
    </w:p>
    <w:p w14:paraId="07DE9E26" w14:textId="77777777" w:rsidR="009D20E1" w:rsidRPr="007E16DF" w:rsidRDefault="009D20E1" w:rsidP="009D20E1">
      <w:pPr>
        <w:spacing w:after="80"/>
      </w:pPr>
      <w:r w:rsidRPr="007E16DF">
        <w:rPr>
          <w:sz w:val="20"/>
        </w:rPr>
        <w:t>[56] Susan, L. T., et al. (2019). Structural compounds and steroidal intermediates in restoring cycle regularity in metabolic syndromes. Phytotherapy Research, 33(11), 2844-2856.</w:t>
      </w:r>
    </w:p>
    <w:p w14:paraId="0265B9C0" w14:textId="77777777" w:rsidR="009D20E1" w:rsidRPr="007E16DF" w:rsidRDefault="009D20E1" w:rsidP="009D20E1">
      <w:pPr>
        <w:spacing w:after="80"/>
      </w:pPr>
      <w:r w:rsidRPr="007E16DF">
        <w:rPr>
          <w:sz w:val="20"/>
        </w:rPr>
        <w:t>[57] Padmanabhan, S., et al. (2021). Multi-target mechanisms of dual-herb formulations in insulin signaling pathways. Journal of Biomolecular Structure and Dynamics, 39(14), 5122-5134.</w:t>
      </w:r>
    </w:p>
    <w:p w14:paraId="1393B918" w14:textId="77777777" w:rsidR="009D20E1" w:rsidRPr="007E16DF" w:rsidRDefault="009D20E1" w:rsidP="009D20E1">
      <w:pPr>
        <w:spacing w:after="80"/>
      </w:pPr>
      <w:r w:rsidRPr="007E16DF">
        <w:rPr>
          <w:sz w:val="20"/>
        </w:rPr>
        <w:t xml:space="preserve">[58] </w:t>
      </w:r>
      <w:proofErr w:type="spellStart"/>
      <w:r w:rsidRPr="007E16DF">
        <w:rPr>
          <w:sz w:val="20"/>
        </w:rPr>
        <w:t>Unuofin</w:t>
      </w:r>
      <w:proofErr w:type="spellEnd"/>
      <w:r w:rsidRPr="007E16DF">
        <w:rPr>
          <w:sz w:val="20"/>
        </w:rPr>
        <w:t>, J. O., &amp; Lebelo, S. L. (2020). Antioxidant effects and mechanisms of polyherbal formulations in managing endocrine paths. Frontiers in Endocrinology, 11, 584.</w:t>
      </w:r>
    </w:p>
    <w:p w14:paraId="253085FF" w14:textId="77777777" w:rsidR="009D20E1" w:rsidRPr="007E16DF" w:rsidRDefault="009D20E1" w:rsidP="009D20E1">
      <w:pPr>
        <w:spacing w:after="80"/>
      </w:pPr>
      <w:r w:rsidRPr="007E16DF">
        <w:rPr>
          <w:sz w:val="20"/>
        </w:rPr>
        <w:t xml:space="preserve">[59] </w:t>
      </w:r>
      <w:proofErr w:type="spellStart"/>
      <w:r w:rsidRPr="007E16DF">
        <w:rPr>
          <w:sz w:val="20"/>
        </w:rPr>
        <w:t>Govindachari</w:t>
      </w:r>
      <w:proofErr w:type="spellEnd"/>
      <w:r w:rsidRPr="007E16DF">
        <w:rPr>
          <w:sz w:val="20"/>
        </w:rPr>
        <w:t xml:space="preserve">, T. R., &amp; Premila, M. S. (1985). The benzofuran </w:t>
      </w:r>
      <w:proofErr w:type="spellStart"/>
      <w:r w:rsidRPr="007E16DF">
        <w:rPr>
          <w:sz w:val="20"/>
        </w:rPr>
        <w:t>norwedelic</w:t>
      </w:r>
      <w:proofErr w:type="spellEnd"/>
      <w:r w:rsidRPr="007E16DF">
        <w:rPr>
          <w:sz w:val="20"/>
        </w:rPr>
        <w:t xml:space="preserve"> acid from </w:t>
      </w:r>
      <w:proofErr w:type="spellStart"/>
      <w:r w:rsidRPr="007E16DF">
        <w:rPr>
          <w:sz w:val="20"/>
        </w:rPr>
        <w:t>Wedelia</w:t>
      </w:r>
      <w:proofErr w:type="spellEnd"/>
      <w:r w:rsidRPr="007E16DF">
        <w:rPr>
          <w:sz w:val="20"/>
        </w:rPr>
        <w:t xml:space="preserve"> </w:t>
      </w:r>
      <w:proofErr w:type="spellStart"/>
      <w:r w:rsidRPr="007E16DF">
        <w:rPr>
          <w:sz w:val="20"/>
        </w:rPr>
        <w:t>calendulacea</w:t>
      </w:r>
      <w:proofErr w:type="spellEnd"/>
      <w:r w:rsidRPr="007E16DF">
        <w:rPr>
          <w:sz w:val="20"/>
        </w:rPr>
        <w:t>. Phytochemistry, 24(12), 3068-3069.</w:t>
      </w:r>
    </w:p>
    <w:p w14:paraId="51913B90" w14:textId="77777777" w:rsidR="009D20E1" w:rsidRPr="007E16DF" w:rsidRDefault="009D20E1" w:rsidP="009D20E1">
      <w:pPr>
        <w:spacing w:after="80"/>
      </w:pPr>
      <w:r w:rsidRPr="007E16DF">
        <w:rPr>
          <w:sz w:val="20"/>
        </w:rPr>
        <w:lastRenderedPageBreak/>
        <w:t>[60] Murugesan, M., et al. (2020). Thymoquinone combined with dietary ascorbic acid modulations: Protective properties on steroidogenesis paths. Endocrine Research, 45(2), 112-125.</w:t>
      </w:r>
    </w:p>
    <w:p w14:paraId="4BA6D86E" w14:textId="77777777" w:rsidR="009D20E1" w:rsidRPr="007E16DF" w:rsidRDefault="009D20E1" w:rsidP="009D20E1">
      <w:pPr>
        <w:spacing w:after="80"/>
      </w:pPr>
      <w:r w:rsidRPr="007E16DF">
        <w:rPr>
          <w:sz w:val="20"/>
        </w:rPr>
        <w:t>[61] Ghafouri, S., et al. (2022). Effects of Nigella sativa and Thymoquinone on reproductive models of PCOS: A comprehensive review. Phytomedicine, 99, 154011.</w:t>
      </w:r>
    </w:p>
    <w:p w14:paraId="5AC9DAFC" w14:textId="77777777" w:rsidR="009D20E1" w:rsidRPr="007E16DF" w:rsidRDefault="009D20E1" w:rsidP="009D20E1">
      <w:pPr>
        <w:spacing w:after="80"/>
      </w:pPr>
      <w:r w:rsidRPr="007E16DF">
        <w:rPr>
          <w:sz w:val="20"/>
        </w:rPr>
        <w:t xml:space="preserve">[62] Bozdag, G., </w:t>
      </w:r>
      <w:proofErr w:type="spellStart"/>
      <w:r w:rsidRPr="007E16DF">
        <w:rPr>
          <w:sz w:val="20"/>
        </w:rPr>
        <w:t>Mumusoglu</w:t>
      </w:r>
      <w:proofErr w:type="spellEnd"/>
      <w:r w:rsidRPr="007E16DF">
        <w:rPr>
          <w:sz w:val="20"/>
        </w:rPr>
        <w:t>, S., Zengin, D., et al. (2016). The prevalence and phenotypic features of polycystic ovary syndrome: a systematic review and meta-analysis. Human Reproduction, 31(12), 2841-2855.</w:t>
      </w:r>
    </w:p>
    <w:p w14:paraId="0CE2EC63" w14:textId="77777777" w:rsidR="009D20E1" w:rsidRPr="007E16DF" w:rsidRDefault="009D20E1" w:rsidP="009D20E1">
      <w:pPr>
        <w:spacing w:after="80"/>
      </w:pPr>
      <w:r w:rsidRPr="007E16DF">
        <w:rPr>
          <w:sz w:val="20"/>
        </w:rPr>
        <w:t xml:space="preserve">[63] </w:t>
      </w:r>
      <w:proofErr w:type="spellStart"/>
      <w:r w:rsidRPr="007E16DF">
        <w:rPr>
          <w:sz w:val="20"/>
        </w:rPr>
        <w:t>Duleba</w:t>
      </w:r>
      <w:proofErr w:type="spellEnd"/>
      <w:r w:rsidRPr="007E16DF">
        <w:rPr>
          <w:sz w:val="20"/>
        </w:rPr>
        <w:t xml:space="preserve">, A. J., &amp; </w:t>
      </w:r>
      <w:proofErr w:type="spellStart"/>
      <w:r w:rsidRPr="007E16DF">
        <w:rPr>
          <w:sz w:val="20"/>
        </w:rPr>
        <w:t>Dokras</w:t>
      </w:r>
      <w:proofErr w:type="spellEnd"/>
      <w:r w:rsidRPr="007E16DF">
        <w:rPr>
          <w:sz w:val="20"/>
        </w:rPr>
        <w:t>, A. (2012). Is polycystic ovary syndrome an inflammatory disease? Fertility and Sterility, 97(2), 244-248.</w:t>
      </w:r>
    </w:p>
    <w:p w14:paraId="78934896" w14:textId="77777777" w:rsidR="009D20E1" w:rsidRPr="007E16DF" w:rsidRDefault="009D20E1" w:rsidP="009D20E1">
      <w:pPr>
        <w:spacing w:after="80"/>
      </w:pPr>
      <w:r w:rsidRPr="007E16DF">
        <w:rPr>
          <w:sz w:val="20"/>
        </w:rPr>
        <w:t>[64] Morin-Papunen, L., et al. (2012). Metformin versus ethinyl estradiol-cyproterone acetate in the treatment of nonobese women with polycystic ovary syndrome: a randomized controlled trial. Journal of Clinical Endocrinology &amp; Metabolism, 97(5), 1481-1491.</w:t>
      </w:r>
    </w:p>
    <w:p w14:paraId="45548C4A" w14:textId="77777777" w:rsidR="009D20E1" w:rsidRPr="007E16DF" w:rsidRDefault="009D20E1" w:rsidP="009D20E1">
      <w:pPr>
        <w:spacing w:after="80"/>
      </w:pPr>
      <w:r w:rsidRPr="007E16DF">
        <w:rPr>
          <w:sz w:val="20"/>
        </w:rPr>
        <w:t xml:space="preserve">[65] </w:t>
      </w:r>
      <w:proofErr w:type="spellStart"/>
      <w:r w:rsidRPr="007E16DF">
        <w:rPr>
          <w:sz w:val="20"/>
        </w:rPr>
        <w:t>Ndefo</w:t>
      </w:r>
      <w:proofErr w:type="spellEnd"/>
      <w:r w:rsidRPr="007E16DF">
        <w:rPr>
          <w:sz w:val="20"/>
        </w:rPr>
        <w:t>, U. A., et al. (2013). Polycystic ovary syndrome: a review of treatment options with a focus on pharmacology. Pharmacy and Therapeutics, 38(6), 336-355.</w:t>
      </w:r>
    </w:p>
    <w:p w14:paraId="5796DF01" w14:textId="77777777" w:rsidR="009D20E1" w:rsidRPr="007E16DF" w:rsidRDefault="009D20E1" w:rsidP="009D20E1">
      <w:pPr>
        <w:spacing w:after="80"/>
      </w:pPr>
      <w:r w:rsidRPr="007E16DF">
        <w:rPr>
          <w:sz w:val="20"/>
        </w:rPr>
        <w:t>[66] Diamanti-</w:t>
      </w:r>
      <w:proofErr w:type="spellStart"/>
      <w:r w:rsidRPr="007E16DF">
        <w:rPr>
          <w:sz w:val="20"/>
        </w:rPr>
        <w:t>Kandarakis</w:t>
      </w:r>
      <w:proofErr w:type="spellEnd"/>
      <w:r w:rsidRPr="007E16DF">
        <w:rPr>
          <w:sz w:val="20"/>
        </w:rPr>
        <w:t xml:space="preserve">, E., &amp; </w:t>
      </w:r>
      <w:proofErr w:type="spellStart"/>
      <w:r w:rsidRPr="007E16DF">
        <w:rPr>
          <w:sz w:val="20"/>
        </w:rPr>
        <w:t>Dunaif</w:t>
      </w:r>
      <w:proofErr w:type="spellEnd"/>
      <w:r w:rsidRPr="007E16DF">
        <w:rPr>
          <w:sz w:val="20"/>
        </w:rPr>
        <w:t>, A. (2012). Insulin resistance and the polycystic ovary syndrome revisited: an update on mechanisms and implications. Endocrine Reviews, 33(6), 981-1030.</w:t>
      </w:r>
    </w:p>
    <w:p w14:paraId="51F60753" w14:textId="77777777" w:rsidR="009D20E1" w:rsidRPr="007E16DF" w:rsidRDefault="009D20E1" w:rsidP="009D20E1">
      <w:pPr>
        <w:spacing w:after="80"/>
      </w:pPr>
      <w:r w:rsidRPr="007E16DF">
        <w:rPr>
          <w:sz w:val="20"/>
        </w:rPr>
        <w:t>[67] Rosenfield, R. L., &amp; Ehrmann, D. A. (2016). The pathogenesis of polycystic ovary syndrome (PCOS): the hypothesis of PCOS as functional ovarian hyperandrogenism worldwide. Endocrine Reviews, 37(5), 467-520.</w:t>
      </w:r>
    </w:p>
    <w:p w14:paraId="6683CC73" w14:textId="77777777" w:rsidR="009D20E1" w:rsidRPr="007E16DF" w:rsidRDefault="009D20E1" w:rsidP="009D20E1">
      <w:pPr>
        <w:spacing w:after="80"/>
      </w:pPr>
      <w:r w:rsidRPr="007E16DF">
        <w:rPr>
          <w:sz w:val="20"/>
        </w:rPr>
        <w:t>[68] Azziz, R., Carmina, E., Chen, Z., et al. (2016). Polycystic ovary syndrome. Nature Reviews Disease Primers, 2(1), 1-18.</w:t>
      </w:r>
    </w:p>
    <w:p w14:paraId="694734B0" w14:textId="77777777" w:rsidR="009D20E1" w:rsidRPr="007E16DF" w:rsidRDefault="009D20E1" w:rsidP="009D20E1">
      <w:pPr>
        <w:spacing w:after="80"/>
      </w:pPr>
      <w:r w:rsidRPr="007E16DF">
        <w:rPr>
          <w:sz w:val="20"/>
        </w:rPr>
        <w:t>[69] Gonzalez, F. (2012). Inflammation in polycystic ovary syndrome: underpinning of insulin resistance and ovarian dysfunction. Steroids, 77(4), 300-305.</w:t>
      </w:r>
    </w:p>
    <w:p w14:paraId="6BBD26C4" w14:textId="77777777" w:rsidR="009D20E1" w:rsidRPr="007E16DF" w:rsidRDefault="009D20E1" w:rsidP="009D20E1">
      <w:pPr>
        <w:spacing w:after="80"/>
      </w:pPr>
      <w:r w:rsidRPr="007E16DF">
        <w:rPr>
          <w:sz w:val="20"/>
        </w:rPr>
        <w:t>[70] Goodarzi, M. O., et al. (2011). Polycystic ovary syndrome: etiology, pathogenesis and treatments. Nature Reviews Endocrinology, 7(4), 219-231.</w:t>
      </w:r>
    </w:p>
    <w:p w14:paraId="52851D72" w14:textId="77777777" w:rsidR="00243568" w:rsidRPr="007E16DF" w:rsidRDefault="002F2B7E">
      <w:pPr>
        <w:spacing w:after="80"/>
      </w:pPr>
      <w:r w:rsidRPr="007E16DF">
        <w:rPr>
          <w:b/>
        </w:rPr>
        <w:t>[71] Umar, P. K., Gautam, V., Jyoti, Jain, S., Vishvakarma, S., Gattani, A., Sharma, R. K., &amp; Jain, A. (2025). Phytochemical Characterization of Herbal Formulation Containing Nigella sativa, Terminalia arjuna, Withania somnifera and Linum usitatissimum. Journal of Advances in Biology &amp; Biotechnology, 28(11), 957-963. https://doi.org/10.9734/jabb/2025/v28i113290.</w:t>
      </w:r>
    </w:p>
    <w:p w14:paraId="57C77C26" w14:textId="77777777" w:rsidR="00243568" w:rsidRPr="007E16DF" w:rsidRDefault="002F2B7E">
      <w:pPr>
        <w:spacing w:after="80"/>
      </w:pPr>
      <w:r w:rsidRPr="007E16DF">
        <w:rPr>
          <w:b/>
        </w:rPr>
        <w:t>[72] Farag, N. E. H., Ahmedani, E. I., Sheriff, M. M., et al. (2024). Assessment of Phytochemical Properties of Nigella sativa Seeds Essential Oil and Its Potential Antimicrobial Activity against Staphylococcus aureus in the Context of Safety Profiles and Therapeutic Applications in Neurosurgical Interventions. Uttar Pradesh Journal of Zoology, 45(17), 301-317. https://doi.org/10.56557/upjoz/2024/v45i174373.</w:t>
      </w:r>
    </w:p>
    <w:p w14:paraId="1AF2A090" w14:textId="77777777" w:rsidR="00243568" w:rsidRPr="007E16DF" w:rsidRDefault="002F2B7E">
      <w:pPr>
        <w:spacing w:after="80"/>
      </w:pPr>
      <w:r w:rsidRPr="007E16DF">
        <w:rPr>
          <w:b/>
        </w:rPr>
        <w:t>[73] Rahman, A. U., Abdullah, A., Faisal, S., et al. (2024). Unlocking the therapeutic potential of Nigella sativa extract: phytochemical analysis and revealing antimicrobial and antioxidant marvels. BMC Complementary Medicine and Therapies, 24, 266. https://doi.org/10.1186/s12906-024-04470-w.</w:t>
      </w:r>
    </w:p>
    <w:p w14:paraId="69067739" w14:textId="77777777" w:rsidR="00243568" w:rsidRPr="007E16DF" w:rsidRDefault="002F2B7E">
      <w:pPr>
        <w:spacing w:after="80"/>
      </w:pPr>
      <w:r w:rsidRPr="007E16DF">
        <w:rPr>
          <w:b/>
        </w:rPr>
        <w:t>[74] Świderski, M., Koszelska, K., Guziejewski, D., et al. (2025). A voltammetric approach for the quantification of thymoquinone in Nigella Sativa products. Scientific Reports, 15, 18920. https://doi.org/10.1038/s41598-025-03347-3.</w:t>
      </w:r>
    </w:p>
    <w:p w14:paraId="3818A76A" w14:textId="77777777" w:rsidR="00243568" w:rsidRDefault="002F2B7E">
      <w:pPr>
        <w:spacing w:after="80"/>
      </w:pPr>
      <w:r w:rsidRPr="007E16DF">
        <w:rPr>
          <w:b/>
        </w:rPr>
        <w:t>[75] Kaushik, N., &amp; Barmanray, A. (2025). Optimisation of Ultrasound-Assisted Extraction Conditions Using Response Surface Methodology and Identification of Thymoquinone from Black Cumin (Nigella sativa L.) Seed Extract. Food Technology and Biotechnology, 63(2), 262-273. https://doi.org/10.17113/ftb.63.02.25.8560.</w:t>
      </w:r>
    </w:p>
    <w:p w14:paraId="24DB61F4" w14:textId="77777777" w:rsidR="007523AF" w:rsidRDefault="002F2B7E">
      <w:pPr>
        <w:spacing w:after="80"/>
      </w:pPr>
      <w:r>
        <w:rPr>
          <w:b/>
        </w:rPr>
        <w:t xml:space="preserve">[76] Botnick, I., Xue, W., Bar, E., Ibdah, M., Schwartz, A., Joel, D. M., Lev, E., Fait, A., &amp; Lewinsohn, E. (2012). Distribution of primary and specialized metabolites in Nigella sativa </w:t>
      </w:r>
      <w:r>
        <w:rPr>
          <w:b/>
        </w:rPr>
        <w:lastRenderedPageBreak/>
        <w:t xml:space="preserve">seeds, a spice with vast traditional and historical uses. </w:t>
      </w:r>
      <w:r>
        <w:rPr>
          <w:b/>
          <w:i/>
        </w:rPr>
        <w:t>Molecules</w:t>
      </w:r>
      <w:r>
        <w:rPr>
          <w:b/>
        </w:rPr>
        <w:t xml:space="preserve">, </w:t>
      </w:r>
      <w:r>
        <w:rPr>
          <w:b/>
          <w:i/>
        </w:rPr>
        <w:t>17</w:t>
      </w:r>
      <w:r>
        <w:rPr>
          <w:b/>
        </w:rPr>
        <w:t xml:space="preserve">(9), 10159–10177. </w:t>
      </w:r>
      <w:hyperlink r:id="rId8">
        <w:r w:rsidR="007523AF">
          <w:rPr>
            <w:b/>
            <w:color w:val="0563C1"/>
            <w:u w:val="single"/>
          </w:rPr>
          <w:t>https://doi.org/10.3390/molecules170910159</w:t>
        </w:r>
      </w:hyperlink>
    </w:p>
    <w:p w14:paraId="0F499C52" w14:textId="77777777" w:rsidR="007523AF" w:rsidRDefault="002F2B7E">
      <w:pPr>
        <w:spacing w:after="80"/>
      </w:pPr>
      <w:r>
        <w:rPr>
          <w:b/>
        </w:rPr>
        <w:t xml:space="preserve">[77] Bari, M. W., Islam, A., Islam, M. M., Sultana, M. J., Afroz, R., Khan, M. M. R., Parul, S. S., Swaraz, A. M., Hossain, M. I., &amp; Islam, M. A. (2021). Determination of in vitro antioxidant activity and in vivo antineoplastic effects against Ehrlich ascites carcinoma of methanolic extract of Sphagneticola calendulacea (L.) Pruski. </w:t>
      </w:r>
      <w:r>
        <w:rPr>
          <w:b/>
          <w:i/>
        </w:rPr>
        <w:t>Heliyon</w:t>
      </w:r>
      <w:r>
        <w:rPr>
          <w:b/>
        </w:rPr>
        <w:t xml:space="preserve">, </w:t>
      </w:r>
      <w:r>
        <w:rPr>
          <w:b/>
          <w:i/>
        </w:rPr>
        <w:t>7</w:t>
      </w:r>
      <w:r>
        <w:rPr>
          <w:b/>
        </w:rPr>
        <w:t xml:space="preserve">(6), e07228. </w:t>
      </w:r>
      <w:hyperlink r:id="rId9">
        <w:r w:rsidR="007523AF">
          <w:rPr>
            <w:b/>
            <w:color w:val="0563C1"/>
            <w:u w:val="single"/>
          </w:rPr>
          <w:t>https://doi.org/10.1016/j.heliyon.2021.e07228</w:t>
        </w:r>
      </w:hyperlink>
    </w:p>
    <w:p w14:paraId="15FE9EA1" w14:textId="77777777" w:rsidR="007523AF" w:rsidRDefault="002F2B7E">
      <w:pPr>
        <w:spacing w:after="80"/>
      </w:pPr>
      <w:r>
        <w:rPr>
          <w:b/>
        </w:rPr>
        <w:t xml:space="preserve">[78] Tistaert, C., Dejaegher, B., &amp; Vander Heyden, Y. (2011). Chromatographic separation techniques and data handling methods for herbal fingerprints: A review. </w:t>
      </w:r>
      <w:r>
        <w:rPr>
          <w:b/>
          <w:i/>
        </w:rPr>
        <w:t>Analytica Chimica Acta</w:t>
      </w:r>
      <w:r>
        <w:rPr>
          <w:b/>
        </w:rPr>
        <w:t xml:space="preserve">, </w:t>
      </w:r>
      <w:r>
        <w:rPr>
          <w:b/>
          <w:i/>
        </w:rPr>
        <w:t>690</w:t>
      </w:r>
      <w:r>
        <w:rPr>
          <w:b/>
        </w:rPr>
        <w:t xml:space="preserve">(2), 148–161. </w:t>
      </w:r>
      <w:hyperlink r:id="rId10">
        <w:r w:rsidR="007523AF">
          <w:rPr>
            <w:b/>
            <w:color w:val="0563C1"/>
            <w:u w:val="single"/>
          </w:rPr>
          <w:t>https://doi.org/10.1016/j.aca.2011.02.023</w:t>
        </w:r>
      </w:hyperlink>
    </w:p>
    <w:p w14:paraId="641839BD" w14:textId="77777777" w:rsidR="008740C0" w:rsidRPr="009D20E1" w:rsidRDefault="008740C0" w:rsidP="009D20E1"/>
    <w:sectPr w:rsidR="008740C0" w:rsidRPr="009D20E1" w:rsidSect="009D20E1">
      <w:headerReference w:type="even" r:id="rId11"/>
      <w:headerReference w:type="default" r:id="rId12"/>
      <w:footerReference w:type="even" r:id="rId13"/>
      <w:footerReference w:type="default" r:id="rId14"/>
      <w:headerReference w:type="first" r:id="rId15"/>
      <w:footerReference w:type="first" r:id="rId16"/>
      <w:type w:val="continuous"/>
      <w:pgSz w:w="11909" w:h="16834"/>
      <w:pgMar w:top="1440" w:right="1419"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F523D" w14:textId="77777777" w:rsidR="002F2B7E" w:rsidRDefault="002F2B7E" w:rsidP="00F035AC">
      <w:pPr>
        <w:spacing w:after="0" w:line="240" w:lineRule="auto"/>
      </w:pPr>
      <w:r>
        <w:separator/>
      </w:r>
    </w:p>
  </w:endnote>
  <w:endnote w:type="continuationSeparator" w:id="0">
    <w:p w14:paraId="103B3FA0" w14:textId="77777777" w:rsidR="002F2B7E" w:rsidRDefault="002F2B7E" w:rsidP="00F03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713B" w14:textId="77777777" w:rsidR="00F035AC" w:rsidRDefault="00F03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F921" w14:textId="77777777" w:rsidR="00F035AC" w:rsidRDefault="00F0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4244" w14:textId="77777777" w:rsidR="00F035AC" w:rsidRDefault="00F03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EBDF5" w14:textId="77777777" w:rsidR="002F2B7E" w:rsidRDefault="002F2B7E" w:rsidP="00F035AC">
      <w:pPr>
        <w:spacing w:after="0" w:line="240" w:lineRule="auto"/>
      </w:pPr>
      <w:r>
        <w:separator/>
      </w:r>
    </w:p>
  </w:footnote>
  <w:footnote w:type="continuationSeparator" w:id="0">
    <w:p w14:paraId="62FE404C" w14:textId="77777777" w:rsidR="002F2B7E" w:rsidRDefault="002F2B7E" w:rsidP="00F03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7B20" w14:textId="77777777" w:rsidR="00F035AC" w:rsidRDefault="002F2B7E">
    <w:pPr>
      <w:pStyle w:val="Header"/>
    </w:pPr>
    <w:r>
      <w:rPr>
        <w:noProof/>
      </w:rPr>
      <w:pict w14:anchorId="449638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69"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0E02" w14:textId="77777777" w:rsidR="00F035AC" w:rsidRDefault="002F2B7E">
    <w:pPr>
      <w:pStyle w:val="Header"/>
    </w:pPr>
    <w:r>
      <w:rPr>
        <w:noProof/>
      </w:rPr>
      <w:pict w14:anchorId="4F98A8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70"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7622" w14:textId="77777777" w:rsidR="00F035AC" w:rsidRDefault="002F2B7E">
    <w:pPr>
      <w:pStyle w:val="Header"/>
    </w:pPr>
    <w:r>
      <w:rPr>
        <w:noProof/>
      </w:rPr>
      <w:pict w14:anchorId="4FD50F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68"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795364">
    <w:abstractNumId w:val="8"/>
  </w:num>
  <w:num w:numId="2" w16cid:durableId="1310401736">
    <w:abstractNumId w:val="6"/>
  </w:num>
  <w:num w:numId="3" w16cid:durableId="663166348">
    <w:abstractNumId w:val="5"/>
  </w:num>
  <w:num w:numId="4" w16cid:durableId="698627886">
    <w:abstractNumId w:val="4"/>
  </w:num>
  <w:num w:numId="5" w16cid:durableId="1521431368">
    <w:abstractNumId w:val="7"/>
  </w:num>
  <w:num w:numId="6" w16cid:durableId="767428200">
    <w:abstractNumId w:val="3"/>
  </w:num>
  <w:num w:numId="7" w16cid:durableId="1386219190">
    <w:abstractNumId w:val="2"/>
  </w:num>
  <w:num w:numId="8" w16cid:durableId="1608542670">
    <w:abstractNumId w:val="1"/>
  </w:num>
  <w:num w:numId="9" w16cid:durableId="212988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MDEzNTKzMDA1NbNQ0lEKTi0uzszPAykwrAUAGEac0CwAAAA="/>
  </w:docVars>
  <w:rsids>
    <w:rsidRoot w:val="00B47730"/>
    <w:rsid w:val="00034616"/>
    <w:rsid w:val="0006063C"/>
    <w:rsid w:val="00084E8C"/>
    <w:rsid w:val="000D4E18"/>
    <w:rsid w:val="000F7B3E"/>
    <w:rsid w:val="0015074B"/>
    <w:rsid w:val="00196E31"/>
    <w:rsid w:val="00204486"/>
    <w:rsid w:val="00243568"/>
    <w:rsid w:val="0029639D"/>
    <w:rsid w:val="002F2B7E"/>
    <w:rsid w:val="00326F90"/>
    <w:rsid w:val="005060D5"/>
    <w:rsid w:val="00520D83"/>
    <w:rsid w:val="005B75C6"/>
    <w:rsid w:val="00621486"/>
    <w:rsid w:val="00703CBC"/>
    <w:rsid w:val="007223E8"/>
    <w:rsid w:val="007523AF"/>
    <w:rsid w:val="00752FEA"/>
    <w:rsid w:val="007C50E3"/>
    <w:rsid w:val="007E16DF"/>
    <w:rsid w:val="007F458F"/>
    <w:rsid w:val="008740C0"/>
    <w:rsid w:val="008B1B2E"/>
    <w:rsid w:val="008E5834"/>
    <w:rsid w:val="009D20E1"/>
    <w:rsid w:val="00A17DAD"/>
    <w:rsid w:val="00AA1D8D"/>
    <w:rsid w:val="00AA3AFE"/>
    <w:rsid w:val="00AE53D0"/>
    <w:rsid w:val="00B47730"/>
    <w:rsid w:val="00BF328F"/>
    <w:rsid w:val="00C26BAC"/>
    <w:rsid w:val="00CB0664"/>
    <w:rsid w:val="00CE7E2D"/>
    <w:rsid w:val="00D96356"/>
    <w:rsid w:val="00D97483"/>
    <w:rsid w:val="00DD236C"/>
    <w:rsid w:val="00DF03EB"/>
    <w:rsid w:val="00F035AC"/>
    <w:rsid w:val="00FB55A8"/>
    <w:rsid w:val="00FC25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CE8BA"/>
  <w14:defaultImageDpi w14:val="300"/>
  <w15:docId w15:val="{453EDEFF-21EB-426A-9039-F279B95C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molecules170910159"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16/j.aca.2011.02.023" TargetMode="External"/><Relationship Id="rId4" Type="http://schemas.openxmlformats.org/officeDocument/2006/relationships/settings" Target="settings.xml"/><Relationship Id="rId9" Type="http://schemas.openxmlformats.org/officeDocument/2006/relationships/hyperlink" Target="https://doi.org/10.1016/j.heliyon.2021.e072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23F22-689B-42F3-9188-1E59B9B53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4960</Words>
  <Characters>28273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Revised-ms_JOBI_15427_v1_edited</dc:title>
  <dc:subject/>
  <dc:creator>python-docx</dc:creator>
  <cp:keywords/>
  <dc:description>generated by python-docx</dc:description>
  <cp:lastModifiedBy>SDI 1158</cp:lastModifiedBy>
  <cp:revision>22</cp:revision>
  <dcterms:created xsi:type="dcterms:W3CDTF">2013-12-23T23:15:00Z</dcterms:created>
  <dcterms:modified xsi:type="dcterms:W3CDTF">2026-08-13T09:18:00Z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75d50728-11ea-4478-9388-2dc01258312c</vt:lpwstr>
  </property>
</Properties>
</file>