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90A4F" w14:textId="77777777" w:rsidR="00AA5485" w:rsidRPr="00573C59" w:rsidRDefault="00AA5485" w:rsidP="00AA5485">
      <w:pPr>
        <w:pStyle w:val="Author"/>
        <w:rPr>
          <w:rFonts w:ascii="Arial" w:hAnsi="Arial" w:cs="Arial"/>
          <w:bCs/>
          <w:i/>
          <w:iCs/>
          <w:kern w:val="28"/>
          <w:sz w:val="20"/>
          <w:u w:val="single"/>
        </w:rPr>
      </w:pPr>
      <w:r w:rsidRPr="00573C59">
        <w:rPr>
          <w:rFonts w:ascii="Arial" w:hAnsi="Arial" w:cs="Arial"/>
          <w:bCs/>
          <w:i/>
          <w:iCs/>
          <w:kern w:val="28"/>
          <w:sz w:val="20"/>
          <w:u w:val="single"/>
        </w:rPr>
        <w:t>Original Research Article</w:t>
      </w:r>
    </w:p>
    <w:p w14:paraId="76DD6ABD" w14:textId="77777777" w:rsidR="00AA5485" w:rsidRPr="00573C59" w:rsidRDefault="00AA5485" w:rsidP="00AA5485">
      <w:pPr>
        <w:pStyle w:val="Author"/>
        <w:rPr>
          <w:rFonts w:ascii="Arial" w:hAnsi="Arial" w:cs="Arial"/>
          <w:bCs/>
          <w:i/>
          <w:iCs/>
          <w:kern w:val="28"/>
          <w:sz w:val="36"/>
          <w:u w:val="single"/>
        </w:rPr>
      </w:pPr>
    </w:p>
    <w:p w14:paraId="2754C02F" w14:textId="77777777" w:rsidR="002C57D2" w:rsidRPr="008D7D5E" w:rsidRDefault="00C844CF" w:rsidP="008D7D5E">
      <w:pPr>
        <w:pStyle w:val="Author"/>
        <w:spacing w:line="240" w:lineRule="auto"/>
        <w:rPr>
          <w:rFonts w:ascii="Arial" w:hAnsi="Arial" w:cs="Arial"/>
          <w:bCs/>
          <w:kern w:val="28"/>
          <w:sz w:val="36"/>
        </w:rPr>
      </w:pPr>
      <w:r w:rsidRPr="00573C59">
        <w:rPr>
          <w:rFonts w:ascii="Arial" w:hAnsi="Arial" w:cs="Arial"/>
          <w:bCs/>
          <w:kern w:val="28"/>
          <w:sz w:val="36"/>
        </w:rPr>
        <w:t xml:space="preserve">In Vitro Antagonistic Efficacy of </w:t>
      </w:r>
      <w:r w:rsidRPr="00573C59">
        <w:rPr>
          <w:rFonts w:ascii="Arial" w:hAnsi="Arial" w:cs="Arial"/>
          <w:bCs/>
          <w:i/>
          <w:iCs/>
          <w:kern w:val="28"/>
          <w:sz w:val="36"/>
        </w:rPr>
        <w:t>Trichoderma viride</w:t>
      </w:r>
      <w:r w:rsidRPr="00573C59">
        <w:rPr>
          <w:rFonts w:ascii="Arial" w:hAnsi="Arial" w:cs="Arial"/>
          <w:bCs/>
          <w:kern w:val="28"/>
          <w:sz w:val="36"/>
        </w:rPr>
        <w:t xml:space="preserve"> Culture Filtrates Against </w:t>
      </w:r>
      <w:r w:rsidRPr="00573C59">
        <w:rPr>
          <w:rFonts w:ascii="Arial" w:hAnsi="Arial" w:cs="Arial"/>
          <w:bCs/>
          <w:i/>
          <w:iCs/>
          <w:kern w:val="28"/>
          <w:sz w:val="36"/>
        </w:rPr>
        <w:t>Sclerotium rolfsii</w:t>
      </w:r>
      <w:r w:rsidRPr="00573C59">
        <w:rPr>
          <w:rFonts w:ascii="Arial" w:hAnsi="Arial" w:cs="Arial"/>
          <w:bCs/>
          <w:kern w:val="28"/>
          <w:sz w:val="36"/>
        </w:rPr>
        <w:t xml:space="preserve"> Sacc., the Causal Agent of Groundnut Stem Rot</w:t>
      </w:r>
    </w:p>
    <w:p w14:paraId="795D97B9" w14:textId="77777777" w:rsidR="00B01FCD" w:rsidRPr="00573C59" w:rsidRDefault="00513475" w:rsidP="00441B6F">
      <w:pPr>
        <w:pStyle w:val="Copyright"/>
        <w:spacing w:after="0" w:line="240" w:lineRule="auto"/>
        <w:jc w:val="both"/>
        <w:rPr>
          <w:rFonts w:ascii="Arial" w:hAnsi="Arial" w:cs="Arial"/>
        </w:rPr>
        <w:sectPr w:rsidR="00B01FCD" w:rsidRPr="00573C59" w:rsidSect="007A6D77">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573C59">
        <w:rPr>
          <w:rFonts w:ascii="Arial" w:hAnsi="Arial" w:cs="Arial"/>
          <w:noProof/>
          <w:lang w:bidi="ta-IN"/>
        </w:rPr>
        <mc:AlternateContent>
          <mc:Choice Requires="wps">
            <w:drawing>
              <wp:inline distT="0" distB="0" distL="0" distR="0" wp14:anchorId="24CD0035" wp14:editId="78FAA6FD">
                <wp:extent cx="5303520" cy="635"/>
                <wp:effectExtent l="13335" t="11430" r="17145" b="17145"/>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8AEC94A"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0obHgIAADwEAAAOAAAAZHJzL2Uyb0RvYy54bWysU02P2jAQvVfqf7B8hyQQth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Ar90obHgIAADwEAAAOAAAAAAAAAAAAAAAAAC4CAABkcnMvZTJvRG9jLnhtbFBLAQItABQABgAI&#10;AAAAIQBJyNK31gAAAAIBAAAPAAAAAAAAAAAAAAAAAHgEAABkcnMvZG93bnJldi54bWxQSwUGAAAA&#10;AAQABADzAAAAewUAAAAA&#10;" strokeweight="1.5pt">
                <w10:anchorlock/>
              </v:shape>
            </w:pict>
          </mc:Fallback>
        </mc:AlternateContent>
      </w:r>
    </w:p>
    <w:p w14:paraId="16928D72" w14:textId="77777777" w:rsidR="00B01FCD" w:rsidRPr="00573C59" w:rsidRDefault="00B01FCD" w:rsidP="00441B6F">
      <w:pPr>
        <w:pStyle w:val="AbstHead"/>
        <w:spacing w:after="0"/>
        <w:jc w:val="both"/>
        <w:rPr>
          <w:rFonts w:ascii="Arial" w:hAnsi="Arial" w:cs="Arial"/>
        </w:rPr>
      </w:pPr>
      <w:r w:rsidRPr="00573C59">
        <w:rPr>
          <w:rFonts w:ascii="Arial" w:hAnsi="Arial" w:cs="Arial"/>
        </w:rPr>
        <w:t>ABSTRACT</w:t>
      </w:r>
      <w:r w:rsidR="0066510A" w:rsidRPr="00573C59">
        <w:rPr>
          <w:rFonts w:ascii="Arial" w:hAnsi="Arial" w:cs="Arial"/>
        </w:rPr>
        <w:t xml:space="preserve"> </w:t>
      </w:r>
    </w:p>
    <w:p w14:paraId="0F48FDFF" w14:textId="77777777" w:rsidR="00636EB2" w:rsidRPr="00573C59" w:rsidRDefault="00EB11D8" w:rsidP="007D0CC4">
      <w:pPr>
        <w:spacing w:before="100" w:beforeAutospacing="1" w:after="100" w:afterAutospacing="1"/>
        <w:jc w:val="both"/>
        <w:rPr>
          <w:rFonts w:ascii="Arial" w:hAnsi="Arial" w:cs="Arial"/>
        </w:rPr>
      </w:pPr>
      <w:r w:rsidRPr="00573C59">
        <w:rPr>
          <w:rFonts w:ascii="Arial" w:hAnsi="Arial" w:cs="Arial"/>
        </w:rPr>
        <w:t>Groundnut (</w:t>
      </w:r>
      <w:r w:rsidRPr="00573C59">
        <w:rPr>
          <w:rFonts w:ascii="Arial" w:hAnsi="Arial" w:cs="Arial"/>
          <w:i/>
          <w:iCs/>
        </w:rPr>
        <w:t>Arachis hypogaea</w:t>
      </w:r>
      <w:r w:rsidRPr="00573C59">
        <w:rPr>
          <w:rFonts w:ascii="Arial" w:hAnsi="Arial" w:cs="Arial"/>
        </w:rPr>
        <w:t xml:space="preserve"> L.) is an important oilseed crop, but its productivity is affected by stem rot caused by </w:t>
      </w:r>
      <w:r w:rsidRPr="00573C59">
        <w:rPr>
          <w:rFonts w:ascii="Arial" w:hAnsi="Arial" w:cs="Arial"/>
          <w:i/>
          <w:iCs/>
        </w:rPr>
        <w:t>Sclerotium rolfsii</w:t>
      </w:r>
      <w:r w:rsidRPr="00573C59">
        <w:rPr>
          <w:rFonts w:ascii="Arial" w:hAnsi="Arial" w:cs="Arial"/>
        </w:rPr>
        <w:t xml:space="preserve"> Sacc. Biological control using antagonistic fungi offers a potential approach for reducing dependence on chemical disease management. The present study evaluated the in vitro inhibitory activity of cell-free culture filtrates from ten native isolates of </w:t>
      </w:r>
      <w:r w:rsidRPr="00573C59">
        <w:rPr>
          <w:rFonts w:ascii="Arial" w:hAnsi="Arial" w:cs="Arial"/>
          <w:i/>
          <w:iCs/>
        </w:rPr>
        <w:t>Trichoderma viride</w:t>
      </w:r>
      <w:r w:rsidRPr="00573C59">
        <w:rPr>
          <w:rFonts w:ascii="Arial" w:hAnsi="Arial" w:cs="Arial"/>
        </w:rPr>
        <w:t xml:space="preserve"> against </w:t>
      </w:r>
      <w:r w:rsidRPr="00573C59">
        <w:rPr>
          <w:rFonts w:ascii="Arial" w:hAnsi="Arial" w:cs="Arial"/>
          <w:i/>
          <w:iCs/>
        </w:rPr>
        <w:t>S. rolfsii</w:t>
      </w:r>
      <w:r w:rsidRPr="00573C59">
        <w:rPr>
          <w:rFonts w:ascii="Arial" w:hAnsi="Arial" w:cs="Arial"/>
        </w:rPr>
        <w:t xml:space="preserve">. The pathogen was isolated from infected groundnut stem tissues and identified based on colony morphology and sclerotial characteristics. </w:t>
      </w:r>
      <w:r w:rsidRPr="00573C59">
        <w:rPr>
          <w:rFonts w:ascii="Arial" w:hAnsi="Arial" w:cs="Arial"/>
          <w:i/>
          <w:iCs/>
        </w:rPr>
        <w:t>T. viride</w:t>
      </w:r>
      <w:r w:rsidRPr="00573C59">
        <w:rPr>
          <w:rFonts w:ascii="Arial" w:hAnsi="Arial" w:cs="Arial"/>
        </w:rPr>
        <w:t xml:space="preserve"> isolates were obtained from rhizosphere soil samples and maintained as Tv</w:t>
      </w:r>
      <w:r w:rsidRPr="00283C12">
        <w:rPr>
          <w:rFonts w:ascii="Arial" w:hAnsi="Arial" w:cs="Arial"/>
          <w:vertAlign w:val="subscript"/>
        </w:rPr>
        <w:t>1</w:t>
      </w:r>
      <w:r w:rsidRPr="00573C59">
        <w:rPr>
          <w:rFonts w:ascii="Arial" w:hAnsi="Arial" w:cs="Arial"/>
        </w:rPr>
        <w:t xml:space="preserve"> to Tv</w:t>
      </w:r>
      <w:r w:rsidRPr="00283C12">
        <w:rPr>
          <w:rFonts w:ascii="Arial" w:hAnsi="Arial" w:cs="Arial"/>
          <w:vertAlign w:val="subscript"/>
        </w:rPr>
        <w:t>10</w:t>
      </w:r>
      <w:r w:rsidRPr="00573C59">
        <w:rPr>
          <w:rFonts w:ascii="Arial" w:hAnsi="Arial" w:cs="Arial"/>
        </w:rPr>
        <w:t xml:space="preserve">. Culture </w:t>
      </w:r>
      <w:r w:rsidR="00283C12">
        <w:rPr>
          <w:rFonts w:ascii="Arial" w:hAnsi="Arial" w:cs="Arial"/>
        </w:rPr>
        <w:t xml:space="preserve">filtrates were prepared from </w:t>
      </w:r>
      <w:r>
        <w:rPr>
          <w:rFonts w:ascii="Arial" w:hAnsi="Arial" w:cs="Arial"/>
          <w:highlight w:val="yellow"/>
        </w:rPr>
        <w:t>10-day-old</w:t>
      </w:r>
      <w:r w:rsidRPr="00573C59">
        <w:rPr>
          <w:rFonts w:ascii="Arial" w:hAnsi="Arial" w:cs="Arial"/>
        </w:rPr>
        <w:t xml:space="preserve"> potato dextrose broth cultures and incorporated into potato dextrose agar at 10%, 20%, 30% and 40% concentrations using the poisoned food technique. All isolates reduced radial mycelial growth of </w:t>
      </w:r>
      <w:r w:rsidRPr="00573C59">
        <w:rPr>
          <w:rFonts w:ascii="Arial" w:hAnsi="Arial" w:cs="Arial"/>
          <w:i/>
          <w:iCs/>
        </w:rPr>
        <w:t>S. rolfsii</w:t>
      </w:r>
      <w:r w:rsidR="00283C12">
        <w:rPr>
          <w:rFonts w:ascii="Arial" w:hAnsi="Arial" w:cs="Arial"/>
        </w:rPr>
        <w:t xml:space="preserve"> compared with the control</w:t>
      </w:r>
      <w:r w:rsidRPr="00573C59">
        <w:rPr>
          <w:rFonts w:ascii="Arial" w:hAnsi="Arial" w:cs="Arial"/>
        </w:rPr>
        <w:t xml:space="preserve"> and inhibition generally increased with filtrate concentration. Among the isolates tested, Tv</w:t>
      </w:r>
      <w:r w:rsidRPr="00283C12">
        <w:rPr>
          <w:rFonts w:ascii="Arial" w:hAnsi="Arial" w:cs="Arial"/>
          <w:vertAlign w:val="subscript"/>
        </w:rPr>
        <w:t>4</w:t>
      </w:r>
      <w:r w:rsidRPr="00573C59">
        <w:rPr>
          <w:rFonts w:ascii="Arial" w:hAnsi="Arial" w:cs="Arial"/>
        </w:rPr>
        <w:t xml:space="preserve"> showed the greatest inhibitory effect, restricting pathogen growth to 27.79 mm, 19.56 mm, 12.26 mm and 0.00 mm at 10%, 20%, 30% and 40% concentrations, respectively. Complete inhibition was observed with Tv</w:t>
      </w:r>
      <w:r w:rsidRPr="00283C12">
        <w:rPr>
          <w:rFonts w:ascii="Arial" w:hAnsi="Arial" w:cs="Arial"/>
          <w:vertAlign w:val="subscript"/>
        </w:rPr>
        <w:t>4</w:t>
      </w:r>
      <w:r w:rsidRPr="00573C59">
        <w:rPr>
          <w:rFonts w:ascii="Arial" w:hAnsi="Arial" w:cs="Arial"/>
        </w:rPr>
        <w:t xml:space="preserve"> </w:t>
      </w:r>
      <w:r>
        <w:rPr>
          <w:rFonts w:ascii="Arial" w:hAnsi="Arial" w:cs="Arial"/>
          <w:highlight w:val="yellow"/>
        </w:rPr>
        <w:t>at a 40% concentration</w:t>
      </w:r>
      <w:r>
        <w:rPr>
          <w:rFonts w:ascii="Arial" w:hAnsi="Arial" w:cs="Arial"/>
        </w:rPr>
        <w:t>. Tv</w:t>
      </w:r>
      <w:r w:rsidRPr="00283C12">
        <w:rPr>
          <w:rFonts w:ascii="Arial" w:hAnsi="Arial" w:cs="Arial"/>
          <w:vertAlign w:val="subscript"/>
        </w:rPr>
        <w:t>6</w:t>
      </w:r>
      <w:r w:rsidRPr="00573C59">
        <w:rPr>
          <w:rFonts w:ascii="Arial" w:hAnsi="Arial" w:cs="Arial"/>
        </w:rPr>
        <w:t>, Tv</w:t>
      </w:r>
      <w:r w:rsidRPr="00283C12">
        <w:rPr>
          <w:rFonts w:ascii="Arial" w:hAnsi="Arial" w:cs="Arial"/>
          <w:vertAlign w:val="subscript"/>
        </w:rPr>
        <w:t>7</w:t>
      </w:r>
      <w:r w:rsidRPr="00573C59">
        <w:rPr>
          <w:rFonts w:ascii="Arial" w:hAnsi="Arial" w:cs="Arial"/>
        </w:rPr>
        <w:t xml:space="preserve"> and Tv</w:t>
      </w:r>
      <w:r w:rsidRPr="00283C12">
        <w:rPr>
          <w:rFonts w:ascii="Arial" w:hAnsi="Arial" w:cs="Arial"/>
          <w:vertAlign w:val="subscript"/>
        </w:rPr>
        <w:t>8</w:t>
      </w:r>
      <w:r w:rsidRPr="00573C59">
        <w:rPr>
          <w:rFonts w:ascii="Arial" w:hAnsi="Arial" w:cs="Arial"/>
        </w:rPr>
        <w:t xml:space="preserve"> also showed high inhibition at the highest concentration. These results indicate that </w:t>
      </w:r>
      <w:r w:rsidRPr="00573C59">
        <w:rPr>
          <w:rFonts w:ascii="Arial" w:hAnsi="Arial" w:cs="Arial"/>
          <w:i/>
          <w:iCs/>
        </w:rPr>
        <w:t>T. viride</w:t>
      </w:r>
      <w:r w:rsidRPr="00573C59">
        <w:rPr>
          <w:rFonts w:ascii="Arial" w:hAnsi="Arial" w:cs="Arial"/>
        </w:rPr>
        <w:t xml:space="preserve"> culture filtrates can suppress </w:t>
      </w:r>
      <w:r w:rsidRPr="00573C59">
        <w:rPr>
          <w:rFonts w:ascii="Arial" w:hAnsi="Arial" w:cs="Arial"/>
          <w:i/>
          <w:iCs/>
        </w:rPr>
        <w:t>S. rolfsii</w:t>
      </w:r>
      <w:r w:rsidRPr="00573C59">
        <w:rPr>
          <w:rFonts w:ascii="Arial" w:hAnsi="Arial" w:cs="Arial"/>
        </w:rPr>
        <w:t xml:space="preserve"> growth under </w:t>
      </w:r>
      <w:r w:rsidRPr="00283C12">
        <w:rPr>
          <w:rFonts w:ascii="Arial" w:hAnsi="Arial" w:cs="Arial"/>
          <w:i/>
          <w:iCs/>
        </w:rPr>
        <w:t>in vitro</w:t>
      </w:r>
      <w:r w:rsidRPr="00573C59">
        <w:rPr>
          <w:rFonts w:ascii="Arial" w:hAnsi="Arial" w:cs="Arial"/>
        </w:rPr>
        <w:t xml:space="preserve"> conditions.</w:t>
      </w:r>
    </w:p>
    <w:p w14:paraId="7E44E039" w14:textId="406D8A2B" w:rsidR="00A24E7E" w:rsidRPr="00573C59" w:rsidRDefault="00A24E7E" w:rsidP="00441B6F">
      <w:pPr>
        <w:pStyle w:val="Body"/>
        <w:spacing w:after="0"/>
        <w:rPr>
          <w:rFonts w:ascii="Arial" w:hAnsi="Arial" w:cs="Arial"/>
          <w:i/>
        </w:rPr>
      </w:pPr>
      <w:r w:rsidRPr="00573C59">
        <w:rPr>
          <w:rFonts w:ascii="Arial" w:hAnsi="Arial" w:cs="Arial"/>
          <w:i/>
        </w:rPr>
        <w:t>Keywords:</w:t>
      </w:r>
      <w:r w:rsidR="00C844CF" w:rsidRPr="00573C59">
        <w:rPr>
          <w:rFonts w:ascii="Arial" w:eastAsia="Arial" w:hAnsi="Arial" w:cs="Arial"/>
          <w:i/>
          <w:iCs/>
          <w:color w:val="1F1F1F"/>
          <w:sz w:val="22"/>
          <w:szCs w:val="22"/>
          <w:lang w:bidi="ta-IN"/>
        </w:rPr>
        <w:t xml:space="preserve"> </w:t>
      </w:r>
      <w:r w:rsidR="004D4509">
        <w:rPr>
          <w:rStyle w:val="Emphasis"/>
        </w:rPr>
        <w:t>Trichoderma viride</w:t>
      </w:r>
      <w:r w:rsidR="004D4509">
        <w:t xml:space="preserve">; </w:t>
      </w:r>
      <w:r w:rsidR="004D4509">
        <w:rPr>
          <w:rStyle w:val="Emphasis"/>
        </w:rPr>
        <w:t xml:space="preserve">Sclerotium </w:t>
      </w:r>
      <w:proofErr w:type="spellStart"/>
      <w:r w:rsidR="004D4509">
        <w:rPr>
          <w:rStyle w:val="Emphasis"/>
        </w:rPr>
        <w:t>rolfsii</w:t>
      </w:r>
      <w:proofErr w:type="spellEnd"/>
      <w:r w:rsidR="004D4509">
        <w:t xml:space="preserve">; </w:t>
      </w:r>
      <w:r w:rsidR="004D4509">
        <w:rPr>
          <w:rStyle w:val="Emphasis"/>
        </w:rPr>
        <w:t>Arachis hypogaea</w:t>
      </w:r>
      <w:r w:rsidR="004D4509">
        <w:t>; groundnut stem rot; biological control; culture filtrate; poisoned food technique; mycelial growth inhibition; native isolates; secondary metabolites</w:t>
      </w:r>
    </w:p>
    <w:p w14:paraId="335ADA93" w14:textId="77777777" w:rsidR="0024282C" w:rsidRPr="00573C59" w:rsidRDefault="0024282C" w:rsidP="00441B6F">
      <w:pPr>
        <w:pStyle w:val="Body"/>
        <w:spacing w:after="0"/>
        <w:rPr>
          <w:rFonts w:ascii="Arial" w:hAnsi="Arial" w:cs="Arial"/>
          <w:i/>
          <w:sz w:val="18"/>
        </w:rPr>
      </w:pPr>
    </w:p>
    <w:p w14:paraId="3F801A96" w14:textId="77777777" w:rsidR="0047484C" w:rsidRPr="00573C59" w:rsidRDefault="0047484C" w:rsidP="0047484C">
      <w:pPr>
        <w:pStyle w:val="Body"/>
        <w:rPr>
          <w:rFonts w:ascii="Arial" w:hAnsi="Arial" w:cs="Arial"/>
          <w:iCs/>
          <w:sz w:val="22"/>
          <w:szCs w:val="22"/>
        </w:rPr>
      </w:pPr>
      <w:r w:rsidRPr="00573C59">
        <w:rPr>
          <w:rFonts w:ascii="Arial" w:hAnsi="Arial" w:cs="Arial"/>
          <w:b/>
          <w:bCs/>
          <w:iCs/>
          <w:sz w:val="22"/>
          <w:szCs w:val="22"/>
        </w:rPr>
        <w:t>1. INTRODUCTION</w:t>
      </w:r>
    </w:p>
    <w:p w14:paraId="3088B686" w14:textId="77777777" w:rsidR="0047484C" w:rsidRPr="00573C59" w:rsidRDefault="0047484C" w:rsidP="0047484C">
      <w:pPr>
        <w:pStyle w:val="Body"/>
        <w:rPr>
          <w:rFonts w:ascii="Arial" w:hAnsi="Arial" w:cs="Arial"/>
          <w:iCs/>
        </w:rPr>
      </w:pPr>
      <w:r w:rsidRPr="00573C59">
        <w:rPr>
          <w:rFonts w:ascii="Arial" w:hAnsi="Arial" w:cs="Arial"/>
          <w:iCs/>
        </w:rPr>
        <w:t>Groundnut (</w:t>
      </w:r>
      <w:r>
        <w:rPr>
          <w:rFonts w:ascii="Arial" w:hAnsi="Arial" w:cs="Arial"/>
          <w:i/>
          <w:iCs/>
        </w:rPr>
        <w:t>Arachis hypogaea</w:t>
      </w:r>
      <w:r w:rsidRPr="00573C59">
        <w:rPr>
          <w:rFonts w:ascii="Arial" w:hAnsi="Arial" w:cs="Arial"/>
          <w:iCs/>
        </w:rPr>
        <w:t xml:space="preserve"> L.) is an essential global oilseed and food</w:t>
      </w:r>
      <w:r w:rsidR="007D0CC4" w:rsidRPr="00573C59">
        <w:rPr>
          <w:rFonts w:ascii="Arial" w:hAnsi="Arial" w:cs="Arial"/>
          <w:iCs/>
        </w:rPr>
        <w:t xml:space="preserve"> legume crop that supplies </w:t>
      </w:r>
      <w:r>
        <w:rPr>
          <w:rFonts w:ascii="Arial" w:hAnsi="Arial" w:cs="Arial"/>
          <w:iCs/>
          <w:highlight w:val="yellow"/>
        </w:rPr>
        <w:t>high-quality</w:t>
      </w:r>
      <w:r w:rsidRPr="00573C59">
        <w:rPr>
          <w:rFonts w:ascii="Arial" w:hAnsi="Arial" w:cs="Arial"/>
          <w:iCs/>
        </w:rPr>
        <w:t xml:space="preserve"> vegetable protein and edible oil (Parmar et al.</w:t>
      </w:r>
      <w:r w:rsidR="00573C59" w:rsidRPr="00573C59">
        <w:rPr>
          <w:rFonts w:ascii="Arial" w:hAnsi="Arial" w:cs="Arial"/>
          <w:iCs/>
        </w:rPr>
        <w:t>,</w:t>
      </w:r>
      <w:r w:rsidRPr="00573C59">
        <w:rPr>
          <w:rFonts w:ascii="Arial" w:hAnsi="Arial" w:cs="Arial"/>
          <w:iCs/>
        </w:rPr>
        <w:t xml:space="preserve"> 2022). Rising global food requirements and expanding industrial processing have substantially intensified the market demand for groundnut (Kadiyala et al.</w:t>
      </w:r>
      <w:r w:rsidR="00573C59" w:rsidRPr="00573C59">
        <w:rPr>
          <w:rFonts w:ascii="Arial" w:hAnsi="Arial" w:cs="Arial"/>
          <w:iCs/>
        </w:rPr>
        <w:t>,</w:t>
      </w:r>
      <w:r w:rsidRPr="00573C59">
        <w:rPr>
          <w:rFonts w:ascii="Arial" w:hAnsi="Arial" w:cs="Arial"/>
          <w:iCs/>
        </w:rPr>
        <w:t xml:space="preserve"> 2021). However, the </w:t>
      </w:r>
      <w:r>
        <w:rPr>
          <w:rFonts w:ascii="Arial" w:hAnsi="Arial" w:cs="Arial"/>
          <w:iCs/>
          <w:highlight w:val="yellow"/>
        </w:rPr>
        <w:t>realisation</w:t>
      </w:r>
      <w:r>
        <w:rPr>
          <w:rFonts w:ascii="Arial" w:hAnsi="Arial" w:cs="Arial"/>
          <w:iCs/>
        </w:rPr>
        <w:t xml:space="preserve"> of optimal crop yield is severely hampered</w:t>
      </w:r>
      <w:r w:rsidR="007D0CC4" w:rsidRPr="00573C59">
        <w:rPr>
          <w:rFonts w:ascii="Arial" w:hAnsi="Arial" w:cs="Arial"/>
          <w:iCs/>
        </w:rPr>
        <w:t xml:space="preserve"> by </w:t>
      </w:r>
      <w:r>
        <w:rPr>
          <w:rFonts w:ascii="Arial" w:hAnsi="Arial" w:cs="Arial"/>
          <w:iCs/>
          <w:highlight w:val="yellow"/>
        </w:rPr>
        <w:t>soil-borne</w:t>
      </w:r>
      <w:r w:rsidRPr="00573C59">
        <w:rPr>
          <w:rFonts w:ascii="Arial" w:hAnsi="Arial" w:cs="Arial"/>
          <w:iCs/>
        </w:rPr>
        <w:t xml:space="preserve"> fungal diseases, predominantly stem rot caused by </w:t>
      </w:r>
      <w:r w:rsidRPr="00573C59">
        <w:rPr>
          <w:rFonts w:ascii="Arial" w:hAnsi="Arial" w:cs="Arial"/>
          <w:i/>
        </w:rPr>
        <w:t>Sclerotium rolfsii</w:t>
      </w:r>
      <w:r w:rsidRPr="00573C59">
        <w:rPr>
          <w:rFonts w:ascii="Arial" w:hAnsi="Arial" w:cs="Arial"/>
          <w:iCs/>
        </w:rPr>
        <w:t xml:space="preserve"> Sacc., which inflicts severe economic losses under both rainfed and irrigated cultivation systems (Meena et al.</w:t>
      </w:r>
      <w:r w:rsidR="00573C59" w:rsidRPr="00573C59">
        <w:rPr>
          <w:rFonts w:ascii="Arial" w:hAnsi="Arial" w:cs="Arial"/>
          <w:iCs/>
        </w:rPr>
        <w:t>,</w:t>
      </w:r>
      <w:r w:rsidRPr="00573C59">
        <w:rPr>
          <w:rFonts w:ascii="Arial" w:hAnsi="Arial" w:cs="Arial"/>
          <w:iCs/>
        </w:rPr>
        <w:t xml:space="preserve"> 2024). </w:t>
      </w:r>
    </w:p>
    <w:p w14:paraId="07CEF7D8" w14:textId="77777777" w:rsidR="0047484C" w:rsidRPr="00573C59" w:rsidRDefault="0047484C" w:rsidP="0047484C">
      <w:pPr>
        <w:pStyle w:val="Body"/>
        <w:rPr>
          <w:rFonts w:ascii="Arial" w:hAnsi="Arial" w:cs="Arial"/>
          <w:iCs/>
        </w:rPr>
      </w:pPr>
      <w:r w:rsidRPr="00573C59">
        <w:rPr>
          <w:rFonts w:ascii="Arial" w:hAnsi="Arial" w:cs="Arial"/>
          <w:iCs/>
        </w:rPr>
        <w:t xml:space="preserve">Management of </w:t>
      </w:r>
      <w:r w:rsidRPr="00573C59">
        <w:rPr>
          <w:rFonts w:ascii="Arial" w:hAnsi="Arial" w:cs="Arial"/>
          <w:i/>
        </w:rPr>
        <w:t xml:space="preserve">S. rolfsii </w:t>
      </w:r>
      <w:r w:rsidRPr="00573C59">
        <w:rPr>
          <w:rFonts w:ascii="Arial" w:hAnsi="Arial" w:cs="Arial"/>
          <w:iCs/>
        </w:rPr>
        <w:t xml:space="preserve">is exceptionally difficult because the pathogen produces highly resilient </w:t>
      </w:r>
      <w:r>
        <w:rPr>
          <w:rFonts w:ascii="Arial" w:hAnsi="Arial" w:cs="Arial"/>
          <w:iCs/>
          <w:highlight w:val="yellow"/>
        </w:rPr>
        <w:t>melanised</w:t>
      </w:r>
      <w:r>
        <w:rPr>
          <w:rFonts w:ascii="Arial" w:hAnsi="Arial" w:cs="Arial"/>
          <w:iCs/>
        </w:rPr>
        <w:t xml:space="preserve"> sclerotia that survive for prolonged periods in the soil matrix (Biswas et al.</w:t>
      </w:r>
      <w:r w:rsidR="000D290D">
        <w:rPr>
          <w:rFonts w:ascii="Arial" w:hAnsi="Arial" w:cs="Arial"/>
          <w:iCs/>
        </w:rPr>
        <w:t>,</w:t>
      </w:r>
      <w:r w:rsidRPr="00573C59">
        <w:rPr>
          <w:rFonts w:ascii="Arial" w:hAnsi="Arial" w:cs="Arial"/>
          <w:iCs/>
        </w:rPr>
        <w:t xml:space="preserve"> 2026). Conventional chemical fungicides are often economically unviable and ecologically disruptive, while frequently fa</w:t>
      </w:r>
      <w:r w:rsidR="007D0CC4" w:rsidRPr="00573C59">
        <w:rPr>
          <w:rFonts w:ascii="Arial" w:hAnsi="Arial" w:cs="Arial"/>
          <w:iCs/>
        </w:rPr>
        <w:t xml:space="preserve">iling to suppress </w:t>
      </w:r>
      <w:r>
        <w:rPr>
          <w:rFonts w:ascii="Arial" w:hAnsi="Arial" w:cs="Arial"/>
          <w:iCs/>
          <w:highlight w:val="yellow"/>
        </w:rPr>
        <w:t>deep-seated</w:t>
      </w:r>
      <w:r w:rsidRPr="00573C59">
        <w:rPr>
          <w:rFonts w:ascii="Arial" w:hAnsi="Arial" w:cs="Arial"/>
          <w:iCs/>
        </w:rPr>
        <w:t xml:space="preserve"> sclerotial propagules (Biswas et al.</w:t>
      </w:r>
      <w:r w:rsidR="000D290D">
        <w:rPr>
          <w:rFonts w:ascii="Arial" w:hAnsi="Arial" w:cs="Arial"/>
          <w:iCs/>
        </w:rPr>
        <w:t>,</w:t>
      </w:r>
      <w:r w:rsidRPr="00573C59">
        <w:rPr>
          <w:rFonts w:ascii="Arial" w:hAnsi="Arial" w:cs="Arial"/>
          <w:iCs/>
        </w:rPr>
        <w:t xml:space="preserve"> 2026). Consequently, biological control using antagonistic microorganisms represents an eco-friendly and sustainable alternative for groundnut stem rot management (Hossain et al.</w:t>
      </w:r>
      <w:r w:rsidR="000D290D">
        <w:rPr>
          <w:rFonts w:ascii="Arial" w:hAnsi="Arial" w:cs="Arial"/>
          <w:iCs/>
        </w:rPr>
        <w:t>,</w:t>
      </w:r>
      <w:r w:rsidRPr="00573C59">
        <w:rPr>
          <w:rFonts w:ascii="Arial" w:hAnsi="Arial" w:cs="Arial"/>
          <w:iCs/>
        </w:rPr>
        <w:t xml:space="preserve"> 2025). Antagonistic fungi of the genus </w:t>
      </w:r>
      <w:r>
        <w:rPr>
          <w:rFonts w:ascii="Arial" w:hAnsi="Arial" w:cs="Arial"/>
          <w:i/>
          <w:iCs/>
        </w:rPr>
        <w:t>Trichoderma</w:t>
      </w:r>
      <w:r>
        <w:rPr>
          <w:rFonts w:ascii="Arial" w:hAnsi="Arial" w:cs="Arial"/>
          <w:iCs/>
        </w:rPr>
        <w:t xml:space="preserve"> possess broad-spectrum biocontrol activity mediated by mycoparasitism, spatial and nutrient competition, induced systemic resistance, and the secretion of bioactive volatile and non-volatile secondary metabolites (</w:t>
      </w:r>
      <w:proofErr w:type="spellStart"/>
      <w:r w:rsidRPr="00573C59">
        <w:rPr>
          <w:rFonts w:ascii="Arial" w:hAnsi="Arial" w:cs="Arial"/>
          <w:iCs/>
        </w:rPr>
        <w:t>Manathunga</w:t>
      </w:r>
      <w:proofErr w:type="spellEnd"/>
      <w:r w:rsidRPr="00573C59">
        <w:rPr>
          <w:rFonts w:ascii="Arial" w:hAnsi="Arial" w:cs="Arial"/>
          <w:iCs/>
        </w:rPr>
        <w:t xml:space="preserve"> et al.</w:t>
      </w:r>
      <w:r w:rsidR="000D290D">
        <w:rPr>
          <w:rFonts w:ascii="Arial" w:hAnsi="Arial" w:cs="Arial"/>
          <w:iCs/>
        </w:rPr>
        <w:t>,</w:t>
      </w:r>
      <w:r w:rsidRPr="00573C59">
        <w:rPr>
          <w:rFonts w:ascii="Arial" w:hAnsi="Arial" w:cs="Arial"/>
          <w:iCs/>
        </w:rPr>
        <w:t xml:space="preserve"> 2024). </w:t>
      </w:r>
    </w:p>
    <w:p w14:paraId="2A06BFAF" w14:textId="77777777" w:rsidR="00806E87" w:rsidRDefault="00000000">
      <w:pPr>
        <w:pStyle w:val="Body"/>
        <w:rPr>
          <w:rFonts w:ascii="Arial" w:hAnsi="Arial" w:cs="Arial"/>
          <w:iCs/>
        </w:rPr>
      </w:pPr>
      <w:r>
        <w:rPr>
          <w:rFonts w:ascii="Times New Roman" w:hAnsi="Times New Roman"/>
          <w:b/>
          <w:sz w:val="24"/>
          <w:highlight w:val="yellow"/>
        </w:rPr>
        <w:t xml:space="preserve">Recent groundnut studies further support the use of </w:t>
      </w:r>
      <w:r>
        <w:rPr>
          <w:rFonts w:ascii="Times New Roman" w:hAnsi="Times New Roman"/>
          <w:b/>
          <w:i/>
          <w:sz w:val="24"/>
          <w:highlight w:val="yellow"/>
        </w:rPr>
        <w:t>Trichoderma</w:t>
      </w:r>
      <w:r>
        <w:rPr>
          <w:rFonts w:ascii="Times New Roman" w:hAnsi="Times New Roman"/>
          <w:b/>
          <w:sz w:val="24"/>
          <w:highlight w:val="yellow"/>
        </w:rPr>
        <w:t xml:space="preserve">-based biological interventions against </w:t>
      </w:r>
      <w:r>
        <w:rPr>
          <w:rFonts w:ascii="Times New Roman" w:hAnsi="Times New Roman"/>
          <w:b/>
          <w:i/>
          <w:sz w:val="24"/>
          <w:highlight w:val="yellow"/>
        </w:rPr>
        <w:t>S. rolfsii</w:t>
      </w:r>
      <w:r>
        <w:rPr>
          <w:rFonts w:ascii="Times New Roman" w:hAnsi="Times New Roman"/>
          <w:b/>
          <w:sz w:val="24"/>
          <w:highlight w:val="yellow"/>
        </w:rPr>
        <w:t>, including integrated bioagent approaches and microbial consortia (Bhatnagar et al., 2025; Kampa et al., 2025).</w:t>
      </w:r>
    </w:p>
    <w:p w14:paraId="5FF4687A" w14:textId="77777777" w:rsidR="0047484C" w:rsidRPr="00573C59" w:rsidRDefault="0047484C" w:rsidP="0047484C">
      <w:pPr>
        <w:pStyle w:val="Body"/>
        <w:rPr>
          <w:rFonts w:ascii="Arial" w:hAnsi="Arial" w:cs="Arial"/>
          <w:iCs/>
        </w:rPr>
      </w:pPr>
      <w:r w:rsidRPr="00573C59">
        <w:rPr>
          <w:rFonts w:ascii="Arial" w:hAnsi="Arial" w:cs="Arial"/>
          <w:iCs/>
        </w:rPr>
        <w:t xml:space="preserve">Antagonistic performance against </w:t>
      </w:r>
      <w:r w:rsidRPr="00573C59">
        <w:rPr>
          <w:rFonts w:ascii="Arial" w:hAnsi="Arial" w:cs="Arial"/>
          <w:i/>
        </w:rPr>
        <w:t>S. rolfsii</w:t>
      </w:r>
      <w:r w:rsidRPr="00573C59">
        <w:rPr>
          <w:rFonts w:ascii="Arial" w:hAnsi="Arial" w:cs="Arial"/>
          <w:iCs/>
        </w:rPr>
        <w:t xml:space="preserve"> is strongly isolate-dependent rather than uniform across the genus </w:t>
      </w:r>
      <w:r>
        <w:rPr>
          <w:rFonts w:ascii="Arial" w:hAnsi="Arial" w:cs="Arial"/>
          <w:i/>
          <w:iCs/>
        </w:rPr>
        <w:t>Trichoderma</w:t>
      </w:r>
      <w:r w:rsidR="007D0CC4" w:rsidRPr="00573C59">
        <w:rPr>
          <w:rFonts w:ascii="Arial" w:hAnsi="Arial" w:cs="Arial"/>
          <w:iCs/>
        </w:rPr>
        <w:t xml:space="preserve"> (Hirpara et al.</w:t>
      </w:r>
      <w:r w:rsidR="000D290D">
        <w:rPr>
          <w:rFonts w:ascii="Arial" w:hAnsi="Arial" w:cs="Arial"/>
          <w:iCs/>
        </w:rPr>
        <w:t>,</w:t>
      </w:r>
      <w:r w:rsidR="007D0CC4" w:rsidRPr="00573C59">
        <w:rPr>
          <w:rFonts w:ascii="Arial" w:hAnsi="Arial" w:cs="Arial"/>
          <w:iCs/>
        </w:rPr>
        <w:t xml:space="preserve"> 2016; </w:t>
      </w:r>
      <w:r>
        <w:rPr>
          <w:rFonts w:ascii="Arial" w:hAnsi="Arial" w:cs="Arial"/>
          <w:iCs/>
          <w:highlight w:val="yellow"/>
        </w:rPr>
        <w:t>Montalvão</w:t>
      </w:r>
      <w:r w:rsidRPr="00573C59">
        <w:rPr>
          <w:rFonts w:ascii="Arial" w:hAnsi="Arial" w:cs="Arial"/>
          <w:iCs/>
        </w:rPr>
        <w:t xml:space="preserve"> et al.</w:t>
      </w:r>
      <w:r w:rsidR="000D290D">
        <w:rPr>
          <w:rFonts w:ascii="Arial" w:hAnsi="Arial" w:cs="Arial"/>
          <w:iCs/>
        </w:rPr>
        <w:t>,</w:t>
      </w:r>
      <w:r w:rsidRPr="00573C59">
        <w:rPr>
          <w:rFonts w:ascii="Arial" w:hAnsi="Arial" w:cs="Arial"/>
          <w:iCs/>
        </w:rPr>
        <w:t xml:space="preserve"> 2023). In groundnut-associated pathosystems, substantial variation in biocontrol potency among </w:t>
      </w:r>
      <w:r>
        <w:rPr>
          <w:rFonts w:ascii="Arial" w:hAnsi="Arial" w:cs="Arial"/>
          <w:i/>
          <w:iCs/>
        </w:rPr>
        <w:t>Trichoderma</w:t>
      </w:r>
      <w:r>
        <w:rPr>
          <w:rFonts w:ascii="Arial" w:hAnsi="Arial" w:cs="Arial"/>
          <w:iCs/>
        </w:rPr>
        <w:t xml:space="preserve"> strains has been linked directly to differences in secreted antifungal metabolite</w:t>
      </w:r>
      <w:r w:rsidR="007D0CC4" w:rsidRPr="00573C59">
        <w:rPr>
          <w:rFonts w:ascii="Arial" w:hAnsi="Arial" w:cs="Arial"/>
          <w:iCs/>
        </w:rPr>
        <w:t xml:space="preserve">s (Hirpara et </w:t>
      </w:r>
      <w:r w:rsidR="007D0CC4" w:rsidRPr="00573C59">
        <w:rPr>
          <w:rFonts w:ascii="Arial" w:hAnsi="Arial" w:cs="Arial"/>
          <w:iCs/>
        </w:rPr>
        <w:lastRenderedPageBreak/>
        <w:t>al.</w:t>
      </w:r>
      <w:r w:rsidR="000D290D">
        <w:rPr>
          <w:rFonts w:ascii="Arial" w:hAnsi="Arial" w:cs="Arial"/>
          <w:iCs/>
        </w:rPr>
        <w:t>,</w:t>
      </w:r>
      <w:r w:rsidR="007D0CC4" w:rsidRPr="00573C59">
        <w:rPr>
          <w:rFonts w:ascii="Arial" w:hAnsi="Arial" w:cs="Arial"/>
          <w:iCs/>
        </w:rPr>
        <w:t xml:space="preserve"> 2016; </w:t>
      </w:r>
      <w:r>
        <w:rPr>
          <w:rFonts w:ascii="Arial" w:hAnsi="Arial" w:cs="Arial"/>
          <w:iCs/>
          <w:highlight w:val="yellow"/>
        </w:rPr>
        <w:t>Montalvão</w:t>
      </w:r>
      <w:r w:rsidRPr="00573C59">
        <w:rPr>
          <w:rFonts w:ascii="Arial" w:hAnsi="Arial" w:cs="Arial"/>
          <w:iCs/>
        </w:rPr>
        <w:t xml:space="preserve"> et al.</w:t>
      </w:r>
      <w:r w:rsidR="000D290D">
        <w:rPr>
          <w:rFonts w:ascii="Arial" w:hAnsi="Arial" w:cs="Arial"/>
          <w:iCs/>
        </w:rPr>
        <w:t>,</w:t>
      </w:r>
      <w:r w:rsidRPr="00573C59">
        <w:rPr>
          <w:rFonts w:ascii="Arial" w:hAnsi="Arial" w:cs="Arial"/>
          <w:iCs/>
        </w:rPr>
        <w:t xml:space="preserve"> 2023). This metabolic heterogeneity is regulated by fungal species, strain-specific genetics, and local environmental adaptations; hence, screening indigenous, locally adapted isolates and their extracellular products is critical before candidate selection (Zeilinger et al.</w:t>
      </w:r>
      <w:r w:rsidR="000D290D">
        <w:rPr>
          <w:rFonts w:ascii="Arial" w:hAnsi="Arial" w:cs="Arial"/>
          <w:iCs/>
        </w:rPr>
        <w:t>,</w:t>
      </w:r>
      <w:r w:rsidRPr="00573C59">
        <w:rPr>
          <w:rFonts w:ascii="Arial" w:hAnsi="Arial" w:cs="Arial"/>
          <w:iCs/>
        </w:rPr>
        <w:t xml:space="preserve"> 2016). </w:t>
      </w:r>
    </w:p>
    <w:p w14:paraId="3E58EA3C" w14:textId="77777777" w:rsidR="00806E87" w:rsidRDefault="00000000">
      <w:pPr>
        <w:pStyle w:val="Body"/>
        <w:rPr>
          <w:rFonts w:ascii="Arial" w:hAnsi="Arial" w:cs="Arial"/>
          <w:iCs/>
        </w:rPr>
      </w:pPr>
      <w:r>
        <w:rPr>
          <w:rFonts w:ascii="Times New Roman" w:hAnsi="Times New Roman"/>
          <w:b/>
          <w:sz w:val="24"/>
          <w:highlight w:val="yellow"/>
        </w:rPr>
        <w:t xml:space="preserve">Recent experimental studies in related </w:t>
      </w:r>
      <w:r>
        <w:rPr>
          <w:rFonts w:ascii="Times New Roman" w:hAnsi="Times New Roman"/>
          <w:b/>
          <w:i/>
          <w:sz w:val="24"/>
          <w:highlight w:val="yellow"/>
        </w:rPr>
        <w:t>S. rolfsii</w:t>
      </w:r>
      <w:r>
        <w:rPr>
          <w:rFonts w:ascii="Times New Roman" w:hAnsi="Times New Roman"/>
          <w:b/>
          <w:sz w:val="24"/>
          <w:highlight w:val="yellow"/>
        </w:rPr>
        <w:t xml:space="preserve"> pathosystems likewise show that antagonistic efficacy differs among </w:t>
      </w:r>
      <w:r>
        <w:rPr>
          <w:rFonts w:ascii="Times New Roman" w:hAnsi="Times New Roman"/>
          <w:b/>
          <w:i/>
          <w:sz w:val="24"/>
          <w:highlight w:val="yellow"/>
        </w:rPr>
        <w:t>Trichoderma</w:t>
      </w:r>
      <w:r>
        <w:rPr>
          <w:rFonts w:ascii="Times New Roman" w:hAnsi="Times New Roman"/>
          <w:b/>
          <w:sz w:val="24"/>
          <w:highlight w:val="yellow"/>
        </w:rPr>
        <w:t xml:space="preserve"> isolates, including </w:t>
      </w:r>
      <w:r>
        <w:rPr>
          <w:rFonts w:ascii="Times New Roman" w:hAnsi="Times New Roman"/>
          <w:b/>
          <w:i/>
          <w:sz w:val="24"/>
          <w:highlight w:val="yellow"/>
        </w:rPr>
        <w:t>T. viride</w:t>
      </w:r>
      <w:r>
        <w:rPr>
          <w:rFonts w:ascii="Times New Roman" w:hAnsi="Times New Roman"/>
          <w:b/>
          <w:sz w:val="24"/>
          <w:highlight w:val="yellow"/>
        </w:rPr>
        <w:t xml:space="preserve"> and sclerotium-mycoparasitic strains (Htut et al., 2025; Liu et al., 2025).</w:t>
      </w:r>
    </w:p>
    <w:p w14:paraId="741ED86F" w14:textId="77777777" w:rsidR="00806E87" w:rsidRDefault="00000000">
      <w:pPr>
        <w:pStyle w:val="Body"/>
        <w:rPr>
          <w:rFonts w:ascii="Arial" w:hAnsi="Arial" w:cs="Arial"/>
          <w:iCs/>
        </w:rPr>
      </w:pPr>
      <w:r>
        <w:rPr>
          <w:rFonts w:ascii="Times New Roman" w:hAnsi="Times New Roman"/>
          <w:b/>
          <w:sz w:val="24"/>
          <w:highlight w:val="yellow"/>
        </w:rPr>
        <w:t xml:space="preserve">Recent literature also continues to emphasise the role of </w:t>
      </w:r>
      <w:r>
        <w:rPr>
          <w:rFonts w:ascii="Times New Roman" w:hAnsi="Times New Roman"/>
          <w:b/>
          <w:i/>
          <w:sz w:val="24"/>
          <w:highlight w:val="yellow"/>
        </w:rPr>
        <w:t>Trichoderma</w:t>
      </w:r>
      <w:r>
        <w:rPr>
          <w:rFonts w:ascii="Times New Roman" w:hAnsi="Times New Roman"/>
          <w:b/>
          <w:sz w:val="24"/>
          <w:highlight w:val="yellow"/>
        </w:rPr>
        <w:t xml:space="preserve"> secondary metabolites in agricultural bioprotection, reinforcing the relevance of evaluating extracellular products in pathogen-suppression studies (Cortez-Lázaro et al., 2025).</w:t>
      </w:r>
    </w:p>
    <w:p w14:paraId="5E6215F4" w14:textId="77777777" w:rsidR="00806E87" w:rsidRDefault="00000000">
      <w:pPr>
        <w:pStyle w:val="Body"/>
        <w:rPr>
          <w:rFonts w:ascii="Arial" w:hAnsi="Arial" w:cs="Arial"/>
          <w:iCs/>
        </w:rPr>
      </w:pPr>
      <w:r>
        <w:rPr>
          <w:rFonts w:ascii="Times New Roman" w:hAnsi="Times New Roman"/>
          <w:b/>
          <w:sz w:val="24"/>
          <w:highlight w:val="yellow"/>
        </w:rPr>
        <w:t xml:space="preserve">Accordingly, within the present study context, a specific need remains to compare cell-free culture filtrates from multiple native </w:t>
      </w:r>
      <w:r>
        <w:rPr>
          <w:rFonts w:ascii="Times New Roman" w:hAnsi="Times New Roman"/>
          <w:b/>
          <w:i/>
          <w:sz w:val="24"/>
          <w:highlight w:val="yellow"/>
        </w:rPr>
        <w:t>T. viride</w:t>
      </w:r>
      <w:r>
        <w:rPr>
          <w:rFonts w:ascii="Times New Roman" w:hAnsi="Times New Roman"/>
          <w:b/>
          <w:sz w:val="24"/>
          <w:highlight w:val="yellow"/>
        </w:rPr>
        <w:t xml:space="preserve"> isolates against </w:t>
      </w:r>
      <w:r>
        <w:rPr>
          <w:rFonts w:ascii="Times New Roman" w:hAnsi="Times New Roman"/>
          <w:b/>
          <w:i/>
          <w:sz w:val="24"/>
          <w:highlight w:val="yellow"/>
        </w:rPr>
        <w:t>S. rolfsii</w:t>
      </w:r>
      <w:r>
        <w:rPr>
          <w:rFonts w:ascii="Times New Roman" w:hAnsi="Times New Roman"/>
          <w:b/>
          <w:sz w:val="24"/>
          <w:highlight w:val="yellow"/>
        </w:rPr>
        <w:t xml:space="preserve"> across increasing filtrate concentrations.</w:t>
      </w:r>
    </w:p>
    <w:p w14:paraId="73F126C0" w14:textId="77777777" w:rsidR="0047484C" w:rsidRPr="00573C59" w:rsidRDefault="0047484C" w:rsidP="0047484C">
      <w:pPr>
        <w:pStyle w:val="Body"/>
        <w:rPr>
          <w:rFonts w:ascii="Arial" w:hAnsi="Arial" w:cs="Arial"/>
          <w:iCs/>
        </w:rPr>
      </w:pPr>
      <w:r w:rsidRPr="00573C59">
        <w:rPr>
          <w:rFonts w:ascii="Arial" w:hAnsi="Arial" w:cs="Arial"/>
          <w:iCs/>
        </w:rPr>
        <w:t xml:space="preserve">The primary objective of this investigation was to isolate native </w:t>
      </w:r>
      <w:r w:rsidRPr="00573C59">
        <w:rPr>
          <w:rFonts w:ascii="Arial" w:hAnsi="Arial" w:cs="Arial"/>
          <w:i/>
        </w:rPr>
        <w:t>T. viride</w:t>
      </w:r>
      <w:r w:rsidRPr="00573C59">
        <w:rPr>
          <w:rFonts w:ascii="Arial" w:hAnsi="Arial" w:cs="Arial"/>
          <w:iCs/>
        </w:rPr>
        <w:t xml:space="preserve"> strains from the groundnut rhizosphere and systematically evaluate the in vitro growth-in</w:t>
      </w:r>
      <w:r w:rsidR="007D0CC4" w:rsidRPr="00573C59">
        <w:rPr>
          <w:rFonts w:ascii="Arial" w:hAnsi="Arial" w:cs="Arial"/>
          <w:iCs/>
        </w:rPr>
        <w:t xml:space="preserve">hibitory efficacy of their </w:t>
      </w:r>
      <w:r>
        <w:rPr>
          <w:rFonts w:ascii="Arial" w:hAnsi="Arial" w:cs="Arial"/>
          <w:iCs/>
          <w:highlight w:val="yellow"/>
        </w:rPr>
        <w:t>cell-free</w:t>
      </w:r>
      <w:r w:rsidRPr="00573C59">
        <w:rPr>
          <w:rFonts w:ascii="Arial" w:hAnsi="Arial" w:cs="Arial"/>
          <w:iCs/>
        </w:rPr>
        <w:t xml:space="preserve"> culture filtrates against </w:t>
      </w:r>
      <w:r w:rsidRPr="00573C59">
        <w:rPr>
          <w:rFonts w:ascii="Arial" w:hAnsi="Arial" w:cs="Arial"/>
          <w:i/>
        </w:rPr>
        <w:t>S. rolfsii</w:t>
      </w:r>
      <w:r w:rsidRPr="00573C59">
        <w:rPr>
          <w:rFonts w:ascii="Arial" w:hAnsi="Arial" w:cs="Arial"/>
          <w:iCs/>
        </w:rPr>
        <w:t xml:space="preserve">. </w:t>
      </w:r>
    </w:p>
    <w:p w14:paraId="05689049" w14:textId="77777777" w:rsidR="00790ADA" w:rsidRPr="00573C59" w:rsidRDefault="00902823" w:rsidP="00C844CF">
      <w:pPr>
        <w:pStyle w:val="Body"/>
        <w:rPr>
          <w:rFonts w:ascii="Arial" w:hAnsi="Arial" w:cs="Arial"/>
          <w:b/>
          <w:bCs/>
          <w:sz w:val="22"/>
          <w:szCs w:val="22"/>
        </w:rPr>
      </w:pPr>
      <w:r w:rsidRPr="00573C59">
        <w:rPr>
          <w:rFonts w:ascii="Arial" w:hAnsi="Arial" w:cs="Arial"/>
          <w:b/>
          <w:bCs/>
          <w:sz w:val="22"/>
          <w:szCs w:val="22"/>
        </w:rPr>
        <w:t xml:space="preserve">2. </w:t>
      </w:r>
      <w:r w:rsidR="00C844CF" w:rsidRPr="00573C59">
        <w:rPr>
          <w:rFonts w:ascii="Arial" w:hAnsi="Arial" w:cs="Arial"/>
          <w:b/>
          <w:bCs/>
          <w:sz w:val="22"/>
          <w:szCs w:val="22"/>
        </w:rPr>
        <w:t xml:space="preserve">MATERIAL AND METHODS </w:t>
      </w:r>
    </w:p>
    <w:p w14:paraId="1773EFCD" w14:textId="77777777" w:rsidR="00C844CF" w:rsidRPr="00573C59" w:rsidRDefault="00C844CF" w:rsidP="00C844CF">
      <w:pPr>
        <w:pStyle w:val="Body"/>
        <w:rPr>
          <w:rFonts w:ascii="Arial" w:hAnsi="Arial" w:cs="Arial"/>
          <w:b/>
          <w:bCs/>
        </w:rPr>
      </w:pPr>
      <w:r w:rsidRPr="00573C59">
        <w:rPr>
          <w:rFonts w:ascii="Arial" w:hAnsi="Arial" w:cs="Arial"/>
          <w:b/>
          <w:bCs/>
        </w:rPr>
        <w:t>2.1 Isolation and Identification of the Pathogen (</w:t>
      </w:r>
      <w:r w:rsidRPr="00573C59">
        <w:rPr>
          <w:rFonts w:ascii="Arial" w:hAnsi="Arial" w:cs="Arial"/>
          <w:b/>
          <w:bCs/>
          <w:i/>
          <w:iCs/>
        </w:rPr>
        <w:t>Sclerotium rolfsii</w:t>
      </w:r>
      <w:r w:rsidRPr="00573C59">
        <w:rPr>
          <w:rFonts w:ascii="Arial" w:hAnsi="Arial" w:cs="Arial"/>
          <w:b/>
          <w:bCs/>
        </w:rPr>
        <w:t>)</w:t>
      </w:r>
    </w:p>
    <w:p w14:paraId="55C3568D" w14:textId="77777777" w:rsidR="007D0CC4" w:rsidRPr="00573C59" w:rsidRDefault="00837549" w:rsidP="00C844CF">
      <w:pPr>
        <w:pStyle w:val="Body"/>
        <w:rPr>
          <w:rFonts w:ascii="Arial" w:hAnsi="Arial" w:cs="Arial"/>
        </w:rPr>
      </w:pPr>
      <w:r w:rsidRPr="00573C59">
        <w:rPr>
          <w:rFonts w:ascii="Arial" w:hAnsi="Arial" w:cs="Arial"/>
        </w:rPr>
        <w:t>Naturally infected groundnut (</w:t>
      </w:r>
      <w:r w:rsidRPr="00573C59">
        <w:rPr>
          <w:rFonts w:ascii="Arial" w:hAnsi="Arial" w:cs="Arial"/>
          <w:i/>
          <w:iCs/>
        </w:rPr>
        <w:t>Arachis hypogaea</w:t>
      </w:r>
      <w:r w:rsidRPr="00573C59">
        <w:rPr>
          <w:rFonts w:ascii="Arial" w:hAnsi="Arial" w:cs="Arial"/>
        </w:rPr>
        <w:t xml:space="preserve"> L.) plants exhibiting c</w:t>
      </w:r>
      <w:r w:rsidR="00D7283E" w:rsidRPr="00573C59">
        <w:rPr>
          <w:rFonts w:ascii="Arial" w:hAnsi="Arial" w:cs="Arial"/>
        </w:rPr>
        <w:t xml:space="preserve">haracteristic stem rot </w:t>
      </w:r>
      <w:r>
        <w:rPr>
          <w:rFonts w:ascii="Arial" w:hAnsi="Arial" w:cs="Arial"/>
          <w:highlight w:val="yellow"/>
        </w:rPr>
        <w:t>symptoms, including</w:t>
      </w:r>
      <w:r w:rsidR="007D0CC4" w:rsidRPr="00573C59">
        <w:rPr>
          <w:rFonts w:ascii="Arial" w:hAnsi="Arial" w:cs="Arial"/>
        </w:rPr>
        <w:t xml:space="preserve"> </w:t>
      </w:r>
      <w:r>
        <w:rPr>
          <w:rFonts w:ascii="Arial" w:hAnsi="Arial" w:cs="Arial"/>
          <w:highlight w:val="yellow"/>
        </w:rPr>
        <w:t>water-soaked</w:t>
      </w:r>
      <w:r w:rsidRPr="00573C59">
        <w:rPr>
          <w:rFonts w:ascii="Arial" w:hAnsi="Arial" w:cs="Arial"/>
        </w:rPr>
        <w:t xml:space="preserve"> collar lesions, radiating white mycelial</w:t>
      </w:r>
      <w:r w:rsidR="00D7283E" w:rsidRPr="00573C59">
        <w:rPr>
          <w:rFonts w:ascii="Arial" w:hAnsi="Arial" w:cs="Arial"/>
        </w:rPr>
        <w:t xml:space="preserve"> strands, and sclerotial bodies </w:t>
      </w:r>
      <w:r w:rsidRPr="00573C59">
        <w:rPr>
          <w:rFonts w:ascii="Arial" w:hAnsi="Arial" w:cs="Arial"/>
        </w:rPr>
        <w:t>were collected from 15 field plots acro</w:t>
      </w:r>
      <w:r w:rsidR="007D0CC4" w:rsidRPr="00573C59">
        <w:rPr>
          <w:rFonts w:ascii="Arial" w:hAnsi="Arial" w:cs="Arial"/>
        </w:rPr>
        <w:t xml:space="preserve">ss major </w:t>
      </w:r>
      <w:r>
        <w:rPr>
          <w:rFonts w:ascii="Arial" w:hAnsi="Arial" w:cs="Arial"/>
          <w:highlight w:val="yellow"/>
        </w:rPr>
        <w:t>groundnut-growing</w:t>
      </w:r>
      <w:r w:rsidRPr="00573C59">
        <w:rPr>
          <w:rFonts w:ascii="Arial" w:hAnsi="Arial" w:cs="Arial"/>
        </w:rPr>
        <w:t xml:space="preserve"> tracts of Cuddalore and Kallakurichi districts, Tamil Nadu, India,</w:t>
      </w:r>
      <w:r w:rsidR="009D3687" w:rsidRPr="00573C59">
        <w:rPr>
          <w:rFonts w:ascii="Arial" w:hAnsi="Arial" w:cs="Arial"/>
        </w:rPr>
        <w:t xml:space="preserve"> during the Kharif season (July - </w:t>
      </w:r>
      <w:r w:rsidRPr="00573C59">
        <w:rPr>
          <w:rFonts w:ascii="Arial" w:hAnsi="Arial" w:cs="Arial"/>
        </w:rPr>
        <w:t>Oct</w:t>
      </w:r>
      <w:r w:rsidR="009D3687" w:rsidRPr="00573C59">
        <w:rPr>
          <w:rFonts w:ascii="Arial" w:hAnsi="Arial" w:cs="Arial"/>
        </w:rPr>
        <w:t xml:space="preserve">ober). Small tissue segments (2 - </w:t>
      </w:r>
      <w:r w:rsidRPr="00573C59">
        <w:rPr>
          <w:rFonts w:ascii="Arial" w:hAnsi="Arial" w:cs="Arial"/>
        </w:rPr>
        <w:t>3 mm) excised from the advancing margins</w:t>
      </w:r>
      <w:r w:rsidR="007D0CC4" w:rsidRPr="00573C59">
        <w:rPr>
          <w:rFonts w:ascii="Arial" w:hAnsi="Arial" w:cs="Arial"/>
        </w:rPr>
        <w:t xml:space="preserve"> of infected stems were </w:t>
      </w:r>
      <w:r>
        <w:rPr>
          <w:rFonts w:ascii="Arial" w:hAnsi="Arial" w:cs="Arial"/>
          <w:highlight w:val="yellow"/>
        </w:rPr>
        <w:t>surface sterilised</w:t>
      </w:r>
      <w:r w:rsidRPr="00573C59">
        <w:rPr>
          <w:rFonts w:ascii="Arial" w:hAnsi="Arial" w:cs="Arial"/>
        </w:rPr>
        <w:t xml:space="preserve"> with 0.1% (w/v) sodium hypochlorite (NaOCl) for 30 seconds, rinsed three times in steri</w:t>
      </w:r>
      <w:r w:rsidR="007D0CC4" w:rsidRPr="00573C59">
        <w:rPr>
          <w:rFonts w:ascii="Arial" w:hAnsi="Arial" w:cs="Arial"/>
        </w:rPr>
        <w:t>le distilled water, blotted dry</w:t>
      </w:r>
      <w:r w:rsidRPr="00573C59">
        <w:rPr>
          <w:rFonts w:ascii="Arial" w:hAnsi="Arial" w:cs="Arial"/>
        </w:rPr>
        <w:t xml:space="preserve"> and plated onto Potato Dextrose Agar (PDA) pla</w:t>
      </w:r>
      <w:r w:rsidR="007D0CC4" w:rsidRPr="00573C59">
        <w:rPr>
          <w:rFonts w:ascii="Arial" w:hAnsi="Arial" w:cs="Arial"/>
        </w:rPr>
        <w:t>tes before incubation at 28 ± 2</w:t>
      </w:r>
      <w:r w:rsidRPr="00573C59">
        <w:rPr>
          <w:rFonts w:ascii="Arial" w:hAnsi="Arial" w:cs="Arial"/>
        </w:rPr>
        <w:t>°C for 5 days. Axenic cultures were established via single hyphal tip isolation an</w:t>
      </w:r>
      <w:r w:rsidR="007D0CC4" w:rsidRPr="00573C59">
        <w:rPr>
          <w:rFonts w:ascii="Arial" w:hAnsi="Arial" w:cs="Arial"/>
        </w:rPr>
        <w:t>d maintained on PDA slants at 4</w:t>
      </w:r>
      <w:r w:rsidRPr="00573C59">
        <w:rPr>
          <w:rFonts w:ascii="Arial" w:hAnsi="Arial" w:cs="Arial"/>
        </w:rPr>
        <w:t>°C, from which a uniformly virulent and rapidly growing representative isolate was sel</w:t>
      </w:r>
      <w:r w:rsidR="007D0CC4" w:rsidRPr="00573C59">
        <w:rPr>
          <w:rFonts w:ascii="Arial" w:hAnsi="Arial" w:cs="Arial"/>
        </w:rPr>
        <w:t>ected for downstream bioassays.</w:t>
      </w:r>
    </w:p>
    <w:p w14:paraId="41DC3936" w14:textId="77777777" w:rsidR="00837549" w:rsidRPr="00573C59" w:rsidRDefault="00837549" w:rsidP="00C844CF">
      <w:pPr>
        <w:pStyle w:val="Body"/>
        <w:rPr>
          <w:rFonts w:ascii="Arial" w:hAnsi="Arial" w:cs="Arial"/>
        </w:rPr>
      </w:pPr>
      <w:r w:rsidRPr="00573C59">
        <w:rPr>
          <w:rFonts w:ascii="Arial" w:hAnsi="Arial" w:cs="Arial"/>
        </w:rPr>
        <w:t xml:space="preserve">Identification of the pathogen as </w:t>
      </w:r>
      <w:r w:rsidRPr="00573C59">
        <w:rPr>
          <w:rFonts w:ascii="Arial" w:hAnsi="Arial" w:cs="Arial"/>
          <w:i/>
          <w:iCs/>
        </w:rPr>
        <w:t>S</w:t>
      </w:r>
      <w:r w:rsidR="007D0CC4" w:rsidRPr="00573C59">
        <w:rPr>
          <w:rFonts w:ascii="Arial" w:hAnsi="Arial" w:cs="Arial"/>
          <w:i/>
          <w:iCs/>
        </w:rPr>
        <w:t>.</w:t>
      </w:r>
      <w:r w:rsidRPr="00573C59">
        <w:rPr>
          <w:rFonts w:ascii="Arial" w:hAnsi="Arial" w:cs="Arial"/>
          <w:i/>
          <w:iCs/>
        </w:rPr>
        <w:t xml:space="preserve"> rolfsii</w:t>
      </w:r>
      <w:r w:rsidRPr="00573C59">
        <w:rPr>
          <w:rFonts w:ascii="Arial" w:hAnsi="Arial" w:cs="Arial"/>
        </w:rPr>
        <w:t xml:space="preserve"> Sacc. was confirmed based on diagnostic macroscopic and </w:t>
      </w:r>
      <w:r>
        <w:rPr>
          <w:rFonts w:ascii="Arial" w:hAnsi="Arial" w:cs="Arial"/>
          <w:highlight w:val="yellow"/>
        </w:rPr>
        <w:t>micromorphological</w:t>
      </w:r>
      <w:r>
        <w:rPr>
          <w:rFonts w:ascii="Arial" w:hAnsi="Arial" w:cs="Arial"/>
        </w:rPr>
        <w:t xml:space="preserve"> criteria, including </w:t>
      </w:r>
      <w:r>
        <w:rPr>
          <w:rFonts w:ascii="Arial" w:hAnsi="Arial" w:cs="Arial"/>
          <w:highlight w:val="yellow"/>
        </w:rPr>
        <w:t>rapidly growing</w:t>
      </w:r>
      <w:r w:rsidRPr="00573C59">
        <w:rPr>
          <w:rFonts w:ascii="Arial" w:hAnsi="Arial" w:cs="Arial"/>
        </w:rPr>
        <w:t xml:space="preserve">, </w:t>
      </w:r>
      <w:r>
        <w:rPr>
          <w:rFonts w:ascii="Arial" w:hAnsi="Arial" w:cs="Arial"/>
          <w:highlight w:val="yellow"/>
        </w:rPr>
        <w:t>silky-white</w:t>
      </w:r>
      <w:r>
        <w:rPr>
          <w:rFonts w:ascii="Arial" w:hAnsi="Arial" w:cs="Arial"/>
        </w:rPr>
        <w:t>, plumose aerial</w:t>
      </w:r>
      <w:r w:rsidR="007D0CC4" w:rsidRPr="00573C59">
        <w:rPr>
          <w:rFonts w:ascii="Arial" w:hAnsi="Arial" w:cs="Arial"/>
        </w:rPr>
        <w:t xml:space="preserve"> mycelium, characteristic </w:t>
      </w:r>
      <w:r>
        <w:rPr>
          <w:rFonts w:ascii="Arial" w:hAnsi="Arial" w:cs="Arial"/>
          <w:highlight w:val="yellow"/>
        </w:rPr>
        <w:t>right-angled</w:t>
      </w:r>
      <w:r w:rsidRPr="00573C59">
        <w:rPr>
          <w:rFonts w:ascii="Arial" w:hAnsi="Arial" w:cs="Arial"/>
        </w:rPr>
        <w:t xml:space="preserve"> hyphal branching with prominent clamp connections, and the</w:t>
      </w:r>
      <w:r w:rsidR="009D3687" w:rsidRPr="00573C59">
        <w:rPr>
          <w:rFonts w:ascii="Arial" w:hAnsi="Arial" w:cs="Arial"/>
        </w:rPr>
        <w:t xml:space="preserve"> development of smooth, globose to </w:t>
      </w:r>
      <w:r>
        <w:rPr>
          <w:rFonts w:ascii="Arial" w:hAnsi="Arial" w:cs="Arial"/>
          <w:highlight w:val="yellow"/>
        </w:rPr>
        <w:t>subglobose</w:t>
      </w:r>
      <w:r w:rsidRPr="00573C59">
        <w:rPr>
          <w:rFonts w:ascii="Arial" w:hAnsi="Arial" w:cs="Arial"/>
        </w:rPr>
        <w:t>,</w:t>
      </w:r>
      <w:r w:rsidR="007D0CC4" w:rsidRPr="00573C59">
        <w:rPr>
          <w:rFonts w:ascii="Arial" w:hAnsi="Arial" w:cs="Arial"/>
        </w:rPr>
        <w:t xml:space="preserve"> </w:t>
      </w:r>
      <w:r>
        <w:rPr>
          <w:rFonts w:ascii="Arial" w:hAnsi="Arial" w:cs="Arial"/>
          <w:highlight w:val="yellow"/>
        </w:rPr>
        <w:t>chocolate-brown</w:t>
      </w:r>
      <w:r w:rsidR="009D3687" w:rsidRPr="00573C59">
        <w:rPr>
          <w:rFonts w:ascii="Arial" w:hAnsi="Arial" w:cs="Arial"/>
        </w:rPr>
        <w:t xml:space="preserve"> sclerotia (0.8 - 2.0 mm diameter) within 7 - </w:t>
      </w:r>
      <w:r w:rsidRPr="00573C59">
        <w:rPr>
          <w:rFonts w:ascii="Arial" w:hAnsi="Arial" w:cs="Arial"/>
        </w:rPr>
        <w:t>10 days of culture.</w:t>
      </w:r>
    </w:p>
    <w:p w14:paraId="388BAC3A" w14:textId="77777777" w:rsidR="00C844CF" w:rsidRPr="00573C59" w:rsidRDefault="00C844CF" w:rsidP="00C844CF">
      <w:pPr>
        <w:pStyle w:val="Body"/>
        <w:rPr>
          <w:rFonts w:ascii="Arial" w:hAnsi="Arial" w:cs="Arial"/>
          <w:b/>
          <w:bCs/>
        </w:rPr>
      </w:pPr>
      <w:r w:rsidRPr="00573C59">
        <w:rPr>
          <w:rFonts w:ascii="Arial" w:hAnsi="Arial" w:cs="Arial"/>
          <w:b/>
          <w:bCs/>
        </w:rPr>
        <w:t xml:space="preserve">2.2 Isolation and Maintenance of Antagonistic </w:t>
      </w:r>
      <w:r w:rsidRPr="00573C59">
        <w:rPr>
          <w:rFonts w:ascii="Arial" w:hAnsi="Arial" w:cs="Arial"/>
          <w:b/>
          <w:bCs/>
          <w:i/>
          <w:iCs/>
        </w:rPr>
        <w:t>Trichoderma viride</w:t>
      </w:r>
    </w:p>
    <w:p w14:paraId="615AFE37" w14:textId="77777777" w:rsidR="000D290D" w:rsidRDefault="00837549" w:rsidP="00C844CF">
      <w:pPr>
        <w:pStyle w:val="Body"/>
        <w:rPr>
          <w:rFonts w:ascii="Arial" w:hAnsi="Arial" w:cs="Arial"/>
        </w:rPr>
      </w:pPr>
      <w:r w:rsidRPr="00573C59">
        <w:rPr>
          <w:rFonts w:ascii="Arial" w:hAnsi="Arial" w:cs="Arial"/>
        </w:rPr>
        <w:t xml:space="preserve">Rhizosphere soil samples </w:t>
      </w:r>
      <w:r w:rsidR="009D3687" w:rsidRPr="00573C59">
        <w:rPr>
          <w:rFonts w:ascii="Arial" w:hAnsi="Arial" w:cs="Arial"/>
        </w:rPr>
        <w:t xml:space="preserve">were collected at a depth of 0 - </w:t>
      </w:r>
      <w:r w:rsidRPr="00573C59">
        <w:rPr>
          <w:rFonts w:ascii="Arial" w:hAnsi="Arial" w:cs="Arial"/>
        </w:rPr>
        <w:t>15 cm from healthy groundnut (</w:t>
      </w:r>
      <w:r w:rsidRPr="00573C59">
        <w:rPr>
          <w:rFonts w:ascii="Arial" w:hAnsi="Arial" w:cs="Arial"/>
          <w:i/>
          <w:iCs/>
        </w:rPr>
        <w:t>A</w:t>
      </w:r>
      <w:r w:rsidR="009D3687" w:rsidRPr="00573C59">
        <w:rPr>
          <w:rFonts w:ascii="Arial" w:hAnsi="Arial" w:cs="Arial"/>
          <w:i/>
          <w:iCs/>
        </w:rPr>
        <w:t>.</w:t>
      </w:r>
      <w:r w:rsidRPr="00573C59">
        <w:rPr>
          <w:rFonts w:ascii="Arial" w:hAnsi="Arial" w:cs="Arial"/>
          <w:i/>
          <w:iCs/>
        </w:rPr>
        <w:t xml:space="preserve"> hypogaea</w:t>
      </w:r>
      <w:r w:rsidRPr="00573C59">
        <w:rPr>
          <w:rFonts w:ascii="Arial" w:hAnsi="Arial" w:cs="Arial"/>
        </w:rPr>
        <w:t xml:space="preserve"> L.) fields across various agricultural blocks in Cuddalore and Kallakurichi districts, Tamil Nadu, India. Native antagonistic fungi were isolated using the se</w:t>
      </w:r>
      <w:r w:rsidR="009D3687" w:rsidRPr="00573C59">
        <w:rPr>
          <w:rFonts w:ascii="Arial" w:hAnsi="Arial" w:cs="Arial"/>
        </w:rPr>
        <w:t>rial dilution plate technique (10</w:t>
      </w:r>
      <w:r w:rsidR="009D3687" w:rsidRPr="00573C59">
        <w:rPr>
          <w:rFonts w:ascii="Arial" w:hAnsi="Arial" w:cs="Arial"/>
          <w:vertAlign w:val="superscript"/>
        </w:rPr>
        <w:t>-3</w:t>
      </w:r>
      <w:r w:rsidR="009D3687" w:rsidRPr="00573C59">
        <w:rPr>
          <w:rFonts w:ascii="Arial" w:hAnsi="Arial" w:cs="Arial"/>
        </w:rPr>
        <w:t xml:space="preserve"> to 10</w:t>
      </w:r>
      <w:r w:rsidR="009D3687" w:rsidRPr="00573C59">
        <w:rPr>
          <w:rFonts w:ascii="Arial" w:hAnsi="Arial" w:cs="Arial"/>
          <w:vertAlign w:val="superscript"/>
        </w:rPr>
        <w:t>-5</w:t>
      </w:r>
      <w:r w:rsidRPr="00573C59">
        <w:rPr>
          <w:rFonts w:ascii="Arial" w:hAnsi="Arial" w:cs="Arial"/>
        </w:rPr>
        <w:t xml:space="preserve"> dilutions) on </w:t>
      </w:r>
      <w:r>
        <w:rPr>
          <w:rFonts w:ascii="Arial" w:hAnsi="Arial" w:cs="Arial"/>
          <w:i/>
          <w:iCs/>
        </w:rPr>
        <w:t>Trichoderma</w:t>
      </w:r>
      <w:r>
        <w:rPr>
          <w:rFonts w:ascii="Arial" w:hAnsi="Arial" w:cs="Arial"/>
        </w:rPr>
        <w:t xml:space="preserve"> Selective Medium (TSM) as described by Aseel et al. (2023). Axenic cultures were established via single hyphal tip propagation and maintained on Potato </w:t>
      </w:r>
      <w:r w:rsidR="007D0CC4" w:rsidRPr="00573C59">
        <w:rPr>
          <w:rFonts w:ascii="Arial" w:hAnsi="Arial" w:cs="Arial"/>
        </w:rPr>
        <w:t>Dextrose Agar (PDA) slants at 4</w:t>
      </w:r>
      <w:r w:rsidRPr="00573C59">
        <w:rPr>
          <w:rFonts w:ascii="Arial" w:hAnsi="Arial" w:cs="Arial"/>
        </w:rPr>
        <w:t>°C. Ten</w:t>
      </w:r>
      <w:r w:rsidR="007D0CC4" w:rsidRPr="00573C59">
        <w:rPr>
          <w:rFonts w:ascii="Arial" w:hAnsi="Arial" w:cs="Arial"/>
        </w:rPr>
        <w:t xml:space="preserve"> </w:t>
      </w:r>
      <w:r w:rsidR="00BC4D4F" w:rsidRPr="00573C59">
        <w:rPr>
          <w:rFonts w:ascii="Arial" w:hAnsi="Arial" w:cs="Arial"/>
        </w:rPr>
        <w:t xml:space="preserve">morphologically distinct, </w:t>
      </w:r>
      <w:r>
        <w:rPr>
          <w:rFonts w:ascii="Arial" w:hAnsi="Arial" w:cs="Arial"/>
          <w:highlight w:val="yellow"/>
        </w:rPr>
        <w:t>fast-growing</w:t>
      </w:r>
      <w:r w:rsidRPr="00573C59">
        <w:rPr>
          <w:rFonts w:ascii="Arial" w:hAnsi="Arial" w:cs="Arial"/>
        </w:rPr>
        <w:t xml:space="preserve"> and representative isolates (designated Tv</w:t>
      </w:r>
      <w:r w:rsidRPr="00573C59">
        <w:rPr>
          <w:rFonts w:ascii="Arial" w:hAnsi="Arial" w:cs="Arial"/>
          <w:vertAlign w:val="subscript"/>
        </w:rPr>
        <w:t>1</w:t>
      </w:r>
      <w:r w:rsidRPr="00573C59">
        <w:rPr>
          <w:rFonts w:ascii="Arial" w:hAnsi="Arial" w:cs="Arial"/>
        </w:rPr>
        <w:t xml:space="preserve"> through Tv</w:t>
      </w:r>
      <w:r w:rsidRPr="00573C59">
        <w:rPr>
          <w:rFonts w:ascii="Arial" w:hAnsi="Arial" w:cs="Arial"/>
          <w:vertAlign w:val="subscript"/>
        </w:rPr>
        <w:t>10</w:t>
      </w:r>
      <w:r w:rsidRPr="00573C59">
        <w:rPr>
          <w:rFonts w:ascii="Arial" w:hAnsi="Arial" w:cs="Arial"/>
        </w:rPr>
        <w:t>) were selected based on high sporulation inten</w:t>
      </w:r>
      <w:r w:rsidR="00BC4D4F" w:rsidRPr="00573C59">
        <w:rPr>
          <w:rFonts w:ascii="Arial" w:hAnsi="Arial" w:cs="Arial"/>
        </w:rPr>
        <w:t>sity, colony proliferation rate</w:t>
      </w:r>
      <w:r w:rsidRPr="00573C59">
        <w:rPr>
          <w:rFonts w:ascii="Arial" w:hAnsi="Arial" w:cs="Arial"/>
        </w:rPr>
        <w:t xml:space="preserve"> and characteristic pigment production. </w:t>
      </w:r>
    </w:p>
    <w:p w14:paraId="7AD77951" w14:textId="77777777" w:rsidR="00837549" w:rsidRPr="00573C59" w:rsidRDefault="00837549" w:rsidP="00C844CF">
      <w:pPr>
        <w:pStyle w:val="Body"/>
        <w:rPr>
          <w:rFonts w:ascii="Arial" w:hAnsi="Arial" w:cs="Arial"/>
        </w:rPr>
      </w:pPr>
      <w:r w:rsidRPr="00573C59">
        <w:rPr>
          <w:rFonts w:ascii="Arial" w:hAnsi="Arial" w:cs="Arial"/>
        </w:rPr>
        <w:t xml:space="preserve">Taxonomic identification as </w:t>
      </w:r>
      <w:r w:rsidRPr="00573C59">
        <w:rPr>
          <w:rFonts w:ascii="Arial" w:hAnsi="Arial" w:cs="Arial"/>
          <w:i/>
          <w:iCs/>
        </w:rPr>
        <w:t>T</w:t>
      </w:r>
      <w:r w:rsidR="009D3687" w:rsidRPr="00573C59">
        <w:rPr>
          <w:rFonts w:ascii="Arial" w:hAnsi="Arial" w:cs="Arial"/>
          <w:i/>
          <w:iCs/>
        </w:rPr>
        <w:t>.</w:t>
      </w:r>
      <w:r w:rsidRPr="00573C59">
        <w:rPr>
          <w:rFonts w:ascii="Arial" w:hAnsi="Arial" w:cs="Arial"/>
          <w:i/>
          <w:iCs/>
        </w:rPr>
        <w:t xml:space="preserve"> viride </w:t>
      </w:r>
      <w:r w:rsidRPr="00573C59">
        <w:rPr>
          <w:rFonts w:ascii="Arial" w:hAnsi="Arial" w:cs="Arial"/>
        </w:rPr>
        <w:t>was verified through standard mycological keys and morphological diagnostic criteria (Kharkwal et al.</w:t>
      </w:r>
      <w:r w:rsidR="000D290D">
        <w:rPr>
          <w:rFonts w:ascii="Arial" w:hAnsi="Arial" w:cs="Arial"/>
        </w:rPr>
        <w:t>,</w:t>
      </w:r>
      <w:r w:rsidRPr="00573C59">
        <w:rPr>
          <w:rFonts w:ascii="Arial" w:hAnsi="Arial" w:cs="Arial"/>
        </w:rPr>
        <w:t xml:space="preserve"> 2024; </w:t>
      </w:r>
      <w:r>
        <w:rPr>
          <w:rFonts w:ascii="Arial" w:hAnsi="Arial" w:cs="Arial"/>
          <w:highlight w:val="yellow"/>
        </w:rPr>
        <w:t>Balamurugan et al., 2025a</w:t>
      </w:r>
      <w:r w:rsidRPr="00573C59">
        <w:rPr>
          <w:rFonts w:ascii="Arial" w:hAnsi="Arial" w:cs="Arial"/>
        </w:rPr>
        <w:t>), including colony appearance (dark green, granular to tufted aerial mycelium with concentric rings), conidiophore branching architecture (regularly pyramidal, paired lateral branches emerging at right angle</w:t>
      </w:r>
      <w:r w:rsidR="00BC4D4F" w:rsidRPr="00573C59">
        <w:rPr>
          <w:rFonts w:ascii="Arial" w:hAnsi="Arial" w:cs="Arial"/>
        </w:rPr>
        <w:t>s), ampulliform/</w:t>
      </w:r>
      <w:r>
        <w:rPr>
          <w:rFonts w:ascii="Arial" w:hAnsi="Arial" w:cs="Arial"/>
          <w:highlight w:val="yellow"/>
        </w:rPr>
        <w:t>flask-shaped</w:t>
      </w:r>
      <w:r w:rsidRPr="00573C59">
        <w:rPr>
          <w:rFonts w:ascii="Arial" w:hAnsi="Arial" w:cs="Arial"/>
        </w:rPr>
        <w:t xml:space="preserve"> phialides arranged i</w:t>
      </w:r>
      <w:r w:rsidR="009D3687" w:rsidRPr="00573C59">
        <w:rPr>
          <w:rFonts w:ascii="Arial" w:hAnsi="Arial" w:cs="Arial"/>
        </w:rPr>
        <w:t xml:space="preserve">n verticils and globose to </w:t>
      </w:r>
      <w:r>
        <w:rPr>
          <w:rFonts w:ascii="Arial" w:hAnsi="Arial" w:cs="Arial"/>
          <w:highlight w:val="yellow"/>
        </w:rPr>
        <w:t>subglobose</w:t>
      </w:r>
      <w:r w:rsidRPr="00573C59">
        <w:rPr>
          <w:rFonts w:ascii="Arial" w:hAnsi="Arial" w:cs="Arial"/>
        </w:rPr>
        <w:t>, finely war</w:t>
      </w:r>
      <w:r w:rsidR="00BC4D4F" w:rsidRPr="00573C59">
        <w:rPr>
          <w:rFonts w:ascii="Arial" w:hAnsi="Arial" w:cs="Arial"/>
        </w:rPr>
        <w:t xml:space="preserve">ted/roughened, hyaline to light </w:t>
      </w:r>
      <w:r w:rsidRPr="00573C59">
        <w:rPr>
          <w:rFonts w:ascii="Arial" w:hAnsi="Arial" w:cs="Arial"/>
        </w:rPr>
        <w:t>green conidia.</w:t>
      </w:r>
    </w:p>
    <w:p w14:paraId="37560380" w14:textId="77777777" w:rsidR="00C844CF" w:rsidRPr="00573C59" w:rsidRDefault="00EA6E2C" w:rsidP="00C844CF">
      <w:pPr>
        <w:pStyle w:val="Body"/>
        <w:rPr>
          <w:rFonts w:ascii="Arial" w:hAnsi="Arial" w:cs="Arial"/>
          <w:b/>
          <w:bCs/>
        </w:rPr>
      </w:pPr>
      <w:r w:rsidRPr="00573C59">
        <w:rPr>
          <w:rFonts w:ascii="Arial" w:hAnsi="Arial" w:cs="Arial"/>
          <w:b/>
          <w:bCs/>
        </w:rPr>
        <w:t xml:space="preserve">2.3 Extraction of </w:t>
      </w:r>
      <w:r>
        <w:rPr>
          <w:rFonts w:ascii="Arial" w:hAnsi="Arial" w:cs="Arial"/>
          <w:b/>
          <w:bCs/>
          <w:highlight w:val="yellow"/>
        </w:rPr>
        <w:t>Cell-Free</w:t>
      </w:r>
      <w:r w:rsidR="00C844CF" w:rsidRPr="00573C59">
        <w:rPr>
          <w:rFonts w:ascii="Arial" w:hAnsi="Arial" w:cs="Arial"/>
          <w:b/>
          <w:bCs/>
        </w:rPr>
        <w:t xml:space="preserve"> Culture Filtrates</w:t>
      </w:r>
    </w:p>
    <w:p w14:paraId="79D10EB4" w14:textId="77777777" w:rsidR="0047484C" w:rsidRPr="00573C59" w:rsidRDefault="0047484C" w:rsidP="00C844CF">
      <w:pPr>
        <w:pStyle w:val="Body"/>
        <w:rPr>
          <w:rFonts w:ascii="Arial" w:hAnsi="Arial" w:cs="Arial"/>
        </w:rPr>
      </w:pPr>
      <w:r w:rsidRPr="00573C59">
        <w:rPr>
          <w:rFonts w:ascii="Arial" w:hAnsi="Arial" w:cs="Arial"/>
        </w:rPr>
        <w:t>Mycelial discs (7 mm diameter) excised from th</w:t>
      </w:r>
      <w:r w:rsidR="009D3687" w:rsidRPr="00573C59">
        <w:rPr>
          <w:rFonts w:ascii="Arial" w:hAnsi="Arial" w:cs="Arial"/>
        </w:rPr>
        <w:t xml:space="preserve">e actively growing margins of </w:t>
      </w:r>
      <w:r>
        <w:rPr>
          <w:rFonts w:ascii="Arial" w:hAnsi="Arial" w:cs="Arial"/>
          <w:highlight w:val="yellow"/>
        </w:rPr>
        <w:t>5-day-old</w:t>
      </w:r>
      <w:r w:rsidRPr="00573C59">
        <w:rPr>
          <w:rFonts w:ascii="Arial" w:hAnsi="Arial" w:cs="Arial"/>
        </w:rPr>
        <w:t xml:space="preserve"> cultures of each </w:t>
      </w:r>
      <w:r w:rsidRPr="00573C59">
        <w:rPr>
          <w:rFonts w:ascii="Arial" w:hAnsi="Arial" w:cs="Arial"/>
          <w:i/>
          <w:iCs/>
        </w:rPr>
        <w:t>T. viride</w:t>
      </w:r>
      <w:r w:rsidRPr="00573C59">
        <w:rPr>
          <w:rFonts w:ascii="Arial" w:hAnsi="Arial" w:cs="Arial"/>
        </w:rPr>
        <w:t xml:space="preserve"> isolate (Tv</w:t>
      </w:r>
      <w:r w:rsidRPr="00573C59">
        <w:rPr>
          <w:rFonts w:ascii="Arial" w:hAnsi="Arial" w:cs="Arial"/>
          <w:vertAlign w:val="subscript"/>
        </w:rPr>
        <w:t>1</w:t>
      </w:r>
      <w:r w:rsidRPr="00573C59">
        <w:rPr>
          <w:rFonts w:ascii="Arial" w:hAnsi="Arial" w:cs="Arial"/>
        </w:rPr>
        <w:t xml:space="preserve"> to Tv</w:t>
      </w:r>
      <w:r w:rsidRPr="00573C59">
        <w:rPr>
          <w:rFonts w:ascii="Arial" w:hAnsi="Arial" w:cs="Arial"/>
          <w:vertAlign w:val="subscript"/>
        </w:rPr>
        <w:t>10</w:t>
      </w:r>
      <w:r w:rsidRPr="00573C59">
        <w:rPr>
          <w:rFonts w:ascii="Arial" w:hAnsi="Arial" w:cs="Arial"/>
        </w:rPr>
        <w:t>) were individually inoculated into 250 mL Erlenmeyer flasks containing 50 mL of sterile Potato Dextrose Broth (PDB). The inoculated flasks were incubated under static,</w:t>
      </w:r>
      <w:r w:rsidR="00EA6E2C" w:rsidRPr="00573C59">
        <w:rPr>
          <w:rFonts w:ascii="Arial" w:hAnsi="Arial" w:cs="Arial"/>
        </w:rPr>
        <w:t xml:space="preserve"> dark conditions at 28 ± 2</w:t>
      </w:r>
      <w:r w:rsidRPr="00573C59">
        <w:rPr>
          <w:rFonts w:ascii="Arial" w:hAnsi="Arial" w:cs="Arial"/>
        </w:rPr>
        <w:t>°C</w:t>
      </w:r>
      <w:r w:rsidR="009D3687" w:rsidRPr="00573C59">
        <w:rPr>
          <w:rFonts w:ascii="Arial" w:hAnsi="Arial" w:cs="Arial"/>
        </w:rPr>
        <w:t xml:space="preserve"> with a relative humidity of 70 - </w:t>
      </w:r>
      <w:r w:rsidRPr="00573C59">
        <w:rPr>
          <w:rFonts w:ascii="Arial" w:hAnsi="Arial" w:cs="Arial"/>
        </w:rPr>
        <w:t>75% for 10 days to facilitate metabolite accumulation. Following incubation, the fungal biomass was separated from the culture broth by preliminary gravity filtration through sterile Whatman No. 1 filter paper. The resulting filtrate was then passed th</w:t>
      </w:r>
      <w:r w:rsidR="009D3687" w:rsidRPr="00573C59">
        <w:rPr>
          <w:rFonts w:ascii="Arial" w:hAnsi="Arial" w:cs="Arial"/>
        </w:rPr>
        <w:t xml:space="preserve">rough a </w:t>
      </w:r>
      <w:r w:rsidR="009D3687" w:rsidRPr="00573C59">
        <w:rPr>
          <w:rFonts w:ascii="Arial" w:hAnsi="Arial" w:cs="Arial"/>
        </w:rPr>
        <w:lastRenderedPageBreak/>
        <w:t xml:space="preserve">sterile 0.22 µm </w:t>
      </w:r>
      <w:r>
        <w:rPr>
          <w:rFonts w:ascii="Arial" w:hAnsi="Arial" w:cs="Arial"/>
          <w:highlight w:val="yellow"/>
        </w:rPr>
        <w:t>syringe-driven</w:t>
      </w:r>
      <w:r w:rsidRPr="00573C59">
        <w:rPr>
          <w:rFonts w:ascii="Arial" w:hAnsi="Arial" w:cs="Arial"/>
        </w:rPr>
        <w:t xml:space="preserve"> nylon membrane filter under aseptic condi</w:t>
      </w:r>
      <w:r w:rsidR="00EA6E2C" w:rsidRPr="00573C59">
        <w:rPr>
          <w:rFonts w:ascii="Arial" w:hAnsi="Arial" w:cs="Arial"/>
        </w:rPr>
        <w:t xml:space="preserve">tions to obtain completely </w:t>
      </w:r>
      <w:r>
        <w:rPr>
          <w:rFonts w:ascii="Arial" w:hAnsi="Arial" w:cs="Arial"/>
          <w:highlight w:val="yellow"/>
        </w:rPr>
        <w:t>cell-free</w:t>
      </w:r>
      <w:r w:rsidRPr="00573C59">
        <w:rPr>
          <w:rFonts w:ascii="Arial" w:hAnsi="Arial" w:cs="Arial"/>
        </w:rPr>
        <w:t xml:space="preserve"> culture filtrates. Sterility of each culture filtrate was confirmed p</w:t>
      </w:r>
      <w:r w:rsidR="009D3687" w:rsidRPr="00573C59">
        <w:rPr>
          <w:rFonts w:ascii="Arial" w:hAnsi="Arial" w:cs="Arial"/>
        </w:rPr>
        <w:t xml:space="preserve">rior to bioassays by spread </w:t>
      </w:r>
      <w:r w:rsidRPr="00573C59">
        <w:rPr>
          <w:rFonts w:ascii="Arial" w:hAnsi="Arial" w:cs="Arial"/>
        </w:rPr>
        <w:t>plating a 100 µL aliquot onto nutrient agar and PDA plates, which showed no bacterial or funga</w:t>
      </w:r>
      <w:r w:rsidR="009D3687" w:rsidRPr="00573C59">
        <w:rPr>
          <w:rFonts w:ascii="Arial" w:hAnsi="Arial" w:cs="Arial"/>
        </w:rPr>
        <w:t>l growth after incubation at 28</w:t>
      </w:r>
      <w:r w:rsidRPr="00573C59">
        <w:rPr>
          <w:rFonts w:ascii="Arial" w:hAnsi="Arial" w:cs="Arial"/>
        </w:rPr>
        <w:t>°C for 48 hours. To p</w:t>
      </w:r>
      <w:r w:rsidR="009D3687" w:rsidRPr="00573C59">
        <w:rPr>
          <w:rFonts w:ascii="Arial" w:hAnsi="Arial" w:cs="Arial"/>
        </w:rPr>
        <w:t xml:space="preserve">reserve the bioactivity of </w:t>
      </w:r>
      <w:r>
        <w:rPr>
          <w:rFonts w:ascii="Arial" w:hAnsi="Arial" w:cs="Arial"/>
          <w:highlight w:val="yellow"/>
        </w:rPr>
        <w:t>heat- and light-sensitive</w:t>
      </w:r>
      <w:r w:rsidRPr="00573C59">
        <w:rPr>
          <w:rFonts w:ascii="Arial" w:hAnsi="Arial" w:cs="Arial"/>
        </w:rPr>
        <w:t xml:space="preserve"> non-volatile secondary metabolites, the f</w:t>
      </w:r>
      <w:r w:rsidR="00EA6E2C" w:rsidRPr="00573C59">
        <w:rPr>
          <w:rFonts w:ascii="Arial" w:hAnsi="Arial" w:cs="Arial"/>
        </w:rPr>
        <w:t xml:space="preserve">reshly prepared </w:t>
      </w:r>
      <w:r>
        <w:rPr>
          <w:rFonts w:ascii="Arial" w:hAnsi="Arial" w:cs="Arial"/>
          <w:highlight w:val="yellow"/>
        </w:rPr>
        <w:t>cell-free</w:t>
      </w:r>
      <w:r w:rsidRPr="00573C59">
        <w:rPr>
          <w:rFonts w:ascii="Arial" w:hAnsi="Arial" w:cs="Arial"/>
        </w:rPr>
        <w:t xml:space="preserve"> filtrates were used immediately in the antifungal assays.</w:t>
      </w:r>
    </w:p>
    <w:p w14:paraId="642DFAFC" w14:textId="77777777" w:rsidR="00C844CF" w:rsidRPr="00573C59" w:rsidRDefault="00C844CF" w:rsidP="00C844CF">
      <w:pPr>
        <w:pStyle w:val="Body"/>
        <w:rPr>
          <w:rFonts w:ascii="Arial" w:hAnsi="Arial" w:cs="Arial"/>
          <w:b/>
          <w:bCs/>
        </w:rPr>
      </w:pPr>
      <w:r w:rsidRPr="00573C59">
        <w:rPr>
          <w:rFonts w:ascii="Arial" w:hAnsi="Arial" w:cs="Arial"/>
          <w:b/>
          <w:bCs/>
        </w:rPr>
        <w:t xml:space="preserve">2.4 </w:t>
      </w:r>
      <w:r w:rsidRPr="00573C59">
        <w:rPr>
          <w:rFonts w:ascii="Arial" w:hAnsi="Arial" w:cs="Arial"/>
          <w:b/>
          <w:bCs/>
          <w:i/>
          <w:iCs/>
        </w:rPr>
        <w:t>In Vitro</w:t>
      </w:r>
      <w:r w:rsidRPr="00573C59">
        <w:rPr>
          <w:rFonts w:ascii="Arial" w:hAnsi="Arial" w:cs="Arial"/>
          <w:b/>
          <w:bCs/>
        </w:rPr>
        <w:t xml:space="preserve"> Antifungal Assay (Poisoned Food Technique)</w:t>
      </w:r>
    </w:p>
    <w:p w14:paraId="53028F74" w14:textId="77777777" w:rsidR="0047484C" w:rsidRPr="00573C59" w:rsidRDefault="0047484C" w:rsidP="0047484C">
      <w:pPr>
        <w:pStyle w:val="Body"/>
        <w:rPr>
          <w:rFonts w:ascii="Arial" w:hAnsi="Arial" w:cs="Arial"/>
        </w:rPr>
      </w:pPr>
      <w:r w:rsidRPr="00573C59">
        <w:rPr>
          <w:rFonts w:ascii="Arial" w:hAnsi="Arial" w:cs="Arial"/>
        </w:rPr>
        <w:t xml:space="preserve">The </w:t>
      </w:r>
      <w:r>
        <w:rPr>
          <w:rFonts w:ascii="Arial" w:hAnsi="Arial" w:cs="Arial"/>
          <w:highlight w:val="yellow"/>
        </w:rPr>
        <w:t>growth-inhibitory</w:t>
      </w:r>
      <w:r w:rsidR="009D3687" w:rsidRPr="00573C59">
        <w:rPr>
          <w:rFonts w:ascii="Arial" w:hAnsi="Arial" w:cs="Arial"/>
        </w:rPr>
        <w:t xml:space="preserve"> activity of </w:t>
      </w:r>
      <w:r>
        <w:rPr>
          <w:rFonts w:ascii="Arial" w:hAnsi="Arial" w:cs="Arial"/>
          <w:highlight w:val="yellow"/>
        </w:rPr>
        <w:t>cell-free</w:t>
      </w:r>
      <w:r w:rsidRPr="00573C59">
        <w:rPr>
          <w:rFonts w:ascii="Arial" w:hAnsi="Arial" w:cs="Arial"/>
        </w:rPr>
        <w:t xml:space="preserve"> culture filtrates from each </w:t>
      </w:r>
      <w:r w:rsidRPr="00573C59">
        <w:rPr>
          <w:rFonts w:ascii="Arial" w:hAnsi="Arial" w:cs="Arial"/>
          <w:i/>
          <w:iCs/>
        </w:rPr>
        <w:t>T. viride</w:t>
      </w:r>
      <w:r w:rsidRPr="00573C59">
        <w:rPr>
          <w:rFonts w:ascii="Arial" w:hAnsi="Arial" w:cs="Arial"/>
        </w:rPr>
        <w:t xml:space="preserve"> isolate (Tv</w:t>
      </w:r>
      <w:r w:rsidRPr="00573C59">
        <w:rPr>
          <w:rFonts w:ascii="Arial" w:hAnsi="Arial" w:cs="Arial"/>
          <w:vertAlign w:val="subscript"/>
        </w:rPr>
        <w:t>1</w:t>
      </w:r>
      <w:r w:rsidRPr="00573C59">
        <w:rPr>
          <w:rFonts w:ascii="Arial" w:hAnsi="Arial" w:cs="Arial"/>
        </w:rPr>
        <w:t xml:space="preserve"> to Tv</w:t>
      </w:r>
      <w:r w:rsidRPr="00573C59">
        <w:rPr>
          <w:rFonts w:ascii="Arial" w:hAnsi="Arial" w:cs="Arial"/>
          <w:vertAlign w:val="subscript"/>
        </w:rPr>
        <w:t>10</w:t>
      </w:r>
      <w:r w:rsidRPr="00573C59">
        <w:rPr>
          <w:rFonts w:ascii="Arial" w:hAnsi="Arial" w:cs="Arial"/>
        </w:rPr>
        <w:t xml:space="preserve">) was evaluated against </w:t>
      </w:r>
      <w:r w:rsidRPr="00573C59">
        <w:rPr>
          <w:rFonts w:ascii="Arial" w:hAnsi="Arial" w:cs="Arial"/>
          <w:i/>
          <w:iCs/>
        </w:rPr>
        <w:t>S. rolfsii</w:t>
      </w:r>
      <w:r w:rsidRPr="00573C59">
        <w:rPr>
          <w:rFonts w:ascii="Arial" w:hAnsi="Arial" w:cs="Arial"/>
        </w:rPr>
        <w:t xml:space="preserve"> following the poisoned food technique outlined by Chandra (2024). Requisite volumes of sterile culture filtrate (2.0, 4.0, 6.0, and 8.0 mL) were thoroughly mixed with appropriate volumes of molten PDA (18.0, 16.0, 14.0</w:t>
      </w:r>
      <w:r w:rsidR="009D3687" w:rsidRPr="00573C59">
        <w:rPr>
          <w:rFonts w:ascii="Arial" w:hAnsi="Arial" w:cs="Arial"/>
        </w:rPr>
        <w:t xml:space="preserve">, and 12.0 mL, maintained at 45 - </w:t>
      </w:r>
      <w:r w:rsidRPr="00573C59">
        <w:rPr>
          <w:rFonts w:ascii="Arial" w:hAnsi="Arial" w:cs="Arial"/>
        </w:rPr>
        <w:t xml:space="preserve">50 °C) in sterile 250 mL flasks to achieve final concentration gradients of 10%, 20%, 30%, and 40% (v/v), respectively, in a total volume of 20 mL per plate. The amended molten media were poured aseptically into sterile 90 mm Petri dishes and allowed to solidify at room temperature. </w:t>
      </w:r>
      <w:r>
        <w:rPr>
          <w:rFonts w:ascii="Arial" w:hAnsi="Arial" w:cs="Arial"/>
          <w:highlight w:val="yellow"/>
        </w:rPr>
        <w:t>The medium poured without culture filtrate (20 mL unamended PDA) and inoculated</w:t>
      </w:r>
      <w:r>
        <w:rPr>
          <w:rFonts w:ascii="Arial" w:hAnsi="Arial" w:cs="Arial"/>
        </w:rPr>
        <w:t xml:space="preserve"> with the pathogen served as the untreated control. </w:t>
      </w:r>
    </w:p>
    <w:p w14:paraId="2446434A" w14:textId="77777777" w:rsidR="0047484C" w:rsidRPr="00573C59" w:rsidRDefault="0047484C" w:rsidP="0047484C">
      <w:pPr>
        <w:pStyle w:val="Body"/>
        <w:rPr>
          <w:rFonts w:ascii="Arial" w:hAnsi="Arial" w:cs="Arial"/>
        </w:rPr>
      </w:pPr>
      <w:r w:rsidRPr="00573C59">
        <w:rPr>
          <w:rFonts w:ascii="Arial" w:hAnsi="Arial" w:cs="Arial"/>
        </w:rPr>
        <w:t xml:space="preserve">A 7 mm mycelial disc excised from the </w:t>
      </w:r>
      <w:r w:rsidR="009D3687" w:rsidRPr="00573C59">
        <w:rPr>
          <w:rFonts w:ascii="Arial" w:hAnsi="Arial" w:cs="Arial"/>
        </w:rPr>
        <w:t xml:space="preserve">active peripheral margin of a </w:t>
      </w:r>
      <w:r>
        <w:rPr>
          <w:rFonts w:ascii="Arial" w:hAnsi="Arial" w:cs="Arial"/>
          <w:highlight w:val="yellow"/>
        </w:rPr>
        <w:t>4-day-old</w:t>
      </w:r>
      <w:r w:rsidRPr="00573C59">
        <w:rPr>
          <w:rFonts w:ascii="Arial" w:hAnsi="Arial" w:cs="Arial"/>
        </w:rPr>
        <w:t xml:space="preserve"> culture of </w:t>
      </w:r>
      <w:r w:rsidRPr="00573C59">
        <w:rPr>
          <w:rFonts w:ascii="Arial" w:hAnsi="Arial" w:cs="Arial"/>
          <w:i/>
          <w:iCs/>
        </w:rPr>
        <w:t>S. rolfsii</w:t>
      </w:r>
      <w:r w:rsidRPr="00573C59">
        <w:rPr>
          <w:rFonts w:ascii="Arial" w:hAnsi="Arial" w:cs="Arial"/>
        </w:rPr>
        <w:t xml:space="preserve"> was aseptically transferred and inoculated onto the </w:t>
      </w:r>
      <w:r>
        <w:rPr>
          <w:rFonts w:ascii="Arial" w:hAnsi="Arial" w:cs="Arial"/>
          <w:highlight w:val="yellow"/>
        </w:rPr>
        <w:t>centre</w:t>
      </w:r>
      <w:r>
        <w:rPr>
          <w:rFonts w:ascii="Arial" w:hAnsi="Arial" w:cs="Arial"/>
        </w:rPr>
        <w:t xml:space="preserve"> of each test plate. All plates we</w:t>
      </w:r>
      <w:r w:rsidR="00EA6E2C" w:rsidRPr="00573C59">
        <w:rPr>
          <w:rFonts w:ascii="Arial" w:hAnsi="Arial" w:cs="Arial"/>
        </w:rPr>
        <w:t>re incubated inverted at 28 ± 2</w:t>
      </w:r>
      <w:r w:rsidRPr="00573C59">
        <w:rPr>
          <w:rFonts w:ascii="Arial" w:hAnsi="Arial" w:cs="Arial"/>
        </w:rPr>
        <w:t xml:space="preserve">°C until the mycelial growth in the untreated control plates fully reached the edge of the Petri dish (90.00 mm). The radial colony diameter (mm) was measured along two perpendicular axes, and the percentage inhibition of mycelial growth was calculated using the </w:t>
      </w:r>
      <w:r>
        <w:rPr>
          <w:rFonts w:ascii="Arial" w:hAnsi="Arial" w:cs="Arial"/>
          <w:highlight w:val="yellow"/>
        </w:rPr>
        <w:t>standardised</w:t>
      </w:r>
      <w:r>
        <w:rPr>
          <w:rFonts w:ascii="Arial" w:hAnsi="Arial" w:cs="Arial"/>
        </w:rPr>
        <w:t xml:space="preserve"> formula: </w:t>
      </w:r>
    </w:p>
    <w:p w14:paraId="369021CF" w14:textId="77777777" w:rsidR="0047484C" w:rsidRPr="00573C59" w:rsidRDefault="00EA6E2C" w:rsidP="00EA6E2C">
      <w:pPr>
        <w:pStyle w:val="Body"/>
        <w:jc w:val="center"/>
        <w:rPr>
          <w:rFonts w:ascii="Arial" w:hAnsi="Arial" w:cs="Arial"/>
        </w:rPr>
      </w:pPr>
      <w:r w:rsidRPr="00573C59">
        <w:rPr>
          <w:rFonts w:ascii="Arial" w:hAnsi="Arial" w:cs="Arial"/>
        </w:rPr>
        <w:t>Inhibition (%) = [ (D</w:t>
      </w:r>
      <w:r w:rsidR="0047484C" w:rsidRPr="00573C59">
        <w:rPr>
          <w:rFonts w:ascii="Arial" w:hAnsi="Arial" w:cs="Arial"/>
          <w:vertAlign w:val="subscript"/>
        </w:rPr>
        <w:t>c</w:t>
      </w:r>
      <w:r w:rsidRPr="00573C59">
        <w:rPr>
          <w:rFonts w:ascii="Arial" w:hAnsi="Arial" w:cs="Arial"/>
        </w:rPr>
        <w:t xml:space="preserve"> - D</w:t>
      </w:r>
      <w:r w:rsidR="0047484C" w:rsidRPr="00573C59">
        <w:rPr>
          <w:rFonts w:ascii="Arial" w:hAnsi="Arial" w:cs="Arial"/>
          <w:vertAlign w:val="subscript"/>
        </w:rPr>
        <w:t>s</w:t>
      </w:r>
      <w:r w:rsidRPr="00573C59">
        <w:rPr>
          <w:rFonts w:ascii="Arial" w:hAnsi="Arial" w:cs="Arial"/>
        </w:rPr>
        <w:t>) /D</w:t>
      </w:r>
      <w:r w:rsidR="0047484C" w:rsidRPr="00573C59">
        <w:rPr>
          <w:rFonts w:ascii="Arial" w:hAnsi="Arial" w:cs="Arial"/>
          <w:vertAlign w:val="subscript"/>
        </w:rPr>
        <w:t>c</w:t>
      </w:r>
      <w:r w:rsidR="0047484C" w:rsidRPr="00573C59">
        <w:rPr>
          <w:rFonts w:ascii="Arial" w:hAnsi="Arial" w:cs="Arial"/>
        </w:rPr>
        <w:t xml:space="preserve">] </w:t>
      </w:r>
      <w:r w:rsidRPr="00573C59">
        <w:rPr>
          <w:rFonts w:ascii="Arial" w:hAnsi="Arial" w:cs="Arial"/>
        </w:rPr>
        <w:t>X 100</w:t>
      </w:r>
    </w:p>
    <w:p w14:paraId="526DD751" w14:textId="77777777" w:rsidR="0047484C" w:rsidRPr="00573C59" w:rsidRDefault="00EA6E2C" w:rsidP="0047484C">
      <w:pPr>
        <w:pStyle w:val="Body"/>
        <w:rPr>
          <w:rFonts w:ascii="Arial" w:hAnsi="Arial" w:cs="Arial"/>
        </w:rPr>
      </w:pPr>
      <w:r w:rsidRPr="00573C59">
        <w:rPr>
          <w:rFonts w:ascii="Arial" w:hAnsi="Arial" w:cs="Arial"/>
        </w:rPr>
        <w:t>Here, D</w:t>
      </w:r>
      <w:r w:rsidRPr="00573C59">
        <w:rPr>
          <w:rFonts w:ascii="Arial" w:hAnsi="Arial" w:cs="Arial"/>
          <w:vertAlign w:val="subscript"/>
        </w:rPr>
        <w:t>c</w:t>
      </w:r>
      <w:r w:rsidR="0047484C" w:rsidRPr="00573C59">
        <w:rPr>
          <w:rFonts w:ascii="Arial" w:hAnsi="Arial" w:cs="Arial"/>
          <w:vertAlign w:val="subscript"/>
        </w:rPr>
        <w:t xml:space="preserve"> </w:t>
      </w:r>
      <w:r w:rsidR="0047484C" w:rsidRPr="00573C59">
        <w:rPr>
          <w:rFonts w:ascii="Arial" w:hAnsi="Arial" w:cs="Arial"/>
        </w:rPr>
        <w:t xml:space="preserve">represents the radial mycelial growth diameter (mm) of </w:t>
      </w:r>
      <w:r w:rsidR="0047484C" w:rsidRPr="00573C59">
        <w:rPr>
          <w:rFonts w:ascii="Arial" w:hAnsi="Arial" w:cs="Arial"/>
          <w:i/>
          <w:iCs/>
        </w:rPr>
        <w:t>S. rolfsii</w:t>
      </w:r>
      <w:r w:rsidR="0047484C" w:rsidRPr="00573C59">
        <w:rPr>
          <w:rFonts w:ascii="Arial" w:hAnsi="Arial" w:cs="Arial"/>
        </w:rPr>
        <w:t xml:space="preserve"> in the </w:t>
      </w:r>
      <w:r w:rsidRPr="00573C59">
        <w:rPr>
          <w:rFonts w:ascii="Arial" w:hAnsi="Arial" w:cs="Arial"/>
        </w:rPr>
        <w:t>untreated control plate, while D</w:t>
      </w:r>
      <w:r w:rsidR="0047484C" w:rsidRPr="00573C59">
        <w:rPr>
          <w:rFonts w:ascii="Arial" w:hAnsi="Arial" w:cs="Arial"/>
          <w:vertAlign w:val="subscript"/>
        </w:rPr>
        <w:t>s</w:t>
      </w:r>
      <w:r w:rsidR="0047484C" w:rsidRPr="00573C59">
        <w:rPr>
          <w:rFonts w:ascii="Arial" w:hAnsi="Arial" w:cs="Arial"/>
        </w:rPr>
        <w:t xml:space="preserve"> represents the radial mycelial growth diameter (mm) of </w:t>
      </w:r>
      <w:r w:rsidR="0047484C" w:rsidRPr="00573C59">
        <w:rPr>
          <w:rFonts w:ascii="Arial" w:hAnsi="Arial" w:cs="Arial"/>
          <w:i/>
          <w:iCs/>
        </w:rPr>
        <w:t>S. rolfsii</w:t>
      </w:r>
      <w:r w:rsidRPr="00573C59">
        <w:rPr>
          <w:rFonts w:ascii="Arial" w:hAnsi="Arial" w:cs="Arial"/>
        </w:rPr>
        <w:t xml:space="preserve"> in the </w:t>
      </w:r>
      <w:r>
        <w:rPr>
          <w:rFonts w:ascii="Arial" w:hAnsi="Arial" w:cs="Arial"/>
          <w:highlight w:val="yellow"/>
        </w:rPr>
        <w:t>culture-filtrate-amended</w:t>
      </w:r>
      <w:r w:rsidR="0047484C" w:rsidRPr="00573C59">
        <w:rPr>
          <w:rFonts w:ascii="Arial" w:hAnsi="Arial" w:cs="Arial"/>
        </w:rPr>
        <w:t xml:space="preserve"> plate. </w:t>
      </w:r>
    </w:p>
    <w:p w14:paraId="5AEA2573" w14:textId="77777777" w:rsidR="00C844CF" w:rsidRPr="00573C59" w:rsidRDefault="00C844CF" w:rsidP="00C844CF">
      <w:pPr>
        <w:pStyle w:val="Body"/>
        <w:rPr>
          <w:rFonts w:ascii="Arial" w:hAnsi="Arial" w:cs="Arial"/>
          <w:b/>
          <w:bCs/>
        </w:rPr>
      </w:pPr>
      <w:r w:rsidRPr="00573C59">
        <w:rPr>
          <w:rFonts w:ascii="Arial" w:hAnsi="Arial" w:cs="Arial"/>
          <w:b/>
          <w:bCs/>
        </w:rPr>
        <w:t>2.5 Statistical Analysis</w:t>
      </w:r>
    </w:p>
    <w:p w14:paraId="63ABA39D" w14:textId="77777777" w:rsidR="0047484C" w:rsidRPr="00573C59" w:rsidRDefault="0047484C" w:rsidP="00C844CF">
      <w:pPr>
        <w:pStyle w:val="Head1"/>
        <w:spacing w:after="0"/>
        <w:jc w:val="both"/>
        <w:rPr>
          <w:rFonts w:ascii="Arial" w:hAnsi="Arial" w:cs="Arial"/>
          <w:b w:val="0"/>
          <w:caps w:val="0"/>
          <w:sz w:val="20"/>
        </w:rPr>
      </w:pPr>
      <w:r w:rsidRPr="00573C59">
        <w:rPr>
          <w:rFonts w:ascii="Arial" w:hAnsi="Arial" w:cs="Arial"/>
          <w:b w:val="0"/>
          <w:caps w:val="0"/>
          <w:sz w:val="20"/>
        </w:rPr>
        <w:t xml:space="preserve">The laboratory experiments were conducted using a </w:t>
      </w:r>
      <w:r>
        <w:rPr>
          <w:rFonts w:ascii="Arial" w:hAnsi="Arial" w:cs="Arial"/>
          <w:b w:val="0"/>
          <w:caps w:val="0"/>
          <w:sz w:val="20"/>
          <w:highlight w:val="yellow"/>
        </w:rPr>
        <w:t>completely randomised design</w:t>
      </w:r>
      <w:r>
        <w:rPr>
          <w:rFonts w:ascii="Arial" w:hAnsi="Arial" w:cs="Arial"/>
          <w:b w:val="0"/>
          <w:caps w:val="0"/>
          <w:sz w:val="20"/>
        </w:rPr>
        <w:t xml:space="preserve"> (CRD) with three independent replications per treatment. Radial growth diameter and percentage inhibi</w:t>
      </w:r>
      <w:r w:rsidR="00EA6E2C" w:rsidRPr="00573C59">
        <w:rPr>
          <w:rFonts w:ascii="Arial" w:hAnsi="Arial" w:cs="Arial"/>
          <w:b w:val="0"/>
          <w:caps w:val="0"/>
          <w:sz w:val="20"/>
        </w:rPr>
        <w:t xml:space="preserve">tion data were subjected to </w:t>
      </w:r>
      <w:r>
        <w:rPr>
          <w:rFonts w:ascii="Arial" w:hAnsi="Arial" w:cs="Arial"/>
          <w:b w:val="0"/>
          <w:caps w:val="0"/>
          <w:sz w:val="20"/>
          <w:highlight w:val="yellow"/>
        </w:rPr>
        <w:t>one-way analysis of variance</w:t>
      </w:r>
      <w:r w:rsidRPr="00573C59">
        <w:rPr>
          <w:rFonts w:ascii="Arial" w:hAnsi="Arial" w:cs="Arial"/>
          <w:b w:val="0"/>
          <w:caps w:val="0"/>
          <w:sz w:val="20"/>
        </w:rPr>
        <w:t xml:space="preserve"> (ANOVA) using IBM SPSS Statistics software (Version 26.0)</w:t>
      </w:r>
      <w:r w:rsidR="00EA6E2C" w:rsidRPr="00573C59">
        <w:rPr>
          <w:rFonts w:ascii="Arial" w:hAnsi="Arial" w:cs="Arial"/>
          <w:b w:val="0"/>
          <w:caps w:val="0"/>
          <w:sz w:val="20"/>
        </w:rPr>
        <w:t>. Treatment means were compared</w:t>
      </w:r>
      <w:r w:rsidRPr="00573C59">
        <w:rPr>
          <w:rFonts w:ascii="Arial" w:hAnsi="Arial" w:cs="Arial"/>
          <w:b w:val="0"/>
          <w:caps w:val="0"/>
          <w:sz w:val="20"/>
        </w:rPr>
        <w:t xml:space="preserve"> and statistically significant differences among isolate treatments and concentrations were determined using Duncan’s Multiple Range Test (DMRT) </w:t>
      </w:r>
      <w:r w:rsidR="00EA6E2C" w:rsidRPr="00573C59">
        <w:rPr>
          <w:rFonts w:ascii="Arial" w:hAnsi="Arial" w:cs="Arial"/>
          <w:b w:val="0"/>
          <w:caps w:val="0"/>
          <w:sz w:val="20"/>
        </w:rPr>
        <w:t>at a 5% level of significance (P≤0.05</w:t>
      </w:r>
      <w:r w:rsidRPr="00573C59">
        <w:rPr>
          <w:rFonts w:ascii="Arial" w:hAnsi="Arial" w:cs="Arial"/>
          <w:b w:val="0"/>
          <w:caps w:val="0"/>
          <w:sz w:val="20"/>
        </w:rPr>
        <w:t xml:space="preserve">). Prior to statistical analysis, percentage inhibition values were </w:t>
      </w:r>
      <w:r>
        <w:rPr>
          <w:rFonts w:ascii="Arial" w:hAnsi="Arial" w:cs="Arial"/>
          <w:b w:val="0"/>
          <w:caps w:val="0"/>
          <w:sz w:val="20"/>
          <w:highlight w:val="yellow"/>
        </w:rPr>
        <w:t>arcsine-transformed</w:t>
      </w:r>
      <w:r>
        <w:rPr>
          <w:rFonts w:ascii="Arial" w:hAnsi="Arial" w:cs="Arial"/>
          <w:b w:val="0"/>
          <w:caps w:val="0"/>
          <w:sz w:val="20"/>
        </w:rPr>
        <w:t xml:space="preserve"> where necessary to </w:t>
      </w:r>
      <w:r>
        <w:rPr>
          <w:rFonts w:ascii="Arial" w:hAnsi="Arial" w:cs="Arial"/>
          <w:b w:val="0"/>
          <w:caps w:val="0"/>
          <w:sz w:val="20"/>
          <w:highlight w:val="yellow"/>
        </w:rPr>
        <w:t>normalise</w:t>
      </w:r>
      <w:r>
        <w:rPr>
          <w:rFonts w:ascii="Arial" w:hAnsi="Arial" w:cs="Arial"/>
          <w:b w:val="0"/>
          <w:caps w:val="0"/>
          <w:sz w:val="20"/>
        </w:rPr>
        <w:t xml:space="preserve"> data variance. </w:t>
      </w:r>
    </w:p>
    <w:p w14:paraId="4AB09B05" w14:textId="77777777" w:rsidR="009134F8" w:rsidRPr="00573C59" w:rsidRDefault="009134F8" w:rsidP="00C844CF">
      <w:pPr>
        <w:pStyle w:val="Head1"/>
        <w:spacing w:after="0"/>
        <w:jc w:val="both"/>
        <w:rPr>
          <w:rFonts w:ascii="Arial" w:hAnsi="Arial" w:cs="Arial"/>
          <w:b w:val="0"/>
          <w:caps w:val="0"/>
          <w:sz w:val="20"/>
        </w:rPr>
      </w:pPr>
    </w:p>
    <w:p w14:paraId="7437F89D" w14:textId="77777777" w:rsidR="0047484C" w:rsidRPr="00573C59" w:rsidRDefault="0047484C" w:rsidP="0047484C">
      <w:pPr>
        <w:rPr>
          <w:rFonts w:ascii="Arial" w:hAnsi="Arial" w:cs="Arial"/>
          <w:color w:val="1F1F1F"/>
          <w:sz w:val="24"/>
          <w:szCs w:val="24"/>
          <w:lang w:bidi="ta-IN"/>
        </w:rPr>
      </w:pPr>
      <w:r w:rsidRPr="00573C59">
        <w:rPr>
          <w:rFonts w:ascii="Arial" w:hAnsi="Arial" w:cs="Arial"/>
          <w:b/>
          <w:bCs/>
          <w:color w:val="1F1F1F"/>
          <w:sz w:val="24"/>
          <w:szCs w:val="24"/>
          <w:bdr w:val="none" w:sz="0" w:space="0" w:color="auto" w:frame="1"/>
          <w:lang w:bidi="ta-IN"/>
        </w:rPr>
        <w:t>3. RESULTS AND DISCUSSION</w:t>
      </w:r>
    </w:p>
    <w:p w14:paraId="22498B29" w14:textId="77777777" w:rsidR="0047484C" w:rsidRPr="00573C59" w:rsidRDefault="0047484C" w:rsidP="0047484C">
      <w:pPr>
        <w:rPr>
          <w:rFonts w:ascii="Arial" w:hAnsi="Arial" w:cs="Arial"/>
          <w:color w:val="1F1F1F"/>
          <w:sz w:val="24"/>
          <w:szCs w:val="24"/>
          <w:lang w:bidi="ta-IN"/>
        </w:rPr>
      </w:pPr>
    </w:p>
    <w:p>
      <w:pPr>
        <w:jc w:val="both"/>
        <w:rPr>
          <w:rFonts w:ascii="Arial" w:hAnsi="Arial" w:cs="Arial"/>
          <w:color w:val="1F1F1F"/>
          <w:lang w:bidi="ta-IN"/>
        </w:rPr>
      </w:pPr>
      <w:r>
        <w:rPr>
          <w:b/>
        </w:rPr>
        <w:t>3.1 Overall Antifungal Activity and Concentration Response</w:t>
      </w:r>
    </w:p>
    <w:p>
      <w:pPr>
        <w:jc w:val="both"/>
        <w:rPr>
          <w:rFonts w:ascii="Arial" w:hAnsi="Arial" w:cs="Arial"/>
          <w:color w:val="1F1F1F"/>
          <w:lang w:bidi="ta-IN"/>
        </w:rPr>
      </w:pPr>
      <w:r>
        <w:rPr>
          <w:b/>
          <w:i w:val="0"/>
        </w:rPr>
        <w:t xml:space="preserve">The overall reduction in pathogen growth across filtrate treatments is consistent with recent groundnut research showing that </w:t>
      </w:r>
      <w:r>
        <w:rPr>
          <w:b/>
          <w:i/>
        </w:rPr>
        <w:t>Trichoderma</w:t>
      </w:r>
      <w:r>
        <w:rPr>
          <w:b/>
          <w:i w:val="0"/>
        </w:rPr>
        <w:t xml:space="preserve">-derived metabolites can substantially inhibit </w:t>
      </w:r>
      <w:r>
        <w:rPr>
          <w:b/>
          <w:i/>
        </w:rPr>
        <w:t>S. rolfsii</w:t>
      </w:r>
      <w:r>
        <w:rPr>
          <w:b/>
          <w:i w:val="0"/>
        </w:rPr>
        <w:t xml:space="preserve"> under in vitro conditions (Vamshi et al., 2025).</w:t>
      </w:r>
    </w:p>
    <w:p w14:paraId="7A6C5B90" w14:textId="77777777" w:rsidR="0047484C" w:rsidRPr="00573C59" w:rsidRDefault="0047484C" w:rsidP="009759FC">
      <w:pPr>
        <w:jc w:val="both"/>
        <w:rPr>
          <w:rFonts w:ascii="Arial" w:hAnsi="Arial" w:cs="Arial"/>
          <w:color w:val="1F1F1F"/>
          <w:lang w:bidi="ta-IN"/>
        </w:rPr>
      </w:pPr>
      <w:r w:rsidRPr="00573C59">
        <w:rPr>
          <w:rFonts w:ascii="Arial" w:hAnsi="Arial" w:cs="Arial"/>
          <w:color w:val="1F1F1F"/>
          <w:bdr w:val="none" w:sz="0" w:space="0" w:color="auto" w:frame="1"/>
          <w:lang w:bidi="ta-IN"/>
        </w:rPr>
        <w:t xml:space="preserve">The antagonistic potential of cell-free culture filtrates from ten native </w:t>
      </w:r>
      <w:r w:rsidRPr="00573C59">
        <w:rPr>
          <w:rFonts w:ascii="Arial" w:hAnsi="Arial" w:cs="Arial"/>
          <w:i/>
          <w:iCs/>
          <w:color w:val="1F1F1F"/>
          <w:bdr w:val="none" w:sz="0" w:space="0" w:color="auto" w:frame="1"/>
          <w:lang w:bidi="ta-IN"/>
        </w:rPr>
        <w:t>T</w:t>
      </w:r>
      <w:r w:rsidR="009D3687" w:rsidRPr="00573C59">
        <w:rPr>
          <w:rFonts w:ascii="Arial" w:hAnsi="Arial" w:cs="Arial"/>
          <w:i/>
          <w:iCs/>
          <w:color w:val="1F1F1F"/>
          <w:bdr w:val="none" w:sz="0" w:space="0" w:color="auto" w:frame="1"/>
          <w:lang w:bidi="ta-IN"/>
        </w:rPr>
        <w:t>.</w:t>
      </w:r>
      <w:r w:rsidRPr="00573C59">
        <w:rPr>
          <w:rFonts w:ascii="Arial" w:hAnsi="Arial" w:cs="Arial"/>
          <w:i/>
          <w:iCs/>
          <w:color w:val="1F1F1F"/>
          <w:bdr w:val="none" w:sz="0" w:space="0" w:color="auto" w:frame="1"/>
          <w:lang w:bidi="ta-IN"/>
        </w:rPr>
        <w:t xml:space="preserve"> viride</w:t>
      </w:r>
      <w:r w:rsidRPr="00573C59">
        <w:rPr>
          <w:rFonts w:ascii="Arial" w:hAnsi="Arial" w:cs="Arial"/>
          <w:color w:val="1F1F1F"/>
          <w:bdr w:val="none" w:sz="0" w:space="0" w:color="auto" w:frame="1"/>
          <w:lang w:bidi="ta-IN"/>
        </w:rPr>
        <w:t xml:space="preserve"> isolates (Tv</w:t>
      </w:r>
      <w:r w:rsidRPr="00573C59">
        <w:rPr>
          <w:rFonts w:ascii="Arial" w:hAnsi="Arial" w:cs="Arial"/>
          <w:color w:val="1F1F1F"/>
          <w:bdr w:val="none" w:sz="0" w:space="0" w:color="auto" w:frame="1"/>
          <w:vertAlign w:val="subscript"/>
          <w:lang w:bidi="ta-IN"/>
        </w:rPr>
        <w:t>1</w:t>
      </w:r>
      <w:r w:rsidRPr="00573C59">
        <w:rPr>
          <w:rFonts w:ascii="Arial" w:hAnsi="Arial" w:cs="Arial"/>
          <w:color w:val="1F1F1F"/>
          <w:bdr w:val="none" w:sz="0" w:space="0" w:color="auto" w:frame="1"/>
          <w:lang w:bidi="ta-IN"/>
        </w:rPr>
        <w:t xml:space="preserve"> to Tv</w:t>
      </w:r>
      <w:r w:rsidRPr="00573C59">
        <w:rPr>
          <w:rFonts w:ascii="Arial" w:hAnsi="Arial" w:cs="Arial"/>
          <w:color w:val="1F1F1F"/>
          <w:bdr w:val="none" w:sz="0" w:space="0" w:color="auto" w:frame="1"/>
          <w:vertAlign w:val="subscript"/>
          <w:lang w:bidi="ta-IN"/>
        </w:rPr>
        <w:t>10</w:t>
      </w:r>
      <w:r w:rsidRPr="00573C59">
        <w:rPr>
          <w:rFonts w:ascii="Arial" w:hAnsi="Arial" w:cs="Arial"/>
          <w:color w:val="1F1F1F"/>
          <w:bdr w:val="none" w:sz="0" w:space="0" w:color="auto" w:frame="1"/>
          <w:lang w:bidi="ta-IN"/>
        </w:rPr>
        <w:t xml:space="preserve">) against </w:t>
      </w:r>
      <w:r w:rsidRPr="00573C59">
        <w:rPr>
          <w:rFonts w:ascii="Arial" w:hAnsi="Arial" w:cs="Arial"/>
          <w:i/>
          <w:iCs/>
          <w:color w:val="1F1F1F"/>
          <w:bdr w:val="none" w:sz="0" w:space="0" w:color="auto" w:frame="1"/>
          <w:lang w:bidi="ta-IN"/>
        </w:rPr>
        <w:t>S</w:t>
      </w:r>
      <w:r w:rsidR="009759FC" w:rsidRPr="00573C59">
        <w:rPr>
          <w:rFonts w:ascii="Arial" w:hAnsi="Arial" w:cs="Arial"/>
          <w:i/>
          <w:iCs/>
          <w:color w:val="1F1F1F"/>
          <w:bdr w:val="none" w:sz="0" w:space="0" w:color="auto" w:frame="1"/>
          <w:lang w:bidi="ta-IN"/>
        </w:rPr>
        <w:t>.</w:t>
      </w:r>
      <w:r w:rsidRPr="00573C59">
        <w:rPr>
          <w:rFonts w:ascii="Arial" w:hAnsi="Arial" w:cs="Arial"/>
          <w:i/>
          <w:iCs/>
          <w:color w:val="1F1F1F"/>
          <w:bdr w:val="none" w:sz="0" w:space="0" w:color="auto" w:frame="1"/>
          <w:lang w:bidi="ta-IN"/>
        </w:rPr>
        <w:t xml:space="preserve"> rolfsii</w:t>
      </w:r>
      <w:r w:rsidRPr="00573C59">
        <w:rPr>
          <w:rFonts w:ascii="Arial" w:hAnsi="Arial" w:cs="Arial"/>
          <w:color w:val="1F1F1F"/>
          <w:bdr w:val="none" w:sz="0" w:space="0" w:color="auto" w:frame="1"/>
          <w:lang w:bidi="ta-IN"/>
        </w:rPr>
        <w:t xml:space="preserve"> was evaluated using the poisoned food assay. As detailed in Table 1, all tested culture filtrates exhibited statistically significant radial growth suppression </w:t>
      </w:r>
      <w:r>
        <w:rPr>
          <w:rFonts w:ascii="Arial" w:hAnsi="Arial" w:cs="Arial"/>
          <w:color w:val="1F1F1F"/>
          <w:highlight w:val="yellow"/>
          <w:bdr w:val="none" w:sz="0" w:space="0" w:color="auto" w:frame="1"/>
          <w:lang w:bidi="ta-IN"/>
        </w:rPr>
        <w:t>compared with</w:t>
      </w:r>
      <w:r>
        <w:rPr>
          <w:rFonts w:ascii="Arial" w:hAnsi="Arial" w:cs="Arial"/>
          <w:color w:val="1F1F1F"/>
          <w:bdr w:val="none" w:sz="0" w:space="0" w:color="auto" w:frame="1"/>
          <w:lang w:bidi="ta-IN"/>
        </w:rPr>
        <w:t xml:space="preserve"> the</w:t>
      </w:r>
      <w:r w:rsidR="009134F8" w:rsidRPr="00573C59">
        <w:rPr>
          <w:rFonts w:ascii="Arial" w:hAnsi="Arial" w:cs="Arial"/>
          <w:color w:val="1F1F1F"/>
          <w:bdr w:val="none" w:sz="0" w:space="0" w:color="auto" w:frame="1"/>
          <w:lang w:bidi="ta-IN"/>
        </w:rPr>
        <w:t xml:space="preserve"> untreated control (P</w:t>
      </w:r>
      <w:r w:rsidR="009134F8" w:rsidRPr="000D290D">
        <w:rPr>
          <w:rFonts w:ascii="Arial" w:hAnsi="Arial" w:cs="Arial"/>
          <w:bCs/>
          <w:caps/>
        </w:rPr>
        <w:t>≤</w:t>
      </w:r>
      <w:r w:rsidR="009134F8" w:rsidRPr="00573C59">
        <w:rPr>
          <w:rFonts w:ascii="Arial" w:hAnsi="Arial" w:cs="Arial"/>
          <w:color w:val="1F1F1F"/>
          <w:bdr w:val="none" w:sz="0" w:space="0" w:color="auto" w:frame="1"/>
          <w:lang w:bidi="ta-IN"/>
        </w:rPr>
        <w:t>0.05</w:t>
      </w:r>
      <w:r w:rsidRPr="00573C59">
        <w:rPr>
          <w:rFonts w:ascii="Arial" w:hAnsi="Arial" w:cs="Arial"/>
          <w:color w:val="1F1F1F"/>
          <w:bdr w:val="none" w:sz="0" w:space="0" w:color="auto" w:frame="1"/>
          <w:lang w:bidi="ta-IN"/>
        </w:rPr>
        <w:t>), with mycelial growth inhibition generally increasing with filtrate concentration across all isolates.</w:t>
      </w:r>
      <w:r w:rsidRPr="00573C59">
        <w:rPr>
          <w:rFonts w:ascii="Arial" w:hAnsi="Arial" w:cs="Arial"/>
          <w:color w:val="1F1F1F"/>
          <w:lang w:bidi="ta-IN"/>
        </w:rPr>
        <w:t xml:space="preserve"> </w:t>
      </w:r>
    </w:p>
    <w:p w14:paraId="2A01A1F1" w14:textId="77777777" w:rsidR="0047484C" w:rsidRPr="00573C59" w:rsidRDefault="0047484C" w:rsidP="0047484C">
      <w:pPr>
        <w:rPr>
          <w:rFonts w:ascii="Arial" w:hAnsi="Arial" w:cs="Arial"/>
          <w:color w:val="1F1F1F"/>
          <w:lang w:bidi="ta-IN"/>
        </w:rPr>
      </w:pPr>
    </w:p>
    <w:p w14:paraId="1BAE737E" w14:textId="77777777" w:rsidR="0047484C" w:rsidRPr="00573C59" w:rsidRDefault="0047484C" w:rsidP="0047484C">
      <w:pPr>
        <w:rPr>
          <w:rFonts w:ascii="Arial" w:hAnsi="Arial" w:cs="Arial"/>
          <w:color w:val="1F1F1F"/>
          <w:lang w:bidi="ta-IN"/>
        </w:rPr>
      </w:pPr>
      <w:r w:rsidRPr="00573C59">
        <w:rPr>
          <w:rFonts w:ascii="Arial" w:hAnsi="Arial" w:cs="Arial"/>
          <w:b/>
          <w:bCs/>
          <w:color w:val="1F1F1F"/>
          <w:bdr w:val="none" w:sz="0" w:space="0" w:color="auto" w:frame="1"/>
          <w:lang w:bidi="ta-IN"/>
        </w:rPr>
        <w:t>Table 1</w:t>
      </w:r>
      <w:r w:rsidRPr="00573C59">
        <w:rPr>
          <w:rFonts w:ascii="Arial" w:hAnsi="Arial" w:cs="Arial"/>
          <w:color w:val="1F1F1F"/>
          <w:bdr w:val="none" w:sz="0" w:space="0" w:color="auto" w:frame="1"/>
          <w:lang w:bidi="ta-IN"/>
        </w:rPr>
        <w:t xml:space="preserve">. Bio-efficacy of </w:t>
      </w:r>
      <w:r w:rsidRPr="00573C59">
        <w:rPr>
          <w:rFonts w:ascii="Arial" w:hAnsi="Arial" w:cs="Arial"/>
          <w:i/>
          <w:iCs/>
          <w:color w:val="1F1F1F"/>
          <w:bdr w:val="none" w:sz="0" w:space="0" w:color="auto" w:frame="1"/>
          <w:lang w:bidi="ta-IN"/>
        </w:rPr>
        <w:t>T</w:t>
      </w:r>
      <w:r w:rsidR="009134F8" w:rsidRPr="00573C59">
        <w:rPr>
          <w:rFonts w:ascii="Arial" w:hAnsi="Arial" w:cs="Arial"/>
          <w:i/>
          <w:iCs/>
          <w:color w:val="1F1F1F"/>
          <w:bdr w:val="none" w:sz="0" w:space="0" w:color="auto" w:frame="1"/>
          <w:lang w:bidi="ta-IN"/>
        </w:rPr>
        <w:t>.</w:t>
      </w:r>
      <w:r w:rsidRPr="00573C59">
        <w:rPr>
          <w:rFonts w:ascii="Arial" w:hAnsi="Arial" w:cs="Arial"/>
          <w:i/>
          <w:iCs/>
          <w:color w:val="1F1F1F"/>
          <w:bdr w:val="none" w:sz="0" w:space="0" w:color="auto" w:frame="1"/>
          <w:lang w:bidi="ta-IN"/>
        </w:rPr>
        <w:t xml:space="preserve"> viride</w:t>
      </w:r>
      <w:r w:rsidRPr="00573C59">
        <w:rPr>
          <w:rFonts w:ascii="Arial" w:hAnsi="Arial" w:cs="Arial"/>
          <w:color w:val="1F1F1F"/>
          <w:bdr w:val="none" w:sz="0" w:space="0" w:color="auto" w:frame="1"/>
          <w:lang w:bidi="ta-IN"/>
        </w:rPr>
        <w:t xml:space="preserve"> culture filtrates against radial mycelial growth</w:t>
      </w:r>
      <w:r w:rsidRPr="00573C59">
        <w:rPr>
          <w:rFonts w:ascii="Arial" w:hAnsi="Arial" w:cs="Arial"/>
          <w:i/>
          <w:iCs/>
          <w:color w:val="1F1F1F"/>
          <w:bdr w:val="none" w:sz="0" w:space="0" w:color="auto" w:frame="1"/>
          <w:lang w:bidi="ta-IN"/>
        </w:rPr>
        <w:t xml:space="preserve"> of S</w:t>
      </w:r>
      <w:r w:rsidR="009134F8" w:rsidRPr="00573C59">
        <w:rPr>
          <w:rFonts w:ascii="Arial" w:hAnsi="Arial" w:cs="Arial"/>
          <w:i/>
          <w:iCs/>
          <w:color w:val="1F1F1F"/>
          <w:bdr w:val="none" w:sz="0" w:space="0" w:color="auto" w:frame="1"/>
          <w:lang w:bidi="ta-IN"/>
        </w:rPr>
        <w:t>.</w:t>
      </w:r>
      <w:r w:rsidRPr="00573C59">
        <w:rPr>
          <w:rFonts w:ascii="Arial" w:hAnsi="Arial" w:cs="Arial"/>
          <w:i/>
          <w:iCs/>
          <w:color w:val="1F1F1F"/>
          <w:bdr w:val="none" w:sz="0" w:space="0" w:color="auto" w:frame="1"/>
          <w:lang w:bidi="ta-IN"/>
        </w:rPr>
        <w:t xml:space="preserve"> rolfsii in vitro</w:t>
      </w:r>
      <w:r w:rsidRPr="00573C59">
        <w:rPr>
          <w:rFonts w:ascii="Arial" w:hAnsi="Arial" w:cs="Arial"/>
          <w:color w:val="1F1F1F"/>
          <w:bdr w:val="none" w:sz="0" w:space="0" w:color="auto" w:frame="1"/>
          <w:lang w:bidi="ta-IN"/>
        </w:rPr>
        <w:t>.</w:t>
      </w:r>
      <w:r w:rsidRPr="00573C59">
        <w:rPr>
          <w:rFonts w:ascii="Arial" w:hAnsi="Arial" w:cs="Arial"/>
          <w:color w:val="1F1F1F"/>
          <w:lang w:bidi="ta-IN"/>
        </w:rPr>
        <w:t xml:space="preserve"> </w:t>
      </w:r>
    </w:p>
    <w:p w14:paraId="0E91738E" w14:textId="77777777" w:rsidR="0047484C" w:rsidRPr="00573C59" w:rsidRDefault="0047484C" w:rsidP="0047484C">
      <w:pPr>
        <w:rPr>
          <w:rFonts w:ascii="Arial" w:hAnsi="Arial" w:cs="Arial"/>
          <w:color w:val="1F1F1F"/>
          <w:sz w:val="24"/>
          <w:szCs w:val="24"/>
          <w:lang w:bidi="ta-IN"/>
        </w:rPr>
      </w:pPr>
    </w:p>
    <w:tbl>
      <w:tblPr>
        <w:tblStyle w:val="TableGrid"/>
        <w:tblW w:w="8088" w:type="dxa"/>
        <w:tblLayout w:type="fixed"/>
        <w:tblLook w:val="04A0" w:firstRow="1" w:lastRow="0" w:firstColumn="1" w:lastColumn="0" w:noHBand="0" w:noVBand="1"/>
      </w:tblPr>
      <w:tblGrid>
        <w:gridCol w:w="1050"/>
        <w:gridCol w:w="835"/>
        <w:gridCol w:w="921"/>
        <w:gridCol w:w="841"/>
        <w:gridCol w:w="921"/>
        <w:gridCol w:w="839"/>
        <w:gridCol w:w="921"/>
        <w:gridCol w:w="835"/>
        <w:gridCol w:w="925"/>
      </w:tblGrid>
      <w:tr w:rsidR="009134F8" w:rsidRPr="00573C59" w14:paraId="266E7A89" w14:textId="77777777" w:rsidTr="009134F8">
        <w:trPr>
          <w:cantSplit/>
        </w:trPr>
        <w:tc>
          <w:tcPr>
            <w:tcW w:w="1050" w:type="dxa"/>
            <w:vMerge w:val="restart"/>
            <w:vAlign w:val="center"/>
            <w:hideMark/>
          </w:tcPr>
          <w:p w14:paraId="7D0ACCB3"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Isolate ID</w:t>
            </w:r>
          </w:p>
        </w:tc>
        <w:tc>
          <w:tcPr>
            <w:tcW w:w="1756" w:type="dxa"/>
            <w:gridSpan w:val="2"/>
            <w:vAlign w:val="center"/>
            <w:hideMark/>
          </w:tcPr>
          <w:p w14:paraId="225BDF1F"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10% Concentration</w:t>
            </w:r>
          </w:p>
        </w:tc>
        <w:tc>
          <w:tcPr>
            <w:tcW w:w="1762" w:type="dxa"/>
            <w:gridSpan w:val="2"/>
            <w:vAlign w:val="center"/>
            <w:hideMark/>
          </w:tcPr>
          <w:p w14:paraId="398B77E9"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20% Concentration</w:t>
            </w:r>
          </w:p>
        </w:tc>
        <w:tc>
          <w:tcPr>
            <w:tcW w:w="1760" w:type="dxa"/>
            <w:gridSpan w:val="2"/>
            <w:vAlign w:val="center"/>
            <w:hideMark/>
          </w:tcPr>
          <w:p w14:paraId="368402B5"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30% Concentration</w:t>
            </w:r>
          </w:p>
        </w:tc>
        <w:tc>
          <w:tcPr>
            <w:tcW w:w="1760" w:type="dxa"/>
            <w:gridSpan w:val="2"/>
            <w:vAlign w:val="center"/>
            <w:hideMark/>
          </w:tcPr>
          <w:p w14:paraId="0168A429"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40% Concentration</w:t>
            </w:r>
          </w:p>
        </w:tc>
      </w:tr>
      <w:tr w:rsidR="009134F8" w:rsidRPr="00573C59" w14:paraId="24584164" w14:textId="77777777" w:rsidTr="009134F8">
        <w:trPr>
          <w:cantSplit/>
        </w:trPr>
        <w:tc>
          <w:tcPr>
            <w:tcW w:w="1050" w:type="dxa"/>
            <w:vMerge/>
            <w:vAlign w:val="center"/>
            <w:hideMark/>
          </w:tcPr>
          <w:p w14:paraId="775F91BD" w14:textId="77777777" w:rsidR="009134F8" w:rsidRPr="00573C59" w:rsidRDefault="009134F8" w:rsidP="009134F8">
            <w:pPr>
              <w:contextualSpacing/>
              <w:jc w:val="center"/>
              <w:rPr>
                <w:rFonts w:ascii="Arial" w:hAnsi="Arial" w:cs="Arial"/>
                <w:sz w:val="20"/>
                <w:szCs w:val="20"/>
                <w:lang w:bidi="ta-IN"/>
              </w:rPr>
            </w:pPr>
          </w:p>
        </w:tc>
        <w:tc>
          <w:tcPr>
            <w:tcW w:w="835" w:type="dxa"/>
            <w:vAlign w:val="center"/>
            <w:hideMark/>
          </w:tcPr>
          <w:p w14:paraId="2866FF4D"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Growth (mm)</w:t>
            </w:r>
          </w:p>
        </w:tc>
        <w:tc>
          <w:tcPr>
            <w:tcW w:w="921" w:type="dxa"/>
            <w:vAlign w:val="center"/>
            <w:hideMark/>
          </w:tcPr>
          <w:p w14:paraId="125D03F8"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Inhibition (%)</w:t>
            </w:r>
          </w:p>
        </w:tc>
        <w:tc>
          <w:tcPr>
            <w:tcW w:w="841" w:type="dxa"/>
            <w:vAlign w:val="center"/>
            <w:hideMark/>
          </w:tcPr>
          <w:p w14:paraId="156DF027"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Growth (mm)</w:t>
            </w:r>
          </w:p>
        </w:tc>
        <w:tc>
          <w:tcPr>
            <w:tcW w:w="921" w:type="dxa"/>
            <w:vAlign w:val="center"/>
            <w:hideMark/>
          </w:tcPr>
          <w:p w14:paraId="35A2BE58"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Inhibition (%)</w:t>
            </w:r>
          </w:p>
        </w:tc>
        <w:tc>
          <w:tcPr>
            <w:tcW w:w="839" w:type="dxa"/>
            <w:vAlign w:val="center"/>
            <w:hideMark/>
          </w:tcPr>
          <w:p w14:paraId="3F6CF5F5"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Growth (mm)</w:t>
            </w:r>
          </w:p>
        </w:tc>
        <w:tc>
          <w:tcPr>
            <w:tcW w:w="921" w:type="dxa"/>
            <w:vAlign w:val="center"/>
            <w:hideMark/>
          </w:tcPr>
          <w:p w14:paraId="5224967D"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Inhibition (%)</w:t>
            </w:r>
          </w:p>
        </w:tc>
        <w:tc>
          <w:tcPr>
            <w:tcW w:w="835" w:type="dxa"/>
            <w:vAlign w:val="center"/>
            <w:hideMark/>
          </w:tcPr>
          <w:p w14:paraId="60AE151F"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Growth (mm)</w:t>
            </w:r>
          </w:p>
        </w:tc>
        <w:tc>
          <w:tcPr>
            <w:tcW w:w="925" w:type="dxa"/>
            <w:vAlign w:val="center"/>
            <w:hideMark/>
          </w:tcPr>
          <w:p w14:paraId="116D2CB1"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Inhibition (%)</w:t>
            </w:r>
          </w:p>
        </w:tc>
      </w:tr>
      <w:tr w:rsidR="009134F8" w:rsidRPr="00573C59" w14:paraId="28FC0C8C" w14:textId="77777777" w:rsidTr="009134F8">
        <w:trPr>
          <w:cantSplit/>
        </w:trPr>
        <w:tc>
          <w:tcPr>
            <w:tcW w:w="1050" w:type="dxa"/>
            <w:vAlign w:val="center"/>
            <w:hideMark/>
          </w:tcPr>
          <w:p w14:paraId="68D170EB"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Tv</w:t>
            </w:r>
            <w:r w:rsidRPr="00573C59">
              <w:rPr>
                <w:rFonts w:ascii="Arial" w:hAnsi="Arial" w:cs="Arial"/>
                <w:b/>
                <w:bCs/>
                <w:color w:val="1F1F1F"/>
                <w:sz w:val="20"/>
                <w:szCs w:val="20"/>
                <w:bdr w:val="none" w:sz="0" w:space="0" w:color="auto" w:frame="1"/>
                <w:vertAlign w:val="subscript"/>
                <w:lang w:bidi="ta-IN"/>
              </w:rPr>
              <w:t>1</w:t>
            </w:r>
          </w:p>
        </w:tc>
        <w:tc>
          <w:tcPr>
            <w:tcW w:w="835" w:type="dxa"/>
            <w:vAlign w:val="center"/>
            <w:hideMark/>
          </w:tcPr>
          <w:p w14:paraId="45E5CE2C" w14:textId="77777777" w:rsidR="009134F8" w:rsidRPr="00573C59" w:rsidRDefault="009134F8" w:rsidP="009134F8">
            <w:pPr>
              <w:contextualSpacing/>
              <w:jc w:val="center"/>
              <w:rPr>
                <w:rFonts w:ascii="Arial" w:hAnsi="Arial" w:cs="Arial"/>
                <w:color w:val="1F1F1F"/>
                <w:sz w:val="20"/>
                <w:szCs w:val="20"/>
                <w:bdr w:val="none" w:sz="0" w:space="0" w:color="auto" w:frame="1"/>
                <w:vertAlign w:val="superscript"/>
                <w:lang w:bidi="ta-IN"/>
              </w:rPr>
            </w:pPr>
            <w:r w:rsidRPr="00573C59">
              <w:rPr>
                <w:rFonts w:ascii="Arial" w:hAnsi="Arial" w:cs="Arial"/>
                <w:color w:val="1F1F1F"/>
                <w:sz w:val="20"/>
                <w:szCs w:val="20"/>
                <w:bdr w:val="none" w:sz="0" w:space="0" w:color="auto" w:frame="1"/>
                <w:lang w:bidi="ta-IN"/>
              </w:rPr>
              <w:t>39.38</w:t>
            </w:r>
            <w:r w:rsidRPr="00573C59">
              <w:rPr>
                <w:rFonts w:ascii="Arial" w:hAnsi="Arial" w:cs="Arial"/>
                <w:color w:val="1F1F1F"/>
                <w:sz w:val="20"/>
                <w:szCs w:val="20"/>
                <w:bdr w:val="none" w:sz="0" w:space="0" w:color="auto" w:frame="1"/>
                <w:vertAlign w:val="superscript"/>
                <w:lang w:bidi="ta-IN"/>
              </w:rPr>
              <w:t>d</w:t>
            </w:r>
          </w:p>
          <w:p w14:paraId="1C234FEB"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38.86</w:t>
            </w:r>
            <w:r w:rsidRPr="00573C59">
              <w:rPr>
                <w:rFonts w:ascii="Arial" w:hAnsi="Arial" w:cs="Arial"/>
                <w:color w:val="1F1F1F"/>
                <w:sz w:val="20"/>
                <w:szCs w:val="20"/>
                <w:bdr w:val="none" w:sz="0" w:space="0" w:color="auto" w:frame="1"/>
                <w:lang w:bidi="ta-IN"/>
              </w:rPr>
              <w:t>)</w:t>
            </w:r>
          </w:p>
        </w:tc>
        <w:tc>
          <w:tcPr>
            <w:tcW w:w="921" w:type="dxa"/>
            <w:vAlign w:val="center"/>
            <w:hideMark/>
          </w:tcPr>
          <w:p w14:paraId="11BDAD5C"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56.24</w:t>
            </w:r>
          </w:p>
        </w:tc>
        <w:tc>
          <w:tcPr>
            <w:tcW w:w="841" w:type="dxa"/>
            <w:vAlign w:val="center"/>
            <w:hideMark/>
          </w:tcPr>
          <w:p w14:paraId="34B064BC"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30.87</w:t>
            </w:r>
            <w:r w:rsidRPr="00573C59">
              <w:rPr>
                <w:rFonts w:ascii="Arial" w:hAnsi="Arial" w:cs="Arial"/>
                <w:color w:val="1F1F1F"/>
                <w:sz w:val="20"/>
                <w:szCs w:val="20"/>
                <w:bdr w:val="none" w:sz="0" w:space="0" w:color="auto" w:frame="1"/>
                <w:vertAlign w:val="superscript"/>
                <w:lang w:bidi="ta-IN"/>
              </w:rPr>
              <w:t>e</w:t>
            </w:r>
          </w:p>
          <w:p w14:paraId="6E15509E"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33.75</w:t>
            </w:r>
            <w:r w:rsidRPr="00573C59">
              <w:rPr>
                <w:rFonts w:ascii="Arial" w:hAnsi="Arial" w:cs="Arial"/>
                <w:color w:val="1F1F1F"/>
                <w:sz w:val="20"/>
                <w:szCs w:val="20"/>
                <w:bdr w:val="none" w:sz="0" w:space="0" w:color="auto" w:frame="1"/>
                <w:lang w:bidi="ta-IN"/>
              </w:rPr>
              <w:t>)</w:t>
            </w:r>
          </w:p>
        </w:tc>
        <w:tc>
          <w:tcPr>
            <w:tcW w:w="921" w:type="dxa"/>
            <w:vAlign w:val="center"/>
            <w:hideMark/>
          </w:tcPr>
          <w:p w14:paraId="42C2B2D0"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65.70</w:t>
            </w:r>
          </w:p>
        </w:tc>
        <w:tc>
          <w:tcPr>
            <w:tcW w:w="839" w:type="dxa"/>
            <w:vAlign w:val="center"/>
            <w:hideMark/>
          </w:tcPr>
          <w:p w14:paraId="4252A151"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22.86</w:t>
            </w:r>
            <w:r w:rsidRPr="00573C59">
              <w:rPr>
                <w:rFonts w:ascii="Arial" w:hAnsi="Arial" w:cs="Arial"/>
                <w:color w:val="1F1F1F"/>
                <w:sz w:val="20"/>
                <w:szCs w:val="20"/>
                <w:bdr w:val="none" w:sz="0" w:space="0" w:color="auto" w:frame="1"/>
                <w:vertAlign w:val="superscript"/>
                <w:lang w:bidi="ta-IN"/>
              </w:rPr>
              <w:t>e</w:t>
            </w:r>
          </w:p>
          <w:p w14:paraId="77036C66"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28.56</w:t>
            </w:r>
            <w:r w:rsidRPr="00573C59">
              <w:rPr>
                <w:rFonts w:ascii="Arial" w:hAnsi="Arial" w:cs="Arial"/>
                <w:color w:val="1F1F1F"/>
                <w:sz w:val="20"/>
                <w:szCs w:val="20"/>
                <w:bdr w:val="none" w:sz="0" w:space="0" w:color="auto" w:frame="1"/>
                <w:lang w:bidi="ta-IN"/>
              </w:rPr>
              <w:t>)</w:t>
            </w:r>
          </w:p>
        </w:tc>
        <w:tc>
          <w:tcPr>
            <w:tcW w:w="921" w:type="dxa"/>
            <w:vAlign w:val="center"/>
            <w:hideMark/>
          </w:tcPr>
          <w:p w14:paraId="59628C4D"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74.60</w:t>
            </w:r>
          </w:p>
        </w:tc>
        <w:tc>
          <w:tcPr>
            <w:tcW w:w="835" w:type="dxa"/>
            <w:vAlign w:val="center"/>
            <w:hideMark/>
          </w:tcPr>
          <w:p w14:paraId="34AD3A91"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3.98</w:t>
            </w:r>
            <w:r w:rsidRPr="00573C59">
              <w:rPr>
                <w:rFonts w:ascii="Arial" w:hAnsi="Arial" w:cs="Arial"/>
                <w:color w:val="1F1F1F"/>
                <w:sz w:val="20"/>
                <w:szCs w:val="20"/>
                <w:bdr w:val="none" w:sz="0" w:space="0" w:color="auto" w:frame="1"/>
                <w:vertAlign w:val="superscript"/>
                <w:lang w:bidi="ta-IN"/>
              </w:rPr>
              <w:t>e</w:t>
            </w:r>
          </w:p>
          <w:p w14:paraId="74ACA949"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11.50</w:t>
            </w:r>
            <w:r w:rsidRPr="00573C59">
              <w:rPr>
                <w:rFonts w:ascii="Arial" w:hAnsi="Arial" w:cs="Arial"/>
                <w:color w:val="1F1F1F"/>
                <w:sz w:val="20"/>
                <w:szCs w:val="20"/>
                <w:bdr w:val="none" w:sz="0" w:space="0" w:color="auto" w:frame="1"/>
                <w:lang w:bidi="ta-IN"/>
              </w:rPr>
              <w:t>)</w:t>
            </w:r>
          </w:p>
        </w:tc>
        <w:tc>
          <w:tcPr>
            <w:tcW w:w="925" w:type="dxa"/>
            <w:vAlign w:val="center"/>
            <w:hideMark/>
          </w:tcPr>
          <w:p w14:paraId="1EE742D8"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95.58</w:t>
            </w:r>
          </w:p>
        </w:tc>
      </w:tr>
      <w:tr w:rsidR="009134F8" w:rsidRPr="00573C59" w14:paraId="373ED453" w14:textId="77777777" w:rsidTr="009134F8">
        <w:trPr>
          <w:cantSplit/>
        </w:trPr>
        <w:tc>
          <w:tcPr>
            <w:tcW w:w="1050" w:type="dxa"/>
            <w:vAlign w:val="center"/>
            <w:hideMark/>
          </w:tcPr>
          <w:p w14:paraId="687A138D"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Tv</w:t>
            </w:r>
            <w:r w:rsidRPr="00573C59">
              <w:rPr>
                <w:rFonts w:ascii="Arial" w:hAnsi="Arial" w:cs="Arial"/>
                <w:b/>
                <w:bCs/>
                <w:color w:val="1F1F1F"/>
                <w:sz w:val="20"/>
                <w:szCs w:val="20"/>
                <w:bdr w:val="none" w:sz="0" w:space="0" w:color="auto" w:frame="1"/>
                <w:vertAlign w:val="subscript"/>
                <w:lang w:bidi="ta-IN"/>
              </w:rPr>
              <w:t>2</w:t>
            </w:r>
          </w:p>
        </w:tc>
        <w:tc>
          <w:tcPr>
            <w:tcW w:w="835" w:type="dxa"/>
            <w:vAlign w:val="center"/>
            <w:hideMark/>
          </w:tcPr>
          <w:p w14:paraId="2E4CE702"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43.32</w:t>
            </w:r>
            <w:r w:rsidRPr="00573C59">
              <w:rPr>
                <w:rFonts w:ascii="Arial" w:hAnsi="Arial" w:cs="Arial"/>
                <w:color w:val="1F1F1F"/>
                <w:sz w:val="20"/>
                <w:szCs w:val="20"/>
                <w:bdr w:val="none" w:sz="0" w:space="0" w:color="auto" w:frame="1"/>
                <w:vertAlign w:val="superscript"/>
                <w:lang w:bidi="ta-IN"/>
              </w:rPr>
              <w:t>a</w:t>
            </w:r>
          </w:p>
          <w:p w14:paraId="574708F3"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41.16</w:t>
            </w:r>
            <w:r w:rsidRPr="00573C59">
              <w:rPr>
                <w:rFonts w:ascii="Arial" w:hAnsi="Arial" w:cs="Arial"/>
                <w:color w:val="1F1F1F"/>
                <w:sz w:val="20"/>
                <w:szCs w:val="20"/>
                <w:bdr w:val="none" w:sz="0" w:space="0" w:color="auto" w:frame="1"/>
                <w:lang w:bidi="ta-IN"/>
              </w:rPr>
              <w:t>)</w:t>
            </w:r>
          </w:p>
        </w:tc>
        <w:tc>
          <w:tcPr>
            <w:tcW w:w="921" w:type="dxa"/>
            <w:vAlign w:val="center"/>
            <w:hideMark/>
          </w:tcPr>
          <w:p w14:paraId="5B2F2838"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51.87</w:t>
            </w:r>
          </w:p>
        </w:tc>
        <w:tc>
          <w:tcPr>
            <w:tcW w:w="841" w:type="dxa"/>
            <w:vAlign w:val="center"/>
            <w:hideMark/>
          </w:tcPr>
          <w:p w14:paraId="3B26D34C"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37.33</w:t>
            </w:r>
            <w:r w:rsidRPr="00573C59">
              <w:rPr>
                <w:rFonts w:ascii="Arial" w:hAnsi="Arial" w:cs="Arial"/>
                <w:color w:val="1F1F1F"/>
                <w:sz w:val="20"/>
                <w:szCs w:val="20"/>
                <w:bdr w:val="none" w:sz="0" w:space="0" w:color="auto" w:frame="1"/>
                <w:vertAlign w:val="superscript"/>
                <w:lang w:bidi="ta-IN"/>
              </w:rPr>
              <w:t>b</w:t>
            </w:r>
          </w:p>
          <w:p w14:paraId="5B84D41D"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37.66</w:t>
            </w:r>
            <w:r w:rsidRPr="00573C59">
              <w:rPr>
                <w:rFonts w:ascii="Arial" w:hAnsi="Arial" w:cs="Arial"/>
                <w:color w:val="1F1F1F"/>
                <w:sz w:val="20"/>
                <w:szCs w:val="20"/>
                <w:bdr w:val="none" w:sz="0" w:space="0" w:color="auto" w:frame="1"/>
                <w:lang w:bidi="ta-IN"/>
              </w:rPr>
              <w:t>)</w:t>
            </w:r>
          </w:p>
        </w:tc>
        <w:tc>
          <w:tcPr>
            <w:tcW w:w="921" w:type="dxa"/>
            <w:vAlign w:val="center"/>
            <w:hideMark/>
          </w:tcPr>
          <w:p w14:paraId="11CA3DA5"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58.52</w:t>
            </w:r>
          </w:p>
        </w:tc>
        <w:tc>
          <w:tcPr>
            <w:tcW w:w="839" w:type="dxa"/>
            <w:vAlign w:val="center"/>
            <w:hideMark/>
          </w:tcPr>
          <w:p w14:paraId="16ABA601"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26.52</w:t>
            </w:r>
            <w:r w:rsidRPr="00573C59">
              <w:rPr>
                <w:rFonts w:ascii="Arial" w:hAnsi="Arial" w:cs="Arial"/>
                <w:color w:val="1F1F1F"/>
                <w:sz w:val="20"/>
                <w:szCs w:val="20"/>
                <w:bdr w:val="none" w:sz="0" w:space="0" w:color="auto" w:frame="1"/>
                <w:vertAlign w:val="superscript"/>
                <w:lang w:bidi="ta-IN"/>
              </w:rPr>
              <w:t>b</w:t>
            </w:r>
          </w:p>
          <w:p w14:paraId="520C3DA4"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30.99</w:t>
            </w:r>
            <w:r w:rsidRPr="00573C59">
              <w:rPr>
                <w:rFonts w:ascii="Arial" w:hAnsi="Arial" w:cs="Arial"/>
                <w:color w:val="1F1F1F"/>
                <w:sz w:val="20"/>
                <w:szCs w:val="20"/>
                <w:bdr w:val="none" w:sz="0" w:space="0" w:color="auto" w:frame="1"/>
                <w:lang w:bidi="ta-IN"/>
              </w:rPr>
              <w:t>)</w:t>
            </w:r>
          </w:p>
        </w:tc>
        <w:tc>
          <w:tcPr>
            <w:tcW w:w="921" w:type="dxa"/>
            <w:vAlign w:val="center"/>
            <w:hideMark/>
          </w:tcPr>
          <w:p w14:paraId="3AA5AF25"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70.53</w:t>
            </w:r>
          </w:p>
        </w:tc>
        <w:tc>
          <w:tcPr>
            <w:tcW w:w="835" w:type="dxa"/>
            <w:vAlign w:val="center"/>
            <w:hideMark/>
          </w:tcPr>
          <w:p w14:paraId="013CEDDF"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7.23</w:t>
            </w:r>
            <w:r w:rsidRPr="00573C59">
              <w:rPr>
                <w:rFonts w:ascii="Arial" w:hAnsi="Arial" w:cs="Arial"/>
                <w:color w:val="1F1F1F"/>
                <w:sz w:val="20"/>
                <w:szCs w:val="20"/>
                <w:bdr w:val="none" w:sz="0" w:space="0" w:color="auto" w:frame="1"/>
                <w:vertAlign w:val="superscript"/>
                <w:lang w:bidi="ta-IN"/>
              </w:rPr>
              <w:t>b</w:t>
            </w:r>
          </w:p>
          <w:p w14:paraId="197E25CF"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15.59</w:t>
            </w:r>
            <w:r w:rsidRPr="00573C59">
              <w:rPr>
                <w:rFonts w:ascii="Arial" w:hAnsi="Arial" w:cs="Arial"/>
                <w:color w:val="1F1F1F"/>
                <w:sz w:val="20"/>
                <w:szCs w:val="20"/>
                <w:bdr w:val="none" w:sz="0" w:space="0" w:color="auto" w:frame="1"/>
                <w:lang w:bidi="ta-IN"/>
              </w:rPr>
              <w:t>)</w:t>
            </w:r>
          </w:p>
        </w:tc>
        <w:tc>
          <w:tcPr>
            <w:tcW w:w="925" w:type="dxa"/>
            <w:vAlign w:val="center"/>
            <w:hideMark/>
          </w:tcPr>
          <w:p w14:paraId="177D269B"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91.97</w:t>
            </w:r>
          </w:p>
        </w:tc>
      </w:tr>
      <w:tr w:rsidR="009134F8" w:rsidRPr="00573C59" w14:paraId="3F1B2425" w14:textId="77777777" w:rsidTr="009134F8">
        <w:trPr>
          <w:cantSplit/>
        </w:trPr>
        <w:tc>
          <w:tcPr>
            <w:tcW w:w="1050" w:type="dxa"/>
            <w:vAlign w:val="center"/>
            <w:hideMark/>
          </w:tcPr>
          <w:p w14:paraId="00644557"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Tv</w:t>
            </w:r>
            <w:r w:rsidRPr="00573C59">
              <w:rPr>
                <w:rFonts w:ascii="Arial" w:hAnsi="Arial" w:cs="Arial"/>
                <w:b/>
                <w:bCs/>
                <w:color w:val="1F1F1F"/>
                <w:sz w:val="20"/>
                <w:szCs w:val="20"/>
                <w:bdr w:val="none" w:sz="0" w:space="0" w:color="auto" w:frame="1"/>
                <w:vertAlign w:val="subscript"/>
                <w:lang w:bidi="ta-IN"/>
              </w:rPr>
              <w:t>3</w:t>
            </w:r>
          </w:p>
        </w:tc>
        <w:tc>
          <w:tcPr>
            <w:tcW w:w="835" w:type="dxa"/>
            <w:vAlign w:val="center"/>
            <w:hideMark/>
          </w:tcPr>
          <w:p w14:paraId="21C4D9D9"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34.28</w:t>
            </w:r>
            <w:r w:rsidRPr="00573C59">
              <w:rPr>
                <w:rFonts w:ascii="Arial" w:hAnsi="Arial" w:cs="Arial"/>
                <w:color w:val="1F1F1F"/>
                <w:sz w:val="20"/>
                <w:szCs w:val="20"/>
                <w:bdr w:val="none" w:sz="0" w:space="0" w:color="auto" w:frame="1"/>
                <w:vertAlign w:val="superscript"/>
                <w:lang w:bidi="ta-IN"/>
              </w:rPr>
              <w:t>f</w:t>
            </w:r>
          </w:p>
          <w:p w14:paraId="17E61900"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35.83</w:t>
            </w:r>
            <w:r w:rsidRPr="00573C59">
              <w:rPr>
                <w:rFonts w:ascii="Arial" w:hAnsi="Arial" w:cs="Arial"/>
                <w:color w:val="1F1F1F"/>
                <w:sz w:val="20"/>
                <w:szCs w:val="20"/>
                <w:bdr w:val="none" w:sz="0" w:space="0" w:color="auto" w:frame="1"/>
                <w:lang w:bidi="ta-IN"/>
              </w:rPr>
              <w:t>)</w:t>
            </w:r>
          </w:p>
        </w:tc>
        <w:tc>
          <w:tcPr>
            <w:tcW w:w="921" w:type="dxa"/>
            <w:vAlign w:val="center"/>
            <w:hideMark/>
          </w:tcPr>
          <w:p w14:paraId="7159DB94"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61.91</w:t>
            </w:r>
          </w:p>
        </w:tc>
        <w:tc>
          <w:tcPr>
            <w:tcW w:w="841" w:type="dxa"/>
            <w:vAlign w:val="center"/>
            <w:hideMark/>
          </w:tcPr>
          <w:p w14:paraId="1F49C104"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29.89</w:t>
            </w:r>
            <w:r w:rsidRPr="00573C59">
              <w:rPr>
                <w:rFonts w:ascii="Arial" w:hAnsi="Arial" w:cs="Arial"/>
                <w:color w:val="1F1F1F"/>
                <w:sz w:val="20"/>
                <w:szCs w:val="20"/>
                <w:bdr w:val="none" w:sz="0" w:space="0" w:color="auto" w:frame="1"/>
                <w:vertAlign w:val="superscript"/>
                <w:lang w:bidi="ta-IN"/>
              </w:rPr>
              <w:t>f</w:t>
            </w:r>
          </w:p>
          <w:p w14:paraId="6B7E80DB"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33.14</w:t>
            </w:r>
            <w:r w:rsidRPr="00573C59">
              <w:rPr>
                <w:rFonts w:ascii="Arial" w:hAnsi="Arial" w:cs="Arial"/>
                <w:color w:val="1F1F1F"/>
                <w:sz w:val="20"/>
                <w:szCs w:val="20"/>
                <w:bdr w:val="none" w:sz="0" w:space="0" w:color="auto" w:frame="1"/>
                <w:lang w:bidi="ta-IN"/>
              </w:rPr>
              <w:t>)</w:t>
            </w:r>
          </w:p>
        </w:tc>
        <w:tc>
          <w:tcPr>
            <w:tcW w:w="921" w:type="dxa"/>
            <w:vAlign w:val="center"/>
            <w:hideMark/>
          </w:tcPr>
          <w:p w14:paraId="6F22398E"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66.79</w:t>
            </w:r>
          </w:p>
        </w:tc>
        <w:tc>
          <w:tcPr>
            <w:tcW w:w="839" w:type="dxa"/>
            <w:vAlign w:val="center"/>
            <w:hideMark/>
          </w:tcPr>
          <w:p w14:paraId="0F07014A"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20.39</w:t>
            </w:r>
            <w:r w:rsidRPr="00573C59">
              <w:rPr>
                <w:rFonts w:ascii="Arial" w:hAnsi="Arial" w:cs="Arial"/>
                <w:color w:val="1F1F1F"/>
                <w:sz w:val="20"/>
                <w:szCs w:val="20"/>
                <w:bdr w:val="none" w:sz="0" w:space="0" w:color="auto" w:frame="1"/>
                <w:vertAlign w:val="superscript"/>
                <w:lang w:bidi="ta-IN"/>
              </w:rPr>
              <w:t>f</w:t>
            </w:r>
          </w:p>
          <w:p w14:paraId="1AC91B5F" w14:textId="77777777" w:rsidR="009134F8" w:rsidRPr="00573C59" w:rsidRDefault="009134F8" w:rsidP="009134F8">
            <w:pPr>
              <w:contextualSpacing/>
              <w:jc w:val="center"/>
              <w:rPr>
                <w:rFonts w:ascii="Arial" w:hAnsi="Arial" w:cs="Arial"/>
                <w:b/>
                <w:bCs/>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26.84</w:t>
            </w:r>
            <w:r w:rsidRPr="00573C59">
              <w:rPr>
                <w:rFonts w:ascii="Arial" w:hAnsi="Arial" w:cs="Arial"/>
                <w:color w:val="1F1F1F"/>
                <w:sz w:val="20"/>
                <w:szCs w:val="20"/>
                <w:bdr w:val="none" w:sz="0" w:space="0" w:color="auto" w:frame="1"/>
                <w:lang w:bidi="ta-IN"/>
              </w:rPr>
              <w:t>)</w:t>
            </w:r>
          </w:p>
        </w:tc>
        <w:tc>
          <w:tcPr>
            <w:tcW w:w="921" w:type="dxa"/>
            <w:vAlign w:val="center"/>
            <w:hideMark/>
          </w:tcPr>
          <w:p w14:paraId="302BDACA"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77.34</w:t>
            </w:r>
          </w:p>
        </w:tc>
        <w:tc>
          <w:tcPr>
            <w:tcW w:w="835" w:type="dxa"/>
            <w:vAlign w:val="center"/>
            <w:hideMark/>
          </w:tcPr>
          <w:p w14:paraId="1D75319B"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3.56</w:t>
            </w:r>
            <w:r w:rsidRPr="00573C59">
              <w:rPr>
                <w:rFonts w:ascii="Arial" w:hAnsi="Arial" w:cs="Arial"/>
                <w:color w:val="1F1F1F"/>
                <w:sz w:val="20"/>
                <w:szCs w:val="20"/>
                <w:bdr w:val="none" w:sz="0" w:space="0" w:color="auto" w:frame="1"/>
                <w:vertAlign w:val="superscript"/>
                <w:lang w:bidi="ta-IN"/>
              </w:rPr>
              <w:t>f</w:t>
            </w:r>
          </w:p>
          <w:p w14:paraId="33FCBFF5"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10.87</w:t>
            </w:r>
            <w:r w:rsidRPr="00573C59">
              <w:rPr>
                <w:rFonts w:ascii="Arial" w:hAnsi="Arial" w:cs="Arial"/>
                <w:color w:val="1F1F1F"/>
                <w:sz w:val="20"/>
                <w:szCs w:val="20"/>
                <w:bdr w:val="none" w:sz="0" w:space="0" w:color="auto" w:frame="1"/>
                <w:lang w:bidi="ta-IN"/>
              </w:rPr>
              <w:t>)</w:t>
            </w:r>
          </w:p>
        </w:tc>
        <w:tc>
          <w:tcPr>
            <w:tcW w:w="925" w:type="dxa"/>
            <w:vAlign w:val="center"/>
            <w:hideMark/>
          </w:tcPr>
          <w:p w14:paraId="025CD9C6"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96.04</w:t>
            </w:r>
          </w:p>
        </w:tc>
      </w:tr>
      <w:tr w:rsidR="009134F8" w:rsidRPr="00573C59" w14:paraId="6E3EAE0F" w14:textId="77777777" w:rsidTr="009134F8">
        <w:trPr>
          <w:cantSplit/>
        </w:trPr>
        <w:tc>
          <w:tcPr>
            <w:tcW w:w="1050" w:type="dxa"/>
            <w:vAlign w:val="center"/>
            <w:hideMark/>
          </w:tcPr>
          <w:p w14:paraId="0F468786"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lastRenderedPageBreak/>
              <w:t>Tv</w:t>
            </w:r>
            <w:r w:rsidRPr="00573C59">
              <w:rPr>
                <w:rFonts w:ascii="Arial" w:hAnsi="Arial" w:cs="Arial"/>
                <w:b/>
                <w:bCs/>
                <w:color w:val="1F1F1F"/>
                <w:sz w:val="20"/>
                <w:szCs w:val="20"/>
                <w:bdr w:val="none" w:sz="0" w:space="0" w:color="auto" w:frame="1"/>
                <w:vertAlign w:val="subscript"/>
                <w:lang w:bidi="ta-IN"/>
              </w:rPr>
              <w:t>4</w:t>
            </w:r>
          </w:p>
        </w:tc>
        <w:tc>
          <w:tcPr>
            <w:tcW w:w="835" w:type="dxa"/>
            <w:vAlign w:val="center"/>
            <w:hideMark/>
          </w:tcPr>
          <w:p w14:paraId="1FC9CF43"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27.79</w:t>
            </w:r>
            <w:r w:rsidRPr="00573C59">
              <w:rPr>
                <w:rFonts w:ascii="Arial" w:hAnsi="Arial" w:cs="Arial"/>
                <w:color w:val="1F1F1F"/>
                <w:sz w:val="20"/>
                <w:szCs w:val="20"/>
                <w:bdr w:val="none" w:sz="0" w:space="0" w:color="auto" w:frame="1"/>
                <w:vertAlign w:val="superscript"/>
                <w:lang w:bidi="ta-IN"/>
              </w:rPr>
              <w:t>j</w:t>
            </w:r>
          </w:p>
          <w:p w14:paraId="1C20FDEE"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31.81</w:t>
            </w:r>
            <w:r w:rsidRPr="00573C59">
              <w:rPr>
                <w:rFonts w:ascii="Arial" w:hAnsi="Arial" w:cs="Arial"/>
                <w:color w:val="1F1F1F"/>
                <w:sz w:val="20"/>
                <w:szCs w:val="20"/>
                <w:bdr w:val="none" w:sz="0" w:space="0" w:color="auto" w:frame="1"/>
                <w:lang w:bidi="ta-IN"/>
              </w:rPr>
              <w:t>)</w:t>
            </w:r>
          </w:p>
        </w:tc>
        <w:tc>
          <w:tcPr>
            <w:tcW w:w="921" w:type="dxa"/>
            <w:vAlign w:val="center"/>
            <w:hideMark/>
          </w:tcPr>
          <w:p w14:paraId="38BA5CF7"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69.12</w:t>
            </w:r>
          </w:p>
        </w:tc>
        <w:tc>
          <w:tcPr>
            <w:tcW w:w="841" w:type="dxa"/>
            <w:vAlign w:val="center"/>
            <w:hideMark/>
          </w:tcPr>
          <w:p w14:paraId="608D50D6"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19.56</w:t>
            </w:r>
            <w:r w:rsidRPr="00573C59">
              <w:rPr>
                <w:rFonts w:ascii="Arial" w:hAnsi="Arial" w:cs="Arial"/>
                <w:color w:val="1F1F1F"/>
                <w:sz w:val="20"/>
                <w:szCs w:val="20"/>
                <w:bdr w:val="none" w:sz="0" w:space="0" w:color="auto" w:frame="1"/>
                <w:vertAlign w:val="superscript"/>
                <w:lang w:bidi="ta-IN"/>
              </w:rPr>
              <w:t>j</w:t>
            </w:r>
          </w:p>
          <w:p w14:paraId="28630B2B"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26.24</w:t>
            </w:r>
            <w:r w:rsidRPr="00573C59">
              <w:rPr>
                <w:rFonts w:ascii="Arial" w:hAnsi="Arial" w:cs="Arial"/>
                <w:color w:val="1F1F1F"/>
                <w:sz w:val="20"/>
                <w:szCs w:val="20"/>
                <w:bdr w:val="none" w:sz="0" w:space="0" w:color="auto" w:frame="1"/>
                <w:lang w:bidi="ta-IN"/>
              </w:rPr>
              <w:t>)</w:t>
            </w:r>
          </w:p>
        </w:tc>
        <w:tc>
          <w:tcPr>
            <w:tcW w:w="921" w:type="dxa"/>
            <w:vAlign w:val="center"/>
            <w:hideMark/>
          </w:tcPr>
          <w:p w14:paraId="7AB039E6"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78.27</w:t>
            </w:r>
          </w:p>
        </w:tc>
        <w:tc>
          <w:tcPr>
            <w:tcW w:w="839" w:type="dxa"/>
            <w:vAlign w:val="center"/>
            <w:hideMark/>
          </w:tcPr>
          <w:p w14:paraId="55AA1F1E"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12.26</w:t>
            </w:r>
            <w:r w:rsidRPr="00573C59">
              <w:rPr>
                <w:rFonts w:ascii="Arial" w:hAnsi="Arial" w:cs="Arial"/>
                <w:color w:val="1F1F1F"/>
                <w:sz w:val="20"/>
                <w:szCs w:val="20"/>
                <w:bdr w:val="none" w:sz="0" w:space="0" w:color="auto" w:frame="1"/>
                <w:vertAlign w:val="superscript"/>
                <w:lang w:bidi="ta-IN"/>
              </w:rPr>
              <w:t>j</w:t>
            </w:r>
          </w:p>
          <w:p w14:paraId="7A78B7C2"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20.49</w:t>
            </w:r>
            <w:r w:rsidRPr="00573C59">
              <w:rPr>
                <w:rFonts w:ascii="Arial" w:hAnsi="Arial" w:cs="Arial"/>
                <w:color w:val="1F1F1F"/>
                <w:sz w:val="20"/>
                <w:szCs w:val="20"/>
                <w:bdr w:val="none" w:sz="0" w:space="0" w:color="auto" w:frame="1"/>
                <w:lang w:bidi="ta-IN"/>
              </w:rPr>
              <w:t>)</w:t>
            </w:r>
          </w:p>
        </w:tc>
        <w:tc>
          <w:tcPr>
            <w:tcW w:w="921" w:type="dxa"/>
            <w:vAlign w:val="center"/>
            <w:hideMark/>
          </w:tcPr>
          <w:p w14:paraId="042E82F8"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86.38</w:t>
            </w:r>
          </w:p>
        </w:tc>
        <w:tc>
          <w:tcPr>
            <w:tcW w:w="835" w:type="dxa"/>
            <w:vAlign w:val="center"/>
            <w:hideMark/>
          </w:tcPr>
          <w:p w14:paraId="07631061"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0.00</w:t>
            </w:r>
            <w:r w:rsidRPr="00573C59">
              <w:rPr>
                <w:rFonts w:ascii="Arial" w:hAnsi="Arial" w:cs="Arial"/>
                <w:color w:val="1F1F1F"/>
                <w:sz w:val="20"/>
                <w:szCs w:val="20"/>
                <w:bdr w:val="none" w:sz="0" w:space="0" w:color="auto" w:frame="1"/>
                <w:vertAlign w:val="superscript"/>
                <w:lang w:bidi="ta-IN"/>
              </w:rPr>
              <w:t>j</w:t>
            </w:r>
          </w:p>
          <w:p w14:paraId="7E781A1F"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0.00</w:t>
            </w:r>
            <w:r w:rsidRPr="00573C59">
              <w:rPr>
                <w:rFonts w:ascii="Arial" w:hAnsi="Arial" w:cs="Arial"/>
                <w:color w:val="1F1F1F"/>
                <w:sz w:val="20"/>
                <w:szCs w:val="20"/>
                <w:bdr w:val="none" w:sz="0" w:space="0" w:color="auto" w:frame="1"/>
                <w:lang w:bidi="ta-IN"/>
              </w:rPr>
              <w:t>)</w:t>
            </w:r>
          </w:p>
        </w:tc>
        <w:tc>
          <w:tcPr>
            <w:tcW w:w="925" w:type="dxa"/>
            <w:vAlign w:val="center"/>
            <w:hideMark/>
          </w:tcPr>
          <w:p w14:paraId="608F2300"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100.00</w:t>
            </w:r>
          </w:p>
        </w:tc>
      </w:tr>
      <w:tr w:rsidR="009134F8" w:rsidRPr="00573C59" w14:paraId="5A37DB4A" w14:textId="77777777" w:rsidTr="009134F8">
        <w:trPr>
          <w:cantSplit/>
        </w:trPr>
        <w:tc>
          <w:tcPr>
            <w:tcW w:w="1050" w:type="dxa"/>
            <w:vAlign w:val="center"/>
            <w:hideMark/>
          </w:tcPr>
          <w:p w14:paraId="75A86756"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Tv</w:t>
            </w:r>
            <w:r w:rsidRPr="00573C59">
              <w:rPr>
                <w:rFonts w:ascii="Arial" w:hAnsi="Arial" w:cs="Arial"/>
                <w:b/>
                <w:bCs/>
                <w:color w:val="1F1F1F"/>
                <w:sz w:val="20"/>
                <w:szCs w:val="20"/>
                <w:bdr w:val="none" w:sz="0" w:space="0" w:color="auto" w:frame="1"/>
                <w:vertAlign w:val="subscript"/>
                <w:lang w:bidi="ta-IN"/>
              </w:rPr>
              <w:t>5</w:t>
            </w:r>
          </w:p>
        </w:tc>
        <w:tc>
          <w:tcPr>
            <w:tcW w:w="835" w:type="dxa"/>
            <w:vAlign w:val="center"/>
            <w:hideMark/>
          </w:tcPr>
          <w:p w14:paraId="5891520A"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36.86</w:t>
            </w:r>
            <w:r w:rsidRPr="00573C59">
              <w:rPr>
                <w:rFonts w:ascii="Arial" w:hAnsi="Arial" w:cs="Arial"/>
                <w:color w:val="1F1F1F"/>
                <w:sz w:val="20"/>
                <w:szCs w:val="20"/>
                <w:bdr w:val="none" w:sz="0" w:space="0" w:color="auto" w:frame="1"/>
                <w:vertAlign w:val="superscript"/>
                <w:lang w:bidi="ta-IN"/>
              </w:rPr>
              <w:t>e</w:t>
            </w:r>
          </w:p>
          <w:p w14:paraId="5A0536F4"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37.38</w:t>
            </w:r>
            <w:r w:rsidRPr="00573C59">
              <w:rPr>
                <w:rFonts w:ascii="Arial" w:hAnsi="Arial" w:cs="Arial"/>
                <w:color w:val="1F1F1F"/>
                <w:sz w:val="20"/>
                <w:szCs w:val="20"/>
                <w:bdr w:val="none" w:sz="0" w:space="0" w:color="auto" w:frame="1"/>
                <w:lang w:bidi="ta-IN"/>
              </w:rPr>
              <w:t>)</w:t>
            </w:r>
          </w:p>
        </w:tc>
        <w:tc>
          <w:tcPr>
            <w:tcW w:w="921" w:type="dxa"/>
            <w:vAlign w:val="center"/>
            <w:hideMark/>
          </w:tcPr>
          <w:p w14:paraId="151A0902"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59.04</w:t>
            </w:r>
          </w:p>
        </w:tc>
        <w:tc>
          <w:tcPr>
            <w:tcW w:w="841" w:type="dxa"/>
            <w:vAlign w:val="center"/>
            <w:hideMark/>
          </w:tcPr>
          <w:p w14:paraId="22D84774"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39.28</w:t>
            </w:r>
            <w:r w:rsidRPr="00573C59">
              <w:rPr>
                <w:rFonts w:ascii="Arial" w:hAnsi="Arial" w:cs="Arial"/>
                <w:color w:val="1F1F1F"/>
                <w:sz w:val="20"/>
                <w:szCs w:val="20"/>
                <w:bdr w:val="none" w:sz="0" w:space="0" w:color="auto" w:frame="1"/>
                <w:vertAlign w:val="superscript"/>
                <w:lang w:bidi="ta-IN"/>
              </w:rPr>
              <w:t>a</w:t>
            </w:r>
          </w:p>
          <w:p w14:paraId="5E39E9AE" w14:textId="77777777" w:rsidR="009134F8" w:rsidRPr="00573C59" w:rsidRDefault="009134F8" w:rsidP="009134F8">
            <w:pPr>
              <w:contextualSpacing/>
              <w:jc w:val="center"/>
              <w:rPr>
                <w:rFonts w:ascii="Arial" w:hAnsi="Arial" w:cs="Arial"/>
                <w:b/>
                <w:bCs/>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38.80</w:t>
            </w:r>
            <w:r w:rsidRPr="00573C59">
              <w:rPr>
                <w:rFonts w:ascii="Arial" w:hAnsi="Arial" w:cs="Arial"/>
                <w:color w:val="1F1F1F"/>
                <w:sz w:val="20"/>
                <w:szCs w:val="20"/>
                <w:bdr w:val="none" w:sz="0" w:space="0" w:color="auto" w:frame="1"/>
                <w:lang w:bidi="ta-IN"/>
              </w:rPr>
              <w:t>)</w:t>
            </w:r>
          </w:p>
        </w:tc>
        <w:tc>
          <w:tcPr>
            <w:tcW w:w="921" w:type="dxa"/>
            <w:vAlign w:val="center"/>
            <w:hideMark/>
          </w:tcPr>
          <w:p w14:paraId="6EC6AF6B"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56.36</w:t>
            </w:r>
          </w:p>
        </w:tc>
        <w:tc>
          <w:tcPr>
            <w:tcW w:w="839" w:type="dxa"/>
            <w:vAlign w:val="center"/>
            <w:hideMark/>
          </w:tcPr>
          <w:p w14:paraId="57449BB3"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28.89</w:t>
            </w:r>
            <w:r w:rsidRPr="00573C59">
              <w:rPr>
                <w:rFonts w:ascii="Arial" w:hAnsi="Arial" w:cs="Arial"/>
                <w:color w:val="1F1F1F"/>
                <w:sz w:val="20"/>
                <w:szCs w:val="20"/>
                <w:bdr w:val="none" w:sz="0" w:space="0" w:color="auto" w:frame="1"/>
                <w:vertAlign w:val="superscript"/>
                <w:lang w:bidi="ta-IN"/>
              </w:rPr>
              <w:t>a</w:t>
            </w:r>
          </w:p>
          <w:p w14:paraId="7E15F75E"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32.51</w:t>
            </w:r>
            <w:r w:rsidRPr="00573C59">
              <w:rPr>
                <w:rFonts w:ascii="Arial" w:hAnsi="Arial" w:cs="Arial"/>
                <w:color w:val="1F1F1F"/>
                <w:sz w:val="20"/>
                <w:szCs w:val="20"/>
                <w:bdr w:val="none" w:sz="0" w:space="0" w:color="auto" w:frame="1"/>
                <w:lang w:bidi="ta-IN"/>
              </w:rPr>
              <w:t>)</w:t>
            </w:r>
          </w:p>
        </w:tc>
        <w:tc>
          <w:tcPr>
            <w:tcW w:w="921" w:type="dxa"/>
            <w:vAlign w:val="center"/>
            <w:hideMark/>
          </w:tcPr>
          <w:p w14:paraId="2BBFCD15"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67.90</w:t>
            </w:r>
          </w:p>
        </w:tc>
        <w:tc>
          <w:tcPr>
            <w:tcW w:w="835" w:type="dxa"/>
            <w:vAlign w:val="center"/>
            <w:hideMark/>
          </w:tcPr>
          <w:p w14:paraId="782B62E3"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9.00</w:t>
            </w:r>
            <w:r w:rsidRPr="00573C59">
              <w:rPr>
                <w:rFonts w:ascii="Arial" w:hAnsi="Arial" w:cs="Arial"/>
                <w:color w:val="1F1F1F"/>
                <w:sz w:val="20"/>
                <w:szCs w:val="20"/>
                <w:bdr w:val="none" w:sz="0" w:space="0" w:color="auto" w:frame="1"/>
                <w:vertAlign w:val="superscript"/>
                <w:lang w:bidi="ta-IN"/>
              </w:rPr>
              <w:t>a</w:t>
            </w:r>
          </w:p>
          <w:p w14:paraId="337D8A83"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17.45</w:t>
            </w:r>
            <w:r w:rsidRPr="00573C59">
              <w:rPr>
                <w:rFonts w:ascii="Arial" w:hAnsi="Arial" w:cs="Arial"/>
                <w:color w:val="1F1F1F"/>
                <w:sz w:val="20"/>
                <w:szCs w:val="20"/>
                <w:bdr w:val="none" w:sz="0" w:space="0" w:color="auto" w:frame="1"/>
                <w:lang w:bidi="ta-IN"/>
              </w:rPr>
              <w:t>)</w:t>
            </w:r>
          </w:p>
        </w:tc>
        <w:tc>
          <w:tcPr>
            <w:tcW w:w="925" w:type="dxa"/>
            <w:vAlign w:val="center"/>
            <w:hideMark/>
          </w:tcPr>
          <w:p w14:paraId="72379ABB"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90.00</w:t>
            </w:r>
          </w:p>
        </w:tc>
      </w:tr>
      <w:tr w:rsidR="009134F8" w:rsidRPr="00573C59" w14:paraId="10D37103" w14:textId="77777777" w:rsidTr="009134F8">
        <w:trPr>
          <w:cantSplit/>
        </w:trPr>
        <w:tc>
          <w:tcPr>
            <w:tcW w:w="1050" w:type="dxa"/>
            <w:vAlign w:val="center"/>
            <w:hideMark/>
          </w:tcPr>
          <w:p w14:paraId="2BE47A54"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Tv</w:t>
            </w:r>
            <w:r w:rsidRPr="00573C59">
              <w:rPr>
                <w:rFonts w:ascii="Arial" w:hAnsi="Arial" w:cs="Arial"/>
                <w:b/>
                <w:bCs/>
                <w:color w:val="1F1F1F"/>
                <w:sz w:val="20"/>
                <w:szCs w:val="20"/>
                <w:bdr w:val="none" w:sz="0" w:space="0" w:color="auto" w:frame="1"/>
                <w:vertAlign w:val="subscript"/>
                <w:lang w:bidi="ta-IN"/>
              </w:rPr>
              <w:t>6</w:t>
            </w:r>
          </w:p>
        </w:tc>
        <w:tc>
          <w:tcPr>
            <w:tcW w:w="835" w:type="dxa"/>
            <w:vAlign w:val="center"/>
            <w:hideMark/>
          </w:tcPr>
          <w:p w14:paraId="7735B730"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30.54</w:t>
            </w:r>
            <w:r w:rsidRPr="00573C59">
              <w:rPr>
                <w:rFonts w:ascii="Arial" w:hAnsi="Arial" w:cs="Arial"/>
                <w:color w:val="1F1F1F"/>
                <w:sz w:val="20"/>
                <w:szCs w:val="20"/>
                <w:bdr w:val="none" w:sz="0" w:space="0" w:color="auto" w:frame="1"/>
                <w:vertAlign w:val="superscript"/>
                <w:lang w:bidi="ta-IN"/>
              </w:rPr>
              <w:t>i</w:t>
            </w:r>
          </w:p>
          <w:p w14:paraId="62C1A200" w14:textId="77777777" w:rsidR="009134F8" w:rsidRPr="00573C59" w:rsidRDefault="009134F8" w:rsidP="009134F8">
            <w:pPr>
              <w:contextualSpacing/>
              <w:jc w:val="center"/>
              <w:rPr>
                <w:rFonts w:ascii="Arial" w:hAnsi="Arial" w:cs="Arial"/>
                <w:b/>
                <w:bCs/>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33.54</w:t>
            </w:r>
            <w:r w:rsidRPr="00573C59">
              <w:rPr>
                <w:rFonts w:ascii="Arial" w:hAnsi="Arial" w:cs="Arial"/>
                <w:color w:val="1F1F1F"/>
                <w:sz w:val="20"/>
                <w:szCs w:val="20"/>
                <w:bdr w:val="none" w:sz="0" w:space="0" w:color="auto" w:frame="1"/>
                <w:lang w:bidi="ta-IN"/>
              </w:rPr>
              <w:t>)</w:t>
            </w:r>
          </w:p>
        </w:tc>
        <w:tc>
          <w:tcPr>
            <w:tcW w:w="921" w:type="dxa"/>
            <w:vAlign w:val="center"/>
            <w:hideMark/>
          </w:tcPr>
          <w:p w14:paraId="3970B3B1"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66.07</w:t>
            </w:r>
          </w:p>
        </w:tc>
        <w:tc>
          <w:tcPr>
            <w:tcW w:w="841" w:type="dxa"/>
            <w:vAlign w:val="center"/>
            <w:hideMark/>
          </w:tcPr>
          <w:p w14:paraId="33AA5109"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21.21</w:t>
            </w:r>
            <w:r w:rsidRPr="00573C59">
              <w:rPr>
                <w:rFonts w:ascii="Arial" w:hAnsi="Arial" w:cs="Arial"/>
                <w:color w:val="1F1F1F"/>
                <w:sz w:val="20"/>
                <w:szCs w:val="20"/>
                <w:bdr w:val="none" w:sz="0" w:space="0" w:color="auto" w:frame="1"/>
                <w:vertAlign w:val="superscript"/>
                <w:lang w:bidi="ta-IN"/>
              </w:rPr>
              <w:t>i</w:t>
            </w:r>
          </w:p>
          <w:p w14:paraId="27F3A7E7"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27.42</w:t>
            </w:r>
            <w:r w:rsidRPr="00573C59">
              <w:rPr>
                <w:rFonts w:ascii="Arial" w:hAnsi="Arial" w:cs="Arial"/>
                <w:color w:val="1F1F1F"/>
                <w:sz w:val="20"/>
                <w:szCs w:val="20"/>
                <w:bdr w:val="none" w:sz="0" w:space="0" w:color="auto" w:frame="1"/>
                <w:lang w:bidi="ta-IN"/>
              </w:rPr>
              <w:t>)</w:t>
            </w:r>
          </w:p>
        </w:tc>
        <w:tc>
          <w:tcPr>
            <w:tcW w:w="921" w:type="dxa"/>
            <w:vAlign w:val="center"/>
            <w:hideMark/>
          </w:tcPr>
          <w:p w14:paraId="497D1665"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76.43</w:t>
            </w:r>
          </w:p>
        </w:tc>
        <w:tc>
          <w:tcPr>
            <w:tcW w:w="839" w:type="dxa"/>
            <w:vAlign w:val="center"/>
            <w:hideMark/>
          </w:tcPr>
          <w:p w14:paraId="5ED0F37C"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14.25</w:t>
            </w:r>
            <w:r w:rsidRPr="00573C59">
              <w:rPr>
                <w:rFonts w:ascii="Arial" w:hAnsi="Arial" w:cs="Arial"/>
                <w:color w:val="1F1F1F"/>
                <w:sz w:val="20"/>
                <w:szCs w:val="20"/>
                <w:bdr w:val="none" w:sz="0" w:space="0" w:color="auto" w:frame="1"/>
                <w:vertAlign w:val="superscript"/>
                <w:lang w:bidi="ta-IN"/>
              </w:rPr>
              <w:t>i</w:t>
            </w:r>
          </w:p>
          <w:p w14:paraId="1119D13D"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22.17</w:t>
            </w:r>
            <w:r w:rsidRPr="00573C59">
              <w:rPr>
                <w:rFonts w:ascii="Arial" w:hAnsi="Arial" w:cs="Arial"/>
                <w:color w:val="1F1F1F"/>
                <w:sz w:val="20"/>
                <w:szCs w:val="20"/>
                <w:bdr w:val="none" w:sz="0" w:space="0" w:color="auto" w:frame="1"/>
                <w:lang w:bidi="ta-IN"/>
              </w:rPr>
              <w:t>)</w:t>
            </w:r>
          </w:p>
        </w:tc>
        <w:tc>
          <w:tcPr>
            <w:tcW w:w="921" w:type="dxa"/>
            <w:vAlign w:val="center"/>
            <w:hideMark/>
          </w:tcPr>
          <w:p w14:paraId="267CC7EF"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84.17</w:t>
            </w:r>
          </w:p>
        </w:tc>
        <w:tc>
          <w:tcPr>
            <w:tcW w:w="835" w:type="dxa"/>
            <w:vAlign w:val="center"/>
            <w:hideMark/>
          </w:tcPr>
          <w:p w14:paraId="1C0EED33"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1.23</w:t>
            </w:r>
            <w:r w:rsidRPr="00573C59">
              <w:rPr>
                <w:rFonts w:ascii="Arial" w:hAnsi="Arial" w:cs="Arial"/>
                <w:color w:val="1F1F1F"/>
                <w:sz w:val="20"/>
                <w:szCs w:val="20"/>
                <w:bdr w:val="none" w:sz="0" w:space="0" w:color="auto" w:frame="1"/>
                <w:vertAlign w:val="superscript"/>
                <w:lang w:bidi="ta-IN"/>
              </w:rPr>
              <w:t>i</w:t>
            </w:r>
          </w:p>
          <w:p w14:paraId="03AE7B0C"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6.36</w:t>
            </w:r>
            <w:r w:rsidRPr="00573C59">
              <w:rPr>
                <w:rFonts w:ascii="Arial" w:hAnsi="Arial" w:cs="Arial"/>
                <w:color w:val="1F1F1F"/>
                <w:sz w:val="20"/>
                <w:szCs w:val="20"/>
                <w:bdr w:val="none" w:sz="0" w:space="0" w:color="auto" w:frame="1"/>
                <w:lang w:bidi="ta-IN"/>
              </w:rPr>
              <w:t>)</w:t>
            </w:r>
          </w:p>
        </w:tc>
        <w:tc>
          <w:tcPr>
            <w:tcW w:w="925" w:type="dxa"/>
            <w:vAlign w:val="center"/>
            <w:hideMark/>
          </w:tcPr>
          <w:p w14:paraId="57B333B4"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98.63</w:t>
            </w:r>
          </w:p>
        </w:tc>
      </w:tr>
      <w:tr w:rsidR="009134F8" w:rsidRPr="00573C59" w14:paraId="4391DFF8" w14:textId="77777777" w:rsidTr="009134F8">
        <w:trPr>
          <w:cantSplit/>
        </w:trPr>
        <w:tc>
          <w:tcPr>
            <w:tcW w:w="1050" w:type="dxa"/>
            <w:vAlign w:val="center"/>
            <w:hideMark/>
          </w:tcPr>
          <w:p w14:paraId="1AA333CB"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Tv</w:t>
            </w:r>
            <w:r w:rsidRPr="00573C59">
              <w:rPr>
                <w:rFonts w:ascii="Arial" w:hAnsi="Arial" w:cs="Arial"/>
                <w:b/>
                <w:bCs/>
                <w:color w:val="1F1F1F"/>
                <w:sz w:val="20"/>
                <w:szCs w:val="20"/>
                <w:bdr w:val="none" w:sz="0" w:space="0" w:color="auto" w:frame="1"/>
                <w:vertAlign w:val="subscript"/>
                <w:lang w:bidi="ta-IN"/>
              </w:rPr>
              <w:t>7</w:t>
            </w:r>
          </w:p>
        </w:tc>
        <w:tc>
          <w:tcPr>
            <w:tcW w:w="835" w:type="dxa"/>
            <w:vAlign w:val="center"/>
            <w:hideMark/>
          </w:tcPr>
          <w:p w14:paraId="0206B2F7"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33.39</w:t>
            </w:r>
            <w:r w:rsidRPr="00573C59">
              <w:rPr>
                <w:rFonts w:ascii="Arial" w:hAnsi="Arial" w:cs="Arial"/>
                <w:color w:val="1F1F1F"/>
                <w:sz w:val="20"/>
                <w:szCs w:val="20"/>
                <w:bdr w:val="none" w:sz="0" w:space="0" w:color="auto" w:frame="1"/>
                <w:vertAlign w:val="superscript"/>
                <w:lang w:bidi="ta-IN"/>
              </w:rPr>
              <w:t>g</w:t>
            </w:r>
          </w:p>
          <w:p w14:paraId="560C5464"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35.29</w:t>
            </w:r>
            <w:r w:rsidRPr="00573C59">
              <w:rPr>
                <w:rFonts w:ascii="Arial" w:hAnsi="Arial" w:cs="Arial"/>
                <w:color w:val="1F1F1F"/>
                <w:sz w:val="20"/>
                <w:szCs w:val="20"/>
                <w:bdr w:val="none" w:sz="0" w:space="0" w:color="auto" w:frame="1"/>
                <w:lang w:bidi="ta-IN"/>
              </w:rPr>
              <w:t>)</w:t>
            </w:r>
          </w:p>
        </w:tc>
        <w:tc>
          <w:tcPr>
            <w:tcW w:w="921" w:type="dxa"/>
            <w:vAlign w:val="center"/>
            <w:hideMark/>
          </w:tcPr>
          <w:p w14:paraId="320E760B"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62.90</w:t>
            </w:r>
          </w:p>
        </w:tc>
        <w:tc>
          <w:tcPr>
            <w:tcW w:w="841" w:type="dxa"/>
            <w:vAlign w:val="center"/>
            <w:hideMark/>
          </w:tcPr>
          <w:p w14:paraId="6FD35C2F"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25.86</w:t>
            </w:r>
            <w:r w:rsidRPr="00573C59">
              <w:rPr>
                <w:rFonts w:ascii="Arial" w:hAnsi="Arial" w:cs="Arial"/>
                <w:color w:val="1F1F1F"/>
                <w:sz w:val="20"/>
                <w:szCs w:val="20"/>
                <w:bdr w:val="none" w:sz="0" w:space="0" w:color="auto" w:frame="1"/>
                <w:vertAlign w:val="superscript"/>
                <w:lang w:bidi="ta-IN"/>
              </w:rPr>
              <w:t>g</w:t>
            </w:r>
          </w:p>
          <w:p w14:paraId="1A846F43"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30.56</w:t>
            </w:r>
            <w:r w:rsidRPr="00573C59">
              <w:rPr>
                <w:rFonts w:ascii="Arial" w:hAnsi="Arial" w:cs="Arial"/>
                <w:color w:val="1F1F1F"/>
                <w:sz w:val="20"/>
                <w:szCs w:val="20"/>
                <w:bdr w:val="none" w:sz="0" w:space="0" w:color="auto" w:frame="1"/>
                <w:lang w:bidi="ta-IN"/>
              </w:rPr>
              <w:t>)</w:t>
            </w:r>
          </w:p>
        </w:tc>
        <w:tc>
          <w:tcPr>
            <w:tcW w:w="921" w:type="dxa"/>
            <w:vAlign w:val="center"/>
            <w:hideMark/>
          </w:tcPr>
          <w:p w14:paraId="65AD1E4D"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71.27</w:t>
            </w:r>
          </w:p>
        </w:tc>
        <w:tc>
          <w:tcPr>
            <w:tcW w:w="839" w:type="dxa"/>
            <w:vAlign w:val="center"/>
            <w:hideMark/>
          </w:tcPr>
          <w:p w14:paraId="3D705C52"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19.33</w:t>
            </w:r>
            <w:r w:rsidRPr="00573C59">
              <w:rPr>
                <w:rFonts w:ascii="Arial" w:hAnsi="Arial" w:cs="Arial"/>
                <w:color w:val="1F1F1F"/>
                <w:sz w:val="20"/>
                <w:szCs w:val="20"/>
                <w:bdr w:val="none" w:sz="0" w:space="0" w:color="auto" w:frame="1"/>
                <w:vertAlign w:val="superscript"/>
                <w:lang w:bidi="ta-IN"/>
              </w:rPr>
              <w:t>g</w:t>
            </w:r>
          </w:p>
          <w:p w14:paraId="1A92824B"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26.08</w:t>
            </w:r>
            <w:r w:rsidRPr="00573C59">
              <w:rPr>
                <w:rFonts w:ascii="Arial" w:hAnsi="Arial" w:cs="Arial"/>
                <w:color w:val="1F1F1F"/>
                <w:sz w:val="20"/>
                <w:szCs w:val="20"/>
                <w:bdr w:val="none" w:sz="0" w:space="0" w:color="auto" w:frame="1"/>
                <w:lang w:bidi="ta-IN"/>
              </w:rPr>
              <w:t>)</w:t>
            </w:r>
          </w:p>
        </w:tc>
        <w:tc>
          <w:tcPr>
            <w:tcW w:w="921" w:type="dxa"/>
            <w:vAlign w:val="center"/>
            <w:hideMark/>
          </w:tcPr>
          <w:p w14:paraId="019D3C2F"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78.52</w:t>
            </w:r>
          </w:p>
        </w:tc>
        <w:tc>
          <w:tcPr>
            <w:tcW w:w="835" w:type="dxa"/>
            <w:vAlign w:val="center"/>
            <w:hideMark/>
          </w:tcPr>
          <w:p w14:paraId="081A8EC0"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1.78</w:t>
            </w:r>
            <w:r w:rsidRPr="00573C59">
              <w:rPr>
                <w:rFonts w:ascii="Arial" w:hAnsi="Arial" w:cs="Arial"/>
                <w:color w:val="1F1F1F"/>
                <w:sz w:val="20"/>
                <w:szCs w:val="20"/>
                <w:bdr w:val="none" w:sz="0" w:space="0" w:color="auto" w:frame="1"/>
                <w:vertAlign w:val="superscript"/>
                <w:lang w:bidi="ta-IN"/>
              </w:rPr>
              <w:t>g</w:t>
            </w:r>
          </w:p>
          <w:p w14:paraId="7DE30DA6"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7.66</w:t>
            </w:r>
            <w:r w:rsidRPr="00573C59">
              <w:rPr>
                <w:rFonts w:ascii="Arial" w:hAnsi="Arial" w:cs="Arial"/>
                <w:color w:val="1F1F1F"/>
                <w:sz w:val="20"/>
                <w:szCs w:val="20"/>
                <w:bdr w:val="none" w:sz="0" w:space="0" w:color="auto" w:frame="1"/>
                <w:lang w:bidi="ta-IN"/>
              </w:rPr>
              <w:t>)</w:t>
            </w:r>
          </w:p>
        </w:tc>
        <w:tc>
          <w:tcPr>
            <w:tcW w:w="925" w:type="dxa"/>
            <w:vAlign w:val="center"/>
            <w:hideMark/>
          </w:tcPr>
          <w:p w14:paraId="0A8FA3F7"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98.02</w:t>
            </w:r>
          </w:p>
        </w:tc>
      </w:tr>
      <w:tr w:rsidR="009134F8" w:rsidRPr="00573C59" w14:paraId="52381BC2" w14:textId="77777777" w:rsidTr="009134F8">
        <w:trPr>
          <w:cantSplit/>
        </w:trPr>
        <w:tc>
          <w:tcPr>
            <w:tcW w:w="1050" w:type="dxa"/>
            <w:vAlign w:val="center"/>
            <w:hideMark/>
          </w:tcPr>
          <w:p w14:paraId="4E4A117F"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Tv</w:t>
            </w:r>
            <w:r w:rsidRPr="00573C59">
              <w:rPr>
                <w:rFonts w:ascii="Arial" w:hAnsi="Arial" w:cs="Arial"/>
                <w:b/>
                <w:bCs/>
                <w:color w:val="1F1F1F"/>
                <w:sz w:val="20"/>
                <w:szCs w:val="20"/>
                <w:bdr w:val="none" w:sz="0" w:space="0" w:color="auto" w:frame="1"/>
                <w:vertAlign w:val="subscript"/>
                <w:lang w:bidi="ta-IN"/>
              </w:rPr>
              <w:t>8</w:t>
            </w:r>
          </w:p>
        </w:tc>
        <w:tc>
          <w:tcPr>
            <w:tcW w:w="835" w:type="dxa"/>
            <w:vAlign w:val="center"/>
            <w:hideMark/>
          </w:tcPr>
          <w:p w14:paraId="0A8E1E44"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32.25</w:t>
            </w:r>
            <w:r w:rsidRPr="00573C59">
              <w:rPr>
                <w:rFonts w:ascii="Arial" w:hAnsi="Arial" w:cs="Arial"/>
                <w:color w:val="1F1F1F"/>
                <w:sz w:val="20"/>
                <w:szCs w:val="20"/>
                <w:bdr w:val="none" w:sz="0" w:space="0" w:color="auto" w:frame="1"/>
                <w:vertAlign w:val="superscript"/>
                <w:lang w:bidi="ta-IN"/>
              </w:rPr>
              <w:t>h</w:t>
            </w:r>
          </w:p>
          <w:p w14:paraId="092BC41D"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34.60</w:t>
            </w:r>
            <w:r w:rsidRPr="00573C59">
              <w:rPr>
                <w:rFonts w:ascii="Arial" w:hAnsi="Arial" w:cs="Arial"/>
                <w:color w:val="1F1F1F"/>
                <w:sz w:val="20"/>
                <w:szCs w:val="20"/>
                <w:bdr w:val="none" w:sz="0" w:space="0" w:color="auto" w:frame="1"/>
                <w:lang w:bidi="ta-IN"/>
              </w:rPr>
              <w:t>)</w:t>
            </w:r>
          </w:p>
        </w:tc>
        <w:tc>
          <w:tcPr>
            <w:tcW w:w="921" w:type="dxa"/>
            <w:vAlign w:val="center"/>
            <w:hideMark/>
          </w:tcPr>
          <w:p w14:paraId="6F0F42DB"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64.17</w:t>
            </w:r>
          </w:p>
        </w:tc>
        <w:tc>
          <w:tcPr>
            <w:tcW w:w="841" w:type="dxa"/>
            <w:vAlign w:val="center"/>
            <w:hideMark/>
          </w:tcPr>
          <w:p w14:paraId="3784BFD9"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23.52</w:t>
            </w:r>
            <w:r w:rsidRPr="00573C59">
              <w:rPr>
                <w:rFonts w:ascii="Arial" w:hAnsi="Arial" w:cs="Arial"/>
                <w:color w:val="1F1F1F"/>
                <w:sz w:val="20"/>
                <w:szCs w:val="20"/>
                <w:bdr w:val="none" w:sz="0" w:space="0" w:color="auto" w:frame="1"/>
                <w:vertAlign w:val="superscript"/>
                <w:lang w:bidi="ta-IN"/>
              </w:rPr>
              <w:t>h</w:t>
            </w:r>
          </w:p>
          <w:p w14:paraId="7AC0BE12" w14:textId="77777777" w:rsidR="009134F8" w:rsidRPr="00573C59" w:rsidRDefault="009134F8" w:rsidP="009134F8">
            <w:pPr>
              <w:contextualSpacing/>
              <w:jc w:val="center"/>
              <w:rPr>
                <w:rFonts w:ascii="Arial" w:hAnsi="Arial" w:cs="Arial"/>
                <w:b/>
                <w:bCs/>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29.01</w:t>
            </w:r>
            <w:r w:rsidRPr="00573C59">
              <w:rPr>
                <w:rFonts w:ascii="Arial" w:hAnsi="Arial" w:cs="Arial"/>
                <w:color w:val="1F1F1F"/>
                <w:sz w:val="20"/>
                <w:szCs w:val="20"/>
                <w:bdr w:val="none" w:sz="0" w:space="0" w:color="auto" w:frame="1"/>
                <w:lang w:bidi="ta-IN"/>
              </w:rPr>
              <w:t>)</w:t>
            </w:r>
          </w:p>
        </w:tc>
        <w:tc>
          <w:tcPr>
            <w:tcW w:w="921" w:type="dxa"/>
            <w:vAlign w:val="center"/>
            <w:hideMark/>
          </w:tcPr>
          <w:p w14:paraId="4F48BB5D"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73.87</w:t>
            </w:r>
          </w:p>
        </w:tc>
        <w:tc>
          <w:tcPr>
            <w:tcW w:w="839" w:type="dxa"/>
            <w:vAlign w:val="center"/>
            <w:hideMark/>
          </w:tcPr>
          <w:p w14:paraId="3448BE52"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17.49</w:t>
            </w:r>
            <w:r w:rsidRPr="00573C59">
              <w:rPr>
                <w:rFonts w:ascii="Arial" w:hAnsi="Arial" w:cs="Arial"/>
                <w:color w:val="1F1F1F"/>
                <w:sz w:val="20"/>
                <w:szCs w:val="20"/>
                <w:bdr w:val="none" w:sz="0" w:space="0" w:color="auto" w:frame="1"/>
                <w:vertAlign w:val="superscript"/>
                <w:lang w:bidi="ta-IN"/>
              </w:rPr>
              <w:t>h</w:t>
            </w:r>
          </w:p>
          <w:p w14:paraId="65BA19F7"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24.72</w:t>
            </w:r>
            <w:r w:rsidRPr="00573C59">
              <w:rPr>
                <w:rFonts w:ascii="Arial" w:hAnsi="Arial" w:cs="Arial"/>
                <w:color w:val="1F1F1F"/>
                <w:sz w:val="20"/>
                <w:szCs w:val="20"/>
                <w:bdr w:val="none" w:sz="0" w:space="0" w:color="auto" w:frame="1"/>
                <w:lang w:bidi="ta-IN"/>
              </w:rPr>
              <w:t>)</w:t>
            </w:r>
          </w:p>
        </w:tc>
        <w:tc>
          <w:tcPr>
            <w:tcW w:w="921" w:type="dxa"/>
            <w:vAlign w:val="center"/>
            <w:hideMark/>
          </w:tcPr>
          <w:p w14:paraId="2F831231"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80.57</w:t>
            </w:r>
          </w:p>
        </w:tc>
        <w:tc>
          <w:tcPr>
            <w:tcW w:w="835" w:type="dxa"/>
            <w:vAlign w:val="center"/>
            <w:hideMark/>
          </w:tcPr>
          <w:p w14:paraId="525DA622"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1.60</w:t>
            </w:r>
            <w:r w:rsidRPr="00573C59">
              <w:rPr>
                <w:rFonts w:ascii="Arial" w:hAnsi="Arial" w:cs="Arial"/>
                <w:color w:val="1F1F1F"/>
                <w:sz w:val="20"/>
                <w:szCs w:val="20"/>
                <w:bdr w:val="none" w:sz="0" w:space="0" w:color="auto" w:frame="1"/>
                <w:vertAlign w:val="superscript"/>
                <w:lang w:bidi="ta-IN"/>
              </w:rPr>
              <w:t>h</w:t>
            </w:r>
          </w:p>
          <w:p w14:paraId="6DBB595D"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7.26</w:t>
            </w:r>
            <w:r w:rsidRPr="00573C59">
              <w:rPr>
                <w:rFonts w:ascii="Arial" w:hAnsi="Arial" w:cs="Arial"/>
                <w:color w:val="1F1F1F"/>
                <w:sz w:val="20"/>
                <w:szCs w:val="20"/>
                <w:bdr w:val="none" w:sz="0" w:space="0" w:color="auto" w:frame="1"/>
                <w:lang w:bidi="ta-IN"/>
              </w:rPr>
              <w:t>)</w:t>
            </w:r>
          </w:p>
        </w:tc>
        <w:tc>
          <w:tcPr>
            <w:tcW w:w="925" w:type="dxa"/>
            <w:vAlign w:val="center"/>
            <w:hideMark/>
          </w:tcPr>
          <w:p w14:paraId="47603E05"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98.22</w:t>
            </w:r>
          </w:p>
        </w:tc>
      </w:tr>
      <w:tr w:rsidR="009134F8" w:rsidRPr="00573C59" w14:paraId="08BB29D2" w14:textId="77777777" w:rsidTr="009134F8">
        <w:trPr>
          <w:cantSplit/>
        </w:trPr>
        <w:tc>
          <w:tcPr>
            <w:tcW w:w="1050" w:type="dxa"/>
            <w:vAlign w:val="center"/>
            <w:hideMark/>
          </w:tcPr>
          <w:p w14:paraId="4D8DC86D"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Tv</w:t>
            </w:r>
            <w:r w:rsidRPr="00573C59">
              <w:rPr>
                <w:rFonts w:ascii="Arial" w:hAnsi="Arial" w:cs="Arial"/>
                <w:b/>
                <w:bCs/>
                <w:color w:val="1F1F1F"/>
                <w:sz w:val="20"/>
                <w:szCs w:val="20"/>
                <w:bdr w:val="none" w:sz="0" w:space="0" w:color="auto" w:frame="1"/>
                <w:vertAlign w:val="subscript"/>
                <w:lang w:bidi="ta-IN"/>
              </w:rPr>
              <w:t>9</w:t>
            </w:r>
          </w:p>
        </w:tc>
        <w:tc>
          <w:tcPr>
            <w:tcW w:w="835" w:type="dxa"/>
            <w:vAlign w:val="center"/>
            <w:hideMark/>
          </w:tcPr>
          <w:p w14:paraId="534EED77"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40.69</w:t>
            </w:r>
            <w:r w:rsidRPr="00573C59">
              <w:rPr>
                <w:rFonts w:ascii="Arial" w:hAnsi="Arial" w:cs="Arial"/>
                <w:color w:val="1F1F1F"/>
                <w:sz w:val="20"/>
                <w:szCs w:val="20"/>
                <w:bdr w:val="none" w:sz="0" w:space="0" w:color="auto" w:frame="1"/>
                <w:vertAlign w:val="superscript"/>
                <w:lang w:bidi="ta-IN"/>
              </w:rPr>
              <w:t>c</w:t>
            </w:r>
          </w:p>
          <w:p w14:paraId="15F8CF57"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39.63</w:t>
            </w:r>
            <w:r w:rsidRPr="00573C59">
              <w:rPr>
                <w:rFonts w:ascii="Arial" w:hAnsi="Arial" w:cs="Arial"/>
                <w:color w:val="1F1F1F"/>
                <w:sz w:val="20"/>
                <w:szCs w:val="20"/>
                <w:bdr w:val="none" w:sz="0" w:space="0" w:color="auto" w:frame="1"/>
                <w:lang w:bidi="ta-IN"/>
              </w:rPr>
              <w:t>)</w:t>
            </w:r>
          </w:p>
        </w:tc>
        <w:tc>
          <w:tcPr>
            <w:tcW w:w="921" w:type="dxa"/>
            <w:vAlign w:val="center"/>
            <w:hideMark/>
          </w:tcPr>
          <w:p w14:paraId="0536FFAC"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54.79</w:t>
            </w:r>
          </w:p>
        </w:tc>
        <w:tc>
          <w:tcPr>
            <w:tcW w:w="841" w:type="dxa"/>
            <w:vAlign w:val="center"/>
            <w:hideMark/>
          </w:tcPr>
          <w:p w14:paraId="29FB0C67"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sz w:val="20"/>
                <w:szCs w:val="20"/>
              </w:rPr>
              <w:t>32.53</w:t>
            </w:r>
            <w:r w:rsidRPr="00573C59">
              <w:rPr>
                <w:rFonts w:ascii="Arial" w:hAnsi="Arial" w:cs="Arial"/>
                <w:sz w:val="20"/>
                <w:szCs w:val="20"/>
                <w:vertAlign w:val="superscript"/>
              </w:rPr>
              <w:t>d</w:t>
            </w:r>
            <w:r w:rsidRPr="00573C59">
              <w:rPr>
                <w:rFonts w:ascii="Arial" w:hAnsi="Arial" w:cs="Arial"/>
                <w:color w:val="000000"/>
                <w:sz w:val="20"/>
                <w:szCs w:val="20"/>
              </w:rPr>
              <w:t xml:space="preserve"> (34.77)</w:t>
            </w:r>
          </w:p>
        </w:tc>
        <w:tc>
          <w:tcPr>
            <w:tcW w:w="921" w:type="dxa"/>
            <w:vAlign w:val="center"/>
            <w:hideMark/>
          </w:tcPr>
          <w:p w14:paraId="1F17979F"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63.86</w:t>
            </w:r>
          </w:p>
        </w:tc>
        <w:tc>
          <w:tcPr>
            <w:tcW w:w="839" w:type="dxa"/>
            <w:vAlign w:val="center"/>
            <w:hideMark/>
          </w:tcPr>
          <w:p w14:paraId="67207E2F"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23.56</w:t>
            </w:r>
            <w:r w:rsidRPr="00573C59">
              <w:rPr>
                <w:rFonts w:ascii="Arial" w:hAnsi="Arial" w:cs="Arial"/>
                <w:color w:val="1F1F1F"/>
                <w:sz w:val="20"/>
                <w:szCs w:val="20"/>
                <w:bdr w:val="none" w:sz="0" w:space="0" w:color="auto" w:frame="1"/>
                <w:vertAlign w:val="superscript"/>
                <w:lang w:bidi="ta-IN"/>
              </w:rPr>
              <w:t>d</w:t>
            </w:r>
          </w:p>
          <w:p w14:paraId="6495BF97"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29.03</w:t>
            </w:r>
            <w:r w:rsidRPr="00573C59">
              <w:rPr>
                <w:rFonts w:ascii="Arial" w:hAnsi="Arial" w:cs="Arial"/>
                <w:color w:val="1F1F1F"/>
                <w:sz w:val="20"/>
                <w:szCs w:val="20"/>
                <w:bdr w:val="none" w:sz="0" w:space="0" w:color="auto" w:frame="1"/>
                <w:lang w:bidi="ta-IN"/>
              </w:rPr>
              <w:t>)</w:t>
            </w:r>
          </w:p>
        </w:tc>
        <w:tc>
          <w:tcPr>
            <w:tcW w:w="921" w:type="dxa"/>
            <w:vAlign w:val="center"/>
            <w:hideMark/>
          </w:tcPr>
          <w:p w14:paraId="5FE400FC"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73.82</w:t>
            </w:r>
          </w:p>
        </w:tc>
        <w:tc>
          <w:tcPr>
            <w:tcW w:w="835" w:type="dxa"/>
            <w:vAlign w:val="center"/>
            <w:hideMark/>
          </w:tcPr>
          <w:p w14:paraId="4906AA6C"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5.26</w:t>
            </w:r>
            <w:r w:rsidRPr="00573C59">
              <w:rPr>
                <w:rFonts w:ascii="Arial" w:hAnsi="Arial" w:cs="Arial"/>
                <w:color w:val="1F1F1F"/>
                <w:sz w:val="20"/>
                <w:szCs w:val="20"/>
                <w:bdr w:val="none" w:sz="0" w:space="0" w:color="auto" w:frame="1"/>
                <w:vertAlign w:val="superscript"/>
                <w:lang w:bidi="ta-IN"/>
              </w:rPr>
              <w:t>d</w:t>
            </w:r>
          </w:p>
          <w:p w14:paraId="1FC4DA23"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13.25</w:t>
            </w:r>
            <w:r w:rsidRPr="00573C59">
              <w:rPr>
                <w:rFonts w:ascii="Arial" w:hAnsi="Arial" w:cs="Arial"/>
                <w:color w:val="1F1F1F"/>
                <w:sz w:val="20"/>
                <w:szCs w:val="20"/>
                <w:bdr w:val="none" w:sz="0" w:space="0" w:color="auto" w:frame="1"/>
                <w:lang w:bidi="ta-IN"/>
              </w:rPr>
              <w:t>)</w:t>
            </w:r>
          </w:p>
        </w:tc>
        <w:tc>
          <w:tcPr>
            <w:tcW w:w="925" w:type="dxa"/>
            <w:vAlign w:val="center"/>
            <w:hideMark/>
          </w:tcPr>
          <w:p w14:paraId="5DF12F94"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94.16</w:t>
            </w:r>
          </w:p>
        </w:tc>
      </w:tr>
      <w:tr w:rsidR="009134F8" w:rsidRPr="00573C59" w14:paraId="13C6F65E" w14:textId="77777777" w:rsidTr="009134F8">
        <w:trPr>
          <w:cantSplit/>
        </w:trPr>
        <w:tc>
          <w:tcPr>
            <w:tcW w:w="1050" w:type="dxa"/>
            <w:vAlign w:val="center"/>
            <w:hideMark/>
          </w:tcPr>
          <w:p w14:paraId="0F4003BB"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Tv</w:t>
            </w:r>
            <w:r w:rsidRPr="00573C59">
              <w:rPr>
                <w:rFonts w:ascii="Arial" w:hAnsi="Arial" w:cs="Arial"/>
                <w:b/>
                <w:bCs/>
                <w:color w:val="1F1F1F"/>
                <w:sz w:val="20"/>
                <w:szCs w:val="20"/>
                <w:bdr w:val="none" w:sz="0" w:space="0" w:color="auto" w:frame="1"/>
                <w:vertAlign w:val="subscript"/>
                <w:lang w:bidi="ta-IN"/>
              </w:rPr>
              <w:t>10</w:t>
            </w:r>
          </w:p>
        </w:tc>
        <w:tc>
          <w:tcPr>
            <w:tcW w:w="835" w:type="dxa"/>
            <w:vAlign w:val="center"/>
            <w:hideMark/>
          </w:tcPr>
          <w:p w14:paraId="25DBD761"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42.23</w:t>
            </w:r>
            <w:r w:rsidRPr="00573C59">
              <w:rPr>
                <w:rFonts w:ascii="Arial" w:hAnsi="Arial" w:cs="Arial"/>
                <w:color w:val="1F1F1F"/>
                <w:sz w:val="20"/>
                <w:szCs w:val="20"/>
                <w:bdr w:val="none" w:sz="0" w:space="0" w:color="auto" w:frame="1"/>
                <w:vertAlign w:val="superscript"/>
                <w:lang w:bidi="ta-IN"/>
              </w:rPr>
              <w:t>b</w:t>
            </w:r>
          </w:p>
          <w:p w14:paraId="7DE271C9"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40.53</w:t>
            </w:r>
            <w:r w:rsidRPr="00573C59">
              <w:rPr>
                <w:rFonts w:ascii="Arial" w:hAnsi="Arial" w:cs="Arial"/>
                <w:color w:val="1F1F1F"/>
                <w:sz w:val="20"/>
                <w:szCs w:val="20"/>
                <w:bdr w:val="none" w:sz="0" w:space="0" w:color="auto" w:frame="1"/>
                <w:lang w:bidi="ta-IN"/>
              </w:rPr>
              <w:t>)</w:t>
            </w:r>
          </w:p>
        </w:tc>
        <w:tc>
          <w:tcPr>
            <w:tcW w:w="921" w:type="dxa"/>
            <w:vAlign w:val="center"/>
            <w:hideMark/>
          </w:tcPr>
          <w:p w14:paraId="73342C25"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53.08</w:t>
            </w:r>
          </w:p>
        </w:tc>
        <w:tc>
          <w:tcPr>
            <w:tcW w:w="841" w:type="dxa"/>
            <w:vAlign w:val="center"/>
            <w:hideMark/>
          </w:tcPr>
          <w:p w14:paraId="338E78A9"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34.39</w:t>
            </w:r>
            <w:r w:rsidRPr="00573C59">
              <w:rPr>
                <w:rFonts w:ascii="Arial" w:hAnsi="Arial" w:cs="Arial"/>
                <w:color w:val="1F1F1F"/>
                <w:sz w:val="20"/>
                <w:szCs w:val="20"/>
                <w:bdr w:val="none" w:sz="0" w:space="0" w:color="auto" w:frame="1"/>
                <w:vertAlign w:val="superscript"/>
                <w:lang w:bidi="ta-IN"/>
              </w:rPr>
              <w:t>c</w:t>
            </w:r>
          </w:p>
          <w:p w14:paraId="7BB7B08D"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35.90</w:t>
            </w:r>
            <w:r w:rsidRPr="00573C59">
              <w:rPr>
                <w:rFonts w:ascii="Arial" w:hAnsi="Arial" w:cs="Arial"/>
                <w:color w:val="1F1F1F"/>
                <w:sz w:val="20"/>
                <w:szCs w:val="20"/>
                <w:bdr w:val="none" w:sz="0" w:space="0" w:color="auto" w:frame="1"/>
                <w:lang w:bidi="ta-IN"/>
              </w:rPr>
              <w:t>)</w:t>
            </w:r>
          </w:p>
        </w:tc>
        <w:tc>
          <w:tcPr>
            <w:tcW w:w="921" w:type="dxa"/>
            <w:vAlign w:val="center"/>
            <w:hideMark/>
          </w:tcPr>
          <w:p w14:paraId="50FD0429"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61.79</w:t>
            </w:r>
          </w:p>
        </w:tc>
        <w:tc>
          <w:tcPr>
            <w:tcW w:w="839" w:type="dxa"/>
            <w:vAlign w:val="center"/>
            <w:hideMark/>
          </w:tcPr>
          <w:p w14:paraId="15958B50"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sz w:val="20"/>
                <w:szCs w:val="20"/>
              </w:rPr>
              <w:t>25.59</w:t>
            </w:r>
            <w:r w:rsidRPr="00573C59">
              <w:rPr>
                <w:rFonts w:ascii="Arial" w:hAnsi="Arial" w:cs="Arial"/>
                <w:sz w:val="20"/>
                <w:szCs w:val="20"/>
                <w:vertAlign w:val="superscript"/>
              </w:rPr>
              <w:t>c</w:t>
            </w:r>
            <w:r w:rsidRPr="00573C59">
              <w:rPr>
                <w:rFonts w:ascii="Arial" w:hAnsi="Arial" w:cs="Arial"/>
                <w:color w:val="000000"/>
                <w:sz w:val="20"/>
                <w:szCs w:val="20"/>
              </w:rPr>
              <w:t xml:space="preserve"> (30.38)</w:t>
            </w:r>
          </w:p>
        </w:tc>
        <w:tc>
          <w:tcPr>
            <w:tcW w:w="921" w:type="dxa"/>
            <w:vAlign w:val="center"/>
            <w:hideMark/>
          </w:tcPr>
          <w:p w14:paraId="250E3D8D"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71.57</w:t>
            </w:r>
          </w:p>
        </w:tc>
        <w:tc>
          <w:tcPr>
            <w:tcW w:w="835" w:type="dxa"/>
            <w:vAlign w:val="center"/>
            <w:hideMark/>
          </w:tcPr>
          <w:p w14:paraId="2E5C1A9F" w14:textId="77777777" w:rsidR="009134F8" w:rsidRPr="00573C59" w:rsidRDefault="009134F8" w:rsidP="009134F8">
            <w:pPr>
              <w:contextualSpacing/>
              <w:jc w:val="center"/>
              <w:rPr>
                <w:rFonts w:ascii="Arial" w:hAnsi="Arial" w:cs="Arial"/>
                <w:color w:val="1F1F1F"/>
                <w:sz w:val="20"/>
                <w:szCs w:val="20"/>
                <w:bdr w:val="none" w:sz="0" w:space="0" w:color="auto" w:frame="1"/>
                <w:lang w:bidi="ta-IN"/>
              </w:rPr>
            </w:pPr>
            <w:r w:rsidRPr="00573C59">
              <w:rPr>
                <w:rFonts w:ascii="Arial" w:hAnsi="Arial" w:cs="Arial"/>
                <w:color w:val="1F1F1F"/>
                <w:sz w:val="20"/>
                <w:szCs w:val="20"/>
                <w:bdr w:val="none" w:sz="0" w:space="0" w:color="auto" w:frame="1"/>
                <w:lang w:bidi="ta-IN"/>
              </w:rPr>
              <w:t>6.79</w:t>
            </w:r>
            <w:r w:rsidRPr="00573C59">
              <w:rPr>
                <w:rFonts w:ascii="Arial" w:hAnsi="Arial" w:cs="Arial"/>
                <w:color w:val="1F1F1F"/>
                <w:sz w:val="20"/>
                <w:szCs w:val="20"/>
                <w:bdr w:val="none" w:sz="0" w:space="0" w:color="auto" w:frame="1"/>
                <w:vertAlign w:val="superscript"/>
                <w:lang w:bidi="ta-IN"/>
              </w:rPr>
              <w:t>c</w:t>
            </w:r>
          </w:p>
          <w:p w14:paraId="1E761BC8"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r w:rsidRPr="00573C59">
              <w:rPr>
                <w:rFonts w:ascii="Arial" w:hAnsi="Arial" w:cs="Arial"/>
                <w:color w:val="000000"/>
                <w:sz w:val="20"/>
                <w:szCs w:val="20"/>
              </w:rPr>
              <w:t>15.10</w:t>
            </w:r>
            <w:r w:rsidRPr="00573C59">
              <w:rPr>
                <w:rFonts w:ascii="Arial" w:hAnsi="Arial" w:cs="Arial"/>
                <w:color w:val="1F1F1F"/>
                <w:sz w:val="20"/>
                <w:szCs w:val="20"/>
                <w:bdr w:val="none" w:sz="0" w:space="0" w:color="auto" w:frame="1"/>
                <w:lang w:bidi="ta-IN"/>
              </w:rPr>
              <w:t>)</w:t>
            </w:r>
          </w:p>
        </w:tc>
        <w:tc>
          <w:tcPr>
            <w:tcW w:w="925" w:type="dxa"/>
            <w:vAlign w:val="center"/>
            <w:hideMark/>
          </w:tcPr>
          <w:p w14:paraId="34148F37"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92.46</w:t>
            </w:r>
          </w:p>
        </w:tc>
      </w:tr>
      <w:tr w:rsidR="009134F8" w:rsidRPr="00573C59" w14:paraId="3646AC1B" w14:textId="77777777" w:rsidTr="009134F8">
        <w:trPr>
          <w:cantSplit/>
        </w:trPr>
        <w:tc>
          <w:tcPr>
            <w:tcW w:w="1050" w:type="dxa"/>
            <w:vAlign w:val="center"/>
            <w:hideMark/>
          </w:tcPr>
          <w:p w14:paraId="52E62F44"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b/>
                <w:bCs/>
                <w:color w:val="1F1F1F"/>
                <w:sz w:val="20"/>
                <w:szCs w:val="20"/>
                <w:bdr w:val="none" w:sz="0" w:space="0" w:color="auto" w:frame="1"/>
                <w:lang w:bidi="ta-IN"/>
              </w:rPr>
              <w:t>Control</w:t>
            </w:r>
          </w:p>
        </w:tc>
        <w:tc>
          <w:tcPr>
            <w:tcW w:w="835" w:type="dxa"/>
            <w:vAlign w:val="center"/>
            <w:hideMark/>
          </w:tcPr>
          <w:p w14:paraId="63B0299B"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90.00</w:t>
            </w:r>
          </w:p>
        </w:tc>
        <w:tc>
          <w:tcPr>
            <w:tcW w:w="921" w:type="dxa"/>
            <w:vAlign w:val="center"/>
            <w:hideMark/>
          </w:tcPr>
          <w:p w14:paraId="7838FA58"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p>
        </w:tc>
        <w:tc>
          <w:tcPr>
            <w:tcW w:w="841" w:type="dxa"/>
            <w:vAlign w:val="center"/>
            <w:hideMark/>
          </w:tcPr>
          <w:p w14:paraId="3CE8F668"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90.00</w:t>
            </w:r>
          </w:p>
        </w:tc>
        <w:tc>
          <w:tcPr>
            <w:tcW w:w="921" w:type="dxa"/>
            <w:vAlign w:val="center"/>
            <w:hideMark/>
          </w:tcPr>
          <w:p w14:paraId="5041D81C"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w:t>
            </w:r>
          </w:p>
        </w:tc>
        <w:tc>
          <w:tcPr>
            <w:tcW w:w="839" w:type="dxa"/>
            <w:vAlign w:val="center"/>
            <w:hideMark/>
          </w:tcPr>
          <w:p w14:paraId="090C8C55"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90.00</w:t>
            </w:r>
          </w:p>
        </w:tc>
        <w:tc>
          <w:tcPr>
            <w:tcW w:w="921" w:type="dxa"/>
            <w:vAlign w:val="center"/>
            <w:hideMark/>
          </w:tcPr>
          <w:p w14:paraId="41704A68" w14:textId="77777777" w:rsidR="009134F8" w:rsidRPr="00573C59" w:rsidRDefault="009134F8" w:rsidP="009134F8">
            <w:pPr>
              <w:contextualSpacing/>
              <w:jc w:val="center"/>
              <w:rPr>
                <w:rFonts w:ascii="Arial" w:hAnsi="Arial" w:cs="Arial"/>
                <w:color w:val="1F1F1F"/>
                <w:sz w:val="20"/>
                <w:szCs w:val="20"/>
                <w:lang w:bidi="ta-IN"/>
              </w:rPr>
            </w:pPr>
          </w:p>
        </w:tc>
        <w:tc>
          <w:tcPr>
            <w:tcW w:w="835" w:type="dxa"/>
            <w:vAlign w:val="center"/>
            <w:hideMark/>
          </w:tcPr>
          <w:p w14:paraId="0BE35419" w14:textId="77777777" w:rsidR="009134F8" w:rsidRPr="00573C59" w:rsidRDefault="009134F8" w:rsidP="009134F8">
            <w:pPr>
              <w:contextualSpacing/>
              <w:jc w:val="center"/>
              <w:rPr>
                <w:rFonts w:ascii="Arial" w:hAnsi="Arial" w:cs="Arial"/>
                <w:color w:val="1F1F1F"/>
                <w:sz w:val="20"/>
                <w:szCs w:val="20"/>
                <w:lang w:bidi="ta-IN"/>
              </w:rPr>
            </w:pPr>
            <w:r w:rsidRPr="00573C59">
              <w:rPr>
                <w:rFonts w:ascii="Arial" w:hAnsi="Arial" w:cs="Arial"/>
                <w:color w:val="1F1F1F"/>
                <w:sz w:val="20"/>
                <w:szCs w:val="20"/>
                <w:bdr w:val="none" w:sz="0" w:space="0" w:color="auto" w:frame="1"/>
                <w:lang w:bidi="ta-IN"/>
              </w:rPr>
              <w:t>90.00</w:t>
            </w:r>
          </w:p>
        </w:tc>
        <w:tc>
          <w:tcPr>
            <w:tcW w:w="925" w:type="dxa"/>
            <w:vAlign w:val="center"/>
            <w:hideMark/>
          </w:tcPr>
          <w:p w14:paraId="2B1DEE2B" w14:textId="77777777" w:rsidR="009134F8" w:rsidRPr="00573C59" w:rsidRDefault="009134F8" w:rsidP="009134F8">
            <w:pPr>
              <w:contextualSpacing/>
              <w:jc w:val="center"/>
              <w:rPr>
                <w:rFonts w:ascii="Arial" w:hAnsi="Arial" w:cs="Arial"/>
                <w:color w:val="1F1F1F"/>
                <w:sz w:val="20"/>
                <w:szCs w:val="20"/>
                <w:lang w:bidi="ta-IN"/>
              </w:rPr>
            </w:pPr>
          </w:p>
        </w:tc>
      </w:tr>
    </w:tbl>
    <w:p w14:paraId="50456265" w14:textId="77777777" w:rsidR="0047484C" w:rsidRPr="00573C59" w:rsidRDefault="0047484C" w:rsidP="009134F8">
      <w:pPr>
        <w:jc w:val="both"/>
        <w:rPr>
          <w:rFonts w:ascii="Arial" w:hAnsi="Arial" w:cs="Arial"/>
          <w:color w:val="1F1F1F"/>
          <w:lang w:bidi="ta-IN"/>
        </w:rPr>
      </w:pPr>
      <w:r w:rsidRPr="00573C59">
        <w:rPr>
          <w:rFonts w:ascii="Arial" w:hAnsi="Arial" w:cs="Arial"/>
          <w:color w:val="1F1F1F"/>
          <w:bdr w:val="none" w:sz="0" w:space="0" w:color="auto" w:frame="1"/>
          <w:lang w:bidi="ta-IN"/>
        </w:rPr>
        <w:t xml:space="preserve">Values represent the mean of three independent replications. Means followed by different superscript letters within a </w:t>
      </w:r>
      <w:r w:rsidR="00EA6E2C" w:rsidRPr="00573C59">
        <w:rPr>
          <w:rFonts w:ascii="Arial" w:hAnsi="Arial" w:cs="Arial"/>
          <w:color w:val="1F1F1F"/>
          <w:bdr w:val="none" w:sz="0" w:space="0" w:color="auto" w:frame="1"/>
          <w:lang w:bidi="ta-IN"/>
        </w:rPr>
        <w:t>column differ significantly at P≤0.05</w:t>
      </w:r>
      <w:r w:rsidRPr="00573C59">
        <w:rPr>
          <w:rFonts w:ascii="Arial" w:hAnsi="Arial" w:cs="Arial"/>
          <w:color w:val="1F1F1F"/>
          <w:bdr w:val="none" w:sz="0" w:space="0" w:color="auto" w:frame="1"/>
          <w:lang w:bidi="ta-IN"/>
        </w:rPr>
        <w:t xml:space="preserve"> according to Duncan's Multiple Range Test (DMRT). Percentage inhibition values were recalculated and rounded to two decimal places based on a 90.00 mm control.</w:t>
      </w:r>
      <w:r w:rsidRPr="00573C59">
        <w:rPr>
          <w:rFonts w:ascii="Arial" w:hAnsi="Arial" w:cs="Arial"/>
          <w:color w:val="1F1F1F"/>
          <w:lang w:bidi="ta-IN"/>
        </w:rPr>
        <w:t xml:space="preserve"> </w:t>
      </w:r>
    </w:p>
    <w:p w14:paraId="10DCADB0" w14:textId="77777777" w:rsidR="0047484C" w:rsidRPr="00573C59" w:rsidRDefault="0047484C" w:rsidP="009134F8">
      <w:pPr>
        <w:jc w:val="both"/>
        <w:rPr>
          <w:rFonts w:ascii="Arial" w:hAnsi="Arial" w:cs="Arial"/>
          <w:color w:val="1F1F1F"/>
          <w:lang w:bidi="ta-IN"/>
        </w:rPr>
      </w:pPr>
    </w:p>
    <w:p>
      <w:pPr>
        <w:jc w:val="both"/>
        <w:rPr>
          <w:rFonts w:ascii="Arial" w:hAnsi="Arial" w:cs="Arial"/>
          <w:color w:val="1F1F1F"/>
          <w:lang w:bidi="ta-IN"/>
        </w:rPr>
      </w:pPr>
      <w:r>
        <w:rPr>
          <w:b/>
        </w:rPr>
        <w:t>3.2 Comparative Efficacy among Native Isolates</w:t>
      </w:r>
    </w:p>
    <w:p>
      <w:pPr>
        <w:jc w:val="both"/>
        <w:rPr>
          <w:rFonts w:ascii="Arial" w:hAnsi="Arial" w:cs="Arial"/>
          <w:color w:val="1F1F1F"/>
          <w:lang w:bidi="ta-IN"/>
        </w:rPr>
      </w:pPr>
      <w:r>
        <w:rPr>
          <w:b/>
          <w:i w:val="0"/>
        </w:rPr>
        <w:t xml:space="preserve">The marked superiority of Tv4 relative to the remaining isolates is also consistent with evidence that native </w:t>
      </w:r>
      <w:r>
        <w:rPr>
          <w:b/>
          <w:i/>
        </w:rPr>
        <w:t>Trichoderma</w:t>
      </w:r>
      <w:r>
        <w:rPr>
          <w:b/>
          <w:i w:val="0"/>
        </w:rPr>
        <w:t xml:space="preserve"> isolates can differ substantially in antagonistic activity against </w:t>
      </w:r>
      <w:r>
        <w:rPr>
          <w:b/>
          <w:i/>
        </w:rPr>
        <w:t>S. rolfsii</w:t>
      </w:r>
      <w:r>
        <w:rPr>
          <w:b/>
          <w:i w:val="0"/>
        </w:rPr>
        <w:t>, underscoring the importance of isolate-level screening (Meena et al., 2024).</w:t>
      </w:r>
    </w:p>
    <w:p w14:paraId="7CFFE91D" w14:textId="77777777" w:rsidR="0047484C" w:rsidRPr="00573C59" w:rsidRDefault="0047484C" w:rsidP="009134F8">
      <w:pPr>
        <w:jc w:val="both"/>
        <w:rPr>
          <w:rFonts w:ascii="Arial" w:hAnsi="Arial" w:cs="Arial"/>
          <w:color w:val="1F1F1F"/>
          <w:lang w:bidi="ta-IN"/>
        </w:rPr>
      </w:pPr>
      <w:r w:rsidRPr="00573C59">
        <w:rPr>
          <w:rFonts w:ascii="Arial" w:hAnsi="Arial" w:cs="Arial"/>
          <w:color w:val="1F1F1F"/>
          <w:bdr w:val="none" w:sz="0" w:space="0" w:color="auto" w:frame="1"/>
          <w:lang w:bidi="ta-IN"/>
        </w:rPr>
        <w:t>Among all evaluated isolates, Tv</w:t>
      </w:r>
      <w:r w:rsidRPr="00573C59">
        <w:rPr>
          <w:rFonts w:ascii="Arial" w:hAnsi="Arial" w:cs="Arial"/>
          <w:color w:val="1F1F1F"/>
          <w:bdr w:val="none" w:sz="0" w:space="0" w:color="auto" w:frame="1"/>
          <w:vertAlign w:val="subscript"/>
          <w:lang w:bidi="ta-IN"/>
        </w:rPr>
        <w:t>4</w:t>
      </w:r>
      <w:r w:rsidRPr="00573C59">
        <w:rPr>
          <w:rFonts w:ascii="Arial" w:hAnsi="Arial" w:cs="Arial"/>
          <w:color w:val="1F1F1F"/>
          <w:bdr w:val="none" w:sz="0" w:space="0" w:color="auto" w:frame="1"/>
          <w:lang w:bidi="ta-IN"/>
        </w:rPr>
        <w:t xml:space="preserve"> </w:t>
      </w:r>
      <w:r w:rsidR="009134F8" w:rsidRPr="00573C59">
        <w:rPr>
          <w:rFonts w:ascii="Arial" w:hAnsi="Arial" w:cs="Arial"/>
          <w:color w:val="1F1F1F"/>
          <w:bdr w:val="none" w:sz="0" w:space="0" w:color="auto" w:frame="1"/>
          <w:lang w:bidi="ta-IN"/>
        </w:rPr>
        <w:t xml:space="preserve">demonstrated the highest growth </w:t>
      </w:r>
      <w:r w:rsidRPr="00573C59">
        <w:rPr>
          <w:rFonts w:ascii="Arial" w:hAnsi="Arial" w:cs="Arial"/>
          <w:color w:val="1F1F1F"/>
          <w:bdr w:val="none" w:sz="0" w:space="0" w:color="auto" w:frame="1"/>
          <w:lang w:bidi="ta-IN"/>
        </w:rPr>
        <w:t>inhibitory pote</w:t>
      </w:r>
      <w:r w:rsidR="009134F8" w:rsidRPr="00573C59">
        <w:rPr>
          <w:rFonts w:ascii="Arial" w:hAnsi="Arial" w:cs="Arial"/>
          <w:color w:val="1F1F1F"/>
          <w:bdr w:val="none" w:sz="0" w:space="0" w:color="auto" w:frame="1"/>
          <w:lang w:bidi="ta-IN"/>
        </w:rPr>
        <w:t>ncy across all tested dosages</w:t>
      </w:r>
      <w:r w:rsidRPr="00573C59">
        <w:rPr>
          <w:rFonts w:ascii="Arial" w:hAnsi="Arial" w:cs="Arial"/>
          <w:color w:val="1F1F1F"/>
          <w:bdr w:val="none" w:sz="0" w:space="0" w:color="auto" w:frame="1"/>
          <w:lang w:bidi="ta-IN"/>
        </w:rPr>
        <w:t>. At a 10% culture filtrate concentration, Tv</w:t>
      </w:r>
      <w:r w:rsidRPr="00573C59">
        <w:rPr>
          <w:rFonts w:ascii="Arial" w:hAnsi="Arial" w:cs="Arial"/>
          <w:color w:val="1F1F1F"/>
          <w:bdr w:val="none" w:sz="0" w:space="0" w:color="auto" w:frame="1"/>
          <w:vertAlign w:val="subscript"/>
          <w:lang w:bidi="ta-IN"/>
        </w:rPr>
        <w:t>4</w:t>
      </w:r>
      <w:r w:rsidRPr="00573C59">
        <w:rPr>
          <w:rFonts w:ascii="Arial" w:hAnsi="Arial" w:cs="Arial"/>
          <w:color w:val="1F1F1F"/>
          <w:bdr w:val="none" w:sz="0" w:space="0" w:color="auto" w:frame="1"/>
          <w:lang w:bidi="ta-IN"/>
        </w:rPr>
        <w:t xml:space="preserve"> restricted fungal colony growth to 27.79 mm (69.12% inhibition). Pathogen suppression increased with filtrate dosage, yielding 19.56 mm growth (78.27% inhibition) at 20%, 12.26 mm growth (86.38% inhibition) at 30%, and complete mycelial growth suppression (0.00 mm growth; 100.00% inhibition) </w:t>
      </w:r>
      <w:r>
        <w:rPr>
          <w:rFonts w:ascii="Arial" w:hAnsi="Arial" w:cs="Arial"/>
          <w:color w:val="1F1F1F"/>
          <w:highlight w:val="yellow"/>
          <w:bdr w:val="none" w:sz="0" w:space="0" w:color="auto" w:frame="1"/>
          <w:lang w:bidi="ta-IN"/>
        </w:rPr>
        <w:t>at 40% concentration</w:t>
      </w:r>
      <w:r>
        <w:rPr>
          <w:rFonts w:ascii="Arial" w:hAnsi="Arial" w:cs="Arial"/>
          <w:color w:val="1F1F1F"/>
          <w:bdr w:val="none" w:sz="0" w:space="0" w:color="auto" w:frame="1"/>
          <w:lang w:bidi="ta-IN"/>
        </w:rPr>
        <w:t>. Isolates Tv</w:t>
      </w:r>
      <w:r w:rsidRPr="00573C59">
        <w:rPr>
          <w:rFonts w:ascii="Arial" w:hAnsi="Arial" w:cs="Arial"/>
          <w:color w:val="1F1F1F"/>
          <w:bdr w:val="none" w:sz="0" w:space="0" w:color="auto" w:frame="1"/>
          <w:vertAlign w:val="subscript"/>
          <w:lang w:bidi="ta-IN"/>
        </w:rPr>
        <w:t>6</w:t>
      </w:r>
      <w:r w:rsidRPr="00573C59">
        <w:rPr>
          <w:rFonts w:ascii="Arial" w:hAnsi="Arial" w:cs="Arial"/>
          <w:color w:val="1F1F1F"/>
          <w:bdr w:val="none" w:sz="0" w:space="0" w:color="auto" w:frame="1"/>
          <w:lang w:bidi="ta-IN"/>
        </w:rPr>
        <w:t>, Tv</w:t>
      </w:r>
      <w:r w:rsidRPr="00573C59">
        <w:rPr>
          <w:rFonts w:ascii="Arial" w:hAnsi="Arial" w:cs="Arial"/>
          <w:color w:val="1F1F1F"/>
          <w:bdr w:val="none" w:sz="0" w:space="0" w:color="auto" w:frame="1"/>
          <w:vertAlign w:val="subscript"/>
          <w:lang w:bidi="ta-IN"/>
        </w:rPr>
        <w:t>8</w:t>
      </w:r>
      <w:r w:rsidRPr="00573C59">
        <w:rPr>
          <w:rFonts w:ascii="Arial" w:hAnsi="Arial" w:cs="Arial"/>
          <w:color w:val="1F1F1F"/>
          <w:bdr w:val="none" w:sz="0" w:space="0" w:color="auto" w:frame="1"/>
          <w:lang w:bidi="ta-IN"/>
        </w:rPr>
        <w:t>, and Tv</w:t>
      </w:r>
      <w:r w:rsidRPr="00573C59">
        <w:rPr>
          <w:rFonts w:ascii="Arial" w:hAnsi="Arial" w:cs="Arial"/>
          <w:color w:val="1F1F1F"/>
          <w:bdr w:val="none" w:sz="0" w:space="0" w:color="auto" w:frame="1"/>
          <w:vertAlign w:val="subscript"/>
          <w:lang w:bidi="ta-IN"/>
        </w:rPr>
        <w:t>7</w:t>
      </w:r>
      <w:r w:rsidRPr="00573C59">
        <w:rPr>
          <w:rFonts w:ascii="Arial" w:hAnsi="Arial" w:cs="Arial"/>
          <w:color w:val="1F1F1F"/>
          <w:bdr w:val="none" w:sz="0" w:space="0" w:color="auto" w:frame="1"/>
          <w:lang w:bidi="ta-IN"/>
        </w:rPr>
        <w:t xml:space="preserve"> also exhibited marked inhibitory effectiveness, recording 98.63%, 98.22%, and 98.02% growth inhibition at the 40% concentration, respectively. Conversely, isolates Tv</w:t>
      </w:r>
      <w:r w:rsidRPr="00573C59">
        <w:rPr>
          <w:rFonts w:ascii="Arial" w:hAnsi="Arial" w:cs="Arial"/>
          <w:color w:val="1F1F1F"/>
          <w:bdr w:val="none" w:sz="0" w:space="0" w:color="auto" w:frame="1"/>
          <w:vertAlign w:val="subscript"/>
          <w:lang w:bidi="ta-IN"/>
        </w:rPr>
        <w:t>5</w:t>
      </w:r>
      <w:r w:rsidRPr="00573C59">
        <w:rPr>
          <w:rFonts w:ascii="Arial" w:hAnsi="Arial" w:cs="Arial"/>
          <w:color w:val="1F1F1F"/>
          <w:bdr w:val="none" w:sz="0" w:space="0" w:color="auto" w:frame="1"/>
          <w:lang w:bidi="ta-IN"/>
        </w:rPr>
        <w:t xml:space="preserve"> and Tv</w:t>
      </w:r>
      <w:r w:rsidRPr="00573C59">
        <w:rPr>
          <w:rFonts w:ascii="Arial" w:hAnsi="Arial" w:cs="Arial"/>
          <w:color w:val="1F1F1F"/>
          <w:bdr w:val="none" w:sz="0" w:space="0" w:color="auto" w:frame="1"/>
          <w:vertAlign w:val="subscript"/>
          <w:lang w:bidi="ta-IN"/>
        </w:rPr>
        <w:t>2</w:t>
      </w:r>
      <w:r w:rsidRPr="00573C59">
        <w:rPr>
          <w:rFonts w:ascii="Arial" w:hAnsi="Arial" w:cs="Arial"/>
          <w:color w:val="1F1F1F"/>
          <w:bdr w:val="none" w:sz="0" w:space="0" w:color="auto" w:frame="1"/>
          <w:lang w:bidi="ta-IN"/>
        </w:rPr>
        <w:t xml:space="preserve"> exhibited the lowest inhibition levels at 40% concentration (90.00% and 91.97%, respectively).</w:t>
      </w:r>
      <w:r w:rsidRPr="00573C59">
        <w:rPr>
          <w:rFonts w:ascii="Arial" w:hAnsi="Arial" w:cs="Arial"/>
          <w:color w:val="1F1F1F"/>
          <w:lang w:bidi="ta-IN"/>
        </w:rPr>
        <w:t xml:space="preserve"> </w:t>
      </w:r>
    </w:p>
    <w:p w14:paraId="009EF5E0" w14:textId="77777777" w:rsidR="0047484C" w:rsidRPr="00573C59" w:rsidRDefault="0047484C" w:rsidP="009134F8">
      <w:pPr>
        <w:jc w:val="both"/>
        <w:rPr>
          <w:rFonts w:ascii="Arial" w:hAnsi="Arial" w:cs="Arial"/>
          <w:color w:val="1F1F1F"/>
          <w:lang w:bidi="ta-IN"/>
        </w:rPr>
      </w:pPr>
    </w:p>
    <w:p>
      <w:pPr>
        <w:jc w:val="both"/>
        <w:rPr>
          <w:rFonts w:ascii="Arial" w:hAnsi="Arial" w:cs="Arial"/>
          <w:color w:val="1F1F1F"/>
          <w:lang w:bidi="ta-IN"/>
        </w:rPr>
      </w:pPr>
      <w:r>
        <w:rPr>
          <w:b/>
        </w:rPr>
        <w:t>3.3 Culture-Filtrate Mechanisms and Isolate-Dependent Suppression</w:t>
      </w:r>
    </w:p>
    <w:p>
      <w:pPr>
        <w:jc w:val="both"/>
        <w:rPr>
          <w:rFonts w:ascii="Arial" w:hAnsi="Arial" w:cs="Arial"/>
          <w:color w:val="1F1F1F"/>
          <w:lang w:bidi="ta-IN"/>
        </w:rPr>
      </w:pPr>
      <w:r>
        <w:rPr>
          <w:b/>
          <w:i w:val="0"/>
        </w:rPr>
        <w:t xml:space="preserve">Groundnut-specific mechanistic evidence further indicates that </w:t>
      </w:r>
      <w:r>
        <w:rPr>
          <w:b/>
          <w:i/>
        </w:rPr>
        <w:t>Trichoderma</w:t>
      </w:r>
      <w:r>
        <w:rPr>
          <w:b/>
          <w:i w:val="0"/>
        </w:rPr>
        <w:t xml:space="preserve">-mediated suppression of </w:t>
      </w:r>
      <w:r>
        <w:rPr>
          <w:b/>
          <w:i/>
        </w:rPr>
        <w:t>S. rolfsii</w:t>
      </w:r>
      <w:r>
        <w:rPr>
          <w:b/>
          <w:i w:val="0"/>
        </w:rPr>
        <w:t xml:space="preserve"> can involve antifungal metabolites and volatile organic compounds, including 6-pentyl-2H-pyran-2-one, supporting the interpretation that extracellular products may contribute to the inhibition observed here (Ayyandurai et al., 2023).</w:t>
      </w:r>
    </w:p>
    <w:p w14:paraId="6D4B3B0F" w14:textId="77777777" w:rsidR="0047484C" w:rsidRPr="00573C59" w:rsidRDefault="0047484C" w:rsidP="009134F8">
      <w:pPr>
        <w:jc w:val="both"/>
        <w:rPr>
          <w:rFonts w:ascii="Arial" w:hAnsi="Arial" w:cs="Arial"/>
          <w:color w:val="1F1F1F"/>
          <w:lang w:bidi="ta-IN"/>
        </w:rPr>
      </w:pPr>
      <w:r w:rsidRPr="00573C59">
        <w:rPr>
          <w:rFonts w:ascii="Arial" w:hAnsi="Arial" w:cs="Arial"/>
          <w:color w:val="1F1F1F"/>
          <w:bdr w:val="none" w:sz="0" w:space="0" w:color="auto" w:frame="1"/>
          <w:lang w:bidi="ta-IN"/>
        </w:rPr>
        <w:t xml:space="preserve">These findings align with previous observations by </w:t>
      </w:r>
      <w:r>
        <w:rPr>
          <w:rFonts w:ascii="Arial" w:hAnsi="Arial" w:cs="Arial"/>
          <w:color w:val="1F1F1F"/>
          <w:highlight w:val="yellow"/>
          <w:bdr w:val="none" w:sz="0" w:space="0" w:color="auto" w:frame="1"/>
          <w:lang w:bidi="ta-IN"/>
        </w:rPr>
        <w:t>Abdelmoteleb et al. (2023)</w:t>
      </w:r>
      <w:r w:rsidRPr="00573C59">
        <w:rPr>
          <w:rFonts w:ascii="Arial" w:hAnsi="Arial" w:cs="Arial"/>
          <w:color w:val="1F1F1F"/>
          <w:bdr w:val="none" w:sz="0" w:space="0" w:color="auto" w:frame="1"/>
          <w:lang w:bidi="ta-IN"/>
        </w:rPr>
        <w:t xml:space="preserve">, who reported substantial pathogen suppression using cell-free filtrates of </w:t>
      </w:r>
      <w:r w:rsidRPr="00573C59">
        <w:rPr>
          <w:rFonts w:ascii="Arial" w:hAnsi="Arial" w:cs="Arial"/>
          <w:i/>
          <w:iCs/>
          <w:color w:val="1F1F1F"/>
          <w:bdr w:val="none" w:sz="0" w:space="0" w:color="auto" w:frame="1"/>
          <w:lang w:bidi="ta-IN"/>
        </w:rPr>
        <w:t>Trichoderma</w:t>
      </w:r>
      <w:r w:rsidRPr="00573C59">
        <w:rPr>
          <w:rFonts w:ascii="Arial" w:hAnsi="Arial" w:cs="Arial"/>
          <w:color w:val="1F1F1F"/>
          <w:bdr w:val="none" w:sz="0" w:space="0" w:color="auto" w:frame="1"/>
          <w:lang w:bidi="ta-IN"/>
        </w:rPr>
        <w:t xml:space="preserve"> species against soil-borne phytopathogens such as </w:t>
      </w:r>
      <w:r w:rsidRPr="00573C59">
        <w:rPr>
          <w:rFonts w:ascii="Arial" w:hAnsi="Arial" w:cs="Arial"/>
          <w:i/>
          <w:iCs/>
          <w:color w:val="1F1F1F"/>
          <w:bdr w:val="none" w:sz="0" w:space="0" w:color="auto" w:frame="1"/>
          <w:lang w:bidi="ta-IN"/>
        </w:rPr>
        <w:t xml:space="preserve">Rhizoctonia </w:t>
      </w:r>
      <w:proofErr w:type="spellStart"/>
      <w:r w:rsidRPr="00573C59">
        <w:rPr>
          <w:rFonts w:ascii="Arial" w:hAnsi="Arial" w:cs="Arial"/>
          <w:i/>
          <w:iCs/>
          <w:color w:val="1F1F1F"/>
          <w:bdr w:val="none" w:sz="0" w:space="0" w:color="auto" w:frame="1"/>
          <w:lang w:bidi="ta-IN"/>
        </w:rPr>
        <w:t>solani</w:t>
      </w:r>
      <w:proofErr w:type="spellEnd"/>
      <w:r w:rsidRPr="00573C59">
        <w:rPr>
          <w:rFonts w:ascii="Arial" w:hAnsi="Arial" w:cs="Arial"/>
          <w:color w:val="1F1F1F"/>
          <w:bdr w:val="none" w:sz="0" w:space="0" w:color="auto" w:frame="1"/>
          <w:lang w:bidi="ta-IN"/>
        </w:rPr>
        <w:t xml:space="preserve"> and </w:t>
      </w:r>
      <w:r w:rsidRPr="00573C59">
        <w:rPr>
          <w:rFonts w:ascii="Arial" w:hAnsi="Arial" w:cs="Arial"/>
          <w:i/>
          <w:iCs/>
          <w:color w:val="1F1F1F"/>
          <w:bdr w:val="none" w:sz="0" w:space="0" w:color="auto" w:frame="1"/>
          <w:lang w:bidi="ta-IN"/>
        </w:rPr>
        <w:t>S. rolfsii</w:t>
      </w:r>
      <w:r w:rsidRPr="00573C59">
        <w:rPr>
          <w:rFonts w:ascii="Arial" w:hAnsi="Arial" w:cs="Arial"/>
          <w:color w:val="1F1F1F"/>
          <w:bdr w:val="none" w:sz="0" w:space="0" w:color="auto" w:frame="1"/>
          <w:lang w:bidi="ta-IN"/>
        </w:rPr>
        <w:t xml:space="preserve">. </w:t>
      </w:r>
      <w:r>
        <w:rPr>
          <w:rFonts w:ascii="Arial" w:hAnsi="Arial" w:cs="Arial"/>
          <w:color w:val="1F1F1F"/>
          <w:highlight w:val="yellow"/>
          <w:bdr w:val="none" w:sz="0" w:space="0" w:color="auto" w:frame="1"/>
          <w:lang w:bidi="ta-IN"/>
        </w:rPr>
        <w:t>In the literature</w:t>
      </w:r>
      <w:r>
        <w:rPr>
          <w:rFonts w:ascii="Arial" w:hAnsi="Arial" w:cs="Arial"/>
          <w:color w:val="1F1F1F"/>
          <w:bdr w:val="none" w:sz="0" w:space="0" w:color="auto" w:frame="1"/>
          <w:lang w:bidi="ta-IN"/>
        </w:rPr>
        <w:t xml:space="preserve">, the growth-inhibitory efficacy of </w:t>
      </w:r>
      <w:r w:rsidRPr="00573C59">
        <w:rPr>
          <w:rFonts w:ascii="Arial" w:hAnsi="Arial" w:cs="Arial"/>
          <w:i/>
          <w:iCs/>
          <w:color w:val="1F1F1F"/>
          <w:bdr w:val="none" w:sz="0" w:space="0" w:color="auto" w:frame="1"/>
          <w:lang w:bidi="ta-IN"/>
        </w:rPr>
        <w:t>Trichoderma</w:t>
      </w:r>
      <w:r w:rsidRPr="00573C59">
        <w:rPr>
          <w:rFonts w:ascii="Arial" w:hAnsi="Arial" w:cs="Arial"/>
          <w:color w:val="1F1F1F"/>
          <w:bdr w:val="none" w:sz="0" w:space="0" w:color="auto" w:frame="1"/>
          <w:lang w:bidi="ta-IN"/>
        </w:rPr>
        <w:t xml:space="preserve"> culture filtrates has often been attributed to the secretion of diffusible non-volatile antibiotic metabolites (such as </w:t>
      </w:r>
      <w:proofErr w:type="spellStart"/>
      <w:r w:rsidRPr="00573C59">
        <w:rPr>
          <w:rFonts w:ascii="Arial" w:hAnsi="Arial" w:cs="Arial"/>
          <w:color w:val="1F1F1F"/>
          <w:bdr w:val="none" w:sz="0" w:space="0" w:color="auto" w:frame="1"/>
          <w:lang w:bidi="ta-IN"/>
        </w:rPr>
        <w:t>viridin</w:t>
      </w:r>
      <w:proofErr w:type="spellEnd"/>
      <w:r w:rsidRPr="00573C59">
        <w:rPr>
          <w:rFonts w:ascii="Arial" w:hAnsi="Arial" w:cs="Arial"/>
          <w:color w:val="1F1F1F"/>
          <w:bdr w:val="none" w:sz="0" w:space="0" w:color="auto" w:frame="1"/>
          <w:lang w:bidi="ta-IN"/>
        </w:rPr>
        <w:t>, trichodermin, and gliotoxin) and extracellular lytic en</w:t>
      </w:r>
      <w:r w:rsidR="009134F8" w:rsidRPr="00573C59">
        <w:rPr>
          <w:rFonts w:ascii="Arial" w:hAnsi="Arial" w:cs="Arial"/>
          <w:color w:val="1F1F1F"/>
          <w:bdr w:val="none" w:sz="0" w:space="0" w:color="auto" w:frame="1"/>
          <w:lang w:bidi="ta-IN"/>
        </w:rPr>
        <w:t>zymes (such as chitinases and beta</w:t>
      </w:r>
      <w:r w:rsidRPr="00573C59">
        <w:rPr>
          <w:rFonts w:ascii="Arial" w:hAnsi="Arial" w:cs="Arial"/>
          <w:color w:val="1F1F1F"/>
          <w:bdr w:val="none" w:sz="0" w:space="0" w:color="auto" w:frame="1"/>
          <w:lang w:bidi="ta-IN"/>
        </w:rPr>
        <w:t>-1,3-glucanases) capable of degrading fungal cell walls (El-</w:t>
      </w:r>
      <w:proofErr w:type="spellStart"/>
      <w:r w:rsidRPr="00573C59">
        <w:rPr>
          <w:rFonts w:ascii="Arial" w:hAnsi="Arial" w:cs="Arial"/>
          <w:color w:val="1F1F1F"/>
          <w:bdr w:val="none" w:sz="0" w:space="0" w:color="auto" w:frame="1"/>
          <w:lang w:bidi="ta-IN"/>
        </w:rPr>
        <w:t>Katatny</w:t>
      </w:r>
      <w:proofErr w:type="spellEnd"/>
      <w:r w:rsidRPr="00573C59">
        <w:rPr>
          <w:rFonts w:ascii="Arial" w:hAnsi="Arial" w:cs="Arial"/>
          <w:color w:val="1F1F1F"/>
          <w:bdr w:val="none" w:sz="0" w:space="0" w:color="auto" w:frame="1"/>
          <w:lang w:bidi="ta-IN"/>
        </w:rPr>
        <w:t xml:space="preserve"> et al.</w:t>
      </w:r>
      <w:r w:rsidR="00573C59">
        <w:rPr>
          <w:rFonts w:ascii="Arial" w:hAnsi="Arial" w:cs="Arial"/>
          <w:color w:val="1F1F1F"/>
          <w:bdr w:val="none" w:sz="0" w:space="0" w:color="auto" w:frame="1"/>
          <w:lang w:bidi="ta-IN"/>
        </w:rPr>
        <w:t>,</w:t>
      </w:r>
      <w:r w:rsidRPr="00573C59">
        <w:rPr>
          <w:rFonts w:ascii="Arial" w:hAnsi="Arial" w:cs="Arial"/>
          <w:color w:val="1F1F1F"/>
          <w:bdr w:val="none" w:sz="0" w:space="0" w:color="auto" w:frame="1"/>
          <w:lang w:bidi="ta-IN"/>
        </w:rPr>
        <w:t xml:space="preserve"> 2001; </w:t>
      </w:r>
      <w:proofErr w:type="spellStart"/>
      <w:r w:rsidRPr="00573C59">
        <w:rPr>
          <w:rFonts w:ascii="Arial" w:hAnsi="Arial" w:cs="Arial"/>
          <w:color w:val="1F1F1F"/>
          <w:bdr w:val="none" w:sz="0" w:space="0" w:color="auto" w:frame="1"/>
          <w:lang w:bidi="ta-IN"/>
        </w:rPr>
        <w:t>Sarrocco</w:t>
      </w:r>
      <w:proofErr w:type="spellEnd"/>
      <w:r w:rsidRPr="00573C59">
        <w:rPr>
          <w:rFonts w:ascii="Arial" w:hAnsi="Arial" w:cs="Arial"/>
          <w:color w:val="1F1F1F"/>
          <w:bdr w:val="none" w:sz="0" w:space="0" w:color="auto" w:frame="1"/>
          <w:lang w:bidi="ta-IN"/>
        </w:rPr>
        <w:t xml:space="preserve"> et al.</w:t>
      </w:r>
      <w:r w:rsidR="00573C59">
        <w:rPr>
          <w:rFonts w:ascii="Arial" w:hAnsi="Arial" w:cs="Arial"/>
          <w:color w:val="1F1F1F"/>
          <w:bdr w:val="none" w:sz="0" w:space="0" w:color="auto" w:frame="1"/>
          <w:lang w:bidi="ta-IN"/>
        </w:rPr>
        <w:t>,</w:t>
      </w:r>
      <w:r w:rsidRPr="00573C59">
        <w:rPr>
          <w:rFonts w:ascii="Arial" w:hAnsi="Arial" w:cs="Arial"/>
          <w:color w:val="1F1F1F"/>
          <w:bdr w:val="none" w:sz="0" w:space="0" w:color="auto" w:frame="1"/>
          <w:lang w:bidi="ta-IN"/>
        </w:rPr>
        <w:t xml:space="preserve"> 2022; </w:t>
      </w:r>
      <w:r>
        <w:rPr>
          <w:rFonts w:ascii="Arial" w:hAnsi="Arial" w:cs="Arial"/>
          <w:color w:val="1F1F1F"/>
          <w:highlight w:val="yellow"/>
          <w:bdr w:val="none" w:sz="0" w:space="0" w:color="auto" w:frame="1"/>
          <w:lang w:bidi="ta-IN"/>
        </w:rPr>
        <w:t>Balamurugan et al., 2025b</w:t>
      </w:r>
      <w:r w:rsidRPr="00573C59">
        <w:rPr>
          <w:rFonts w:ascii="Arial" w:hAnsi="Arial" w:cs="Arial"/>
          <w:color w:val="1F1F1F"/>
          <w:bdr w:val="none" w:sz="0" w:space="0" w:color="auto" w:frame="1"/>
          <w:lang w:bidi="ta-IN"/>
        </w:rPr>
        <w:t>).</w:t>
      </w:r>
      <w:r w:rsidRPr="00573C59">
        <w:rPr>
          <w:rFonts w:ascii="Arial" w:hAnsi="Arial" w:cs="Arial"/>
          <w:color w:val="1F1F1F"/>
          <w:lang w:bidi="ta-IN"/>
        </w:rPr>
        <w:t xml:space="preserve"> </w:t>
      </w:r>
    </w:p>
    <w:p w14:paraId="7A25A07D" w14:textId="77777777" w:rsidR="0047484C" w:rsidRPr="00573C59" w:rsidRDefault="0047484C" w:rsidP="009134F8">
      <w:pPr>
        <w:jc w:val="both"/>
        <w:rPr>
          <w:rFonts w:ascii="Arial" w:hAnsi="Arial" w:cs="Arial"/>
          <w:color w:val="1F1F1F"/>
          <w:lang w:bidi="ta-IN"/>
        </w:rPr>
      </w:pPr>
    </w:p>
    <w:p w14:paraId="108AD253" w14:textId="77777777" w:rsidR="0047484C" w:rsidRPr="00573C59" w:rsidRDefault="0047484C" w:rsidP="009134F8">
      <w:pPr>
        <w:jc w:val="both"/>
        <w:rPr>
          <w:rFonts w:ascii="Arial" w:hAnsi="Arial" w:cs="Arial"/>
          <w:color w:val="1F1F1F"/>
          <w:lang w:bidi="ta-IN"/>
        </w:rPr>
      </w:pPr>
      <w:r w:rsidRPr="00573C59">
        <w:rPr>
          <w:rFonts w:ascii="Arial" w:hAnsi="Arial" w:cs="Arial"/>
          <w:color w:val="1F1F1F"/>
          <w:bdr w:val="none" w:sz="0" w:space="0" w:color="auto" w:frame="1"/>
          <w:lang w:bidi="ta-IN"/>
        </w:rPr>
        <w:t>The pronounced statistical separation among Tv</w:t>
      </w:r>
      <w:r w:rsidRPr="00573C59">
        <w:rPr>
          <w:rFonts w:ascii="Arial" w:hAnsi="Arial" w:cs="Arial"/>
          <w:color w:val="1F1F1F"/>
          <w:bdr w:val="none" w:sz="0" w:space="0" w:color="auto" w:frame="1"/>
          <w:vertAlign w:val="subscript"/>
          <w:lang w:bidi="ta-IN"/>
        </w:rPr>
        <w:t>4</w:t>
      </w:r>
      <w:r w:rsidRPr="00573C59">
        <w:rPr>
          <w:rFonts w:ascii="Arial" w:hAnsi="Arial" w:cs="Arial"/>
          <w:color w:val="1F1F1F"/>
          <w:bdr w:val="none" w:sz="0" w:space="0" w:color="auto" w:frame="1"/>
          <w:lang w:bidi="ta-IN"/>
        </w:rPr>
        <w:t>, Tv</w:t>
      </w:r>
      <w:r w:rsidRPr="00573C59">
        <w:rPr>
          <w:rFonts w:ascii="Arial" w:hAnsi="Arial" w:cs="Arial"/>
          <w:color w:val="1F1F1F"/>
          <w:bdr w:val="none" w:sz="0" w:space="0" w:color="auto" w:frame="1"/>
          <w:vertAlign w:val="subscript"/>
          <w:lang w:bidi="ta-IN"/>
        </w:rPr>
        <w:t>6</w:t>
      </w:r>
      <w:r w:rsidRPr="00573C59">
        <w:rPr>
          <w:rFonts w:ascii="Arial" w:hAnsi="Arial" w:cs="Arial"/>
          <w:color w:val="1F1F1F"/>
          <w:bdr w:val="none" w:sz="0" w:space="0" w:color="auto" w:frame="1"/>
          <w:lang w:bidi="ta-IN"/>
        </w:rPr>
        <w:t>, Tv</w:t>
      </w:r>
      <w:r w:rsidRPr="00573C59">
        <w:rPr>
          <w:rFonts w:ascii="Arial" w:hAnsi="Arial" w:cs="Arial"/>
          <w:color w:val="1F1F1F"/>
          <w:bdr w:val="none" w:sz="0" w:space="0" w:color="auto" w:frame="1"/>
          <w:vertAlign w:val="subscript"/>
          <w:lang w:bidi="ta-IN"/>
        </w:rPr>
        <w:t>8</w:t>
      </w:r>
      <w:r w:rsidRPr="00573C59">
        <w:rPr>
          <w:rFonts w:ascii="Arial" w:hAnsi="Arial" w:cs="Arial"/>
          <w:color w:val="1F1F1F"/>
          <w:bdr w:val="none" w:sz="0" w:space="0" w:color="auto" w:frame="1"/>
          <w:lang w:bidi="ta-IN"/>
        </w:rPr>
        <w:t xml:space="preserve">, and less inhibitory isolates across all concentrations confirms that the antifungal capacity of </w:t>
      </w:r>
      <w:r w:rsidRPr="00573C59">
        <w:rPr>
          <w:rFonts w:ascii="Arial" w:hAnsi="Arial" w:cs="Arial"/>
          <w:i/>
          <w:iCs/>
          <w:color w:val="1F1F1F"/>
          <w:bdr w:val="none" w:sz="0" w:space="0" w:color="auto" w:frame="1"/>
          <w:lang w:bidi="ta-IN"/>
        </w:rPr>
        <w:t>Trichoderma</w:t>
      </w:r>
      <w:r w:rsidRPr="00573C59">
        <w:rPr>
          <w:rFonts w:ascii="Arial" w:hAnsi="Arial" w:cs="Arial"/>
          <w:color w:val="1F1F1F"/>
          <w:bdr w:val="none" w:sz="0" w:space="0" w:color="auto" w:frame="1"/>
          <w:lang w:bidi="ta-IN"/>
        </w:rPr>
        <w:t xml:space="preserve"> culture filtrates is markedly isolate-dependent. This is consistent wit</w:t>
      </w:r>
      <w:r w:rsidR="009134F8" w:rsidRPr="00573C59">
        <w:rPr>
          <w:rFonts w:ascii="Arial" w:hAnsi="Arial" w:cs="Arial"/>
          <w:color w:val="1F1F1F"/>
          <w:bdr w:val="none" w:sz="0" w:space="0" w:color="auto" w:frame="1"/>
          <w:lang w:bidi="ta-IN"/>
        </w:rPr>
        <w:t xml:space="preserve">h earlier reports where culture </w:t>
      </w:r>
      <w:r w:rsidRPr="00573C59">
        <w:rPr>
          <w:rFonts w:ascii="Arial" w:hAnsi="Arial" w:cs="Arial"/>
          <w:color w:val="1F1F1F"/>
          <w:bdr w:val="none" w:sz="0" w:space="0" w:color="auto" w:frame="1"/>
          <w:lang w:bidi="ta-IN"/>
        </w:rPr>
        <w:t xml:space="preserve">filtrate bioassays revealed substantial variation in </w:t>
      </w:r>
      <w:r w:rsidRPr="00573C59">
        <w:rPr>
          <w:rFonts w:ascii="Arial" w:hAnsi="Arial" w:cs="Arial"/>
          <w:i/>
          <w:iCs/>
          <w:color w:val="1F1F1F"/>
          <w:bdr w:val="none" w:sz="0" w:space="0" w:color="auto" w:frame="1"/>
          <w:lang w:bidi="ta-IN"/>
        </w:rPr>
        <w:t>S. rolfsii</w:t>
      </w:r>
      <w:r w:rsidRPr="00573C59">
        <w:rPr>
          <w:rFonts w:ascii="Arial" w:hAnsi="Arial" w:cs="Arial"/>
          <w:color w:val="1F1F1F"/>
          <w:bdr w:val="none" w:sz="0" w:space="0" w:color="auto" w:frame="1"/>
          <w:lang w:bidi="ta-IN"/>
        </w:rPr>
        <w:t xml:space="preserve"> suppression among different </w:t>
      </w:r>
      <w:r w:rsidRPr="00573C59">
        <w:rPr>
          <w:rFonts w:ascii="Arial" w:hAnsi="Arial" w:cs="Arial"/>
          <w:i/>
          <w:iCs/>
          <w:color w:val="1F1F1F"/>
          <w:bdr w:val="none" w:sz="0" w:space="0" w:color="auto" w:frame="1"/>
          <w:lang w:bidi="ta-IN"/>
        </w:rPr>
        <w:t>Trichoderma</w:t>
      </w:r>
      <w:r w:rsidRPr="00573C59">
        <w:rPr>
          <w:rFonts w:ascii="Arial" w:hAnsi="Arial" w:cs="Arial"/>
          <w:color w:val="1F1F1F"/>
          <w:bdr w:val="none" w:sz="0" w:space="0" w:color="auto" w:frame="1"/>
          <w:lang w:bidi="ta-IN"/>
        </w:rPr>
        <w:t xml:space="preserve"> strain</w:t>
      </w:r>
      <w:r w:rsidR="00573C59" w:rsidRPr="00573C59">
        <w:rPr>
          <w:rFonts w:ascii="Arial" w:hAnsi="Arial" w:cs="Arial"/>
          <w:color w:val="1F1F1F"/>
          <w:bdr w:val="none" w:sz="0" w:space="0" w:color="auto" w:frame="1"/>
          <w:lang w:bidi="ta-IN"/>
        </w:rPr>
        <w:t>s (Marques et al.</w:t>
      </w:r>
      <w:r w:rsidR="00573C59">
        <w:rPr>
          <w:rFonts w:ascii="Arial" w:hAnsi="Arial" w:cs="Arial"/>
          <w:color w:val="1F1F1F"/>
          <w:bdr w:val="none" w:sz="0" w:space="0" w:color="auto" w:frame="1"/>
          <w:lang w:bidi="ta-IN"/>
        </w:rPr>
        <w:t>,</w:t>
      </w:r>
      <w:r w:rsidR="00573C59" w:rsidRPr="00573C59">
        <w:rPr>
          <w:rFonts w:ascii="Arial" w:hAnsi="Arial" w:cs="Arial"/>
          <w:color w:val="1F1F1F"/>
          <w:bdr w:val="none" w:sz="0" w:space="0" w:color="auto" w:frame="1"/>
          <w:lang w:bidi="ta-IN"/>
        </w:rPr>
        <w:t xml:space="preserve"> 2022; </w:t>
      </w:r>
      <w:r>
        <w:rPr>
          <w:rFonts w:ascii="Arial" w:hAnsi="Arial" w:cs="Arial"/>
          <w:color w:val="1F1F1F"/>
          <w:highlight w:val="yellow"/>
          <w:bdr w:val="none" w:sz="0" w:space="0" w:color="auto" w:frame="1"/>
          <w:lang w:bidi="ta-IN"/>
        </w:rPr>
        <w:t>Montalvão</w:t>
      </w:r>
      <w:r w:rsidRPr="00573C59">
        <w:rPr>
          <w:rFonts w:ascii="Arial" w:hAnsi="Arial" w:cs="Arial"/>
          <w:color w:val="1F1F1F"/>
          <w:bdr w:val="none" w:sz="0" w:space="0" w:color="auto" w:frame="1"/>
          <w:lang w:bidi="ta-IN"/>
        </w:rPr>
        <w:t xml:space="preserve"> et al.</w:t>
      </w:r>
      <w:r w:rsidR="00573C59">
        <w:rPr>
          <w:rFonts w:ascii="Arial" w:hAnsi="Arial" w:cs="Arial"/>
          <w:color w:val="1F1F1F"/>
          <w:bdr w:val="none" w:sz="0" w:space="0" w:color="auto" w:frame="1"/>
          <w:lang w:bidi="ta-IN"/>
        </w:rPr>
        <w:t>,</w:t>
      </w:r>
      <w:r w:rsidRPr="00573C59">
        <w:rPr>
          <w:rFonts w:ascii="Arial" w:hAnsi="Arial" w:cs="Arial"/>
          <w:color w:val="1F1F1F"/>
          <w:bdr w:val="none" w:sz="0" w:space="0" w:color="auto" w:frame="1"/>
          <w:lang w:bidi="ta-IN"/>
        </w:rPr>
        <w:t xml:space="preserve"> 2023). Accordingly, the superior activity of Tv</w:t>
      </w:r>
      <w:r w:rsidRPr="00573C59">
        <w:rPr>
          <w:rFonts w:ascii="Arial" w:hAnsi="Arial" w:cs="Arial"/>
          <w:color w:val="1F1F1F"/>
          <w:bdr w:val="none" w:sz="0" w:space="0" w:color="auto" w:frame="1"/>
          <w:vertAlign w:val="subscript"/>
          <w:lang w:bidi="ta-IN"/>
        </w:rPr>
        <w:t>4</w:t>
      </w:r>
      <w:r w:rsidR="009134F8" w:rsidRPr="00573C59">
        <w:rPr>
          <w:rFonts w:ascii="Arial" w:hAnsi="Arial" w:cs="Arial"/>
          <w:color w:val="1F1F1F"/>
          <w:bdr w:val="none" w:sz="0" w:space="0" w:color="auto" w:frame="1"/>
          <w:lang w:bidi="ta-IN"/>
        </w:rPr>
        <w:t xml:space="preserve"> represents an </w:t>
      </w:r>
      <w:r>
        <w:rPr>
          <w:rFonts w:ascii="Arial" w:hAnsi="Arial" w:cs="Arial"/>
          <w:color w:val="1F1F1F"/>
          <w:highlight w:val="yellow"/>
          <w:bdr w:val="none" w:sz="0" w:space="0" w:color="auto" w:frame="1"/>
          <w:lang w:bidi="ta-IN"/>
        </w:rPr>
        <w:t>isolate-specific</w:t>
      </w:r>
      <w:r w:rsidRPr="00573C59">
        <w:rPr>
          <w:rFonts w:ascii="Arial" w:hAnsi="Arial" w:cs="Arial"/>
          <w:color w:val="1F1F1F"/>
          <w:bdr w:val="none" w:sz="0" w:space="0" w:color="auto" w:frame="1"/>
          <w:lang w:bidi="ta-IN"/>
        </w:rPr>
        <w:t xml:space="preserve"> phenotype under the present </w:t>
      </w:r>
      <w:r w:rsidRPr="00573C59">
        <w:rPr>
          <w:rFonts w:ascii="Arial" w:hAnsi="Arial" w:cs="Arial"/>
          <w:i/>
          <w:iCs/>
          <w:color w:val="1F1F1F"/>
          <w:bdr w:val="none" w:sz="0" w:space="0" w:color="auto" w:frame="1"/>
          <w:lang w:bidi="ta-IN"/>
        </w:rPr>
        <w:t>in vitro</w:t>
      </w:r>
      <w:r w:rsidRPr="00573C59">
        <w:rPr>
          <w:rFonts w:ascii="Arial" w:hAnsi="Arial" w:cs="Arial"/>
          <w:color w:val="1F1F1F"/>
          <w:bdr w:val="none" w:sz="0" w:space="0" w:color="auto" w:frame="1"/>
          <w:lang w:bidi="ta-IN"/>
        </w:rPr>
        <w:t xml:space="preserve"> assay conditions rather than a </w:t>
      </w:r>
      <w:r>
        <w:rPr>
          <w:rFonts w:ascii="Arial" w:hAnsi="Arial" w:cs="Arial"/>
          <w:color w:val="1F1F1F"/>
          <w:highlight w:val="yellow"/>
          <w:bdr w:val="none" w:sz="0" w:space="0" w:color="auto" w:frame="1"/>
          <w:lang w:bidi="ta-IN"/>
        </w:rPr>
        <w:t>generalised</w:t>
      </w:r>
      <w:r>
        <w:rPr>
          <w:rFonts w:ascii="Arial" w:hAnsi="Arial" w:cs="Arial"/>
          <w:color w:val="1F1F1F"/>
          <w:bdr w:val="none" w:sz="0" w:space="0" w:color="auto" w:frame="1"/>
          <w:lang w:bidi="ta-IN"/>
        </w:rPr>
        <w:t xml:space="preserve"> property across all </w:t>
      </w:r>
      <w:r w:rsidRPr="00573C59">
        <w:rPr>
          <w:rFonts w:ascii="Arial" w:hAnsi="Arial" w:cs="Arial"/>
          <w:i/>
          <w:iCs/>
          <w:color w:val="1F1F1F"/>
          <w:bdr w:val="none" w:sz="0" w:space="0" w:color="auto" w:frame="1"/>
          <w:lang w:bidi="ta-IN"/>
        </w:rPr>
        <w:t>T. viride</w:t>
      </w:r>
      <w:r w:rsidRPr="00573C59">
        <w:rPr>
          <w:rFonts w:ascii="Arial" w:hAnsi="Arial" w:cs="Arial"/>
          <w:color w:val="1F1F1F"/>
          <w:bdr w:val="none" w:sz="0" w:space="0" w:color="auto" w:frame="1"/>
          <w:lang w:bidi="ta-IN"/>
        </w:rPr>
        <w:t xml:space="preserve"> strains.</w:t>
      </w:r>
      <w:r w:rsidRPr="00573C59">
        <w:rPr>
          <w:rFonts w:ascii="Arial" w:hAnsi="Arial" w:cs="Arial"/>
          <w:color w:val="1F1F1F"/>
          <w:lang w:bidi="ta-IN"/>
        </w:rPr>
        <w:t xml:space="preserve"> </w:t>
      </w:r>
    </w:p>
    <w:p w14:paraId="38B377D2" w14:textId="77777777" w:rsidR="0047484C" w:rsidRPr="00573C59" w:rsidRDefault="0047484C" w:rsidP="009134F8">
      <w:pPr>
        <w:jc w:val="both"/>
        <w:rPr>
          <w:rFonts w:ascii="Arial" w:hAnsi="Arial" w:cs="Arial"/>
          <w:color w:val="1F1F1F"/>
          <w:lang w:bidi="ta-IN"/>
        </w:rPr>
      </w:pPr>
    </w:p>
    <w:p w14:paraId="58087992" w14:textId="77777777" w:rsidR="0047484C" w:rsidRPr="00573C59" w:rsidRDefault="009134F8" w:rsidP="009134F8">
      <w:pPr>
        <w:jc w:val="both"/>
        <w:rPr>
          <w:rFonts w:ascii="Arial" w:hAnsi="Arial" w:cs="Arial"/>
          <w:color w:val="1F1F1F"/>
          <w:lang w:bidi="ta-IN"/>
        </w:rPr>
      </w:pPr>
      <w:r w:rsidRPr="00573C59">
        <w:rPr>
          <w:rFonts w:ascii="Arial" w:hAnsi="Arial" w:cs="Arial"/>
          <w:color w:val="1F1F1F"/>
          <w:bdr w:val="none" w:sz="0" w:space="0" w:color="auto" w:frame="1"/>
          <w:lang w:bidi="ta-IN"/>
        </w:rPr>
        <w:t xml:space="preserve">The </w:t>
      </w:r>
      <w:r>
        <w:rPr>
          <w:rFonts w:ascii="Arial" w:hAnsi="Arial" w:cs="Arial"/>
          <w:color w:val="1F1F1F"/>
          <w:highlight w:val="yellow"/>
          <w:bdr w:val="none" w:sz="0" w:space="0" w:color="auto" w:frame="1"/>
          <w:lang w:bidi="ta-IN"/>
        </w:rPr>
        <w:t>concentration-dependent</w:t>
      </w:r>
      <w:r w:rsidR="0047484C" w:rsidRPr="00573C59">
        <w:rPr>
          <w:rFonts w:ascii="Arial" w:hAnsi="Arial" w:cs="Arial"/>
          <w:color w:val="1F1F1F"/>
          <w:bdr w:val="none" w:sz="0" w:space="0" w:color="auto" w:frame="1"/>
          <w:lang w:bidi="ta-IN"/>
        </w:rPr>
        <w:t xml:space="preserve"> mycelial suppression observed across all treatments is consistent with the inhibitory action of diffusible extracellular factors released into the liquid growth medium. Although published studies have correlated such inhibition with specific secreted constituents and hydrolytic enzymes in groundnut and related </w:t>
      </w:r>
      <w:proofErr w:type="spellStart"/>
      <w:r w:rsidR="0047484C" w:rsidRPr="00573C59">
        <w:rPr>
          <w:rFonts w:ascii="Arial" w:hAnsi="Arial" w:cs="Arial"/>
          <w:color w:val="1F1F1F"/>
          <w:bdr w:val="none" w:sz="0" w:space="0" w:color="auto" w:frame="1"/>
          <w:lang w:bidi="ta-IN"/>
        </w:rPr>
        <w:t>pathosystems</w:t>
      </w:r>
      <w:proofErr w:type="spellEnd"/>
      <w:r w:rsidR="0047484C" w:rsidRPr="00573C59">
        <w:rPr>
          <w:rFonts w:ascii="Arial" w:hAnsi="Arial" w:cs="Arial"/>
          <w:color w:val="1F1F1F"/>
          <w:bdr w:val="none" w:sz="0" w:space="0" w:color="auto" w:frame="1"/>
          <w:lang w:bidi="ta-IN"/>
        </w:rPr>
        <w:t xml:space="preserve"> (El-</w:t>
      </w:r>
      <w:proofErr w:type="spellStart"/>
      <w:r w:rsidR="0047484C" w:rsidRPr="00573C59">
        <w:rPr>
          <w:rFonts w:ascii="Arial" w:hAnsi="Arial" w:cs="Arial"/>
          <w:color w:val="1F1F1F"/>
          <w:bdr w:val="none" w:sz="0" w:space="0" w:color="auto" w:frame="1"/>
          <w:lang w:bidi="ta-IN"/>
        </w:rPr>
        <w:t>Katatny</w:t>
      </w:r>
      <w:proofErr w:type="spellEnd"/>
      <w:r w:rsidR="0047484C" w:rsidRPr="00573C59">
        <w:rPr>
          <w:rFonts w:ascii="Arial" w:hAnsi="Arial" w:cs="Arial"/>
          <w:color w:val="1F1F1F"/>
          <w:bdr w:val="none" w:sz="0" w:space="0" w:color="auto" w:frame="1"/>
          <w:lang w:bidi="ta-IN"/>
        </w:rPr>
        <w:t xml:space="preserve"> et al.</w:t>
      </w:r>
      <w:r w:rsidR="00573C59">
        <w:rPr>
          <w:rFonts w:ascii="Arial" w:hAnsi="Arial" w:cs="Arial"/>
          <w:color w:val="1F1F1F"/>
          <w:bdr w:val="none" w:sz="0" w:space="0" w:color="auto" w:frame="1"/>
          <w:lang w:bidi="ta-IN"/>
        </w:rPr>
        <w:t>,</w:t>
      </w:r>
      <w:r w:rsidR="0047484C" w:rsidRPr="00573C59">
        <w:rPr>
          <w:rFonts w:ascii="Arial" w:hAnsi="Arial" w:cs="Arial"/>
          <w:color w:val="1F1F1F"/>
          <w:bdr w:val="none" w:sz="0" w:space="0" w:color="auto" w:frame="1"/>
          <w:lang w:bidi="ta-IN"/>
        </w:rPr>
        <w:t xml:space="preserve"> 2001; Hirpara et al.</w:t>
      </w:r>
      <w:r w:rsidR="00573C59">
        <w:rPr>
          <w:rFonts w:ascii="Arial" w:hAnsi="Arial" w:cs="Arial"/>
          <w:color w:val="1F1F1F"/>
          <w:bdr w:val="none" w:sz="0" w:space="0" w:color="auto" w:frame="1"/>
          <w:lang w:bidi="ta-IN"/>
        </w:rPr>
        <w:t>,</w:t>
      </w:r>
      <w:r w:rsidR="0047484C" w:rsidRPr="00573C59">
        <w:rPr>
          <w:rFonts w:ascii="Arial" w:hAnsi="Arial" w:cs="Arial"/>
          <w:color w:val="1F1F1F"/>
          <w:bdr w:val="none" w:sz="0" w:space="0" w:color="auto" w:frame="1"/>
          <w:lang w:bidi="ta-IN"/>
        </w:rPr>
        <w:t xml:space="preserve"> 2016), extracellular enzymes and bioactive compounds were not quantified or chemically profiled in the present study. Therefore, the specific biochemical compounds driving the observed suppression cannot be conclusively assigned from the poisoned food assay alone.</w:t>
      </w:r>
      <w:r w:rsidR="0047484C" w:rsidRPr="00573C59">
        <w:rPr>
          <w:rFonts w:ascii="Arial" w:hAnsi="Arial" w:cs="Arial"/>
          <w:color w:val="1F1F1F"/>
          <w:lang w:bidi="ta-IN"/>
        </w:rPr>
        <w:t xml:space="preserve"> </w:t>
      </w:r>
    </w:p>
    <w:p w14:paraId="582CBE6A" w14:textId="77777777" w:rsidR="0047484C" w:rsidRPr="00573C59" w:rsidRDefault="0047484C" w:rsidP="009134F8">
      <w:pPr>
        <w:jc w:val="both"/>
        <w:rPr>
          <w:rFonts w:ascii="Arial" w:hAnsi="Arial" w:cs="Arial"/>
          <w:color w:val="1F1F1F"/>
          <w:lang w:bidi="ta-IN"/>
        </w:rPr>
      </w:pPr>
    </w:p>
    <w:p>
      <w:pPr>
        <w:jc w:val="both"/>
        <w:rPr>
          <w:rFonts w:ascii="Arial" w:hAnsi="Arial" w:cs="Arial"/>
          <w:color w:val="1F1F1F"/>
          <w:lang w:bidi="ta-IN"/>
        </w:rPr>
      </w:pPr>
      <w:r>
        <w:rPr>
          <w:b/>
        </w:rPr>
        <w:t>3.4 Biocontrol Implications and Need for In Vivo Validation</w:t>
      </w:r>
    </w:p>
    <w:p>
      <w:pPr>
        <w:jc w:val="both"/>
        <w:rPr>
          <w:rFonts w:ascii="Arial" w:hAnsi="Arial" w:cs="Arial"/>
          <w:color w:val="1F1F1F"/>
          <w:lang w:bidi="ta-IN"/>
        </w:rPr>
      </w:pPr>
      <w:r>
        <w:rPr>
          <w:b/>
          <w:i w:val="0"/>
        </w:rPr>
        <w:t xml:space="preserve">The need to validate promising in vitro antagonists beyond laboratory assays is reinforced by studies in groundnut showing that native </w:t>
      </w:r>
      <w:r>
        <w:rPr>
          <w:b/>
          <w:i/>
        </w:rPr>
        <w:t>Trichoderma</w:t>
      </w:r>
      <w:r>
        <w:rPr>
          <w:b/>
          <w:i w:val="0"/>
        </w:rPr>
        <w:t xml:space="preserve"> isolates selected for in vitro antagonism can also be evaluated for disease suppression and plant responses under in vivo conditions (Aydoğdu, 2023).</w:t>
      </w:r>
    </w:p>
    <w:p w14:paraId="4791C352" w14:textId="77777777" w:rsidR="0047484C" w:rsidRPr="00573C59" w:rsidRDefault="0047484C" w:rsidP="009134F8">
      <w:pPr>
        <w:jc w:val="both"/>
        <w:rPr>
          <w:rFonts w:ascii="Arial" w:hAnsi="Arial" w:cs="Arial"/>
          <w:color w:val="1F1F1F"/>
          <w:lang w:bidi="ta-IN"/>
        </w:rPr>
      </w:pPr>
      <w:r w:rsidRPr="00573C59">
        <w:rPr>
          <w:rFonts w:ascii="Arial" w:hAnsi="Arial" w:cs="Arial"/>
          <w:color w:val="1F1F1F"/>
          <w:bdr w:val="none" w:sz="0" w:space="0" w:color="auto" w:frame="1"/>
          <w:lang w:bidi="ta-IN"/>
        </w:rPr>
        <w:t xml:space="preserve">More broadly, </w:t>
      </w:r>
      <w:r w:rsidRPr="00573C59">
        <w:rPr>
          <w:rFonts w:ascii="Arial" w:hAnsi="Arial" w:cs="Arial"/>
          <w:i/>
          <w:iCs/>
          <w:color w:val="1F1F1F"/>
          <w:bdr w:val="none" w:sz="0" w:space="0" w:color="auto" w:frame="1"/>
          <w:lang w:bidi="ta-IN"/>
        </w:rPr>
        <w:t>Trichoderma</w:t>
      </w:r>
      <w:r w:rsidRPr="00573C59">
        <w:rPr>
          <w:rFonts w:ascii="Arial" w:hAnsi="Arial" w:cs="Arial"/>
          <w:color w:val="1F1F1F"/>
          <w:bdr w:val="none" w:sz="0" w:space="0" w:color="auto" w:frame="1"/>
          <w:lang w:bidi="ta-IN"/>
        </w:rPr>
        <w:t xml:space="preserve"> species deploy an array of biocontrol mechanisms, including soluble secondary metabolites, volatile organic compounds, and direct mycoparasitism, whose relative contributions vary among strains and host environments (Zeilinger et al.</w:t>
      </w:r>
      <w:r w:rsidR="00573C59">
        <w:rPr>
          <w:rFonts w:ascii="Arial" w:hAnsi="Arial" w:cs="Arial"/>
          <w:color w:val="1F1F1F"/>
          <w:bdr w:val="none" w:sz="0" w:space="0" w:color="auto" w:frame="1"/>
          <w:lang w:bidi="ta-IN"/>
        </w:rPr>
        <w:t>,</w:t>
      </w:r>
      <w:r w:rsidRPr="00573C59">
        <w:rPr>
          <w:rFonts w:ascii="Arial" w:hAnsi="Arial" w:cs="Arial"/>
          <w:color w:val="1F1F1F"/>
          <w:bdr w:val="none" w:sz="0" w:space="0" w:color="auto" w:frame="1"/>
          <w:lang w:bidi="ta-IN"/>
        </w:rPr>
        <w:t xml:space="preserve"> 2016; Chan et al.</w:t>
      </w:r>
      <w:r w:rsidR="00573C59">
        <w:rPr>
          <w:rFonts w:ascii="Arial" w:hAnsi="Arial" w:cs="Arial"/>
          <w:color w:val="1F1F1F"/>
          <w:bdr w:val="none" w:sz="0" w:space="0" w:color="auto" w:frame="1"/>
          <w:lang w:bidi="ta-IN"/>
        </w:rPr>
        <w:t>,</w:t>
      </w:r>
      <w:r w:rsidRPr="00573C59">
        <w:rPr>
          <w:rFonts w:ascii="Arial" w:hAnsi="Arial" w:cs="Arial"/>
          <w:color w:val="1F1F1F"/>
          <w:bdr w:val="none" w:sz="0" w:space="0" w:color="auto" w:frame="1"/>
          <w:lang w:bidi="ta-IN"/>
        </w:rPr>
        <w:t xml:space="preserve"> 2023). The complete </w:t>
      </w:r>
      <w:r w:rsidRPr="00573C59">
        <w:rPr>
          <w:rFonts w:ascii="Arial" w:hAnsi="Arial" w:cs="Arial"/>
          <w:i/>
          <w:iCs/>
          <w:color w:val="1F1F1F"/>
          <w:bdr w:val="none" w:sz="0" w:space="0" w:color="auto" w:frame="1"/>
          <w:lang w:bidi="ta-IN"/>
        </w:rPr>
        <w:t>in vitro</w:t>
      </w:r>
      <w:r w:rsidRPr="00573C59">
        <w:rPr>
          <w:rFonts w:ascii="Arial" w:hAnsi="Arial" w:cs="Arial"/>
          <w:color w:val="1F1F1F"/>
          <w:bdr w:val="none" w:sz="0" w:space="0" w:color="auto" w:frame="1"/>
          <w:lang w:bidi="ta-IN"/>
        </w:rPr>
        <w:t xml:space="preserve"> suppression achieved by Tv</w:t>
      </w:r>
      <w:r w:rsidRPr="00573C59">
        <w:rPr>
          <w:rFonts w:ascii="Arial" w:hAnsi="Arial" w:cs="Arial"/>
          <w:color w:val="1F1F1F"/>
          <w:bdr w:val="none" w:sz="0" w:space="0" w:color="auto" w:frame="1"/>
          <w:vertAlign w:val="subscript"/>
          <w:lang w:bidi="ta-IN"/>
        </w:rPr>
        <w:t>4</w:t>
      </w:r>
      <w:r w:rsidRPr="00573C59">
        <w:rPr>
          <w:rFonts w:ascii="Arial" w:hAnsi="Arial" w:cs="Arial"/>
          <w:color w:val="1F1F1F"/>
          <w:bdr w:val="none" w:sz="0" w:space="0" w:color="auto" w:frame="1"/>
          <w:lang w:bidi="ta-IN"/>
        </w:rPr>
        <w:t xml:space="preserve"> at 40% culture filtrate concentration provides a sound rationale for </w:t>
      </w:r>
      <w:r>
        <w:rPr>
          <w:rFonts w:ascii="Arial" w:hAnsi="Arial" w:cs="Arial"/>
          <w:color w:val="1F1F1F"/>
          <w:highlight w:val="yellow"/>
          <w:bdr w:val="none" w:sz="0" w:space="0" w:color="auto" w:frame="1"/>
          <w:lang w:bidi="ta-IN"/>
        </w:rPr>
        <w:t>prioritising</w:t>
      </w:r>
      <w:r>
        <w:rPr>
          <w:rFonts w:ascii="Arial" w:hAnsi="Arial" w:cs="Arial"/>
          <w:color w:val="1F1F1F"/>
          <w:bdr w:val="none" w:sz="0" w:space="0" w:color="auto" w:frame="1"/>
          <w:lang w:bidi="ta-IN"/>
        </w:rPr>
        <w:t xml:space="preserve"> this candidate for future metabolite profiling and greenhouse pot trials; however, field efficacy and commercial utility must be validated under natural agroecological conditions.</w:t>
      </w:r>
      <w:r w:rsidRPr="00573C59">
        <w:rPr>
          <w:rFonts w:ascii="Arial" w:hAnsi="Arial" w:cs="Arial"/>
          <w:color w:val="1F1F1F"/>
          <w:lang w:bidi="ta-IN"/>
        </w:rPr>
        <w:t xml:space="preserve"> </w:t>
      </w:r>
    </w:p>
    <w:p w14:paraId="3DFF0053" w14:textId="77777777" w:rsidR="00B01FCD" w:rsidRPr="00573C59" w:rsidRDefault="00000F8F" w:rsidP="009134F8">
      <w:pPr>
        <w:pStyle w:val="ConcHead"/>
        <w:spacing w:after="0"/>
        <w:jc w:val="both"/>
        <w:rPr>
          <w:rFonts w:ascii="Arial" w:hAnsi="Arial" w:cs="Arial"/>
          <w:sz w:val="24"/>
          <w:szCs w:val="24"/>
        </w:rPr>
      </w:pPr>
      <w:r w:rsidRPr="00573C59">
        <w:rPr>
          <w:rFonts w:ascii="Arial" w:hAnsi="Arial" w:cs="Arial"/>
          <w:sz w:val="24"/>
          <w:szCs w:val="24"/>
        </w:rPr>
        <w:lastRenderedPageBreak/>
        <w:t xml:space="preserve">4. </w:t>
      </w:r>
      <w:r w:rsidR="00B01FCD" w:rsidRPr="00573C59">
        <w:rPr>
          <w:rFonts w:ascii="Arial" w:hAnsi="Arial" w:cs="Arial"/>
          <w:sz w:val="24"/>
          <w:szCs w:val="24"/>
        </w:rPr>
        <w:t>Conclusion</w:t>
      </w:r>
    </w:p>
    <w:p w14:paraId="7ABC3A54" w14:textId="77777777" w:rsidR="00790ADA" w:rsidRPr="00573C59" w:rsidRDefault="00790ADA" w:rsidP="009134F8">
      <w:pPr>
        <w:pStyle w:val="ConcHead"/>
        <w:spacing w:after="0"/>
        <w:jc w:val="both"/>
        <w:rPr>
          <w:rFonts w:ascii="Arial" w:hAnsi="Arial" w:cs="Arial"/>
          <w:sz w:val="20"/>
        </w:rPr>
      </w:pPr>
    </w:p>
    <w:p w14:paraId="2216A1FA" w14:textId="77777777" w:rsidR="00315186" w:rsidRDefault="0047484C" w:rsidP="009134F8">
      <w:pPr>
        <w:jc w:val="both"/>
        <w:rPr>
          <w:rFonts w:ascii="Arial" w:hAnsi="Arial" w:cs="Arial"/>
        </w:rPr>
      </w:pPr>
      <w:r w:rsidRPr="00573C59">
        <w:rPr>
          <w:rFonts w:ascii="Arial" w:hAnsi="Arial" w:cs="Arial"/>
        </w:rPr>
        <w:t>The prese</w:t>
      </w:r>
      <w:r w:rsidR="00573C59" w:rsidRPr="00573C59">
        <w:rPr>
          <w:rFonts w:ascii="Arial" w:hAnsi="Arial" w:cs="Arial"/>
        </w:rPr>
        <w:t xml:space="preserve">nt study demonstrated that </w:t>
      </w:r>
      <w:r>
        <w:rPr>
          <w:rFonts w:ascii="Arial" w:hAnsi="Arial" w:cs="Arial"/>
          <w:highlight w:val="yellow"/>
        </w:rPr>
        <w:t>cell-free</w:t>
      </w:r>
      <w:r w:rsidRPr="00573C59">
        <w:rPr>
          <w:rFonts w:ascii="Arial" w:hAnsi="Arial" w:cs="Arial"/>
        </w:rPr>
        <w:t xml:space="preserve"> culture filtrates of native </w:t>
      </w:r>
      <w:r w:rsidRPr="00573C59">
        <w:rPr>
          <w:rFonts w:ascii="Arial" w:hAnsi="Arial" w:cs="Arial"/>
          <w:i/>
          <w:iCs/>
        </w:rPr>
        <w:t>T</w:t>
      </w:r>
      <w:r w:rsidR="00573C59" w:rsidRPr="00573C59">
        <w:rPr>
          <w:rFonts w:ascii="Arial" w:hAnsi="Arial" w:cs="Arial"/>
          <w:i/>
          <w:iCs/>
        </w:rPr>
        <w:t>.</w:t>
      </w:r>
      <w:r w:rsidRPr="00573C59">
        <w:rPr>
          <w:rFonts w:ascii="Arial" w:hAnsi="Arial" w:cs="Arial"/>
          <w:i/>
          <w:iCs/>
        </w:rPr>
        <w:t xml:space="preserve"> viride</w:t>
      </w:r>
      <w:r w:rsidRPr="00573C59">
        <w:rPr>
          <w:rFonts w:ascii="Arial" w:hAnsi="Arial" w:cs="Arial"/>
        </w:rPr>
        <w:t xml:space="preserve"> isolates possess strong </w:t>
      </w:r>
      <w:r w:rsidRPr="00573C59">
        <w:rPr>
          <w:rFonts w:ascii="Arial" w:hAnsi="Arial" w:cs="Arial"/>
          <w:i/>
          <w:iCs/>
        </w:rPr>
        <w:t>in vitro</w:t>
      </w:r>
      <w:r w:rsidR="00573C59" w:rsidRPr="00573C59">
        <w:rPr>
          <w:rFonts w:ascii="Arial" w:hAnsi="Arial" w:cs="Arial"/>
        </w:rPr>
        <w:t xml:space="preserve"> </w:t>
      </w:r>
      <w:r>
        <w:rPr>
          <w:rFonts w:ascii="Arial" w:hAnsi="Arial" w:cs="Arial"/>
          <w:highlight w:val="yellow"/>
        </w:rPr>
        <w:t>growth-inhibitory</w:t>
      </w:r>
      <w:r w:rsidRPr="00573C59">
        <w:rPr>
          <w:rFonts w:ascii="Arial" w:hAnsi="Arial" w:cs="Arial"/>
        </w:rPr>
        <w:t xml:space="preserve"> activity against </w:t>
      </w:r>
      <w:r w:rsidRPr="00573C59">
        <w:rPr>
          <w:rFonts w:ascii="Arial" w:hAnsi="Arial" w:cs="Arial"/>
          <w:i/>
          <w:iCs/>
        </w:rPr>
        <w:t>S</w:t>
      </w:r>
      <w:r w:rsidR="00573C59" w:rsidRPr="00573C59">
        <w:rPr>
          <w:rFonts w:ascii="Arial" w:hAnsi="Arial" w:cs="Arial"/>
          <w:i/>
          <w:iCs/>
        </w:rPr>
        <w:t>.</w:t>
      </w:r>
      <w:r w:rsidRPr="00573C59">
        <w:rPr>
          <w:rFonts w:ascii="Arial" w:hAnsi="Arial" w:cs="Arial"/>
          <w:i/>
          <w:iCs/>
        </w:rPr>
        <w:t xml:space="preserve"> rolfsii</w:t>
      </w:r>
      <w:r w:rsidRPr="00573C59">
        <w:rPr>
          <w:rFonts w:ascii="Arial" w:hAnsi="Arial" w:cs="Arial"/>
        </w:rPr>
        <w:t>, the causal agent of groundnut stem rot. Radial growth suppression generally increased with culture filtrate concentration across all tested isolates. Among the ten native isolates evaluated, Tv</w:t>
      </w:r>
      <w:r w:rsidRPr="00573C59">
        <w:rPr>
          <w:rFonts w:ascii="Arial" w:hAnsi="Arial" w:cs="Arial"/>
          <w:vertAlign w:val="subscript"/>
        </w:rPr>
        <w:t>4</w:t>
      </w:r>
      <w:r w:rsidRPr="00573C59">
        <w:rPr>
          <w:rFonts w:ascii="Arial" w:hAnsi="Arial" w:cs="Arial"/>
        </w:rPr>
        <w:t xml:space="preserve"> was the most potent, achieving complete mycelial growth suppression (100.00% inhibition) at a 40% (v/v) culture filtrate concentration. Isolates Tv</w:t>
      </w:r>
      <w:r w:rsidRPr="00573C59">
        <w:rPr>
          <w:rFonts w:ascii="Arial" w:hAnsi="Arial" w:cs="Arial"/>
          <w:vertAlign w:val="subscript"/>
        </w:rPr>
        <w:t>6</w:t>
      </w:r>
      <w:r w:rsidRPr="00573C59">
        <w:rPr>
          <w:rFonts w:ascii="Arial" w:hAnsi="Arial" w:cs="Arial"/>
        </w:rPr>
        <w:t>, Tv</w:t>
      </w:r>
      <w:r w:rsidRPr="00573C59">
        <w:rPr>
          <w:rFonts w:ascii="Arial" w:hAnsi="Arial" w:cs="Arial"/>
          <w:vertAlign w:val="subscript"/>
        </w:rPr>
        <w:t>8</w:t>
      </w:r>
      <w:r w:rsidRPr="00573C59">
        <w:rPr>
          <w:rFonts w:ascii="Arial" w:hAnsi="Arial" w:cs="Arial"/>
        </w:rPr>
        <w:t>, and Tv</w:t>
      </w:r>
      <w:r w:rsidRPr="00573C59">
        <w:rPr>
          <w:rFonts w:ascii="Arial" w:hAnsi="Arial" w:cs="Arial"/>
          <w:vertAlign w:val="subscript"/>
        </w:rPr>
        <w:t>7</w:t>
      </w:r>
      <w:r w:rsidRPr="00573C59">
        <w:rPr>
          <w:rFonts w:ascii="Arial" w:hAnsi="Arial" w:cs="Arial"/>
        </w:rPr>
        <w:t xml:space="preserve"> also exhibited marked inhibitory performance, exceeding 98% mycelial suppression at the highest concentration. These findings highlight isolate Tv</w:t>
      </w:r>
      <w:r w:rsidRPr="00573C59">
        <w:rPr>
          <w:rFonts w:ascii="Arial" w:hAnsi="Arial" w:cs="Arial"/>
          <w:vertAlign w:val="subscript"/>
        </w:rPr>
        <w:t>4</w:t>
      </w:r>
      <w:r w:rsidRPr="00573C59">
        <w:rPr>
          <w:rFonts w:ascii="Arial" w:hAnsi="Arial" w:cs="Arial"/>
        </w:rPr>
        <w:t xml:space="preserve"> as a promising candidate for downstream biological control research. However, the conclusions of this work are strictly limited to an </w:t>
      </w:r>
      <w:r w:rsidRPr="00573C59">
        <w:rPr>
          <w:rFonts w:ascii="Arial" w:hAnsi="Arial" w:cs="Arial"/>
          <w:i/>
          <w:iCs/>
        </w:rPr>
        <w:t>in vitro</w:t>
      </w:r>
      <w:r w:rsidRPr="00573C59">
        <w:rPr>
          <w:rFonts w:ascii="Arial" w:hAnsi="Arial" w:cs="Arial"/>
        </w:rPr>
        <w:t xml:space="preserve"> poisoned food assay. Detailed secondary metabolite profiling, hydrolytic enzyme quantification, and rigorous evaluations under greenhouse and field conditions are necessary before practical field-level disease management recommendations can be established.</w:t>
      </w:r>
    </w:p>
    <w:p w14:paraId="67A15A88" w14:textId="77777777" w:rsidR="009228AB" w:rsidRDefault="009228AB" w:rsidP="009134F8">
      <w:pPr>
        <w:jc w:val="both"/>
        <w:rPr>
          <w:rFonts w:ascii="Arial" w:hAnsi="Arial" w:cs="Arial"/>
        </w:rPr>
      </w:pPr>
    </w:p>
    <w:p w14:paraId="2D0583CC" w14:textId="77777777" w:rsidR="00EF078C" w:rsidRPr="00EF078C" w:rsidRDefault="00EF078C" w:rsidP="00EF078C">
      <w:pPr>
        <w:spacing w:before="100" w:beforeAutospacing="1" w:after="100" w:afterAutospacing="1"/>
        <w:outlineLvl w:val="1"/>
        <w:rPr>
          <w:rFonts w:ascii="Times New Roman" w:hAnsi="Times New Roman"/>
          <w:b/>
          <w:bCs/>
          <w:sz w:val="36"/>
          <w:szCs w:val="36"/>
        </w:rPr>
      </w:pPr>
      <w:r w:rsidRPr="00EF078C">
        <w:rPr>
          <w:rFonts w:ascii="Times New Roman" w:hAnsi="Times New Roman"/>
          <w:b/>
          <w:bCs/>
          <w:sz w:val="36"/>
          <w:szCs w:val="36"/>
        </w:rPr>
        <w:t>Limitations</w:t>
      </w:r>
    </w:p>
    <w:p w14:paraId="479DFEAD" w14:textId="77777777" w:rsidR="00EF078C" w:rsidRPr="00EF078C" w:rsidRDefault="00EF078C" w:rsidP="00EF078C">
      <w:pPr>
        <w:spacing w:before="100" w:beforeAutospacing="1" w:after="100" w:afterAutospacing="1"/>
        <w:rPr>
          <w:rFonts w:ascii="Times New Roman" w:hAnsi="Times New Roman"/>
          <w:sz w:val="24"/>
          <w:szCs w:val="24"/>
        </w:rPr>
      </w:pPr>
      <w:r w:rsidRPr="00EF078C">
        <w:rPr>
          <w:rFonts w:ascii="Times New Roman" w:hAnsi="Times New Roman"/>
          <w:sz w:val="24"/>
          <w:szCs w:val="24"/>
        </w:rPr>
        <w:t xml:space="preserve">This study was confined to an </w:t>
      </w:r>
      <w:r w:rsidRPr="00EF078C">
        <w:rPr>
          <w:rFonts w:ascii="Times New Roman" w:hAnsi="Times New Roman"/>
          <w:i/>
          <w:iCs/>
          <w:sz w:val="24"/>
          <w:szCs w:val="24"/>
        </w:rPr>
        <w:t>in vitro</w:t>
      </w:r>
      <w:r w:rsidRPr="00EF078C">
        <w:rPr>
          <w:rFonts w:ascii="Times New Roman" w:hAnsi="Times New Roman"/>
          <w:sz w:val="24"/>
          <w:szCs w:val="24"/>
        </w:rPr>
        <w:t xml:space="preserve"> poisoned food assay using cell-free culture filtrates from ten morphologically identified </w:t>
      </w:r>
      <w:r w:rsidRPr="00EF078C">
        <w:rPr>
          <w:rFonts w:ascii="Times New Roman" w:hAnsi="Times New Roman"/>
          <w:i/>
          <w:iCs/>
          <w:sz w:val="24"/>
          <w:szCs w:val="24"/>
        </w:rPr>
        <w:t>Trichoderma viride</w:t>
      </w:r>
      <w:r w:rsidRPr="00EF078C">
        <w:rPr>
          <w:rFonts w:ascii="Times New Roman" w:hAnsi="Times New Roman"/>
          <w:sz w:val="24"/>
          <w:szCs w:val="24"/>
        </w:rPr>
        <w:t xml:space="preserve"> isolates and a representative </w:t>
      </w:r>
      <w:r w:rsidRPr="00EF078C">
        <w:rPr>
          <w:rFonts w:ascii="Times New Roman" w:hAnsi="Times New Roman"/>
          <w:i/>
          <w:iCs/>
          <w:sz w:val="24"/>
          <w:szCs w:val="24"/>
        </w:rPr>
        <w:t xml:space="preserve">Sclerotium </w:t>
      </w:r>
      <w:proofErr w:type="spellStart"/>
      <w:r w:rsidRPr="00EF078C">
        <w:rPr>
          <w:rFonts w:ascii="Times New Roman" w:hAnsi="Times New Roman"/>
          <w:i/>
          <w:iCs/>
          <w:sz w:val="24"/>
          <w:szCs w:val="24"/>
        </w:rPr>
        <w:t>rolfsii</w:t>
      </w:r>
      <w:proofErr w:type="spellEnd"/>
      <w:r w:rsidRPr="00EF078C">
        <w:rPr>
          <w:rFonts w:ascii="Times New Roman" w:hAnsi="Times New Roman"/>
          <w:sz w:val="24"/>
          <w:szCs w:val="24"/>
        </w:rPr>
        <w:t xml:space="preserve"> isolate. The extracellular metabolites and hydrolytic enzymes associated with inhibition were not quantified or chemically </w:t>
      </w:r>
      <w:proofErr w:type="spellStart"/>
      <w:r w:rsidRPr="00EF078C">
        <w:rPr>
          <w:rFonts w:ascii="Times New Roman" w:hAnsi="Times New Roman"/>
          <w:sz w:val="24"/>
          <w:szCs w:val="24"/>
        </w:rPr>
        <w:t>characterised</w:t>
      </w:r>
      <w:proofErr w:type="spellEnd"/>
      <w:r w:rsidRPr="00EF078C">
        <w:rPr>
          <w:rFonts w:ascii="Times New Roman" w:hAnsi="Times New Roman"/>
          <w:sz w:val="24"/>
          <w:szCs w:val="24"/>
        </w:rPr>
        <w:t>, and the identities of the antagonist and pathogen were based on morphological criteria rather than molecular confirmation. Consequently, the observed inhibition cannot be directly extrapolated to greenhouse or field disease control. Further work should include molecular identification, metabolite and enzyme profiling, multiple pathogen isolates, and greenhouse and field validation.</w:t>
      </w:r>
    </w:p>
    <w:p w14:paraId="09BB882A" w14:textId="77777777" w:rsidR="009228AB" w:rsidRPr="00573C59" w:rsidRDefault="009228AB" w:rsidP="009134F8">
      <w:pPr>
        <w:jc w:val="both"/>
        <w:rPr>
          <w:rFonts w:ascii="Arial" w:hAnsi="Arial" w:cs="Arial"/>
          <w:sz w:val="24"/>
          <w:szCs w:val="24"/>
        </w:rPr>
      </w:pPr>
    </w:p>
    <w:p w14:paraId="5950B83B" w14:textId="77777777" w:rsidR="0047484C" w:rsidRPr="00573C59" w:rsidRDefault="0047484C" w:rsidP="00441B6F">
      <w:pPr>
        <w:pStyle w:val="ReferHead"/>
        <w:spacing w:after="0"/>
        <w:jc w:val="both"/>
        <w:rPr>
          <w:rFonts w:ascii="Arial" w:hAnsi="Arial" w:cs="Arial"/>
          <w:bCs/>
        </w:rPr>
      </w:pPr>
    </w:p>
    <w:p w14:paraId="08B8830F" w14:textId="77777777" w:rsidR="00860000" w:rsidRPr="00573C59" w:rsidRDefault="00860000" w:rsidP="00441B6F">
      <w:pPr>
        <w:pStyle w:val="ReferHead"/>
        <w:spacing w:after="0"/>
        <w:jc w:val="both"/>
        <w:rPr>
          <w:rFonts w:ascii="Arial" w:hAnsi="Arial" w:cs="Arial"/>
        </w:rPr>
      </w:pPr>
      <w:r w:rsidRPr="00573C59">
        <w:rPr>
          <w:rFonts w:ascii="Arial" w:hAnsi="Arial" w:cs="Arial"/>
          <w:bCs/>
        </w:rPr>
        <w:t>Competing interests</w:t>
      </w:r>
    </w:p>
    <w:p w14:paraId="29887ED6" w14:textId="77777777" w:rsidR="0073728E" w:rsidRPr="00573C59" w:rsidRDefault="0073728E" w:rsidP="00441B6F">
      <w:pPr>
        <w:pStyle w:val="ReferHead"/>
        <w:spacing w:after="0"/>
        <w:jc w:val="both"/>
        <w:rPr>
          <w:rFonts w:ascii="Arial" w:hAnsi="Arial" w:cs="Arial"/>
        </w:rPr>
      </w:pPr>
    </w:p>
    <w:p w14:paraId="7476ADE8" w14:textId="77777777" w:rsidR="0073728E" w:rsidRPr="00573C59" w:rsidRDefault="00E66E10" w:rsidP="00573C59">
      <w:pPr>
        <w:pStyle w:val="ReferHead"/>
        <w:spacing w:after="0"/>
        <w:jc w:val="both"/>
        <w:rPr>
          <w:rFonts w:ascii="Arial" w:hAnsi="Arial" w:cs="Arial"/>
          <w:b w:val="0"/>
          <w:caps w:val="0"/>
          <w:sz w:val="20"/>
        </w:rPr>
      </w:pPr>
      <w:r w:rsidRPr="00573C59">
        <w:rPr>
          <w:rFonts w:ascii="Arial" w:hAnsi="Arial" w:cs="Arial"/>
          <w:b w:val="0"/>
          <w:caps w:val="0"/>
          <w:sz w:val="20"/>
        </w:rPr>
        <w:t xml:space="preserve"> “Authors have declared that</w:t>
      </w:r>
      <w:r w:rsidR="007E3720" w:rsidRPr="00573C59">
        <w:rPr>
          <w:rFonts w:ascii="Arial" w:hAnsi="Arial" w:cs="Arial"/>
          <w:b w:val="0"/>
          <w:caps w:val="0"/>
          <w:sz w:val="20"/>
        </w:rPr>
        <w:t xml:space="preserve"> no competing interests exist.”</w:t>
      </w:r>
    </w:p>
    <w:p w14:paraId="07FA9924" w14:textId="77777777" w:rsidR="0073728E" w:rsidRPr="00573C59" w:rsidRDefault="0073728E" w:rsidP="00AA5485">
      <w:pPr>
        <w:rPr>
          <w:rFonts w:ascii="Arial" w:hAnsi="Arial" w:cs="Arial"/>
          <w:b/>
        </w:rPr>
      </w:pPr>
    </w:p>
    <w:p w14:paraId="33D1B74C" w14:textId="77777777" w:rsidR="00CE4258" w:rsidRPr="00573C59" w:rsidRDefault="00AA5485" w:rsidP="00AA5485">
      <w:pPr>
        <w:rPr>
          <w:rFonts w:ascii="Arial" w:hAnsi="Arial" w:cs="Arial"/>
          <w:b/>
        </w:rPr>
      </w:pPr>
      <w:r w:rsidRPr="00573C59">
        <w:rPr>
          <w:rFonts w:ascii="Arial" w:hAnsi="Arial" w:cs="Arial"/>
          <w:b/>
        </w:rPr>
        <w:t>Declaration of AI Use</w:t>
      </w:r>
    </w:p>
    <w:p w14:paraId="0F71A173" w14:textId="77777777" w:rsidR="00AA5485" w:rsidRPr="00573C59" w:rsidRDefault="0073728E" w:rsidP="00441B6F">
      <w:pPr>
        <w:pStyle w:val="ReferHead"/>
        <w:spacing w:after="0"/>
        <w:jc w:val="both"/>
        <w:rPr>
          <w:rFonts w:ascii="Arial" w:hAnsi="Arial" w:cs="Arial"/>
          <w:b w:val="0"/>
          <w:bCs/>
          <w:caps w:val="0"/>
          <w:sz w:val="20"/>
        </w:rPr>
      </w:pPr>
      <w:r w:rsidRPr="00573C59">
        <w:rPr>
          <w:rFonts w:ascii="Arial" w:hAnsi="Arial" w:cs="Arial"/>
          <w:b w:val="0"/>
          <w:bCs/>
          <w:caps w:val="0"/>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54B6D28" w14:textId="77777777" w:rsidR="00371FB6" w:rsidRPr="00573C59" w:rsidRDefault="00371FB6" w:rsidP="00441B6F">
      <w:pPr>
        <w:pStyle w:val="ReferHead"/>
        <w:spacing w:after="0"/>
        <w:jc w:val="both"/>
        <w:rPr>
          <w:rFonts w:ascii="Arial" w:hAnsi="Arial" w:cs="Arial"/>
          <w:b w:val="0"/>
          <w:caps w:val="0"/>
          <w:sz w:val="20"/>
        </w:rPr>
      </w:pPr>
    </w:p>
    <w:p w14:paraId="09A749BD" w14:textId="77777777" w:rsidR="00790ADA" w:rsidRPr="00573C59" w:rsidRDefault="00B01FCD" w:rsidP="00441B6F">
      <w:pPr>
        <w:pStyle w:val="ReferHead"/>
        <w:spacing w:after="0"/>
        <w:jc w:val="both"/>
        <w:rPr>
          <w:rFonts w:ascii="Arial" w:hAnsi="Arial" w:cs="Arial"/>
        </w:rPr>
      </w:pPr>
      <w:r w:rsidRPr="00573C59">
        <w:rPr>
          <w:rFonts w:ascii="Arial" w:hAnsi="Arial" w:cs="Arial"/>
        </w:rPr>
        <w:t>References</w:t>
      </w:r>
    </w:p>
    <w:p w14:paraId="71C47F98" w14:textId="77777777" w:rsidR="007C5BBC" w:rsidRDefault="007C5BBC" w:rsidP="00441B6F">
      <w:pPr>
        <w:pStyle w:val="ReferHead"/>
        <w:spacing w:after="0"/>
        <w:jc w:val="both"/>
        <w:rPr>
          <w:rFonts w:ascii="Arial" w:hAnsi="Arial" w:cs="Arial"/>
        </w:rPr>
      </w:pPr>
    </w:p>
    <w:p w14:paraId="1A5FE34E" w14:textId="77777777" w:rsidR="00C94FA6" w:rsidRPr="00C94FA6" w:rsidRDefault="00C94FA6" w:rsidP="00C94FA6">
      <w:pPr>
        <w:spacing w:before="100" w:beforeAutospacing="1" w:after="100" w:afterAutospacing="1"/>
        <w:rPr>
          <w:rFonts w:ascii="Times New Roman" w:hAnsi="Times New Roman"/>
          <w:sz w:val="24"/>
          <w:szCs w:val="24"/>
        </w:rPr>
      </w:pPr>
      <w:r w:rsidRPr="00C94FA6">
        <w:rPr>
          <w:rFonts w:ascii="Times New Roman" w:hAnsi="Times New Roman"/>
          <w:sz w:val="24"/>
          <w:szCs w:val="24"/>
        </w:rPr>
        <w:t xml:space="preserve">Abdelmoteleb, A., González-Mendoza, D., &amp; Zayed, O. (2023). Cell-free culture filtrate of </w:t>
      </w:r>
      <w:r w:rsidRPr="00C94FA6">
        <w:rPr>
          <w:rFonts w:ascii="Times New Roman" w:hAnsi="Times New Roman"/>
          <w:i/>
          <w:iCs/>
          <w:sz w:val="24"/>
          <w:szCs w:val="24"/>
        </w:rPr>
        <w:t xml:space="preserve">Trichoderma </w:t>
      </w:r>
      <w:proofErr w:type="spellStart"/>
      <w:r w:rsidRPr="00C94FA6">
        <w:rPr>
          <w:rFonts w:ascii="Times New Roman" w:hAnsi="Times New Roman"/>
          <w:i/>
          <w:iCs/>
          <w:sz w:val="24"/>
          <w:szCs w:val="24"/>
        </w:rPr>
        <w:t>longibrachiatum</w:t>
      </w:r>
      <w:proofErr w:type="spellEnd"/>
      <w:r w:rsidRPr="00C94FA6">
        <w:rPr>
          <w:rFonts w:ascii="Times New Roman" w:hAnsi="Times New Roman"/>
          <w:sz w:val="24"/>
          <w:szCs w:val="24"/>
        </w:rPr>
        <w:t xml:space="preserve"> AD-1 as alternative approach to control </w:t>
      </w:r>
      <w:r w:rsidRPr="00C94FA6">
        <w:rPr>
          <w:rFonts w:ascii="Times New Roman" w:hAnsi="Times New Roman"/>
          <w:i/>
          <w:iCs/>
          <w:sz w:val="24"/>
          <w:szCs w:val="24"/>
        </w:rPr>
        <w:t xml:space="preserve">Fusarium </w:t>
      </w:r>
      <w:proofErr w:type="spellStart"/>
      <w:r w:rsidRPr="00C94FA6">
        <w:rPr>
          <w:rFonts w:ascii="Times New Roman" w:hAnsi="Times New Roman"/>
          <w:i/>
          <w:iCs/>
          <w:sz w:val="24"/>
          <w:szCs w:val="24"/>
        </w:rPr>
        <w:t>solani</w:t>
      </w:r>
      <w:proofErr w:type="spellEnd"/>
      <w:r w:rsidRPr="00C94FA6">
        <w:rPr>
          <w:rFonts w:ascii="Times New Roman" w:hAnsi="Times New Roman"/>
          <w:sz w:val="24"/>
          <w:szCs w:val="24"/>
        </w:rPr>
        <w:t xml:space="preserve"> and induce defense response </w:t>
      </w:r>
      <w:r w:rsidRPr="00C94FA6">
        <w:rPr>
          <w:rFonts w:ascii="Times New Roman" w:hAnsi="Times New Roman"/>
          <w:i/>
          <w:iCs/>
          <w:sz w:val="24"/>
          <w:szCs w:val="24"/>
        </w:rPr>
        <w:t>Phaseolus vulgaris</w:t>
      </w:r>
      <w:r w:rsidRPr="00C94FA6">
        <w:rPr>
          <w:rFonts w:ascii="Times New Roman" w:hAnsi="Times New Roman"/>
          <w:sz w:val="24"/>
          <w:szCs w:val="24"/>
        </w:rPr>
        <w:t xml:space="preserve"> L. plants. </w:t>
      </w:r>
      <w:r w:rsidRPr="00C94FA6">
        <w:rPr>
          <w:rFonts w:ascii="Times New Roman" w:hAnsi="Times New Roman"/>
          <w:i/>
          <w:iCs/>
          <w:sz w:val="24"/>
          <w:szCs w:val="24"/>
        </w:rPr>
        <w:t>Rhizosphere, 25</w:t>
      </w:r>
      <w:r w:rsidRPr="00C94FA6">
        <w:rPr>
          <w:rFonts w:ascii="Times New Roman" w:hAnsi="Times New Roman"/>
          <w:sz w:val="24"/>
          <w:szCs w:val="24"/>
        </w:rPr>
        <w:t xml:space="preserve">, 100648. </w:t>
      </w:r>
      <w:hyperlink r:id="rId14" w:history="1">
        <w:r w:rsidRPr="00C94FA6">
          <w:rPr>
            <w:rFonts w:ascii="Times New Roman" w:hAnsi="Times New Roman"/>
            <w:color w:val="0000FF"/>
            <w:sz w:val="24"/>
            <w:szCs w:val="24"/>
            <w:u w:val="single"/>
          </w:rPr>
          <w:t>https://doi.org/10.1016/j.rhisph.2022.100648</w:t>
        </w:r>
      </w:hyperlink>
    </w:p>
    <w:p w14:paraId="6B9FEF31" w14:textId="77777777" w:rsidR="00C94FA6" w:rsidRPr="00C94FA6" w:rsidRDefault="00C94FA6" w:rsidP="00C94FA6">
      <w:pPr>
        <w:spacing w:before="100" w:beforeAutospacing="1" w:after="100" w:afterAutospacing="1"/>
        <w:rPr>
          <w:rFonts w:ascii="Times New Roman" w:hAnsi="Times New Roman"/>
          <w:sz w:val="24"/>
          <w:szCs w:val="24"/>
        </w:rPr>
      </w:pPr>
      <w:r w:rsidRPr="00C94FA6">
        <w:rPr>
          <w:rFonts w:ascii="Times New Roman" w:hAnsi="Times New Roman"/>
          <w:sz w:val="24"/>
          <w:szCs w:val="24"/>
        </w:rPr>
        <w:t xml:space="preserve">Aseel, D. G., Soliman, S. A., Al-Askar, A. A., </w:t>
      </w:r>
      <w:proofErr w:type="spellStart"/>
      <w:r w:rsidRPr="00C94FA6">
        <w:rPr>
          <w:rFonts w:ascii="Times New Roman" w:hAnsi="Times New Roman"/>
          <w:sz w:val="24"/>
          <w:szCs w:val="24"/>
        </w:rPr>
        <w:t>Elkelish</w:t>
      </w:r>
      <w:proofErr w:type="spellEnd"/>
      <w:r w:rsidRPr="00C94FA6">
        <w:rPr>
          <w:rFonts w:ascii="Times New Roman" w:hAnsi="Times New Roman"/>
          <w:sz w:val="24"/>
          <w:szCs w:val="24"/>
        </w:rPr>
        <w:t xml:space="preserve">, A., </w:t>
      </w:r>
      <w:proofErr w:type="spellStart"/>
      <w:r w:rsidRPr="00C94FA6">
        <w:rPr>
          <w:rFonts w:ascii="Times New Roman" w:hAnsi="Times New Roman"/>
          <w:sz w:val="24"/>
          <w:szCs w:val="24"/>
        </w:rPr>
        <w:t>Elbeaino</w:t>
      </w:r>
      <w:proofErr w:type="spellEnd"/>
      <w:r w:rsidRPr="00C94FA6">
        <w:rPr>
          <w:rFonts w:ascii="Times New Roman" w:hAnsi="Times New Roman"/>
          <w:sz w:val="24"/>
          <w:szCs w:val="24"/>
        </w:rPr>
        <w:t xml:space="preserve">, T., &amp; Abdelkhalek, A. (2023). </w:t>
      </w:r>
      <w:r w:rsidRPr="00C94FA6">
        <w:rPr>
          <w:rFonts w:ascii="Times New Roman" w:hAnsi="Times New Roman"/>
          <w:i/>
          <w:iCs/>
          <w:sz w:val="24"/>
          <w:szCs w:val="24"/>
        </w:rPr>
        <w:t>Trichoderma viride</w:t>
      </w:r>
      <w:r w:rsidRPr="00C94FA6">
        <w:rPr>
          <w:rFonts w:ascii="Times New Roman" w:hAnsi="Times New Roman"/>
          <w:sz w:val="24"/>
          <w:szCs w:val="24"/>
        </w:rPr>
        <w:t xml:space="preserve"> isolate Tvd44 enhances potato growth and stimulates the defense system against potato virus Y. </w:t>
      </w:r>
      <w:proofErr w:type="spellStart"/>
      <w:r w:rsidRPr="00C94FA6">
        <w:rPr>
          <w:rFonts w:ascii="Times New Roman" w:hAnsi="Times New Roman"/>
          <w:i/>
          <w:iCs/>
          <w:sz w:val="24"/>
          <w:szCs w:val="24"/>
        </w:rPr>
        <w:t>Horticulturae</w:t>
      </w:r>
      <w:proofErr w:type="spellEnd"/>
      <w:r w:rsidRPr="00C94FA6">
        <w:rPr>
          <w:rFonts w:ascii="Times New Roman" w:hAnsi="Times New Roman"/>
          <w:i/>
          <w:iCs/>
          <w:sz w:val="24"/>
          <w:szCs w:val="24"/>
        </w:rPr>
        <w:t>, 9</w:t>
      </w:r>
      <w:r w:rsidRPr="00C94FA6">
        <w:rPr>
          <w:rFonts w:ascii="Times New Roman" w:hAnsi="Times New Roman"/>
          <w:sz w:val="24"/>
          <w:szCs w:val="24"/>
        </w:rPr>
        <w:t xml:space="preserve">(6), 716. </w:t>
      </w:r>
      <w:hyperlink r:id="rId15" w:history="1">
        <w:r w:rsidRPr="00C94FA6">
          <w:rPr>
            <w:rFonts w:ascii="Times New Roman" w:hAnsi="Times New Roman"/>
            <w:color w:val="0000FF"/>
            <w:sz w:val="24"/>
            <w:szCs w:val="24"/>
            <w:u w:val="single"/>
          </w:rPr>
          <w:t>https://doi.org/10.3390/horticulturae9060716</w:t>
        </w:r>
      </w:hyperlink>
    </w:p>
    <w:p>
      <w:pPr>
        <w:spacing w:before="100" w:beforeAutospacing="1" w:after="100" w:afterAutospacing="1"/>
        <w:rPr>
          <w:rFonts w:ascii="Times New Roman" w:hAnsi="Times New Roman"/>
          <w:sz w:val="24"/>
          <w:szCs w:val="24"/>
        </w:rPr>
      </w:pPr>
      <w:r>
        <w:rPr>
          <w:b/>
          <w:i w:val="0"/>
        </w:rPr>
        <w:t xml:space="preserve">Aydoğdu, M. (2023). Biological control of groundnut stem rot using native isolates of </w:t>
      </w:r>
      <w:r>
        <w:rPr>
          <w:b/>
          <w:i/>
        </w:rPr>
        <w:t>Trichoderma harzianum</w:t>
      </w:r>
      <w:r>
        <w:rPr>
          <w:b/>
          <w:i w:val="0"/>
        </w:rPr>
        <w:t xml:space="preserve"> and </w:t>
      </w:r>
      <w:r>
        <w:rPr>
          <w:b/>
          <w:i/>
        </w:rPr>
        <w:t>T. aggressivum f. aggressivum</w:t>
      </w:r>
      <w:r>
        <w:rPr>
          <w:b/>
          <w:i w:val="0"/>
        </w:rPr>
        <w:t xml:space="preserve">. </w:t>
      </w:r>
      <w:r>
        <w:rPr>
          <w:b/>
          <w:i/>
        </w:rPr>
        <w:t>Journal of Plant Pathology</w:t>
      </w:r>
      <w:r>
        <w:rPr>
          <w:b/>
          <w:i w:val="0"/>
        </w:rPr>
        <w:t xml:space="preserve">, </w:t>
      </w:r>
      <w:r>
        <w:rPr>
          <w:b/>
          <w:i/>
        </w:rPr>
        <w:t>105</w:t>
      </w:r>
      <w:r>
        <w:rPr>
          <w:b/>
          <w:i w:val="0"/>
        </w:rPr>
        <w:t xml:space="preserve">(1), 269–281. </w:t>
      </w:r>
      <w:hyperlink r:id="rId44">
        <w:r>
          <w:rPr>
            <w:b w:val="1"/>
            <w:u w:val="single"/>
          </w:rPr>
          <w:t>https://doi.org/10.1007/s42161-022-01279-9</w:t>
        </w:r>
      </w:hyperlink>
    </w:p>
    <w:p>
      <w:pPr>
        <w:spacing w:before="100" w:beforeAutospacing="1" w:after="100" w:afterAutospacing="1"/>
        <w:rPr>
          <w:rFonts w:ascii="Times New Roman" w:hAnsi="Times New Roman"/>
          <w:sz w:val="24"/>
          <w:szCs w:val="24"/>
        </w:rPr>
      </w:pPr>
      <w:r>
        <w:rPr>
          <w:b/>
          <w:i w:val="0"/>
        </w:rPr>
        <w:t xml:space="preserve">Ayyandurai, M., Akila, R., Manonmani, K., Harish, S., Mini, M. L., &amp; Vellaikumar, S. (2023). Deciphering the mechanism of </w:t>
      </w:r>
      <w:r>
        <w:rPr>
          <w:b/>
          <w:i/>
        </w:rPr>
        <w:t>Trichoderma</w:t>
      </w:r>
      <w:r>
        <w:rPr>
          <w:b/>
          <w:i w:val="0"/>
        </w:rPr>
        <w:t xml:space="preserve"> spp. consortia possessing volatile organic compounds and antifungal metabolites in the suppression of </w:t>
      </w:r>
      <w:r>
        <w:rPr>
          <w:b/>
          <w:i/>
        </w:rPr>
        <w:t>Sclerotium rolfsii</w:t>
      </w:r>
      <w:r>
        <w:rPr>
          <w:b/>
          <w:i w:val="0"/>
        </w:rPr>
        <w:t xml:space="preserve"> in groundnut. </w:t>
      </w:r>
      <w:r>
        <w:rPr>
          <w:b/>
          <w:i/>
        </w:rPr>
        <w:t>Physiological and Molecular Plant Pathology</w:t>
      </w:r>
      <w:r>
        <w:rPr>
          <w:b/>
          <w:i w:val="0"/>
        </w:rPr>
        <w:t xml:space="preserve">, </w:t>
      </w:r>
      <w:r>
        <w:rPr>
          <w:b/>
          <w:i/>
        </w:rPr>
        <w:t>125</w:t>
      </w:r>
      <w:r>
        <w:rPr>
          <w:b/>
          <w:i w:val="0"/>
        </w:rPr>
        <w:t xml:space="preserve">, 102005. </w:t>
      </w:r>
      <w:hyperlink r:id="rId45">
        <w:r>
          <w:rPr>
            <w:b w:val="1"/>
            <w:u w:val="single"/>
          </w:rPr>
          <w:t>https://doi.org/10.1016/j.pmpp.2023.102005</w:t>
        </w:r>
      </w:hyperlink>
    </w:p>
    <w:p w14:paraId="71A80C0E" w14:textId="77777777" w:rsidR="00C94FA6" w:rsidRPr="00C94FA6" w:rsidRDefault="00C94FA6" w:rsidP="00C94FA6">
      <w:pPr>
        <w:spacing w:before="100" w:beforeAutospacing="1" w:after="100" w:afterAutospacing="1"/>
        <w:rPr>
          <w:rFonts w:ascii="Times New Roman" w:hAnsi="Times New Roman"/>
          <w:sz w:val="24"/>
          <w:szCs w:val="24"/>
        </w:rPr>
      </w:pPr>
      <w:r w:rsidRPr="00C94FA6">
        <w:rPr>
          <w:rFonts w:ascii="Times New Roman" w:hAnsi="Times New Roman"/>
          <w:sz w:val="24"/>
          <w:szCs w:val="24"/>
        </w:rPr>
        <w:t xml:space="preserve">Balamurugan, K., Christopher, D. J., &amp; Jaiganesh, V. </w:t>
      </w:r>
      <w:r>
        <w:rPr>
          <w:rFonts w:ascii="Times New Roman" w:hAnsi="Times New Roman"/>
          <w:sz w:val="24"/>
          <w:szCs w:val="24"/>
          <w:highlight w:val="yellow"/>
        </w:rPr>
        <w:t>(2025a)</w:t>
      </w:r>
      <w:r w:rsidRPr="00C94FA6">
        <w:rPr>
          <w:rFonts w:ascii="Times New Roman" w:hAnsi="Times New Roman"/>
          <w:sz w:val="24"/>
          <w:szCs w:val="24"/>
        </w:rPr>
        <w:t xml:space="preserve">. Exploring </w:t>
      </w:r>
      <w:r w:rsidRPr="00C94FA6">
        <w:rPr>
          <w:rFonts w:ascii="Times New Roman" w:hAnsi="Times New Roman"/>
          <w:i/>
          <w:iCs/>
          <w:sz w:val="24"/>
          <w:szCs w:val="24"/>
        </w:rPr>
        <w:t xml:space="preserve">Streptomyces </w:t>
      </w:r>
      <w:proofErr w:type="spellStart"/>
      <w:r w:rsidRPr="00C94FA6">
        <w:rPr>
          <w:rFonts w:ascii="Times New Roman" w:hAnsi="Times New Roman"/>
          <w:i/>
          <w:iCs/>
          <w:sz w:val="24"/>
          <w:szCs w:val="24"/>
        </w:rPr>
        <w:t>albofaciens</w:t>
      </w:r>
      <w:proofErr w:type="spellEnd"/>
      <w:r w:rsidRPr="00C94FA6">
        <w:rPr>
          <w:rFonts w:ascii="Times New Roman" w:hAnsi="Times New Roman"/>
          <w:sz w:val="24"/>
          <w:szCs w:val="24"/>
        </w:rPr>
        <w:t xml:space="preserve"> for the sustainable management of mango anthracnose. </w:t>
      </w:r>
      <w:r w:rsidRPr="00C94FA6">
        <w:rPr>
          <w:rFonts w:ascii="Times New Roman" w:hAnsi="Times New Roman"/>
          <w:i/>
          <w:iCs/>
          <w:sz w:val="24"/>
          <w:szCs w:val="24"/>
        </w:rPr>
        <w:t>Journal of Advances in Biology &amp; Biotechnology, 28</w:t>
      </w:r>
      <w:r w:rsidRPr="00C94FA6">
        <w:rPr>
          <w:rFonts w:ascii="Times New Roman" w:hAnsi="Times New Roman"/>
          <w:sz w:val="24"/>
          <w:szCs w:val="24"/>
        </w:rPr>
        <w:t xml:space="preserve">(8), 636–645. </w:t>
      </w:r>
      <w:hyperlink r:id="rId16" w:history="1">
        <w:r w:rsidRPr="00C94FA6">
          <w:rPr>
            <w:rFonts w:ascii="Times New Roman" w:hAnsi="Times New Roman"/>
            <w:color w:val="0000FF"/>
            <w:sz w:val="24"/>
            <w:szCs w:val="24"/>
            <w:u w:val="single"/>
          </w:rPr>
          <w:t>https://doi.org/10.9734/jabb/2025/v28i82737</w:t>
        </w:r>
      </w:hyperlink>
      <w:r w:rsidRPr="00C94FA6">
        <w:rPr>
          <w:rFonts w:ascii="Times New Roman" w:hAnsi="Times New Roman"/>
          <w:sz w:val="24"/>
          <w:szCs w:val="24"/>
        </w:rPr>
        <w:br/>
      </w:r>
    </w:p>
    <w:p w14:paraId="56E36C98" w14:textId="77777777" w:rsidR="00C94FA6" w:rsidRPr="00C94FA6" w:rsidRDefault="00C94FA6" w:rsidP="00C94FA6">
      <w:pPr>
        <w:spacing w:before="100" w:beforeAutospacing="1" w:after="100" w:afterAutospacing="1"/>
        <w:rPr>
          <w:rFonts w:ascii="Times New Roman" w:hAnsi="Times New Roman"/>
          <w:sz w:val="24"/>
          <w:szCs w:val="24"/>
        </w:rPr>
      </w:pPr>
      <w:r w:rsidRPr="00C94FA6">
        <w:rPr>
          <w:rFonts w:ascii="Times New Roman" w:hAnsi="Times New Roman"/>
          <w:sz w:val="24"/>
          <w:szCs w:val="24"/>
        </w:rPr>
        <w:t xml:space="preserve">Balamurugan, K., Christopher, D. J., &amp; Jaiganesh, V. </w:t>
      </w:r>
      <w:r>
        <w:rPr>
          <w:rFonts w:ascii="Times New Roman" w:hAnsi="Times New Roman"/>
          <w:sz w:val="24"/>
          <w:szCs w:val="24"/>
          <w:highlight w:val="yellow"/>
        </w:rPr>
        <w:t>(2025b)</w:t>
      </w:r>
      <w:r w:rsidRPr="00C94FA6">
        <w:rPr>
          <w:rFonts w:ascii="Times New Roman" w:hAnsi="Times New Roman"/>
          <w:sz w:val="24"/>
          <w:szCs w:val="24"/>
        </w:rPr>
        <w:t xml:space="preserve">. Molecular characterization and cross-pathogenicity analysis of </w:t>
      </w:r>
      <w:r w:rsidRPr="00C94FA6">
        <w:rPr>
          <w:rFonts w:ascii="Times New Roman" w:hAnsi="Times New Roman"/>
          <w:i/>
          <w:iCs/>
          <w:sz w:val="24"/>
          <w:szCs w:val="24"/>
        </w:rPr>
        <w:t xml:space="preserve">Colletotrichum </w:t>
      </w:r>
      <w:proofErr w:type="spellStart"/>
      <w:r w:rsidRPr="00C94FA6">
        <w:rPr>
          <w:rFonts w:ascii="Times New Roman" w:hAnsi="Times New Roman"/>
          <w:i/>
          <w:iCs/>
          <w:sz w:val="24"/>
          <w:szCs w:val="24"/>
        </w:rPr>
        <w:t>gloeosporioides</w:t>
      </w:r>
      <w:proofErr w:type="spellEnd"/>
      <w:r w:rsidRPr="00C94FA6">
        <w:rPr>
          <w:rFonts w:ascii="Times New Roman" w:hAnsi="Times New Roman"/>
          <w:sz w:val="24"/>
          <w:szCs w:val="24"/>
        </w:rPr>
        <w:t xml:space="preserve"> (Penz.) Penz. &amp; </w:t>
      </w:r>
      <w:proofErr w:type="spellStart"/>
      <w:r w:rsidRPr="00C94FA6">
        <w:rPr>
          <w:rFonts w:ascii="Times New Roman" w:hAnsi="Times New Roman"/>
          <w:sz w:val="24"/>
          <w:szCs w:val="24"/>
        </w:rPr>
        <w:t>Sacc</w:t>
      </w:r>
      <w:proofErr w:type="spellEnd"/>
      <w:r w:rsidRPr="00C94FA6">
        <w:rPr>
          <w:rFonts w:ascii="Times New Roman" w:hAnsi="Times New Roman"/>
          <w:sz w:val="24"/>
          <w:szCs w:val="24"/>
        </w:rPr>
        <w:t xml:space="preserve">. associated with mango </w:t>
      </w:r>
      <w:r w:rsidRPr="00C94FA6">
        <w:rPr>
          <w:rFonts w:ascii="Times New Roman" w:hAnsi="Times New Roman"/>
          <w:sz w:val="24"/>
          <w:szCs w:val="24"/>
        </w:rPr>
        <w:lastRenderedPageBreak/>
        <w:t xml:space="preserve">anthracnose. </w:t>
      </w:r>
      <w:r w:rsidRPr="00C94FA6">
        <w:rPr>
          <w:rFonts w:ascii="Times New Roman" w:hAnsi="Times New Roman"/>
          <w:i/>
          <w:iCs/>
          <w:sz w:val="24"/>
          <w:szCs w:val="24"/>
        </w:rPr>
        <w:t>Annals of Phytomedicine: An International Journal, 14</w:t>
      </w:r>
      <w:r w:rsidRPr="00C94FA6">
        <w:rPr>
          <w:rFonts w:ascii="Times New Roman" w:hAnsi="Times New Roman"/>
          <w:sz w:val="24"/>
          <w:szCs w:val="24"/>
        </w:rPr>
        <w:t xml:space="preserve">(1), 1140–1150. </w:t>
      </w:r>
      <w:hyperlink r:id="rId17" w:history="1">
        <w:r w:rsidRPr="00C94FA6">
          <w:rPr>
            <w:rFonts w:ascii="Times New Roman" w:hAnsi="Times New Roman"/>
            <w:color w:val="0000FF"/>
            <w:sz w:val="24"/>
            <w:szCs w:val="24"/>
            <w:u w:val="single"/>
          </w:rPr>
          <w:t>https://doi.org/10.54085/ap.2025.14.1.114</w:t>
        </w:r>
      </w:hyperlink>
      <w:r w:rsidRPr="00C94FA6">
        <w:rPr>
          <w:rFonts w:ascii="Times New Roman" w:hAnsi="Times New Roman"/>
          <w:sz w:val="24"/>
          <w:szCs w:val="24"/>
        </w:rPr>
        <w:br/>
      </w:r>
    </w:p>
    <w:p w14:paraId="6DC9F8A1" w14:textId="77777777" w:rsidR="00806E87" w:rsidRDefault="00000000">
      <w:pPr>
        <w:spacing w:before="100" w:beforeAutospacing="1" w:after="100" w:afterAutospacing="1"/>
        <w:rPr>
          <w:rFonts w:ascii="Times New Roman" w:hAnsi="Times New Roman"/>
          <w:sz w:val="24"/>
          <w:szCs w:val="24"/>
        </w:rPr>
      </w:pPr>
      <w:r>
        <w:rPr>
          <w:rFonts w:ascii="Times New Roman" w:hAnsi="Times New Roman"/>
          <w:b/>
          <w:sz w:val="24"/>
          <w:highlight w:val="yellow"/>
        </w:rPr>
        <w:t xml:space="preserve">Bhatnagar, N., Lal, A. A., Bawane, A. S., &amp; Singh, S. (2025). Integrated use of </w:t>
      </w:r>
      <w:r>
        <w:rPr>
          <w:rFonts w:ascii="Times New Roman" w:hAnsi="Times New Roman"/>
          <w:b/>
          <w:i/>
          <w:sz w:val="24"/>
          <w:highlight w:val="yellow"/>
        </w:rPr>
        <w:t>Trichoderma</w:t>
      </w:r>
      <w:r>
        <w:rPr>
          <w:rFonts w:ascii="Times New Roman" w:hAnsi="Times New Roman"/>
          <w:b/>
          <w:sz w:val="24"/>
          <w:highlight w:val="yellow"/>
        </w:rPr>
        <w:t xml:space="preserve"> spp. and neem (</w:t>
      </w:r>
      <w:r>
        <w:rPr>
          <w:rFonts w:ascii="Times New Roman" w:hAnsi="Times New Roman"/>
          <w:b/>
          <w:i/>
          <w:sz w:val="24"/>
          <w:highlight w:val="yellow"/>
        </w:rPr>
        <w:t>Azadirachta indica</w:t>
      </w:r>
      <w:r>
        <w:rPr>
          <w:rFonts w:ascii="Times New Roman" w:hAnsi="Times New Roman"/>
          <w:b/>
          <w:sz w:val="24"/>
          <w:highlight w:val="yellow"/>
        </w:rPr>
        <w:t>) leaf extract for management of stem rot (</w:t>
      </w:r>
      <w:r>
        <w:rPr>
          <w:rFonts w:ascii="Times New Roman" w:hAnsi="Times New Roman"/>
          <w:b/>
          <w:i/>
          <w:sz w:val="24"/>
          <w:highlight w:val="yellow"/>
        </w:rPr>
        <w:t>Sclerotium rolfsii</w:t>
      </w:r>
      <w:r>
        <w:rPr>
          <w:rFonts w:ascii="Times New Roman" w:hAnsi="Times New Roman"/>
          <w:b/>
          <w:sz w:val="24"/>
          <w:highlight w:val="yellow"/>
        </w:rPr>
        <w:t xml:space="preserve">) in groundnut. </w:t>
      </w:r>
      <w:r>
        <w:rPr>
          <w:rFonts w:ascii="Times New Roman" w:hAnsi="Times New Roman"/>
          <w:b/>
          <w:i/>
          <w:sz w:val="24"/>
          <w:highlight w:val="yellow"/>
        </w:rPr>
        <w:t>Journal of Scientific Research and Reports, 31</w:t>
      </w:r>
      <w:r>
        <w:rPr>
          <w:rFonts w:ascii="Times New Roman" w:hAnsi="Times New Roman"/>
          <w:b/>
          <w:sz w:val="24"/>
          <w:highlight w:val="yellow"/>
        </w:rPr>
        <w:t xml:space="preserve">(8), 505–511. </w:t>
      </w:r>
      <w:hyperlink r:id="rId18" w:history="1">
        <w:r>
          <w:rPr>
            <w:rFonts w:ascii="Times New Roman" w:hAnsi="Times New Roman"/>
            <w:b/>
            <w:bCs/>
            <w:color w:val="0563C1"/>
            <w:sz w:val="24"/>
            <w:szCs w:val="24"/>
            <w:highlight w:val="yellow"/>
            <w:u w:val="single"/>
          </w:rPr>
          <w:t>https://doi.org/10.9734/jsrr/2025/v31i83394</w:t>
        </w:r>
      </w:hyperlink>
    </w:p>
    <w:p w14:paraId="78542A87" w14:textId="77777777" w:rsidR="00C94FA6" w:rsidRPr="00C94FA6" w:rsidRDefault="00C94FA6" w:rsidP="00C94FA6">
      <w:pPr>
        <w:spacing w:before="100" w:beforeAutospacing="1" w:after="100" w:afterAutospacing="1"/>
        <w:rPr>
          <w:rFonts w:ascii="Times New Roman" w:hAnsi="Times New Roman"/>
          <w:sz w:val="24"/>
          <w:szCs w:val="24"/>
        </w:rPr>
      </w:pPr>
      <w:r w:rsidRPr="00C94FA6">
        <w:rPr>
          <w:rFonts w:ascii="Times New Roman" w:hAnsi="Times New Roman"/>
          <w:sz w:val="24"/>
          <w:szCs w:val="24"/>
        </w:rPr>
        <w:t xml:space="preserve">Biswas, S. K., Anik, T. R., Adhikary, S., Kundu, M., Sultana, F., </w:t>
      </w:r>
      <w:proofErr w:type="spellStart"/>
      <w:r w:rsidRPr="00C94FA6">
        <w:rPr>
          <w:rFonts w:ascii="Times New Roman" w:hAnsi="Times New Roman"/>
          <w:sz w:val="24"/>
          <w:szCs w:val="24"/>
        </w:rPr>
        <w:t>Mostofa</w:t>
      </w:r>
      <w:proofErr w:type="spellEnd"/>
      <w:r w:rsidRPr="00C94FA6">
        <w:rPr>
          <w:rFonts w:ascii="Times New Roman" w:hAnsi="Times New Roman"/>
          <w:sz w:val="24"/>
          <w:szCs w:val="24"/>
        </w:rPr>
        <w:t xml:space="preserve">, M. G., &amp; Hossain, M. M. (2026). From infection to adaptation: </w:t>
      </w:r>
      <w:r w:rsidRPr="00C94FA6">
        <w:rPr>
          <w:rFonts w:ascii="Times New Roman" w:hAnsi="Times New Roman"/>
          <w:i/>
          <w:iCs/>
          <w:sz w:val="24"/>
          <w:szCs w:val="24"/>
        </w:rPr>
        <w:t xml:space="preserve">Sclerotium </w:t>
      </w:r>
      <w:proofErr w:type="spellStart"/>
      <w:r w:rsidRPr="00C94FA6">
        <w:rPr>
          <w:rFonts w:ascii="Times New Roman" w:hAnsi="Times New Roman"/>
          <w:i/>
          <w:iCs/>
          <w:sz w:val="24"/>
          <w:szCs w:val="24"/>
        </w:rPr>
        <w:t>rolfsii</w:t>
      </w:r>
      <w:proofErr w:type="spellEnd"/>
      <w:r w:rsidRPr="00C94FA6">
        <w:rPr>
          <w:rFonts w:ascii="Times New Roman" w:hAnsi="Times New Roman"/>
          <w:sz w:val="24"/>
          <w:szCs w:val="24"/>
        </w:rPr>
        <w:t xml:space="preserve">-induced stress and defense in tomato. </w:t>
      </w:r>
      <w:r w:rsidRPr="00C94FA6">
        <w:rPr>
          <w:rFonts w:ascii="Times New Roman" w:hAnsi="Times New Roman"/>
          <w:i/>
          <w:iCs/>
          <w:sz w:val="24"/>
          <w:szCs w:val="24"/>
        </w:rPr>
        <w:t>Stresses, 6</w:t>
      </w:r>
      <w:r w:rsidRPr="00C94FA6">
        <w:rPr>
          <w:rFonts w:ascii="Times New Roman" w:hAnsi="Times New Roman"/>
          <w:sz w:val="24"/>
          <w:szCs w:val="24"/>
        </w:rPr>
        <w:t xml:space="preserve">(2), 35. </w:t>
      </w:r>
      <w:hyperlink r:id="rId19" w:history="1">
        <w:r w:rsidRPr="00C94FA6">
          <w:rPr>
            <w:rFonts w:ascii="Times New Roman" w:hAnsi="Times New Roman"/>
            <w:color w:val="0000FF"/>
            <w:sz w:val="24"/>
            <w:szCs w:val="24"/>
            <w:u w:val="single"/>
          </w:rPr>
          <w:t>https://doi.org/10.3390/stresses6020035</w:t>
        </w:r>
      </w:hyperlink>
    </w:p>
    <w:p w14:paraId="4FF06890" w14:textId="77777777" w:rsidR="00C94FA6" w:rsidRPr="00C94FA6" w:rsidRDefault="00C94FA6" w:rsidP="00C94FA6">
      <w:pPr>
        <w:spacing w:before="100" w:beforeAutospacing="1" w:after="100" w:afterAutospacing="1"/>
        <w:rPr>
          <w:rFonts w:ascii="Times New Roman" w:hAnsi="Times New Roman"/>
          <w:sz w:val="24"/>
          <w:szCs w:val="24"/>
        </w:rPr>
      </w:pPr>
      <w:r w:rsidRPr="00C94FA6">
        <w:rPr>
          <w:rFonts w:ascii="Times New Roman" w:hAnsi="Times New Roman"/>
          <w:sz w:val="24"/>
          <w:szCs w:val="24"/>
        </w:rPr>
        <w:t xml:space="preserve">Chan, M. E., Tan, J. Y., Lee, Y. Y., Lee, D., Fong, Y. K., </w:t>
      </w:r>
      <w:proofErr w:type="spellStart"/>
      <w:r w:rsidRPr="00C94FA6">
        <w:rPr>
          <w:rFonts w:ascii="Times New Roman" w:hAnsi="Times New Roman"/>
          <w:sz w:val="24"/>
          <w:szCs w:val="24"/>
        </w:rPr>
        <w:t>Mutwil</w:t>
      </w:r>
      <w:proofErr w:type="spellEnd"/>
      <w:r w:rsidRPr="00C94FA6">
        <w:rPr>
          <w:rFonts w:ascii="Times New Roman" w:hAnsi="Times New Roman"/>
          <w:sz w:val="24"/>
          <w:szCs w:val="24"/>
        </w:rPr>
        <w:t xml:space="preserve">, M., Wong, J. Y., &amp; Hong, Y. (2023). Locally isolated </w:t>
      </w:r>
      <w:r w:rsidRPr="00C94FA6">
        <w:rPr>
          <w:rFonts w:ascii="Times New Roman" w:hAnsi="Times New Roman"/>
          <w:i/>
          <w:iCs/>
          <w:sz w:val="24"/>
          <w:szCs w:val="24"/>
        </w:rPr>
        <w:t xml:space="preserve">Trichoderma </w:t>
      </w:r>
      <w:proofErr w:type="spellStart"/>
      <w:r w:rsidRPr="00C94FA6">
        <w:rPr>
          <w:rFonts w:ascii="Times New Roman" w:hAnsi="Times New Roman"/>
          <w:i/>
          <w:iCs/>
          <w:sz w:val="24"/>
          <w:szCs w:val="24"/>
        </w:rPr>
        <w:t>harzianum</w:t>
      </w:r>
      <w:proofErr w:type="spellEnd"/>
      <w:r w:rsidRPr="00C94FA6">
        <w:rPr>
          <w:rFonts w:ascii="Times New Roman" w:hAnsi="Times New Roman"/>
          <w:sz w:val="24"/>
          <w:szCs w:val="24"/>
        </w:rPr>
        <w:t xml:space="preserve"> species have broad spectrum biocontrol activities against the wood rot fungal species through both volatile inhibition and mycoparasitism. </w:t>
      </w:r>
      <w:r w:rsidRPr="00C94FA6">
        <w:rPr>
          <w:rFonts w:ascii="Times New Roman" w:hAnsi="Times New Roman"/>
          <w:i/>
          <w:iCs/>
          <w:sz w:val="24"/>
          <w:szCs w:val="24"/>
        </w:rPr>
        <w:t>Journal of Fungi, 9</w:t>
      </w:r>
      <w:r w:rsidRPr="00C94FA6">
        <w:rPr>
          <w:rFonts w:ascii="Times New Roman" w:hAnsi="Times New Roman"/>
          <w:sz w:val="24"/>
          <w:szCs w:val="24"/>
        </w:rPr>
        <w:t xml:space="preserve">(6), 675. </w:t>
      </w:r>
      <w:hyperlink r:id="rId20" w:history="1">
        <w:r w:rsidRPr="00C94FA6">
          <w:rPr>
            <w:rFonts w:ascii="Times New Roman" w:hAnsi="Times New Roman"/>
            <w:color w:val="0000FF"/>
            <w:sz w:val="24"/>
            <w:szCs w:val="24"/>
            <w:u w:val="single"/>
          </w:rPr>
          <w:t>https://doi.org/10.3390/jof9060675</w:t>
        </w:r>
      </w:hyperlink>
    </w:p>
    <w:p w14:paraId="54E84F54" w14:textId="77777777" w:rsidR="00C94FA6" w:rsidRPr="00C94FA6" w:rsidRDefault="00C94FA6" w:rsidP="00C94FA6">
      <w:pPr>
        <w:spacing w:before="100" w:beforeAutospacing="1" w:after="100" w:afterAutospacing="1"/>
        <w:rPr>
          <w:rFonts w:ascii="Times New Roman" w:hAnsi="Times New Roman"/>
          <w:sz w:val="24"/>
          <w:szCs w:val="24"/>
        </w:rPr>
      </w:pPr>
      <w:r w:rsidRPr="00C94FA6">
        <w:rPr>
          <w:rFonts w:ascii="Times New Roman" w:hAnsi="Times New Roman"/>
          <w:sz w:val="24"/>
          <w:szCs w:val="24"/>
        </w:rPr>
        <w:t xml:space="preserve">Chandra, S. (2024). In vitro screening of </w:t>
      </w:r>
      <w:r w:rsidRPr="00C94FA6">
        <w:rPr>
          <w:rFonts w:ascii="Times New Roman" w:hAnsi="Times New Roman"/>
          <w:i/>
          <w:iCs/>
          <w:sz w:val="24"/>
          <w:szCs w:val="24"/>
        </w:rPr>
        <w:t>Trichoderma</w:t>
      </w:r>
      <w:r w:rsidRPr="00C94FA6">
        <w:rPr>
          <w:rFonts w:ascii="Times New Roman" w:hAnsi="Times New Roman"/>
          <w:sz w:val="24"/>
          <w:szCs w:val="24"/>
        </w:rPr>
        <w:t xml:space="preserve"> species against </w:t>
      </w:r>
      <w:r w:rsidRPr="00C94FA6">
        <w:rPr>
          <w:rFonts w:ascii="Times New Roman" w:hAnsi="Times New Roman"/>
          <w:i/>
          <w:iCs/>
          <w:sz w:val="24"/>
          <w:szCs w:val="24"/>
        </w:rPr>
        <w:t xml:space="preserve">Sclerotium </w:t>
      </w:r>
      <w:proofErr w:type="spellStart"/>
      <w:r w:rsidRPr="00C94FA6">
        <w:rPr>
          <w:rFonts w:ascii="Times New Roman" w:hAnsi="Times New Roman"/>
          <w:i/>
          <w:iCs/>
          <w:sz w:val="24"/>
          <w:szCs w:val="24"/>
        </w:rPr>
        <w:t>rolfsii</w:t>
      </w:r>
      <w:proofErr w:type="spellEnd"/>
      <w:r w:rsidRPr="00C94FA6">
        <w:rPr>
          <w:rFonts w:ascii="Times New Roman" w:hAnsi="Times New Roman"/>
          <w:sz w:val="24"/>
          <w:szCs w:val="24"/>
        </w:rPr>
        <w:t xml:space="preserve"> </w:t>
      </w:r>
      <w:proofErr w:type="spellStart"/>
      <w:r w:rsidRPr="00C94FA6">
        <w:rPr>
          <w:rFonts w:ascii="Times New Roman" w:hAnsi="Times New Roman"/>
          <w:sz w:val="24"/>
          <w:szCs w:val="24"/>
        </w:rPr>
        <w:t>Sacc</w:t>
      </w:r>
      <w:proofErr w:type="spellEnd"/>
      <w:r w:rsidRPr="00C94FA6">
        <w:rPr>
          <w:rFonts w:ascii="Times New Roman" w:hAnsi="Times New Roman"/>
          <w:sz w:val="24"/>
          <w:szCs w:val="24"/>
        </w:rPr>
        <w:t xml:space="preserve">. for antagonism. </w:t>
      </w:r>
      <w:r w:rsidRPr="00C94FA6">
        <w:rPr>
          <w:rFonts w:ascii="Times New Roman" w:hAnsi="Times New Roman"/>
          <w:i/>
          <w:iCs/>
          <w:sz w:val="24"/>
          <w:szCs w:val="24"/>
        </w:rPr>
        <w:t>Journal of Progressive Science, 15</w:t>
      </w:r>
      <w:r w:rsidRPr="00C94FA6">
        <w:rPr>
          <w:rFonts w:ascii="Times New Roman" w:hAnsi="Times New Roman"/>
          <w:sz w:val="24"/>
          <w:szCs w:val="24"/>
        </w:rPr>
        <w:t xml:space="preserve">(1–2), 14–21. </w:t>
      </w:r>
      <w:hyperlink r:id="rId21" w:history="1">
        <w:r w:rsidRPr="00C94FA6">
          <w:rPr>
            <w:rFonts w:ascii="Times New Roman" w:hAnsi="Times New Roman"/>
            <w:color w:val="0000FF"/>
            <w:sz w:val="24"/>
            <w:szCs w:val="24"/>
            <w:u w:val="single"/>
          </w:rPr>
          <w:t>https://doi.org/10.21590/h642vm48</w:t>
        </w:r>
      </w:hyperlink>
    </w:p>
    <w:p w14:paraId="6F381C62" w14:textId="77777777" w:rsidR="00806E87" w:rsidRDefault="00000000">
      <w:pPr>
        <w:spacing w:before="100" w:beforeAutospacing="1" w:after="100" w:afterAutospacing="1"/>
        <w:rPr>
          <w:rFonts w:ascii="Times New Roman" w:hAnsi="Times New Roman"/>
          <w:sz w:val="24"/>
          <w:szCs w:val="24"/>
        </w:rPr>
      </w:pPr>
      <w:r>
        <w:rPr>
          <w:rFonts w:ascii="Times New Roman" w:hAnsi="Times New Roman"/>
          <w:b/>
          <w:sz w:val="24"/>
          <w:highlight w:val="yellow"/>
        </w:rPr>
        <w:t xml:space="preserve">Cortez-Lázaro, A. A., Vázquez-Medina, P. J., Caro-Degollar, E. M., García Evangelista, J. V., Cortez-Lázaro, R. A., Rojas-Paz, J. L., Legua-Cardenas, J. A., Fernandez-Herrera, F., Pesantes-Rojas, C. R., Ocrospoma-Dueñas, R. W., Oliva-Cruz, S. M., Manes-Cangana, G. A., Romero Bozzetta, J. L., &amp; Leiva Espinoza, S. T. (2025). Global trends in </w:t>
      </w:r>
      <w:r>
        <w:rPr>
          <w:rFonts w:ascii="Times New Roman" w:hAnsi="Times New Roman"/>
          <w:b/>
          <w:i/>
          <w:sz w:val="24"/>
          <w:highlight w:val="yellow"/>
        </w:rPr>
        <w:t>Trichoderma</w:t>
      </w:r>
      <w:r>
        <w:rPr>
          <w:rFonts w:ascii="Times New Roman" w:hAnsi="Times New Roman"/>
          <w:b/>
          <w:sz w:val="24"/>
          <w:highlight w:val="yellow"/>
        </w:rPr>
        <w:t xml:space="preserve"> secondary metabolites in sustainable agricultural bioprotection. </w:t>
      </w:r>
      <w:r>
        <w:rPr>
          <w:rFonts w:ascii="Times New Roman" w:hAnsi="Times New Roman"/>
          <w:b/>
          <w:i/>
          <w:sz w:val="24"/>
          <w:highlight w:val="yellow"/>
        </w:rPr>
        <w:t>Frontiers in Microbiology, 16</w:t>
      </w:r>
      <w:r>
        <w:rPr>
          <w:rFonts w:ascii="Times New Roman" w:hAnsi="Times New Roman"/>
          <w:b/>
          <w:sz w:val="24"/>
          <w:highlight w:val="yellow"/>
        </w:rPr>
        <w:t xml:space="preserve">, 1595946. </w:t>
      </w:r>
      <w:hyperlink r:id="rId22" w:history="1">
        <w:r>
          <w:rPr>
            <w:rFonts w:ascii="Times New Roman" w:hAnsi="Times New Roman"/>
            <w:b/>
            <w:bCs/>
            <w:color w:val="0563C1"/>
            <w:sz w:val="24"/>
            <w:szCs w:val="24"/>
            <w:highlight w:val="yellow"/>
            <w:u w:val="single"/>
          </w:rPr>
          <w:t>https://doi.org/10.3389/fmicb.2025.1595946</w:t>
        </w:r>
      </w:hyperlink>
    </w:p>
    <w:p w14:paraId="56A5D7C2" w14:textId="77777777" w:rsidR="00C94FA6" w:rsidRPr="00C94FA6" w:rsidRDefault="00C94FA6" w:rsidP="00C94FA6">
      <w:pPr>
        <w:spacing w:before="100" w:beforeAutospacing="1" w:after="100" w:afterAutospacing="1"/>
        <w:rPr>
          <w:rFonts w:ascii="Times New Roman" w:hAnsi="Times New Roman"/>
          <w:sz w:val="24"/>
          <w:szCs w:val="24"/>
        </w:rPr>
      </w:pPr>
      <w:r w:rsidRPr="00C94FA6">
        <w:rPr>
          <w:rFonts w:ascii="Times New Roman" w:hAnsi="Times New Roman"/>
          <w:sz w:val="24"/>
          <w:szCs w:val="24"/>
        </w:rPr>
        <w:t>El-</w:t>
      </w:r>
      <w:proofErr w:type="spellStart"/>
      <w:r w:rsidRPr="00C94FA6">
        <w:rPr>
          <w:rFonts w:ascii="Times New Roman" w:hAnsi="Times New Roman"/>
          <w:sz w:val="24"/>
          <w:szCs w:val="24"/>
        </w:rPr>
        <w:t>Katatny</w:t>
      </w:r>
      <w:proofErr w:type="spellEnd"/>
      <w:r w:rsidRPr="00C94FA6">
        <w:rPr>
          <w:rFonts w:ascii="Times New Roman" w:hAnsi="Times New Roman"/>
          <w:sz w:val="24"/>
          <w:szCs w:val="24"/>
        </w:rPr>
        <w:t xml:space="preserve">, M. H., Gudelj, M., </w:t>
      </w:r>
      <w:proofErr w:type="spellStart"/>
      <w:r w:rsidRPr="00C94FA6">
        <w:rPr>
          <w:rFonts w:ascii="Times New Roman" w:hAnsi="Times New Roman"/>
          <w:sz w:val="24"/>
          <w:szCs w:val="24"/>
        </w:rPr>
        <w:t>Robra</w:t>
      </w:r>
      <w:proofErr w:type="spellEnd"/>
      <w:r w:rsidRPr="00C94FA6">
        <w:rPr>
          <w:rFonts w:ascii="Times New Roman" w:hAnsi="Times New Roman"/>
          <w:sz w:val="24"/>
          <w:szCs w:val="24"/>
        </w:rPr>
        <w:t xml:space="preserve">, K.-H., </w:t>
      </w:r>
      <w:proofErr w:type="spellStart"/>
      <w:r w:rsidRPr="00C94FA6">
        <w:rPr>
          <w:rFonts w:ascii="Times New Roman" w:hAnsi="Times New Roman"/>
          <w:sz w:val="24"/>
          <w:szCs w:val="24"/>
        </w:rPr>
        <w:t>Elnaghy</w:t>
      </w:r>
      <w:proofErr w:type="spellEnd"/>
      <w:r w:rsidRPr="00C94FA6">
        <w:rPr>
          <w:rFonts w:ascii="Times New Roman" w:hAnsi="Times New Roman"/>
          <w:sz w:val="24"/>
          <w:szCs w:val="24"/>
        </w:rPr>
        <w:t xml:space="preserve">, M. A., &amp; </w:t>
      </w:r>
      <w:proofErr w:type="spellStart"/>
      <w:r w:rsidRPr="00C94FA6">
        <w:rPr>
          <w:rFonts w:ascii="Times New Roman" w:hAnsi="Times New Roman"/>
          <w:sz w:val="24"/>
          <w:szCs w:val="24"/>
        </w:rPr>
        <w:t>Gübitz</w:t>
      </w:r>
      <w:proofErr w:type="spellEnd"/>
      <w:r w:rsidRPr="00C94FA6">
        <w:rPr>
          <w:rFonts w:ascii="Times New Roman" w:hAnsi="Times New Roman"/>
          <w:sz w:val="24"/>
          <w:szCs w:val="24"/>
        </w:rPr>
        <w:t xml:space="preserve">, G. M. (2001). Characterization of a chitinase and an endo-β-1,3-glucanase from </w:t>
      </w:r>
      <w:r w:rsidRPr="00C94FA6">
        <w:rPr>
          <w:rFonts w:ascii="Times New Roman" w:hAnsi="Times New Roman"/>
          <w:i/>
          <w:iCs/>
          <w:sz w:val="24"/>
          <w:szCs w:val="24"/>
        </w:rPr>
        <w:t xml:space="preserve">Trichoderma </w:t>
      </w:r>
      <w:proofErr w:type="spellStart"/>
      <w:r w:rsidRPr="00C94FA6">
        <w:rPr>
          <w:rFonts w:ascii="Times New Roman" w:hAnsi="Times New Roman"/>
          <w:i/>
          <w:iCs/>
          <w:sz w:val="24"/>
          <w:szCs w:val="24"/>
        </w:rPr>
        <w:t>harzianum</w:t>
      </w:r>
      <w:proofErr w:type="spellEnd"/>
      <w:r w:rsidRPr="00C94FA6">
        <w:rPr>
          <w:rFonts w:ascii="Times New Roman" w:hAnsi="Times New Roman"/>
          <w:sz w:val="24"/>
          <w:szCs w:val="24"/>
        </w:rPr>
        <w:t xml:space="preserve"> Rifai T24 involved in control of the phytopathogen </w:t>
      </w:r>
      <w:r w:rsidRPr="00C94FA6">
        <w:rPr>
          <w:rFonts w:ascii="Times New Roman" w:hAnsi="Times New Roman"/>
          <w:i/>
          <w:iCs/>
          <w:sz w:val="24"/>
          <w:szCs w:val="24"/>
        </w:rPr>
        <w:t xml:space="preserve">Sclerotium </w:t>
      </w:r>
      <w:proofErr w:type="spellStart"/>
      <w:r w:rsidRPr="00C94FA6">
        <w:rPr>
          <w:rFonts w:ascii="Times New Roman" w:hAnsi="Times New Roman"/>
          <w:i/>
          <w:iCs/>
          <w:sz w:val="24"/>
          <w:szCs w:val="24"/>
        </w:rPr>
        <w:t>rolfsii</w:t>
      </w:r>
      <w:proofErr w:type="spellEnd"/>
      <w:r w:rsidRPr="00C94FA6">
        <w:rPr>
          <w:rFonts w:ascii="Times New Roman" w:hAnsi="Times New Roman"/>
          <w:sz w:val="24"/>
          <w:szCs w:val="24"/>
        </w:rPr>
        <w:t xml:space="preserve">. </w:t>
      </w:r>
      <w:r w:rsidRPr="00C94FA6">
        <w:rPr>
          <w:rFonts w:ascii="Times New Roman" w:hAnsi="Times New Roman"/>
          <w:i/>
          <w:iCs/>
          <w:sz w:val="24"/>
          <w:szCs w:val="24"/>
        </w:rPr>
        <w:t>Applied Microbiology and Biotechnology, 56</w:t>
      </w:r>
      <w:r w:rsidRPr="00C94FA6">
        <w:rPr>
          <w:rFonts w:ascii="Times New Roman" w:hAnsi="Times New Roman"/>
          <w:sz w:val="24"/>
          <w:szCs w:val="24"/>
        </w:rPr>
        <w:t xml:space="preserve">(1–2), 137–143. </w:t>
      </w:r>
      <w:hyperlink r:id="rId23" w:history="1">
        <w:r w:rsidRPr="00C94FA6">
          <w:rPr>
            <w:rFonts w:ascii="Times New Roman" w:hAnsi="Times New Roman"/>
            <w:color w:val="0000FF"/>
            <w:sz w:val="24"/>
            <w:szCs w:val="24"/>
            <w:u w:val="single"/>
          </w:rPr>
          <w:t>https://doi.org/10.1007/s002530100646</w:t>
        </w:r>
      </w:hyperlink>
    </w:p>
    <w:p w14:paraId="33530691" w14:textId="77777777" w:rsidR="00C94FA6" w:rsidRPr="00C94FA6" w:rsidRDefault="00C94FA6" w:rsidP="00C94FA6">
      <w:pPr>
        <w:spacing w:before="100" w:beforeAutospacing="1" w:after="100" w:afterAutospacing="1"/>
        <w:rPr>
          <w:rFonts w:ascii="Times New Roman" w:hAnsi="Times New Roman"/>
          <w:sz w:val="24"/>
          <w:szCs w:val="24"/>
        </w:rPr>
      </w:pPr>
      <w:r w:rsidRPr="00C94FA6">
        <w:rPr>
          <w:rFonts w:ascii="Times New Roman" w:hAnsi="Times New Roman"/>
          <w:sz w:val="24"/>
          <w:szCs w:val="24"/>
        </w:rPr>
        <w:t xml:space="preserve">Hirpara, D. G., Gajera, H. P., Bhimani, R. D., &amp; </w:t>
      </w:r>
      <w:proofErr w:type="spellStart"/>
      <w:r w:rsidRPr="00C94FA6">
        <w:rPr>
          <w:rFonts w:ascii="Times New Roman" w:hAnsi="Times New Roman"/>
          <w:sz w:val="24"/>
          <w:szCs w:val="24"/>
        </w:rPr>
        <w:t>Golakiya</w:t>
      </w:r>
      <w:proofErr w:type="spellEnd"/>
      <w:r w:rsidRPr="00C94FA6">
        <w:rPr>
          <w:rFonts w:ascii="Times New Roman" w:hAnsi="Times New Roman"/>
          <w:sz w:val="24"/>
          <w:szCs w:val="24"/>
        </w:rPr>
        <w:t xml:space="preserve">, B. A. (2016). The SRAP based molecular diversity related to antifungal and antioxidant bioactive constituents for biocontrol potentials of </w:t>
      </w:r>
      <w:r w:rsidRPr="00C94FA6">
        <w:rPr>
          <w:rFonts w:ascii="Times New Roman" w:hAnsi="Times New Roman"/>
          <w:i/>
          <w:iCs/>
          <w:sz w:val="24"/>
          <w:szCs w:val="24"/>
        </w:rPr>
        <w:t>Trichoderma</w:t>
      </w:r>
      <w:r w:rsidRPr="00C94FA6">
        <w:rPr>
          <w:rFonts w:ascii="Times New Roman" w:hAnsi="Times New Roman"/>
          <w:sz w:val="24"/>
          <w:szCs w:val="24"/>
        </w:rPr>
        <w:t xml:space="preserve"> against </w:t>
      </w:r>
      <w:r w:rsidRPr="00C94FA6">
        <w:rPr>
          <w:rFonts w:ascii="Times New Roman" w:hAnsi="Times New Roman"/>
          <w:i/>
          <w:iCs/>
          <w:sz w:val="24"/>
          <w:szCs w:val="24"/>
        </w:rPr>
        <w:t xml:space="preserve">Sclerotium </w:t>
      </w:r>
      <w:proofErr w:type="spellStart"/>
      <w:r w:rsidRPr="00C94FA6">
        <w:rPr>
          <w:rFonts w:ascii="Times New Roman" w:hAnsi="Times New Roman"/>
          <w:i/>
          <w:iCs/>
          <w:sz w:val="24"/>
          <w:szCs w:val="24"/>
        </w:rPr>
        <w:t>rolfsii</w:t>
      </w:r>
      <w:proofErr w:type="spellEnd"/>
      <w:r w:rsidRPr="00C94FA6">
        <w:rPr>
          <w:rFonts w:ascii="Times New Roman" w:hAnsi="Times New Roman"/>
          <w:sz w:val="24"/>
          <w:szCs w:val="24"/>
        </w:rPr>
        <w:t xml:space="preserve"> </w:t>
      </w:r>
      <w:proofErr w:type="spellStart"/>
      <w:r w:rsidRPr="00C94FA6">
        <w:rPr>
          <w:rFonts w:ascii="Times New Roman" w:hAnsi="Times New Roman"/>
          <w:sz w:val="24"/>
          <w:szCs w:val="24"/>
        </w:rPr>
        <w:t>Scc</w:t>
      </w:r>
      <w:proofErr w:type="spellEnd"/>
      <w:r w:rsidRPr="00C94FA6">
        <w:rPr>
          <w:rFonts w:ascii="Times New Roman" w:hAnsi="Times New Roman"/>
          <w:sz w:val="24"/>
          <w:szCs w:val="24"/>
        </w:rPr>
        <w:t xml:space="preserve">. </w:t>
      </w:r>
      <w:r w:rsidRPr="00C94FA6">
        <w:rPr>
          <w:rFonts w:ascii="Times New Roman" w:hAnsi="Times New Roman"/>
          <w:i/>
          <w:iCs/>
          <w:sz w:val="24"/>
          <w:szCs w:val="24"/>
        </w:rPr>
        <w:t>Current Genetics, 62</w:t>
      </w:r>
      <w:r w:rsidRPr="00C94FA6">
        <w:rPr>
          <w:rFonts w:ascii="Times New Roman" w:hAnsi="Times New Roman"/>
          <w:sz w:val="24"/>
          <w:szCs w:val="24"/>
        </w:rPr>
        <w:t xml:space="preserve">(3), 619–641. </w:t>
      </w:r>
      <w:hyperlink r:id="rId24" w:history="1">
        <w:r w:rsidRPr="00C94FA6">
          <w:rPr>
            <w:rFonts w:ascii="Times New Roman" w:hAnsi="Times New Roman"/>
            <w:color w:val="0000FF"/>
            <w:sz w:val="24"/>
            <w:szCs w:val="24"/>
            <w:u w:val="single"/>
          </w:rPr>
          <w:t>https://doi.org/10.1007/s00294-016-0567-5</w:t>
        </w:r>
      </w:hyperlink>
    </w:p>
    <w:p w14:paraId="132FC165" w14:textId="77777777" w:rsidR="00C94FA6" w:rsidRPr="00C94FA6" w:rsidRDefault="00C94FA6" w:rsidP="00C94FA6">
      <w:pPr>
        <w:spacing w:before="100" w:beforeAutospacing="1" w:after="100" w:afterAutospacing="1"/>
        <w:rPr>
          <w:rFonts w:ascii="Times New Roman" w:hAnsi="Times New Roman"/>
          <w:sz w:val="24"/>
          <w:szCs w:val="24"/>
        </w:rPr>
      </w:pPr>
      <w:r w:rsidRPr="00C94FA6">
        <w:rPr>
          <w:rFonts w:ascii="Times New Roman" w:hAnsi="Times New Roman"/>
          <w:sz w:val="24"/>
          <w:szCs w:val="24"/>
        </w:rPr>
        <w:t xml:space="preserve">Hossain, M. M., Sultana, F., Mostafa, M., </w:t>
      </w:r>
      <w:proofErr w:type="spellStart"/>
      <w:r w:rsidRPr="00C94FA6">
        <w:rPr>
          <w:rFonts w:ascii="Times New Roman" w:hAnsi="Times New Roman"/>
          <w:sz w:val="24"/>
          <w:szCs w:val="24"/>
        </w:rPr>
        <w:t>Rubayet</w:t>
      </w:r>
      <w:proofErr w:type="spellEnd"/>
      <w:r w:rsidRPr="00C94FA6">
        <w:rPr>
          <w:rFonts w:ascii="Times New Roman" w:hAnsi="Times New Roman"/>
          <w:sz w:val="24"/>
          <w:szCs w:val="24"/>
        </w:rPr>
        <w:t xml:space="preserve">, M. T., Mishu, N. J., Khan, I., &amp; </w:t>
      </w:r>
      <w:proofErr w:type="spellStart"/>
      <w:r w:rsidRPr="00C94FA6">
        <w:rPr>
          <w:rFonts w:ascii="Times New Roman" w:hAnsi="Times New Roman"/>
          <w:sz w:val="24"/>
          <w:szCs w:val="24"/>
        </w:rPr>
        <w:t>Mostofa</w:t>
      </w:r>
      <w:proofErr w:type="spellEnd"/>
      <w:r w:rsidRPr="00C94FA6">
        <w:rPr>
          <w:rFonts w:ascii="Times New Roman" w:hAnsi="Times New Roman"/>
          <w:sz w:val="24"/>
          <w:szCs w:val="24"/>
        </w:rPr>
        <w:t xml:space="preserve">, M. G. (2025). Biological management of soil-borne pathogens through tripartite rhizosphere interactions with plant growth-promoting fungi. </w:t>
      </w:r>
      <w:r w:rsidRPr="00C94FA6">
        <w:rPr>
          <w:rFonts w:ascii="Times New Roman" w:hAnsi="Times New Roman"/>
          <w:i/>
          <w:iCs/>
          <w:sz w:val="24"/>
          <w:szCs w:val="24"/>
        </w:rPr>
        <w:t>Applied Microbiology, 5</w:t>
      </w:r>
      <w:r w:rsidRPr="00C94FA6">
        <w:rPr>
          <w:rFonts w:ascii="Times New Roman" w:hAnsi="Times New Roman"/>
          <w:sz w:val="24"/>
          <w:szCs w:val="24"/>
        </w:rPr>
        <w:t xml:space="preserve">(4), 123. </w:t>
      </w:r>
      <w:hyperlink r:id="rId25" w:history="1">
        <w:r w:rsidRPr="00C94FA6">
          <w:rPr>
            <w:rFonts w:ascii="Times New Roman" w:hAnsi="Times New Roman"/>
            <w:color w:val="0000FF"/>
            <w:sz w:val="24"/>
            <w:szCs w:val="24"/>
            <w:u w:val="single"/>
          </w:rPr>
          <w:t>https://doi.org/10.3390/applmicrobiol5040123</w:t>
        </w:r>
      </w:hyperlink>
    </w:p>
    <w:p w14:paraId="2A1AF591" w14:textId="77777777" w:rsidR="00806E87" w:rsidRDefault="00000000">
      <w:pPr>
        <w:spacing w:before="100" w:beforeAutospacing="1" w:after="100" w:afterAutospacing="1"/>
        <w:rPr>
          <w:rFonts w:ascii="Times New Roman" w:hAnsi="Times New Roman"/>
          <w:sz w:val="24"/>
          <w:szCs w:val="24"/>
        </w:rPr>
      </w:pPr>
      <w:r>
        <w:rPr>
          <w:rFonts w:ascii="Times New Roman" w:hAnsi="Times New Roman"/>
          <w:b/>
          <w:sz w:val="24"/>
          <w:highlight w:val="yellow"/>
        </w:rPr>
        <w:t xml:space="preserve">Htut, K. N. Y., Zaw, M., Mon, Y. Y., Tin, M. T., Lwin, W. W., Win, N. K., &amp; Naing, T. A. A. (2025). Varietal reaction and efficacy of </w:t>
      </w:r>
      <w:r>
        <w:rPr>
          <w:rFonts w:ascii="Times New Roman" w:hAnsi="Times New Roman"/>
          <w:b/>
          <w:i/>
          <w:sz w:val="24"/>
          <w:highlight w:val="yellow"/>
        </w:rPr>
        <w:t>Trichoderma</w:t>
      </w:r>
      <w:r>
        <w:rPr>
          <w:rFonts w:ascii="Times New Roman" w:hAnsi="Times New Roman"/>
          <w:b/>
          <w:sz w:val="24"/>
          <w:highlight w:val="yellow"/>
        </w:rPr>
        <w:t xml:space="preserve"> in managing tomato collar rot disease caused by </w:t>
      </w:r>
      <w:r>
        <w:rPr>
          <w:rFonts w:ascii="Times New Roman" w:hAnsi="Times New Roman"/>
          <w:b/>
          <w:i/>
          <w:sz w:val="24"/>
          <w:highlight w:val="yellow"/>
        </w:rPr>
        <w:t>Sclerotium rolfsii</w:t>
      </w:r>
      <w:r>
        <w:rPr>
          <w:rFonts w:ascii="Times New Roman" w:hAnsi="Times New Roman"/>
          <w:b/>
          <w:sz w:val="24"/>
          <w:highlight w:val="yellow"/>
        </w:rPr>
        <w:t xml:space="preserve">. </w:t>
      </w:r>
      <w:r>
        <w:rPr>
          <w:rFonts w:ascii="Times New Roman" w:hAnsi="Times New Roman"/>
          <w:b/>
          <w:i/>
          <w:sz w:val="24"/>
          <w:highlight w:val="yellow"/>
        </w:rPr>
        <w:t>Asian Research Journal of Current Science, 7</w:t>
      </w:r>
      <w:r>
        <w:rPr>
          <w:rFonts w:ascii="Times New Roman" w:hAnsi="Times New Roman"/>
          <w:b/>
          <w:sz w:val="24"/>
          <w:highlight w:val="yellow"/>
        </w:rPr>
        <w:t xml:space="preserve">(1), 199–209. </w:t>
      </w:r>
      <w:hyperlink r:id="rId26" w:history="1">
        <w:r>
          <w:rPr>
            <w:rFonts w:ascii="Times New Roman" w:hAnsi="Times New Roman"/>
            <w:b/>
            <w:bCs/>
            <w:color w:val="0563C1"/>
            <w:sz w:val="24"/>
            <w:szCs w:val="24"/>
            <w:highlight w:val="yellow"/>
            <w:u w:val="single"/>
          </w:rPr>
          <w:t>https://doi.org/10.56557/arjocs/2025/v7i1143</w:t>
        </w:r>
      </w:hyperlink>
    </w:p>
    <w:p w14:paraId="674B8627" w14:textId="77777777" w:rsidR="00C94FA6" w:rsidRPr="00C94FA6" w:rsidRDefault="00C94FA6" w:rsidP="00C94FA6">
      <w:pPr>
        <w:spacing w:before="100" w:beforeAutospacing="1" w:after="100" w:afterAutospacing="1"/>
        <w:rPr>
          <w:rFonts w:ascii="Times New Roman" w:hAnsi="Times New Roman"/>
          <w:sz w:val="24"/>
          <w:szCs w:val="24"/>
        </w:rPr>
      </w:pPr>
      <w:r w:rsidRPr="00C94FA6">
        <w:rPr>
          <w:rFonts w:ascii="Times New Roman" w:hAnsi="Times New Roman"/>
          <w:sz w:val="24"/>
          <w:szCs w:val="24"/>
        </w:rPr>
        <w:t xml:space="preserve">Kadiyala, M. D. M., Nedumaran, S., Padmanabhan, J., Gumma, M. K., Gummadi, S., </w:t>
      </w:r>
      <w:proofErr w:type="spellStart"/>
      <w:r w:rsidRPr="00C94FA6">
        <w:rPr>
          <w:rFonts w:ascii="Times New Roman" w:hAnsi="Times New Roman"/>
          <w:sz w:val="24"/>
          <w:szCs w:val="24"/>
        </w:rPr>
        <w:t>Srigiri</w:t>
      </w:r>
      <w:proofErr w:type="spellEnd"/>
      <w:r w:rsidRPr="00C94FA6">
        <w:rPr>
          <w:rFonts w:ascii="Times New Roman" w:hAnsi="Times New Roman"/>
          <w:sz w:val="24"/>
          <w:szCs w:val="24"/>
        </w:rPr>
        <w:t xml:space="preserve">, S. R., Robertson, R., &amp; Whitbread, A. (2021). Modeling the potential impacts of climate change and adaptation strategies on groundnut production in India. </w:t>
      </w:r>
      <w:r w:rsidRPr="00C94FA6">
        <w:rPr>
          <w:rFonts w:ascii="Times New Roman" w:hAnsi="Times New Roman"/>
          <w:i/>
          <w:iCs/>
          <w:sz w:val="24"/>
          <w:szCs w:val="24"/>
        </w:rPr>
        <w:t>Science of the Total Environment, 776</w:t>
      </w:r>
      <w:r w:rsidRPr="00C94FA6">
        <w:rPr>
          <w:rFonts w:ascii="Times New Roman" w:hAnsi="Times New Roman"/>
          <w:sz w:val="24"/>
          <w:szCs w:val="24"/>
        </w:rPr>
        <w:t xml:space="preserve">, 145996. </w:t>
      </w:r>
      <w:hyperlink r:id="rId27" w:history="1">
        <w:r w:rsidRPr="00C94FA6">
          <w:rPr>
            <w:rFonts w:ascii="Times New Roman" w:hAnsi="Times New Roman"/>
            <w:color w:val="0000FF"/>
            <w:sz w:val="24"/>
            <w:szCs w:val="24"/>
            <w:u w:val="single"/>
          </w:rPr>
          <w:t>https://doi.org/10.1016/j.scitotenv.2021.145996</w:t>
        </w:r>
      </w:hyperlink>
    </w:p>
    <w:p w14:paraId="57667523" w14:textId="77777777" w:rsidR="00806E87" w:rsidRDefault="00000000">
      <w:pPr>
        <w:spacing w:before="100" w:beforeAutospacing="1" w:after="100" w:afterAutospacing="1"/>
        <w:rPr>
          <w:rFonts w:ascii="Times New Roman" w:hAnsi="Times New Roman"/>
          <w:sz w:val="24"/>
          <w:szCs w:val="24"/>
        </w:rPr>
      </w:pPr>
      <w:r>
        <w:rPr>
          <w:rFonts w:ascii="Times New Roman" w:hAnsi="Times New Roman"/>
          <w:b/>
          <w:sz w:val="24"/>
          <w:highlight w:val="yellow"/>
        </w:rPr>
        <w:lastRenderedPageBreak/>
        <w:t xml:space="preserve">Kampa, R., Vittal, R., Basha, S. A., Pushpavalli, S. N. C. V. L., &amp; Bokka, V. (2025). Plant growth-promoting microbial consortia for effective biocontrol of groundnut collar rot and chickpea wilt. </w:t>
      </w:r>
      <w:r>
        <w:rPr>
          <w:rFonts w:ascii="Times New Roman" w:hAnsi="Times New Roman"/>
          <w:b/>
          <w:i/>
          <w:sz w:val="24"/>
          <w:highlight w:val="yellow"/>
        </w:rPr>
        <w:t>Plant Pathology, 74</w:t>
      </w:r>
      <w:r>
        <w:rPr>
          <w:rFonts w:ascii="Times New Roman" w:hAnsi="Times New Roman"/>
          <w:b/>
          <w:sz w:val="24"/>
          <w:highlight w:val="yellow"/>
        </w:rPr>
        <w:t xml:space="preserve">(4), 1121–1141. </w:t>
      </w:r>
      <w:hyperlink r:id="rId28" w:history="1">
        <w:r>
          <w:rPr>
            <w:rFonts w:ascii="Times New Roman" w:hAnsi="Times New Roman"/>
            <w:b/>
            <w:bCs/>
            <w:color w:val="0563C1"/>
            <w:sz w:val="24"/>
            <w:szCs w:val="24"/>
            <w:highlight w:val="yellow"/>
            <w:u w:val="single"/>
          </w:rPr>
          <w:t>https://doi.org/10.1111/ppa.14078</w:t>
        </w:r>
      </w:hyperlink>
    </w:p>
    <w:p w14:paraId="10A899EF" w14:textId="77777777" w:rsidR="00C94FA6" w:rsidRPr="00C94FA6" w:rsidRDefault="00C94FA6" w:rsidP="00C94FA6">
      <w:pPr>
        <w:spacing w:before="100" w:beforeAutospacing="1" w:after="100" w:afterAutospacing="1"/>
        <w:rPr>
          <w:rFonts w:ascii="Times New Roman" w:hAnsi="Times New Roman"/>
          <w:sz w:val="24"/>
          <w:szCs w:val="24"/>
        </w:rPr>
      </w:pPr>
      <w:proofErr w:type="spellStart"/>
      <w:r w:rsidRPr="00C94FA6">
        <w:rPr>
          <w:rFonts w:ascii="Times New Roman" w:hAnsi="Times New Roman"/>
          <w:sz w:val="24"/>
          <w:szCs w:val="24"/>
        </w:rPr>
        <w:t>Kharkwal</w:t>
      </w:r>
      <w:proofErr w:type="spellEnd"/>
      <w:r w:rsidRPr="00C94FA6">
        <w:rPr>
          <w:rFonts w:ascii="Times New Roman" w:hAnsi="Times New Roman"/>
          <w:sz w:val="24"/>
          <w:szCs w:val="24"/>
        </w:rPr>
        <w:t xml:space="preserve">, A. C., Joshi, H., Shandilya, C., Dabral, S., Kumar, N., &amp; Varma, A. (2024). Isolation and characterization of a newly discovered plant growth-promoting endophytic fungal strain from the genus </w:t>
      </w:r>
      <w:proofErr w:type="spellStart"/>
      <w:r w:rsidRPr="00C94FA6">
        <w:rPr>
          <w:rFonts w:ascii="Times New Roman" w:hAnsi="Times New Roman"/>
          <w:i/>
          <w:iCs/>
          <w:sz w:val="24"/>
          <w:szCs w:val="24"/>
        </w:rPr>
        <w:t>Talaromyces</w:t>
      </w:r>
      <w:proofErr w:type="spellEnd"/>
      <w:r w:rsidRPr="00C94FA6">
        <w:rPr>
          <w:rFonts w:ascii="Times New Roman" w:hAnsi="Times New Roman"/>
          <w:sz w:val="24"/>
          <w:szCs w:val="24"/>
        </w:rPr>
        <w:t xml:space="preserve">. </w:t>
      </w:r>
      <w:r w:rsidRPr="00C94FA6">
        <w:rPr>
          <w:rFonts w:ascii="Times New Roman" w:hAnsi="Times New Roman"/>
          <w:i/>
          <w:iCs/>
          <w:sz w:val="24"/>
          <w:szCs w:val="24"/>
        </w:rPr>
        <w:t>Scientific Reports, 14</w:t>
      </w:r>
      <w:r w:rsidRPr="00C94FA6">
        <w:rPr>
          <w:rFonts w:ascii="Times New Roman" w:hAnsi="Times New Roman"/>
          <w:sz w:val="24"/>
          <w:szCs w:val="24"/>
        </w:rPr>
        <w:t xml:space="preserve">, 6022. </w:t>
      </w:r>
      <w:hyperlink r:id="rId29" w:history="1">
        <w:r w:rsidRPr="00C94FA6">
          <w:rPr>
            <w:rFonts w:ascii="Times New Roman" w:hAnsi="Times New Roman"/>
            <w:color w:val="0000FF"/>
            <w:sz w:val="24"/>
            <w:szCs w:val="24"/>
            <w:u w:val="single"/>
          </w:rPr>
          <w:t>https://doi.org/10.1038/s41598-024-54687-5</w:t>
        </w:r>
      </w:hyperlink>
    </w:p>
    <w:p w14:paraId="2F260D9D" w14:textId="77777777" w:rsidR="00806E87" w:rsidRDefault="00000000">
      <w:pPr>
        <w:spacing w:before="100" w:beforeAutospacing="1" w:after="100" w:afterAutospacing="1"/>
        <w:rPr>
          <w:rFonts w:ascii="Times New Roman" w:hAnsi="Times New Roman"/>
          <w:sz w:val="24"/>
          <w:szCs w:val="24"/>
        </w:rPr>
      </w:pPr>
      <w:r>
        <w:rPr>
          <w:rFonts w:ascii="Times New Roman" w:hAnsi="Times New Roman"/>
          <w:b/>
          <w:sz w:val="24"/>
          <w:highlight w:val="yellow"/>
        </w:rPr>
        <w:t xml:space="preserve">Liu, Y., Chen, P., Song, X., Wang, W., &amp; Liu, T. (2025). A novel </w:t>
      </w:r>
      <w:r>
        <w:rPr>
          <w:rFonts w:ascii="Times New Roman" w:hAnsi="Times New Roman"/>
          <w:b/>
          <w:i/>
          <w:sz w:val="24"/>
          <w:highlight w:val="yellow"/>
        </w:rPr>
        <w:t>Trichoderma semiorbis</w:t>
      </w:r>
      <w:r>
        <w:rPr>
          <w:rFonts w:ascii="Times New Roman" w:hAnsi="Times New Roman"/>
          <w:b/>
          <w:sz w:val="24"/>
          <w:highlight w:val="yellow"/>
        </w:rPr>
        <w:t xml:space="preserve"> strain FJ059 exhibiting sclerotium-mycoparasitic ability and biocontrol potential to southern blight caused by </w:t>
      </w:r>
      <w:r>
        <w:rPr>
          <w:rFonts w:ascii="Times New Roman" w:hAnsi="Times New Roman"/>
          <w:b/>
          <w:i/>
          <w:sz w:val="24"/>
          <w:highlight w:val="yellow"/>
        </w:rPr>
        <w:t>Sclerotium rolfsii</w:t>
      </w:r>
      <w:r>
        <w:rPr>
          <w:rFonts w:ascii="Times New Roman" w:hAnsi="Times New Roman"/>
          <w:b/>
          <w:sz w:val="24"/>
          <w:highlight w:val="yellow"/>
        </w:rPr>
        <w:t xml:space="preserve">. </w:t>
      </w:r>
      <w:r>
        <w:rPr>
          <w:rFonts w:ascii="Times New Roman" w:hAnsi="Times New Roman"/>
          <w:b/>
          <w:i/>
          <w:sz w:val="24"/>
          <w:highlight w:val="yellow"/>
        </w:rPr>
        <w:t>Plant Pathology, 74</w:t>
      </w:r>
      <w:r>
        <w:rPr>
          <w:rFonts w:ascii="Times New Roman" w:hAnsi="Times New Roman"/>
          <w:b/>
          <w:sz w:val="24"/>
          <w:highlight w:val="yellow"/>
        </w:rPr>
        <w:t xml:space="preserve">(5), 1256–1265. </w:t>
      </w:r>
      <w:hyperlink r:id="rId30" w:history="1">
        <w:r>
          <w:rPr>
            <w:rFonts w:ascii="Times New Roman" w:hAnsi="Times New Roman"/>
            <w:b/>
            <w:bCs/>
            <w:color w:val="0563C1"/>
            <w:sz w:val="24"/>
            <w:szCs w:val="24"/>
            <w:highlight w:val="yellow"/>
            <w:u w:val="single"/>
          </w:rPr>
          <w:t>https://doi.org/10.1111/ppa.14088</w:t>
        </w:r>
      </w:hyperlink>
    </w:p>
    <w:p w14:paraId="61E504D1" w14:textId="77777777" w:rsidR="00C94FA6" w:rsidRPr="00C94FA6" w:rsidRDefault="00C94FA6" w:rsidP="00C94FA6">
      <w:pPr>
        <w:spacing w:before="100" w:beforeAutospacing="1" w:after="100" w:afterAutospacing="1"/>
        <w:rPr>
          <w:rFonts w:ascii="Times New Roman" w:hAnsi="Times New Roman"/>
          <w:sz w:val="24"/>
          <w:szCs w:val="24"/>
        </w:rPr>
      </w:pPr>
      <w:proofErr w:type="spellStart"/>
      <w:r w:rsidRPr="00C94FA6">
        <w:rPr>
          <w:rFonts w:ascii="Times New Roman" w:hAnsi="Times New Roman"/>
          <w:sz w:val="24"/>
          <w:szCs w:val="24"/>
        </w:rPr>
        <w:t>Manathunga</w:t>
      </w:r>
      <w:proofErr w:type="spellEnd"/>
      <w:r w:rsidRPr="00C94FA6">
        <w:rPr>
          <w:rFonts w:ascii="Times New Roman" w:hAnsi="Times New Roman"/>
          <w:sz w:val="24"/>
          <w:szCs w:val="24"/>
        </w:rPr>
        <w:t xml:space="preserve">, K. K., Gunasekara, N. W., </w:t>
      </w:r>
      <w:proofErr w:type="spellStart"/>
      <w:r w:rsidRPr="00C94FA6">
        <w:rPr>
          <w:rFonts w:ascii="Times New Roman" w:hAnsi="Times New Roman"/>
          <w:sz w:val="24"/>
          <w:szCs w:val="24"/>
        </w:rPr>
        <w:t>Meegahakumbura</w:t>
      </w:r>
      <w:proofErr w:type="spellEnd"/>
      <w:r w:rsidRPr="00C94FA6">
        <w:rPr>
          <w:rFonts w:ascii="Times New Roman" w:hAnsi="Times New Roman"/>
          <w:sz w:val="24"/>
          <w:szCs w:val="24"/>
        </w:rPr>
        <w:t xml:space="preserve">, M. K., </w:t>
      </w:r>
      <w:proofErr w:type="spellStart"/>
      <w:r w:rsidRPr="00C94FA6">
        <w:rPr>
          <w:rFonts w:ascii="Times New Roman" w:hAnsi="Times New Roman"/>
          <w:sz w:val="24"/>
          <w:szCs w:val="24"/>
        </w:rPr>
        <w:t>Ratnaweera</w:t>
      </w:r>
      <w:proofErr w:type="spellEnd"/>
      <w:r w:rsidRPr="00C94FA6">
        <w:rPr>
          <w:rFonts w:ascii="Times New Roman" w:hAnsi="Times New Roman"/>
          <w:sz w:val="24"/>
          <w:szCs w:val="24"/>
        </w:rPr>
        <w:t xml:space="preserve">, P. B., Faraj, T. K., &amp; </w:t>
      </w:r>
      <w:proofErr w:type="spellStart"/>
      <w:r w:rsidRPr="00C94FA6">
        <w:rPr>
          <w:rFonts w:ascii="Times New Roman" w:hAnsi="Times New Roman"/>
          <w:sz w:val="24"/>
          <w:szCs w:val="24"/>
        </w:rPr>
        <w:t>Wanasinghe</w:t>
      </w:r>
      <w:proofErr w:type="spellEnd"/>
      <w:r w:rsidRPr="00C94FA6">
        <w:rPr>
          <w:rFonts w:ascii="Times New Roman" w:hAnsi="Times New Roman"/>
          <w:sz w:val="24"/>
          <w:szCs w:val="24"/>
        </w:rPr>
        <w:t xml:space="preserve">, D. N. (2024). Exploring endophytic fungi as natural antagonists against fungal pathogens of food crops. </w:t>
      </w:r>
      <w:r w:rsidRPr="00C94FA6">
        <w:rPr>
          <w:rFonts w:ascii="Times New Roman" w:hAnsi="Times New Roman"/>
          <w:i/>
          <w:iCs/>
          <w:sz w:val="24"/>
          <w:szCs w:val="24"/>
        </w:rPr>
        <w:t>Journal of Fungi, 10</w:t>
      </w:r>
      <w:r w:rsidRPr="00C94FA6">
        <w:rPr>
          <w:rFonts w:ascii="Times New Roman" w:hAnsi="Times New Roman"/>
          <w:sz w:val="24"/>
          <w:szCs w:val="24"/>
        </w:rPr>
        <w:t xml:space="preserve">(9), 606. </w:t>
      </w:r>
      <w:hyperlink r:id="rId31" w:history="1">
        <w:r w:rsidRPr="00C94FA6">
          <w:rPr>
            <w:rFonts w:ascii="Times New Roman" w:hAnsi="Times New Roman"/>
            <w:color w:val="0000FF"/>
            <w:sz w:val="24"/>
            <w:szCs w:val="24"/>
            <w:u w:val="single"/>
          </w:rPr>
          <w:t>https://doi.org/10.3390/jof10090606</w:t>
        </w:r>
      </w:hyperlink>
    </w:p>
    <w:p w14:paraId="29F6BC64" w14:textId="77777777" w:rsidR="00C94FA6" w:rsidRPr="00C94FA6" w:rsidRDefault="00C94FA6" w:rsidP="00C94FA6">
      <w:pPr>
        <w:spacing w:before="100" w:beforeAutospacing="1" w:after="100" w:afterAutospacing="1"/>
        <w:rPr>
          <w:rFonts w:ascii="Times New Roman" w:hAnsi="Times New Roman"/>
          <w:sz w:val="24"/>
          <w:szCs w:val="24"/>
        </w:rPr>
      </w:pPr>
      <w:r w:rsidRPr="00C94FA6">
        <w:rPr>
          <w:rFonts w:ascii="Times New Roman" w:hAnsi="Times New Roman"/>
          <w:sz w:val="24"/>
          <w:szCs w:val="24"/>
        </w:rPr>
        <w:t xml:space="preserve">Marques, E., Abreu, V. P. de, Silva, M. R., Castro, K. H. M. de, Cenci, C. M. L. da S., Almeida, A. C., &amp; Cunha, M. G. da. (2022). Antifungal potential of </w:t>
      </w:r>
      <w:r w:rsidRPr="00C94FA6">
        <w:rPr>
          <w:rFonts w:ascii="Times New Roman" w:hAnsi="Times New Roman"/>
          <w:i/>
          <w:iCs/>
          <w:sz w:val="24"/>
          <w:szCs w:val="24"/>
        </w:rPr>
        <w:t xml:space="preserve">Trichoderma </w:t>
      </w:r>
      <w:proofErr w:type="spellStart"/>
      <w:r w:rsidRPr="00C94FA6">
        <w:rPr>
          <w:rFonts w:ascii="Times New Roman" w:hAnsi="Times New Roman"/>
          <w:i/>
          <w:iCs/>
          <w:sz w:val="24"/>
          <w:szCs w:val="24"/>
        </w:rPr>
        <w:t>afroharzianum</w:t>
      </w:r>
      <w:proofErr w:type="spellEnd"/>
      <w:r w:rsidRPr="00C94FA6">
        <w:rPr>
          <w:rFonts w:ascii="Times New Roman" w:hAnsi="Times New Roman"/>
          <w:sz w:val="24"/>
          <w:szCs w:val="24"/>
        </w:rPr>
        <w:t xml:space="preserve"> metabolites. </w:t>
      </w:r>
      <w:r w:rsidRPr="00C94FA6">
        <w:rPr>
          <w:rFonts w:ascii="Times New Roman" w:hAnsi="Times New Roman"/>
          <w:i/>
          <w:iCs/>
          <w:sz w:val="24"/>
          <w:szCs w:val="24"/>
        </w:rPr>
        <w:t>International Journal of Agriculture &amp; Biology, 28</w:t>
      </w:r>
      <w:r w:rsidRPr="00C94FA6">
        <w:rPr>
          <w:rFonts w:ascii="Times New Roman" w:hAnsi="Times New Roman"/>
          <w:sz w:val="24"/>
          <w:szCs w:val="24"/>
        </w:rPr>
        <w:t xml:space="preserve">(3), 181–186. </w:t>
      </w:r>
      <w:hyperlink r:id="rId32" w:history="1">
        <w:r w:rsidRPr="00C94FA6">
          <w:rPr>
            <w:rFonts w:ascii="Times New Roman" w:hAnsi="Times New Roman"/>
            <w:color w:val="0000FF"/>
            <w:sz w:val="24"/>
            <w:szCs w:val="24"/>
            <w:u w:val="single"/>
          </w:rPr>
          <w:t>https://doi.org/10.17957/IJAB/15.1968</w:t>
        </w:r>
      </w:hyperlink>
    </w:p>
    <w:p w14:paraId="79A60278" w14:textId="77777777" w:rsidR="00C94FA6" w:rsidRPr="00C94FA6" w:rsidRDefault="00C94FA6" w:rsidP="00C94FA6">
      <w:pPr>
        <w:spacing w:before="100" w:beforeAutospacing="1" w:after="100" w:afterAutospacing="1"/>
        <w:rPr>
          <w:rFonts w:ascii="Times New Roman" w:hAnsi="Times New Roman"/>
          <w:sz w:val="24"/>
          <w:szCs w:val="24"/>
        </w:rPr>
      </w:pPr>
      <w:r w:rsidRPr="00C94FA6">
        <w:rPr>
          <w:rFonts w:ascii="Times New Roman" w:hAnsi="Times New Roman"/>
          <w:sz w:val="24"/>
          <w:szCs w:val="24"/>
        </w:rPr>
        <w:t xml:space="preserve">Meena, P. N., Meena, A. K., Tiwari, R. K., Lal, M. K., &amp; Kumar, R. (2024). Biological control of stem rot of groundnut induced by </w:t>
      </w:r>
      <w:r w:rsidRPr="00C94FA6">
        <w:rPr>
          <w:rFonts w:ascii="Times New Roman" w:hAnsi="Times New Roman"/>
          <w:i/>
          <w:iCs/>
          <w:sz w:val="24"/>
          <w:szCs w:val="24"/>
        </w:rPr>
        <w:t xml:space="preserve">Sclerotium </w:t>
      </w:r>
      <w:proofErr w:type="spellStart"/>
      <w:r w:rsidRPr="00C94FA6">
        <w:rPr>
          <w:rFonts w:ascii="Times New Roman" w:hAnsi="Times New Roman"/>
          <w:i/>
          <w:iCs/>
          <w:sz w:val="24"/>
          <w:szCs w:val="24"/>
        </w:rPr>
        <w:t>rolfsii</w:t>
      </w:r>
      <w:proofErr w:type="spellEnd"/>
      <w:r w:rsidRPr="00C94FA6">
        <w:rPr>
          <w:rFonts w:ascii="Times New Roman" w:hAnsi="Times New Roman"/>
          <w:sz w:val="24"/>
          <w:szCs w:val="24"/>
        </w:rPr>
        <w:t xml:space="preserve"> </w:t>
      </w:r>
      <w:proofErr w:type="spellStart"/>
      <w:r w:rsidRPr="00C94FA6">
        <w:rPr>
          <w:rFonts w:ascii="Times New Roman" w:hAnsi="Times New Roman"/>
          <w:sz w:val="24"/>
          <w:szCs w:val="24"/>
        </w:rPr>
        <w:t>sacc</w:t>
      </w:r>
      <w:proofErr w:type="spellEnd"/>
      <w:r w:rsidRPr="00C94FA6">
        <w:rPr>
          <w:rFonts w:ascii="Times New Roman" w:hAnsi="Times New Roman"/>
          <w:sz w:val="24"/>
          <w:szCs w:val="24"/>
        </w:rPr>
        <w:t xml:space="preserve">. </w:t>
      </w:r>
      <w:r w:rsidRPr="00C94FA6">
        <w:rPr>
          <w:rFonts w:ascii="Times New Roman" w:hAnsi="Times New Roman"/>
          <w:i/>
          <w:iCs/>
          <w:sz w:val="24"/>
          <w:szCs w:val="24"/>
        </w:rPr>
        <w:t>Pathogens, 13</w:t>
      </w:r>
      <w:r w:rsidRPr="00C94FA6">
        <w:rPr>
          <w:rFonts w:ascii="Times New Roman" w:hAnsi="Times New Roman"/>
          <w:sz w:val="24"/>
          <w:szCs w:val="24"/>
        </w:rPr>
        <w:t xml:space="preserve">(8), 632. </w:t>
      </w:r>
      <w:hyperlink r:id="rId33" w:history="1">
        <w:r w:rsidRPr="00C94FA6">
          <w:rPr>
            <w:rFonts w:ascii="Times New Roman" w:hAnsi="Times New Roman"/>
            <w:color w:val="0000FF"/>
            <w:sz w:val="24"/>
            <w:szCs w:val="24"/>
            <w:u w:val="single"/>
          </w:rPr>
          <w:t>https://doi.org/10.3390/pathogens13080632</w:t>
        </w:r>
      </w:hyperlink>
    </w:p>
    <w:p>
      <w:pPr>
        <w:spacing w:before="100" w:beforeAutospacing="1" w:after="100" w:afterAutospacing="1"/>
        <w:rPr>
          <w:rFonts w:ascii="Times New Roman" w:hAnsi="Times New Roman"/>
          <w:sz w:val="24"/>
          <w:szCs w:val="24"/>
        </w:rPr>
      </w:pPr>
      <w:r>
        <w:rPr>
          <w:b/>
          <w:i w:val="0"/>
        </w:rPr>
        <w:t xml:space="preserve">Meena, N., Yadav, D. L., Gautam, C., Yadav, V. K., Yadav, S. L., &amp; Meena, C. B. (2024). </w:t>
      </w:r>
      <w:r>
        <w:rPr>
          <w:b/>
          <w:i/>
        </w:rPr>
        <w:t>Trichoderma</w:t>
      </w:r>
      <w:r>
        <w:rPr>
          <w:b/>
          <w:i w:val="0"/>
        </w:rPr>
        <w:t xml:space="preserve"> isolates against abiotic stresses and management of collar rot of lentil (</w:t>
      </w:r>
      <w:r>
        <w:rPr>
          <w:b/>
          <w:i/>
        </w:rPr>
        <w:t>Lens culinaris L.</w:t>
      </w:r>
      <w:r>
        <w:rPr>
          <w:b/>
          <w:i w:val="0"/>
        </w:rPr>
        <w:t xml:space="preserve">) caused by </w:t>
      </w:r>
      <w:r>
        <w:rPr>
          <w:b/>
          <w:i/>
        </w:rPr>
        <w:t>Sclerotium rolfsii</w:t>
      </w:r>
      <w:r>
        <w:rPr>
          <w:b/>
          <w:i w:val="0"/>
        </w:rPr>
        <w:t xml:space="preserve">. </w:t>
      </w:r>
      <w:r>
        <w:rPr>
          <w:b/>
          <w:i/>
        </w:rPr>
        <w:t>Indian Journal of Microbiology</w:t>
      </w:r>
      <w:r>
        <w:rPr>
          <w:b/>
          <w:i w:val="0"/>
        </w:rPr>
        <w:t xml:space="preserve">, </w:t>
      </w:r>
      <w:r>
        <w:rPr>
          <w:b/>
          <w:i/>
        </w:rPr>
        <w:t>64</w:t>
      </w:r>
      <w:r>
        <w:rPr>
          <w:b/>
          <w:i w:val="0"/>
        </w:rPr>
        <w:t xml:space="preserve">(3), 1366–1375. </w:t>
      </w:r>
      <w:hyperlink r:id="rId46">
        <w:r>
          <w:rPr>
            <w:b w:val="1"/>
            <w:u w:val="single"/>
          </w:rPr>
          <w:t>https://doi.org/10.1007/s12088-024-01356-w</w:t>
        </w:r>
      </w:hyperlink>
    </w:p>
    <w:p w14:paraId="70B9B3FF" w14:textId="77777777" w:rsidR="00C94FA6" w:rsidRPr="00C94FA6" w:rsidRDefault="00C94FA6" w:rsidP="00C94FA6">
      <w:pPr>
        <w:spacing w:before="100" w:beforeAutospacing="1" w:after="100" w:afterAutospacing="1"/>
        <w:rPr>
          <w:rFonts w:ascii="Times New Roman" w:hAnsi="Times New Roman"/>
          <w:sz w:val="24"/>
          <w:szCs w:val="24"/>
        </w:rPr>
      </w:pPr>
      <w:proofErr w:type="spellStart"/>
      <w:r w:rsidRPr="00C94FA6">
        <w:rPr>
          <w:rFonts w:ascii="Times New Roman" w:hAnsi="Times New Roman"/>
          <w:sz w:val="24"/>
          <w:szCs w:val="24"/>
        </w:rPr>
        <w:t>Montalvão</w:t>
      </w:r>
      <w:proofErr w:type="spellEnd"/>
      <w:r w:rsidRPr="00C94FA6">
        <w:rPr>
          <w:rFonts w:ascii="Times New Roman" w:hAnsi="Times New Roman"/>
          <w:sz w:val="24"/>
          <w:szCs w:val="24"/>
        </w:rPr>
        <w:t xml:space="preserve">, S. C. L., Marques, E., Martins, I., Silva, J. P. da, &amp; Mello, S. C. M. de. (2023). Suppression of the phytopathogens </w:t>
      </w:r>
      <w:r w:rsidRPr="00C94FA6">
        <w:rPr>
          <w:rFonts w:ascii="Times New Roman" w:hAnsi="Times New Roman"/>
          <w:i/>
          <w:iCs/>
          <w:sz w:val="24"/>
          <w:szCs w:val="24"/>
        </w:rPr>
        <w:t xml:space="preserve">Sclerotinia </w:t>
      </w:r>
      <w:proofErr w:type="spellStart"/>
      <w:r w:rsidRPr="00C94FA6">
        <w:rPr>
          <w:rFonts w:ascii="Times New Roman" w:hAnsi="Times New Roman"/>
          <w:i/>
          <w:iCs/>
          <w:sz w:val="24"/>
          <w:szCs w:val="24"/>
        </w:rPr>
        <w:t>sclerotiorum</w:t>
      </w:r>
      <w:proofErr w:type="spellEnd"/>
      <w:r w:rsidRPr="00C94FA6">
        <w:rPr>
          <w:rFonts w:ascii="Times New Roman" w:hAnsi="Times New Roman"/>
          <w:sz w:val="24"/>
          <w:szCs w:val="24"/>
        </w:rPr>
        <w:t xml:space="preserve"> and </w:t>
      </w:r>
      <w:r w:rsidRPr="00C94FA6">
        <w:rPr>
          <w:rFonts w:ascii="Times New Roman" w:hAnsi="Times New Roman"/>
          <w:i/>
          <w:iCs/>
          <w:sz w:val="24"/>
          <w:szCs w:val="24"/>
        </w:rPr>
        <w:t xml:space="preserve">Sclerotium </w:t>
      </w:r>
      <w:proofErr w:type="spellStart"/>
      <w:r w:rsidRPr="00C94FA6">
        <w:rPr>
          <w:rFonts w:ascii="Times New Roman" w:hAnsi="Times New Roman"/>
          <w:i/>
          <w:iCs/>
          <w:sz w:val="24"/>
          <w:szCs w:val="24"/>
        </w:rPr>
        <w:t>rolfsii</w:t>
      </w:r>
      <w:proofErr w:type="spellEnd"/>
      <w:r w:rsidRPr="00C94FA6">
        <w:rPr>
          <w:rFonts w:ascii="Times New Roman" w:hAnsi="Times New Roman"/>
          <w:sz w:val="24"/>
          <w:szCs w:val="24"/>
        </w:rPr>
        <w:t xml:space="preserve"> by </w:t>
      </w:r>
      <w:r w:rsidRPr="00C94FA6">
        <w:rPr>
          <w:rFonts w:ascii="Times New Roman" w:hAnsi="Times New Roman"/>
          <w:i/>
          <w:iCs/>
          <w:sz w:val="24"/>
          <w:szCs w:val="24"/>
        </w:rPr>
        <w:t>Trichoderma</w:t>
      </w:r>
      <w:r w:rsidRPr="00C94FA6">
        <w:rPr>
          <w:rFonts w:ascii="Times New Roman" w:hAnsi="Times New Roman"/>
          <w:sz w:val="24"/>
          <w:szCs w:val="24"/>
        </w:rPr>
        <w:t xml:space="preserve"> spp. </w:t>
      </w:r>
      <w:proofErr w:type="spellStart"/>
      <w:r w:rsidRPr="00C94FA6">
        <w:rPr>
          <w:rFonts w:ascii="Times New Roman" w:hAnsi="Times New Roman"/>
          <w:i/>
          <w:iCs/>
          <w:sz w:val="24"/>
          <w:szCs w:val="24"/>
        </w:rPr>
        <w:t>Biologia</w:t>
      </w:r>
      <w:proofErr w:type="spellEnd"/>
      <w:r w:rsidRPr="00C94FA6">
        <w:rPr>
          <w:rFonts w:ascii="Times New Roman" w:hAnsi="Times New Roman"/>
          <w:i/>
          <w:iCs/>
          <w:sz w:val="24"/>
          <w:szCs w:val="24"/>
        </w:rPr>
        <w:t>, 78</w:t>
      </w:r>
      <w:r w:rsidRPr="00C94FA6">
        <w:rPr>
          <w:rFonts w:ascii="Times New Roman" w:hAnsi="Times New Roman"/>
          <w:sz w:val="24"/>
          <w:szCs w:val="24"/>
        </w:rPr>
        <w:t xml:space="preserve">(10), 2941–2952. </w:t>
      </w:r>
      <w:hyperlink r:id="rId34" w:history="1">
        <w:r w:rsidRPr="00C94FA6">
          <w:rPr>
            <w:rFonts w:ascii="Times New Roman" w:hAnsi="Times New Roman"/>
            <w:color w:val="0000FF"/>
            <w:sz w:val="24"/>
            <w:szCs w:val="24"/>
            <w:u w:val="single"/>
          </w:rPr>
          <w:t>https://doi.org/10.1007/s11756-023-01457-9</w:t>
        </w:r>
      </w:hyperlink>
    </w:p>
    <w:p w14:paraId="1F3B27F6" w14:textId="77777777" w:rsidR="00C94FA6" w:rsidRPr="00C94FA6" w:rsidRDefault="00C94FA6" w:rsidP="00C94FA6">
      <w:pPr>
        <w:spacing w:before="100" w:beforeAutospacing="1" w:after="100" w:afterAutospacing="1"/>
        <w:rPr>
          <w:rFonts w:ascii="Times New Roman" w:hAnsi="Times New Roman"/>
          <w:sz w:val="24"/>
          <w:szCs w:val="24"/>
        </w:rPr>
      </w:pPr>
      <w:r w:rsidRPr="00C94FA6">
        <w:rPr>
          <w:rFonts w:ascii="Times New Roman" w:hAnsi="Times New Roman"/>
          <w:sz w:val="24"/>
          <w:szCs w:val="24"/>
        </w:rPr>
        <w:t xml:space="preserve">Parmar, S., Sharma, V., Bomireddy, D., Soni, P., Joshi, P., Gangurde, S. S., Wang, J., Bera, S. K., Bhat, R. S., </w:t>
      </w:r>
      <w:proofErr w:type="spellStart"/>
      <w:r w:rsidRPr="00C94FA6">
        <w:rPr>
          <w:rFonts w:ascii="Times New Roman" w:hAnsi="Times New Roman"/>
          <w:sz w:val="24"/>
          <w:szCs w:val="24"/>
        </w:rPr>
        <w:t>Desmae</w:t>
      </w:r>
      <w:proofErr w:type="spellEnd"/>
      <w:r w:rsidRPr="00C94FA6">
        <w:rPr>
          <w:rFonts w:ascii="Times New Roman" w:hAnsi="Times New Roman"/>
          <w:sz w:val="24"/>
          <w:szCs w:val="24"/>
        </w:rPr>
        <w:t xml:space="preserve">, H., </w:t>
      </w:r>
      <w:proofErr w:type="spellStart"/>
      <w:r w:rsidRPr="00C94FA6">
        <w:rPr>
          <w:rFonts w:ascii="Times New Roman" w:hAnsi="Times New Roman"/>
          <w:sz w:val="24"/>
          <w:szCs w:val="24"/>
        </w:rPr>
        <w:t>Shirasawa</w:t>
      </w:r>
      <w:proofErr w:type="spellEnd"/>
      <w:r w:rsidRPr="00C94FA6">
        <w:rPr>
          <w:rFonts w:ascii="Times New Roman" w:hAnsi="Times New Roman"/>
          <w:sz w:val="24"/>
          <w:szCs w:val="24"/>
        </w:rPr>
        <w:t xml:space="preserve">, K., Guo, B., Varshney, R. K., &amp; Pandey, M. K. (2022). Recent advances in genetics, genomics, and breeding for nutritional quality in groundnut. In S. S. Gosal &amp; S. H. Wani (Eds.), </w:t>
      </w:r>
      <w:r w:rsidRPr="00C94FA6">
        <w:rPr>
          <w:rFonts w:ascii="Times New Roman" w:hAnsi="Times New Roman"/>
          <w:i/>
          <w:iCs/>
          <w:sz w:val="24"/>
          <w:szCs w:val="24"/>
        </w:rPr>
        <w:t>Accelerated plant breeding, volume 4: Oil crops</w:t>
      </w:r>
      <w:r w:rsidRPr="00C94FA6">
        <w:rPr>
          <w:rFonts w:ascii="Times New Roman" w:hAnsi="Times New Roman"/>
          <w:sz w:val="24"/>
          <w:szCs w:val="24"/>
        </w:rPr>
        <w:t xml:space="preserve"> (pp. 111–137). Springer International Publishing. </w:t>
      </w:r>
      <w:hyperlink r:id="rId35" w:history="1">
        <w:r w:rsidRPr="00C94FA6">
          <w:rPr>
            <w:rFonts w:ascii="Times New Roman" w:hAnsi="Times New Roman"/>
            <w:color w:val="0000FF"/>
            <w:sz w:val="24"/>
            <w:szCs w:val="24"/>
            <w:u w:val="single"/>
          </w:rPr>
          <w:t>https://doi.org/10.1007/978-3-030-81107-5_4</w:t>
        </w:r>
      </w:hyperlink>
    </w:p>
    <w:p w14:paraId="3B78D89E" w14:textId="77777777" w:rsidR="00C94FA6" w:rsidRPr="00C94FA6" w:rsidRDefault="00C94FA6" w:rsidP="00C94FA6">
      <w:pPr>
        <w:spacing w:before="100" w:beforeAutospacing="1" w:after="100" w:afterAutospacing="1"/>
        <w:rPr>
          <w:rFonts w:ascii="Times New Roman" w:hAnsi="Times New Roman"/>
          <w:sz w:val="24"/>
          <w:szCs w:val="24"/>
        </w:rPr>
      </w:pPr>
      <w:proofErr w:type="spellStart"/>
      <w:r w:rsidRPr="00C94FA6">
        <w:rPr>
          <w:rFonts w:ascii="Times New Roman" w:hAnsi="Times New Roman"/>
          <w:sz w:val="24"/>
          <w:szCs w:val="24"/>
        </w:rPr>
        <w:t>Sarrocco</w:t>
      </w:r>
      <w:proofErr w:type="spellEnd"/>
      <w:r w:rsidRPr="00C94FA6">
        <w:rPr>
          <w:rFonts w:ascii="Times New Roman" w:hAnsi="Times New Roman"/>
          <w:sz w:val="24"/>
          <w:szCs w:val="24"/>
        </w:rPr>
        <w:t xml:space="preserve">, S., Vicente, I., Staropoli, A., &amp; </w:t>
      </w:r>
      <w:proofErr w:type="spellStart"/>
      <w:r w:rsidRPr="00C94FA6">
        <w:rPr>
          <w:rFonts w:ascii="Times New Roman" w:hAnsi="Times New Roman"/>
          <w:sz w:val="24"/>
          <w:szCs w:val="24"/>
        </w:rPr>
        <w:t>Vinale</w:t>
      </w:r>
      <w:proofErr w:type="spellEnd"/>
      <w:r w:rsidRPr="00C94FA6">
        <w:rPr>
          <w:rFonts w:ascii="Times New Roman" w:hAnsi="Times New Roman"/>
          <w:sz w:val="24"/>
          <w:szCs w:val="24"/>
        </w:rPr>
        <w:t xml:space="preserve">, F. (2022). Genes involved in the secondary metabolism of </w:t>
      </w:r>
      <w:r w:rsidRPr="00C94FA6">
        <w:rPr>
          <w:rFonts w:ascii="Times New Roman" w:hAnsi="Times New Roman"/>
          <w:i/>
          <w:iCs/>
          <w:sz w:val="24"/>
          <w:szCs w:val="24"/>
        </w:rPr>
        <w:t>Trichoderma</w:t>
      </w:r>
      <w:r w:rsidRPr="00C94FA6">
        <w:rPr>
          <w:rFonts w:ascii="Times New Roman" w:hAnsi="Times New Roman"/>
          <w:sz w:val="24"/>
          <w:szCs w:val="24"/>
        </w:rPr>
        <w:t xml:space="preserve"> and the biochemistry of these compounds. In N. </w:t>
      </w:r>
      <w:proofErr w:type="spellStart"/>
      <w:r w:rsidRPr="00C94FA6">
        <w:rPr>
          <w:rFonts w:ascii="Times New Roman" w:hAnsi="Times New Roman"/>
          <w:sz w:val="24"/>
          <w:szCs w:val="24"/>
        </w:rPr>
        <w:t>Amaresan</w:t>
      </w:r>
      <w:proofErr w:type="spellEnd"/>
      <w:r w:rsidRPr="00C94FA6">
        <w:rPr>
          <w:rFonts w:ascii="Times New Roman" w:hAnsi="Times New Roman"/>
          <w:sz w:val="24"/>
          <w:szCs w:val="24"/>
        </w:rPr>
        <w:t xml:space="preserve">, A. Sankaranarayanan, M. K. Dwivedi, &amp; I. S. Druzhinina (Eds.), </w:t>
      </w:r>
      <w:r w:rsidRPr="00C94FA6">
        <w:rPr>
          <w:rFonts w:ascii="Times New Roman" w:hAnsi="Times New Roman"/>
          <w:i/>
          <w:iCs/>
          <w:sz w:val="24"/>
          <w:szCs w:val="24"/>
        </w:rPr>
        <w:t>Advances in Trichoderma biology for agricultural applications</w:t>
      </w:r>
      <w:r w:rsidRPr="00C94FA6">
        <w:rPr>
          <w:rFonts w:ascii="Times New Roman" w:hAnsi="Times New Roman"/>
          <w:sz w:val="24"/>
          <w:szCs w:val="24"/>
        </w:rPr>
        <w:t xml:space="preserve"> (pp. 113–135). Springer International Publishing. </w:t>
      </w:r>
      <w:hyperlink r:id="rId36" w:history="1">
        <w:r w:rsidRPr="00C94FA6">
          <w:rPr>
            <w:rFonts w:ascii="Times New Roman" w:hAnsi="Times New Roman"/>
            <w:color w:val="0000FF"/>
            <w:sz w:val="24"/>
            <w:szCs w:val="24"/>
            <w:u w:val="single"/>
          </w:rPr>
          <w:t>https://doi.org/10.1007/978-3-030-91650-3_4</w:t>
        </w:r>
      </w:hyperlink>
    </w:p>
    <w:p>
      <w:pPr>
        <w:spacing w:before="100" w:beforeAutospacing="1" w:after="100" w:afterAutospacing="1"/>
        <w:rPr>
          <w:rFonts w:ascii="Times New Roman" w:hAnsi="Times New Roman"/>
          <w:sz w:val="24"/>
          <w:szCs w:val="24"/>
        </w:rPr>
      </w:pPr>
      <w:r>
        <w:rPr>
          <w:b/>
          <w:i w:val="0"/>
        </w:rPr>
        <w:t xml:space="preserve">Vamshi, J., Devi, G. U., Somraj, B., Maheswari, T. U., Supriya, K., &amp; Sudini, H. K. (2025). Biocontrol efficacy of </w:t>
      </w:r>
      <w:r>
        <w:rPr>
          <w:b/>
          <w:i/>
        </w:rPr>
        <w:t>Trichoderma</w:t>
      </w:r>
      <w:r>
        <w:rPr>
          <w:b/>
          <w:i w:val="0"/>
        </w:rPr>
        <w:t xml:space="preserve"> and </w:t>
      </w:r>
      <w:r>
        <w:rPr>
          <w:b/>
          <w:i/>
        </w:rPr>
        <w:t>Bacillus</w:t>
      </w:r>
      <w:r>
        <w:rPr>
          <w:b/>
          <w:i w:val="0"/>
        </w:rPr>
        <w:t xml:space="preserve"> isolates against </w:t>
      </w:r>
      <w:r>
        <w:rPr>
          <w:b/>
          <w:i/>
        </w:rPr>
        <w:t>Sclerotium rolfsii</w:t>
      </w:r>
      <w:r>
        <w:rPr>
          <w:b/>
          <w:i w:val="0"/>
        </w:rPr>
        <w:t xml:space="preserve"> under in vitro conditions. </w:t>
      </w:r>
      <w:r>
        <w:rPr>
          <w:b/>
          <w:i/>
        </w:rPr>
        <w:t>Legume Research</w:t>
      </w:r>
      <w:r>
        <w:rPr>
          <w:b/>
          <w:i w:val="0"/>
        </w:rPr>
        <w:t xml:space="preserve">, </w:t>
      </w:r>
      <w:r>
        <w:rPr>
          <w:b/>
          <w:i/>
        </w:rPr>
        <w:t>48</w:t>
      </w:r>
      <w:r>
        <w:rPr>
          <w:b/>
          <w:i w:val="0"/>
        </w:rPr>
        <w:t xml:space="preserve">(11), 1846–1854. </w:t>
      </w:r>
      <w:hyperlink r:id="rId47">
        <w:r>
          <w:rPr>
            <w:b w:val="1"/>
            <w:u w:val="single"/>
          </w:rPr>
          <w:t>https://doi.org/10.18805/LR-5414</w:t>
        </w:r>
      </w:hyperlink>
    </w:p>
    <w:p w14:paraId="261AED7B" w14:textId="77777777" w:rsidR="00C94FA6" w:rsidRPr="00C94FA6" w:rsidRDefault="00C94FA6" w:rsidP="00C94FA6">
      <w:pPr>
        <w:spacing w:before="100" w:beforeAutospacing="1" w:after="100" w:afterAutospacing="1"/>
        <w:rPr>
          <w:rFonts w:ascii="Times New Roman" w:hAnsi="Times New Roman"/>
          <w:sz w:val="24"/>
          <w:szCs w:val="24"/>
        </w:rPr>
      </w:pPr>
      <w:r w:rsidRPr="00C94FA6">
        <w:rPr>
          <w:rFonts w:ascii="Times New Roman" w:hAnsi="Times New Roman"/>
          <w:sz w:val="24"/>
          <w:szCs w:val="24"/>
        </w:rPr>
        <w:t xml:space="preserve">Zeilinger, S., Gruber, S., Bansal, R., &amp; Mukherjee, P. K. (2016). Secondary metabolism in </w:t>
      </w:r>
      <w:r w:rsidRPr="00C94FA6">
        <w:rPr>
          <w:rFonts w:ascii="Times New Roman" w:hAnsi="Times New Roman"/>
          <w:i/>
          <w:iCs/>
          <w:sz w:val="24"/>
          <w:szCs w:val="24"/>
        </w:rPr>
        <w:t>Trichoderma</w:t>
      </w:r>
      <w:r w:rsidRPr="00C94FA6">
        <w:rPr>
          <w:rFonts w:ascii="Times New Roman" w:hAnsi="Times New Roman"/>
          <w:sz w:val="24"/>
          <w:szCs w:val="24"/>
        </w:rPr>
        <w:t xml:space="preserve">—Chemistry meets genomics. </w:t>
      </w:r>
      <w:r w:rsidRPr="00C94FA6">
        <w:rPr>
          <w:rFonts w:ascii="Times New Roman" w:hAnsi="Times New Roman"/>
          <w:i/>
          <w:iCs/>
          <w:sz w:val="24"/>
          <w:szCs w:val="24"/>
        </w:rPr>
        <w:t>Fungal Biology Reviews, 30</w:t>
      </w:r>
      <w:r w:rsidRPr="00C94FA6">
        <w:rPr>
          <w:rFonts w:ascii="Times New Roman" w:hAnsi="Times New Roman"/>
          <w:sz w:val="24"/>
          <w:szCs w:val="24"/>
        </w:rPr>
        <w:t xml:space="preserve">(2), 74–90. </w:t>
      </w:r>
      <w:hyperlink r:id="rId37" w:history="1">
        <w:r w:rsidRPr="00C94FA6">
          <w:rPr>
            <w:rFonts w:ascii="Times New Roman" w:hAnsi="Times New Roman"/>
            <w:color w:val="0000FF"/>
            <w:sz w:val="24"/>
            <w:szCs w:val="24"/>
            <w:u w:val="single"/>
          </w:rPr>
          <w:t>https://doi.org/10.1016/j.fbr.2016.05.001</w:t>
        </w:r>
      </w:hyperlink>
    </w:p>
    <w:p w14:paraId="7215577B" w14:textId="77777777" w:rsidR="00C94FA6" w:rsidRPr="00573C59" w:rsidRDefault="00C94FA6" w:rsidP="00441B6F">
      <w:pPr>
        <w:pStyle w:val="ReferHead"/>
        <w:spacing w:after="0"/>
        <w:jc w:val="both"/>
        <w:rPr>
          <w:rFonts w:ascii="Arial" w:hAnsi="Arial" w:cs="Arial"/>
        </w:rPr>
      </w:pPr>
    </w:p>
    <w:sectPr w:rsidR="00C94FA6" w:rsidRPr="00573C59" w:rsidSect="007A6D77">
      <w:headerReference w:type="even" r:id="rId38"/>
      <w:headerReference w:type="default" r:id="rId39"/>
      <w:footerReference w:type="default" r:id="rId40"/>
      <w:headerReference w:type="first" r:id="rId4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B3B96" w14:textId="77777777" w:rsidR="00EC5E9F" w:rsidRDefault="00EC5E9F" w:rsidP="00C37E61">
      <w:r>
        <w:separator/>
      </w:r>
    </w:p>
  </w:endnote>
  <w:endnote w:type="continuationSeparator" w:id="0">
    <w:p w14:paraId="3D9FB44B" w14:textId="77777777" w:rsidR="00EC5E9F" w:rsidRDefault="00EC5E9F"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994BF" w14:textId="77777777" w:rsidR="007A6D77" w:rsidRDefault="007A6D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03E8" w14:textId="77777777" w:rsidR="00C37E61" w:rsidRPr="002F631D" w:rsidRDefault="00C37E61" w:rsidP="002F63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F032" w14:textId="77777777" w:rsidR="00754C9A" w:rsidRPr="007A6D77" w:rsidRDefault="00754C9A" w:rsidP="007A6D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06645"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42035" w14:textId="77777777" w:rsidR="00EC5E9F" w:rsidRDefault="00EC5E9F" w:rsidP="00C37E61">
      <w:r>
        <w:separator/>
      </w:r>
    </w:p>
  </w:footnote>
  <w:footnote w:type="continuationSeparator" w:id="0">
    <w:p w14:paraId="047603F6" w14:textId="77777777" w:rsidR="00EC5E9F" w:rsidRDefault="00EC5E9F"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9E5FA" w14:textId="77777777" w:rsidR="007A6D77" w:rsidRDefault="00000000">
    <w:pPr>
      <w:pStyle w:val="Header"/>
    </w:pPr>
    <w:r>
      <w:rPr>
        <w:noProof/>
      </w:rPr>
      <w:pict w14:anchorId="2D48A0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69"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5253F" w14:textId="77777777" w:rsidR="007A6D77" w:rsidRDefault="00000000">
    <w:pPr>
      <w:pStyle w:val="Header"/>
    </w:pPr>
    <w:r>
      <w:rPr>
        <w:noProof/>
      </w:rPr>
      <w:pict w14:anchorId="72E2C0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70"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3C30" w14:textId="77777777" w:rsidR="00296529" w:rsidRPr="00296529" w:rsidRDefault="00000000" w:rsidP="00296529">
    <w:pPr>
      <w:ind w:left="2160"/>
      <w:jc w:val="center"/>
      <w:rPr>
        <w:rFonts w:ascii="Times New Roman" w:eastAsia="Calibri" w:hAnsi="Times New Roman"/>
        <w:i/>
        <w:sz w:val="18"/>
        <w:szCs w:val="22"/>
      </w:rPr>
    </w:pPr>
    <w:r>
      <w:rPr>
        <w:noProof/>
      </w:rPr>
      <w:pict w14:anchorId="5D7DA0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68"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8B7BEB4"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0C1BBAE3"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EDD527C"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BB2257B"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C54AFA1"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07E2AC6D"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C3ED1" w14:textId="77777777" w:rsidR="007A6D77" w:rsidRDefault="00000000">
    <w:pPr>
      <w:pStyle w:val="Header"/>
    </w:pPr>
    <w:r>
      <w:rPr>
        <w:noProof/>
      </w:rPr>
      <w:pict w14:anchorId="5E3CD6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72"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sidR="00513475">
      <w:rPr>
        <w:noProof/>
        <w:lang w:bidi="ta-IN"/>
      </w:rPr>
      <mc:AlternateContent>
        <mc:Choice Requires="wps">
          <w:drawing>
            <wp:anchor distT="0" distB="0" distL="114300" distR="114300" simplePos="0" relativeHeight="251669504" behindDoc="1" locked="0" layoutInCell="0" allowOverlap="1" wp14:anchorId="4BBC1424" wp14:editId="7D3645EB">
              <wp:simplePos x="0" y="0"/>
              <wp:positionH relativeFrom="margin">
                <wp:align>center</wp:align>
              </wp:positionH>
              <wp:positionV relativeFrom="margin">
                <wp:align>center</wp:align>
              </wp:positionV>
              <wp:extent cx="6612255" cy="734695"/>
              <wp:effectExtent l="0" t="2190750" r="0" b="2037080"/>
              <wp:wrapNone/>
              <wp:docPr id="3"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12255" cy="734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D6EC756" w14:textId="77777777" w:rsidR="00513475" w:rsidRDefault="00513475" w:rsidP="00513475">
                          <w:pPr>
                            <w:pStyle w:val="NormalWeb"/>
                            <w:spacing w:before="0" w:beforeAutospacing="0" w:after="0" w:afterAutospacing="0"/>
                            <w:jc w:val="center"/>
                          </w:pPr>
                          <w:r>
                            <w:rPr>
                              <w:rFonts w:ascii="Helvetica" w:hAnsi="Helvetica" w:cs="Helvetica"/>
                              <w:color w:val="C0C0C0"/>
                              <w:sz w:val="2"/>
                              <w:szCs w:val="2"/>
                              <w14:textFill>
                                <w14:solidFill>
                                  <w14:srgbClr w14:val="C0C0C0">
                                    <w14:alpha w14:val="50000"/>
                                  </w14:srgbClr>
                                </w14:solidFill>
                              </w14:textFill>
                            </w:rPr>
                            <w:t>UNDER PEER REVIEW</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BBC1424" id="_x0000_t202" coordsize="21600,21600" o:spt="202" path="m,l,21600r21600,l21600,xe">
              <v:stroke joinstyle="miter"/>
              <v:path gradientshapeok="t" o:connecttype="rect"/>
            </v:shapetype>
            <v:shape id="WordArt 6" o:spid="_x0000_s1026" type="#_x0000_t202" style="position:absolute;margin-left:0;margin-top:0;width:520.65pt;height:57.85pt;rotation:-45;z-index:-2516469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" o:allowincell="f" filled="f" stroked="f">
              <v:stroke joinstyle="round"/>
              <o:lock v:ext="edit" shapetype="t"/>
              <v:textbox style="mso-fit-shape-to-text:t">
                <w:txbxContent>
                  <w:p w14:paraId="11E5B0DE" w14:textId="77777777" w:rsidR="00513475" w:rsidRDefault="00513475" w:rsidP="00513475">
                    <w:pPr>
                      <w:pStyle w:val="NormalWeb"/>
                      <w:spacing w:before="0" w:beforeAutospacing="0" w:after="0" w:afterAutospacing="0"/>
                      <w:jc w:val="center"/>
                    </w:pPr>
                    <w:r>
                      <w:rPr>
                        <w:rFonts w:ascii="Helvetica" w:hAnsi="Helvetica" w:cs="Helvetica"/>
                        <w:color w:val="C0C0C0"/>
                        <w:sz w:val="2"/>
                        <w:szCs w:val="2"/>
                        <w14:textFill>
                          <w14:solidFill>
                            <w14:srgbClr w14:val="C0C0C0">
                              <w14:alpha w14:val="50000"/>
                            </w14:srgbClr>
                          </w14:solidFill>
                        </w14:textFill>
                      </w:rPr>
                      <w:t>UNDER PEER REVIEW</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B1B5C" w14:textId="77777777" w:rsidR="007A6D77" w:rsidRDefault="00000000">
    <w:pPr>
      <w:pStyle w:val="Header"/>
    </w:pPr>
    <w:r>
      <w:rPr>
        <w:noProof/>
      </w:rPr>
      <w:pict w14:anchorId="69155D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73"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sidR="00513475">
      <w:rPr>
        <w:noProof/>
        <w:lang w:bidi="ta-IN"/>
      </w:rPr>
      <mc:AlternateContent>
        <mc:Choice Requires="wps">
          <w:drawing>
            <wp:anchor distT="0" distB="0" distL="114300" distR="114300" simplePos="0" relativeHeight="251673600" behindDoc="1" locked="0" layoutInCell="0" allowOverlap="1" wp14:anchorId="06C80A4E" wp14:editId="78394A43">
              <wp:simplePos x="0" y="0"/>
              <wp:positionH relativeFrom="margin">
                <wp:align>center</wp:align>
              </wp:positionH>
              <wp:positionV relativeFrom="margin">
                <wp:align>center</wp:align>
              </wp:positionV>
              <wp:extent cx="6612255" cy="734695"/>
              <wp:effectExtent l="0" t="2190750" r="0" b="2037080"/>
              <wp:wrapNone/>
              <wp:docPr id="2"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12255" cy="734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B1151B" w14:textId="77777777" w:rsidR="00513475" w:rsidRDefault="00513475" w:rsidP="00513475">
                          <w:pPr>
                            <w:pStyle w:val="NormalWeb"/>
                            <w:spacing w:before="0" w:beforeAutospacing="0" w:after="0" w:afterAutospacing="0"/>
                            <w:jc w:val="center"/>
                          </w:pPr>
                          <w:r>
                            <w:rPr>
                              <w:rFonts w:ascii="Helvetica" w:hAnsi="Helvetica" w:cs="Helvetica"/>
                              <w:color w:val="C0C0C0"/>
                              <w:sz w:val="2"/>
                              <w:szCs w:val="2"/>
                              <w14:textFill>
                                <w14:solidFill>
                                  <w14:srgbClr w14:val="C0C0C0">
                                    <w14:alpha w14:val="50000"/>
                                  </w14:srgbClr>
                                </w14:solidFill>
                              </w14:textFill>
                            </w:rPr>
                            <w:t>UNDER PEER REVIEW</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6C80A4E" id="_x0000_t202" coordsize="21600,21600" o:spt="202" path="m,l,21600r21600,l21600,xe">
              <v:stroke joinstyle="miter"/>
              <v:path gradientshapeok="t" o:connecttype="rect"/>
            </v:shapetype>
            <v:shape id="WordArt 8" o:spid="_x0000_s1027" type="#_x0000_t202" style="position:absolute;margin-left:0;margin-top:0;width:520.65pt;height:57.85pt;rotation:-45;z-index:-2516428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" o:allowincell="f" filled="f" stroked="f">
              <v:stroke joinstyle="round"/>
              <o:lock v:ext="edit" shapetype="t"/>
              <v:textbox style="mso-fit-shape-to-text:t">
                <w:txbxContent>
                  <w:p w14:paraId="751D2C2F" w14:textId="77777777" w:rsidR="00513475" w:rsidRDefault="00513475" w:rsidP="00513475">
                    <w:pPr>
                      <w:pStyle w:val="NormalWeb"/>
                      <w:spacing w:before="0" w:beforeAutospacing="0" w:after="0" w:afterAutospacing="0"/>
                      <w:jc w:val="center"/>
                    </w:pPr>
                    <w:r>
                      <w:rPr>
                        <w:rFonts w:ascii="Helvetica" w:hAnsi="Helvetica" w:cs="Helvetica"/>
                        <w:color w:val="C0C0C0"/>
                        <w:sz w:val="2"/>
                        <w:szCs w:val="2"/>
                        <w14:textFill>
                          <w14:solidFill>
                            <w14:srgbClr w14:val="C0C0C0">
                              <w14:alpha w14:val="50000"/>
                            </w14:srgbClr>
                          </w14:solidFill>
                        </w14:textFill>
                      </w:rPr>
                      <w:t>UNDER PEER REVIEW</w:t>
                    </w:r>
                  </w:p>
                </w:txbxContent>
              </v:textbox>
              <w10:wrap anchorx="margin" anchory="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14AAE" w14:textId="77777777" w:rsidR="007A6D77" w:rsidRPr="00296529" w:rsidRDefault="00000000" w:rsidP="00296529">
    <w:pPr>
      <w:ind w:left="2160"/>
      <w:jc w:val="center"/>
      <w:rPr>
        <w:rFonts w:ascii="Times New Roman" w:eastAsia="Calibri" w:hAnsi="Times New Roman"/>
        <w:i/>
        <w:sz w:val="18"/>
        <w:szCs w:val="22"/>
      </w:rPr>
    </w:pPr>
    <w:r>
      <w:rPr>
        <w:noProof/>
      </w:rPr>
      <w:pict w14:anchorId="28A796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71"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sidR="00513475">
      <w:rPr>
        <w:noProof/>
        <w:lang w:bidi="ta-IN"/>
      </w:rPr>
      <mc:AlternateContent>
        <mc:Choice Requires="wps">
          <w:drawing>
            <wp:anchor distT="0" distB="0" distL="114300" distR="114300" simplePos="0" relativeHeight="251665408" behindDoc="1" locked="0" layoutInCell="0" allowOverlap="1" wp14:anchorId="4F0DFF98" wp14:editId="4260BAF4">
              <wp:simplePos x="0" y="0"/>
              <wp:positionH relativeFrom="margin">
                <wp:align>center</wp:align>
              </wp:positionH>
              <wp:positionV relativeFrom="margin">
                <wp:align>center</wp:align>
              </wp:positionV>
              <wp:extent cx="6612255" cy="734695"/>
              <wp:effectExtent l="0" t="2190750" r="0" b="2037080"/>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12255" cy="734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B3A3766" w14:textId="77777777" w:rsidR="00513475" w:rsidRDefault="00513475" w:rsidP="00513475">
                          <w:pPr>
                            <w:pStyle w:val="NormalWeb"/>
                            <w:spacing w:before="0" w:beforeAutospacing="0" w:after="0" w:afterAutospacing="0"/>
                            <w:jc w:val="center"/>
                          </w:pPr>
                          <w:r>
                            <w:rPr>
                              <w:rFonts w:ascii="Helvetica" w:hAnsi="Helvetica" w:cs="Helvetica"/>
                              <w:color w:val="C0C0C0"/>
                              <w:sz w:val="2"/>
                              <w:szCs w:val="2"/>
                              <w14:textFill>
                                <w14:solidFill>
                                  <w14:srgbClr w14:val="C0C0C0">
                                    <w14:alpha w14:val="50000"/>
                                  </w14:srgbClr>
                                </w14:solidFill>
                              </w14:textFill>
                            </w:rPr>
                            <w:t>UNDER PEER REVIEW</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F0DFF98" id="_x0000_t202" coordsize="21600,21600" o:spt="202" path="m,l,21600r21600,l21600,xe">
              <v:stroke joinstyle="miter"/>
              <v:path gradientshapeok="t" o:connecttype="rect"/>
            </v:shapetype>
            <v:shape id="WordArt 4" o:spid="_x0000_s1028" type="#_x0000_t202" style="position:absolute;left:0;text-align:left;margin-left:0;margin-top:0;width:520.65pt;height:57.85pt;rotation:-45;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" o:allowincell="f" filled="f" stroked="f">
              <v:stroke joinstyle="round"/>
              <o:lock v:ext="edit" shapetype="t"/>
              <v:textbox style="mso-fit-shape-to-text:t">
                <w:txbxContent>
                  <w:p w14:paraId="25F63E37" w14:textId="77777777" w:rsidR="00513475" w:rsidRDefault="00513475" w:rsidP="00513475">
                    <w:pPr>
                      <w:pStyle w:val="NormalWeb"/>
                      <w:spacing w:before="0" w:beforeAutospacing="0" w:after="0" w:afterAutospacing="0"/>
                      <w:jc w:val="center"/>
                    </w:pPr>
                    <w:r>
                      <w:rPr>
                        <w:rFonts w:ascii="Helvetica" w:hAnsi="Helvetica" w:cs="Helvetica"/>
                        <w:color w:val="C0C0C0"/>
                        <w:sz w:val="2"/>
                        <w:szCs w:val="2"/>
                        <w14:textFill>
                          <w14:solidFill>
                            <w14:srgbClr w14:val="C0C0C0">
                              <w14:alpha w14:val="50000"/>
                            </w14:srgbClr>
                          </w14:solidFill>
                        </w14:textFill>
                      </w:rPr>
                      <w:t>UNDER PEER REVIEW</w:t>
                    </w:r>
                  </w:p>
                </w:txbxContent>
              </v:textbox>
              <w10:wrap anchorx="margin" anchory="margin"/>
            </v:shape>
          </w:pict>
        </mc:Fallback>
      </mc:AlternateContent>
    </w:r>
  </w:p>
  <w:p w14:paraId="642AD15F" w14:textId="77777777" w:rsidR="007A6D77" w:rsidRPr="00296529" w:rsidRDefault="007A6D77"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9AF1362" w14:textId="77777777" w:rsidR="007A6D77" w:rsidRPr="00296529" w:rsidRDefault="007A6D77"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C8789B1" w14:textId="77777777" w:rsidR="007A6D77" w:rsidRPr="00296529" w:rsidRDefault="007A6D77"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6BA2523" w14:textId="77777777" w:rsidR="007A6D77" w:rsidRDefault="007A6D77"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E2FA7C1" w14:textId="77777777" w:rsidR="007A6D77" w:rsidRDefault="007A6D77"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5434A23" w14:textId="77777777" w:rsidR="007A6D77" w:rsidRDefault="007A6D77">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8087651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57267489">
    <w:abstractNumId w:val="15"/>
  </w:num>
  <w:num w:numId="3" w16cid:durableId="715204885">
    <w:abstractNumId w:val="23"/>
  </w:num>
  <w:num w:numId="4" w16cid:durableId="134108364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613050843">
    <w:abstractNumId w:val="7"/>
  </w:num>
  <w:num w:numId="6" w16cid:durableId="2018193268">
    <w:abstractNumId w:val="6"/>
  </w:num>
  <w:num w:numId="7" w16cid:durableId="1098481621">
    <w:abstractNumId w:val="1"/>
  </w:num>
  <w:num w:numId="8" w16cid:durableId="1910311589">
    <w:abstractNumId w:val="12"/>
  </w:num>
  <w:num w:numId="9" w16cid:durableId="2031485233">
    <w:abstractNumId w:val="25"/>
  </w:num>
  <w:num w:numId="10" w16cid:durableId="2017460717">
    <w:abstractNumId w:val="2"/>
  </w:num>
  <w:num w:numId="11" w16cid:durableId="2030177922">
    <w:abstractNumId w:val="18"/>
  </w:num>
  <w:num w:numId="12" w16cid:durableId="1094011211">
    <w:abstractNumId w:val="3"/>
  </w:num>
  <w:num w:numId="13" w16cid:durableId="348532331">
    <w:abstractNumId w:val="17"/>
  </w:num>
  <w:num w:numId="14" w16cid:durableId="1553956104">
    <w:abstractNumId w:val="8"/>
  </w:num>
  <w:num w:numId="15" w16cid:durableId="815998578">
    <w:abstractNumId w:val="21"/>
  </w:num>
  <w:num w:numId="16" w16cid:durableId="2068066401">
    <w:abstractNumId w:val="5"/>
  </w:num>
  <w:num w:numId="17" w16cid:durableId="2107653222">
    <w:abstractNumId w:val="22"/>
  </w:num>
  <w:num w:numId="18" w16cid:durableId="1714380818">
    <w:abstractNumId w:val="14"/>
  </w:num>
  <w:num w:numId="19" w16cid:durableId="152064195">
    <w:abstractNumId w:val="28"/>
  </w:num>
  <w:num w:numId="20" w16cid:durableId="961155536">
    <w:abstractNumId w:val="11"/>
  </w:num>
  <w:num w:numId="21" w16cid:durableId="2040005808">
    <w:abstractNumId w:val="9"/>
  </w:num>
  <w:num w:numId="22" w16cid:durableId="416445822">
    <w:abstractNumId w:val="13"/>
  </w:num>
  <w:num w:numId="23" w16cid:durableId="1628393273">
    <w:abstractNumId w:val="19"/>
  </w:num>
  <w:num w:numId="24" w16cid:durableId="375008942">
    <w:abstractNumId w:val="26"/>
  </w:num>
  <w:num w:numId="25" w16cid:durableId="321012385">
    <w:abstractNumId w:val="4"/>
  </w:num>
  <w:num w:numId="26" w16cid:durableId="1913080286">
    <w:abstractNumId w:val="16"/>
  </w:num>
  <w:num w:numId="27" w16cid:durableId="1825586224">
    <w:abstractNumId w:val="20"/>
  </w:num>
  <w:num w:numId="28" w16cid:durableId="469056863">
    <w:abstractNumId w:val="27"/>
  </w:num>
  <w:num w:numId="29" w16cid:durableId="1532256690">
    <w:abstractNumId w:val="24"/>
  </w:num>
  <w:num w:numId="30" w16cid:durableId="4753438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QwMzO2MLS0NDA1MjZW0lEKTi0uzszPAykwrAUAQ8KHNiwAAAA="/>
  </w:docVars>
  <w:rsids>
    <w:rsidRoot w:val="00AA6219"/>
    <w:rsid w:val="00000F8F"/>
    <w:rsid w:val="00030174"/>
    <w:rsid w:val="0004579C"/>
    <w:rsid w:val="0007198C"/>
    <w:rsid w:val="000A47FA"/>
    <w:rsid w:val="000A65D3"/>
    <w:rsid w:val="000B1E33"/>
    <w:rsid w:val="000D290D"/>
    <w:rsid w:val="000D689F"/>
    <w:rsid w:val="000E7B7B"/>
    <w:rsid w:val="000E7D62"/>
    <w:rsid w:val="00103357"/>
    <w:rsid w:val="00121700"/>
    <w:rsid w:val="00123C9F"/>
    <w:rsid w:val="00126190"/>
    <w:rsid w:val="00130F17"/>
    <w:rsid w:val="001320BF"/>
    <w:rsid w:val="00145BDF"/>
    <w:rsid w:val="001537B9"/>
    <w:rsid w:val="00163BC4"/>
    <w:rsid w:val="00176585"/>
    <w:rsid w:val="00191062"/>
    <w:rsid w:val="00192B72"/>
    <w:rsid w:val="001A29D8"/>
    <w:rsid w:val="001A5CAA"/>
    <w:rsid w:val="001B0427"/>
    <w:rsid w:val="001D3A51"/>
    <w:rsid w:val="001E10D2"/>
    <w:rsid w:val="001E25B4"/>
    <w:rsid w:val="001E44FE"/>
    <w:rsid w:val="001F6921"/>
    <w:rsid w:val="00200595"/>
    <w:rsid w:val="00204835"/>
    <w:rsid w:val="00223614"/>
    <w:rsid w:val="00231920"/>
    <w:rsid w:val="0023195C"/>
    <w:rsid w:val="0024282C"/>
    <w:rsid w:val="002460DC"/>
    <w:rsid w:val="002508ED"/>
    <w:rsid w:val="00250985"/>
    <w:rsid w:val="00251922"/>
    <w:rsid w:val="002556F6"/>
    <w:rsid w:val="00283105"/>
    <w:rsid w:val="00283C12"/>
    <w:rsid w:val="00284C4C"/>
    <w:rsid w:val="00287B98"/>
    <w:rsid w:val="00287E68"/>
    <w:rsid w:val="00296529"/>
    <w:rsid w:val="002B27FB"/>
    <w:rsid w:val="002B685A"/>
    <w:rsid w:val="002C57D2"/>
    <w:rsid w:val="002E0D56"/>
    <w:rsid w:val="002E5953"/>
    <w:rsid w:val="002F631D"/>
    <w:rsid w:val="00315186"/>
    <w:rsid w:val="0033343E"/>
    <w:rsid w:val="003512C2"/>
    <w:rsid w:val="00371FB6"/>
    <w:rsid w:val="003763C1"/>
    <w:rsid w:val="00376BBE"/>
    <w:rsid w:val="0039224F"/>
    <w:rsid w:val="003A43A4"/>
    <w:rsid w:val="003A7E18"/>
    <w:rsid w:val="003C4C86"/>
    <w:rsid w:val="003C6258"/>
    <w:rsid w:val="003E2904"/>
    <w:rsid w:val="00401927"/>
    <w:rsid w:val="0041027F"/>
    <w:rsid w:val="00412475"/>
    <w:rsid w:val="00423789"/>
    <w:rsid w:val="004306F1"/>
    <w:rsid w:val="00440F43"/>
    <w:rsid w:val="00441B6F"/>
    <w:rsid w:val="00446221"/>
    <w:rsid w:val="00450E62"/>
    <w:rsid w:val="004539DB"/>
    <w:rsid w:val="00471A80"/>
    <w:rsid w:val="0047484C"/>
    <w:rsid w:val="004752AB"/>
    <w:rsid w:val="00475EEE"/>
    <w:rsid w:val="004D305E"/>
    <w:rsid w:val="004D4277"/>
    <w:rsid w:val="004D4509"/>
    <w:rsid w:val="004E5536"/>
    <w:rsid w:val="00502516"/>
    <w:rsid w:val="00505F06"/>
    <w:rsid w:val="00506828"/>
    <w:rsid w:val="00513475"/>
    <w:rsid w:val="0053056E"/>
    <w:rsid w:val="005421D6"/>
    <w:rsid w:val="00553980"/>
    <w:rsid w:val="00554FDA"/>
    <w:rsid w:val="00573C59"/>
    <w:rsid w:val="005C784C"/>
    <w:rsid w:val="005D17F6"/>
    <w:rsid w:val="005E5539"/>
    <w:rsid w:val="005F35E4"/>
    <w:rsid w:val="00602BF5"/>
    <w:rsid w:val="00617FDD"/>
    <w:rsid w:val="00633614"/>
    <w:rsid w:val="00633F68"/>
    <w:rsid w:val="00636EB2"/>
    <w:rsid w:val="006375B8"/>
    <w:rsid w:val="00641590"/>
    <w:rsid w:val="0066510A"/>
    <w:rsid w:val="00673F9F"/>
    <w:rsid w:val="00686953"/>
    <w:rsid w:val="00687DEA"/>
    <w:rsid w:val="00687E67"/>
    <w:rsid w:val="006967F7"/>
    <w:rsid w:val="006A250C"/>
    <w:rsid w:val="006B21D3"/>
    <w:rsid w:val="006B35FF"/>
    <w:rsid w:val="006B57D0"/>
    <w:rsid w:val="006C2564"/>
    <w:rsid w:val="006D30FF"/>
    <w:rsid w:val="006D6940"/>
    <w:rsid w:val="006E6500"/>
    <w:rsid w:val="006F11EC"/>
    <w:rsid w:val="0070082C"/>
    <w:rsid w:val="00701427"/>
    <w:rsid w:val="007369E6"/>
    <w:rsid w:val="0073728E"/>
    <w:rsid w:val="00746E59"/>
    <w:rsid w:val="007542DA"/>
    <w:rsid w:val="00754C9A"/>
    <w:rsid w:val="0075599A"/>
    <w:rsid w:val="00761D52"/>
    <w:rsid w:val="0077215A"/>
    <w:rsid w:val="0077749E"/>
    <w:rsid w:val="00780DF7"/>
    <w:rsid w:val="00790ADA"/>
    <w:rsid w:val="007A6D77"/>
    <w:rsid w:val="007C4A6A"/>
    <w:rsid w:val="007C5BBC"/>
    <w:rsid w:val="007D0CC4"/>
    <w:rsid w:val="007D2288"/>
    <w:rsid w:val="007E088F"/>
    <w:rsid w:val="007E3720"/>
    <w:rsid w:val="007F7B32"/>
    <w:rsid w:val="00804BC2"/>
    <w:rsid w:val="00806E87"/>
    <w:rsid w:val="0081431A"/>
    <w:rsid w:val="0083216F"/>
    <w:rsid w:val="00837549"/>
    <w:rsid w:val="00850938"/>
    <w:rsid w:val="00860000"/>
    <w:rsid w:val="00863BD3"/>
    <w:rsid w:val="008641ED"/>
    <w:rsid w:val="00866D66"/>
    <w:rsid w:val="008671C6"/>
    <w:rsid w:val="00870D5B"/>
    <w:rsid w:val="00875803"/>
    <w:rsid w:val="008B459E"/>
    <w:rsid w:val="008D7D5E"/>
    <w:rsid w:val="008E13AE"/>
    <w:rsid w:val="008E1506"/>
    <w:rsid w:val="008E710C"/>
    <w:rsid w:val="008F2CFE"/>
    <w:rsid w:val="008F69D6"/>
    <w:rsid w:val="00902823"/>
    <w:rsid w:val="009134F8"/>
    <w:rsid w:val="00915CA6"/>
    <w:rsid w:val="009228AB"/>
    <w:rsid w:val="00927834"/>
    <w:rsid w:val="009500A6"/>
    <w:rsid w:val="00957C18"/>
    <w:rsid w:val="00964E0E"/>
    <w:rsid w:val="009659BA"/>
    <w:rsid w:val="009759FC"/>
    <w:rsid w:val="00983040"/>
    <w:rsid w:val="0098506C"/>
    <w:rsid w:val="009B3FB9"/>
    <w:rsid w:val="009C2465"/>
    <w:rsid w:val="009D35A0"/>
    <w:rsid w:val="009D3687"/>
    <w:rsid w:val="009D7EB7"/>
    <w:rsid w:val="009E048A"/>
    <w:rsid w:val="009E08E9"/>
    <w:rsid w:val="009E3DB9"/>
    <w:rsid w:val="009E6E35"/>
    <w:rsid w:val="009F0EDA"/>
    <w:rsid w:val="00A03B96"/>
    <w:rsid w:val="00A05B19"/>
    <w:rsid w:val="00A1134E"/>
    <w:rsid w:val="00A20220"/>
    <w:rsid w:val="00A24E7E"/>
    <w:rsid w:val="00A258C3"/>
    <w:rsid w:val="00A347C0"/>
    <w:rsid w:val="00A51431"/>
    <w:rsid w:val="00A539AD"/>
    <w:rsid w:val="00A94063"/>
    <w:rsid w:val="00AA5485"/>
    <w:rsid w:val="00AA6219"/>
    <w:rsid w:val="00AA74E0"/>
    <w:rsid w:val="00AB703F"/>
    <w:rsid w:val="00AC0FF1"/>
    <w:rsid w:val="00AC6BB8"/>
    <w:rsid w:val="00AE008F"/>
    <w:rsid w:val="00B01FCD"/>
    <w:rsid w:val="00B1776C"/>
    <w:rsid w:val="00B52583"/>
    <w:rsid w:val="00B52896"/>
    <w:rsid w:val="00B95236"/>
    <w:rsid w:val="00B96BD9"/>
    <w:rsid w:val="00BA1B01"/>
    <w:rsid w:val="00BA2641"/>
    <w:rsid w:val="00BB37AA"/>
    <w:rsid w:val="00BC4D4F"/>
    <w:rsid w:val="00BC53A0"/>
    <w:rsid w:val="00BE62AD"/>
    <w:rsid w:val="00BF121F"/>
    <w:rsid w:val="00BF1F80"/>
    <w:rsid w:val="00C166EF"/>
    <w:rsid w:val="00C17EB0"/>
    <w:rsid w:val="00C27F5F"/>
    <w:rsid w:val="00C30A0F"/>
    <w:rsid w:val="00C37E61"/>
    <w:rsid w:val="00C40A1E"/>
    <w:rsid w:val="00C70F1B"/>
    <w:rsid w:val="00C71A47"/>
    <w:rsid w:val="00C7464C"/>
    <w:rsid w:val="00C844CF"/>
    <w:rsid w:val="00C84921"/>
    <w:rsid w:val="00C85588"/>
    <w:rsid w:val="00C94FA6"/>
    <w:rsid w:val="00C95C72"/>
    <w:rsid w:val="00CD6755"/>
    <w:rsid w:val="00CD6856"/>
    <w:rsid w:val="00CE0089"/>
    <w:rsid w:val="00CE4258"/>
    <w:rsid w:val="00CE793C"/>
    <w:rsid w:val="00CF193C"/>
    <w:rsid w:val="00D173F1"/>
    <w:rsid w:val="00D26AB8"/>
    <w:rsid w:val="00D7283E"/>
    <w:rsid w:val="00D74CB0"/>
    <w:rsid w:val="00D8295D"/>
    <w:rsid w:val="00D84FD6"/>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A6E2C"/>
    <w:rsid w:val="00EB11D8"/>
    <w:rsid w:val="00EC5E9F"/>
    <w:rsid w:val="00EC6A55"/>
    <w:rsid w:val="00ED0288"/>
    <w:rsid w:val="00EE52CB"/>
    <w:rsid w:val="00EE7B60"/>
    <w:rsid w:val="00EF078C"/>
    <w:rsid w:val="00EF581D"/>
    <w:rsid w:val="00EF7FD8"/>
    <w:rsid w:val="00F06F59"/>
    <w:rsid w:val="00F17988"/>
    <w:rsid w:val="00F3312B"/>
    <w:rsid w:val="00F469F0"/>
    <w:rsid w:val="00F53273"/>
    <w:rsid w:val="00F642E1"/>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CD7EF"/>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C844C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semiHidden/>
    <w:unhideWhenUsed/>
    <w:qFormat/>
    <w:rsid w:val="00C844C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character" w:customStyle="1" w:styleId="Heading2Char">
    <w:name w:val="Heading 2 Char"/>
    <w:basedOn w:val="DefaultParagraphFont"/>
    <w:link w:val="Heading2"/>
    <w:semiHidden/>
    <w:rsid w:val="00C844CF"/>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semiHidden/>
    <w:rsid w:val="00C844CF"/>
    <w:rPr>
      <w:rFonts w:asciiTheme="majorHAnsi" w:eastAsiaTheme="majorEastAsia" w:hAnsiTheme="majorHAnsi" w:cstheme="majorBidi"/>
      <w:i/>
      <w:iCs/>
      <w:color w:val="365F91" w:themeColor="accent1" w:themeShade="BF"/>
    </w:rPr>
  </w:style>
  <w:style w:type="paragraph" w:styleId="Bibliography">
    <w:name w:val="Bibliography"/>
    <w:basedOn w:val="Normal"/>
    <w:next w:val="Normal"/>
    <w:uiPriority w:val="37"/>
    <w:unhideWhenUsed/>
    <w:rsid w:val="007C5BBC"/>
    <w:pPr>
      <w:spacing w:after="240"/>
      <w:ind w:left="720" w:hanging="720"/>
    </w:pPr>
  </w:style>
  <w:style w:type="character" w:customStyle="1" w:styleId="UnresolvedMention2">
    <w:name w:val="Unresolved Mention2"/>
    <w:basedOn w:val="DefaultParagraphFont"/>
    <w:uiPriority w:val="99"/>
    <w:semiHidden/>
    <w:unhideWhenUsed/>
    <w:rsid w:val="002F631D"/>
    <w:rPr>
      <w:color w:val="605E5C"/>
      <w:shd w:val="clear" w:color="auto" w:fill="E1DFDD"/>
    </w:rPr>
  </w:style>
  <w:style w:type="paragraph" w:styleId="NormalWeb">
    <w:name w:val="Normal (Web)"/>
    <w:basedOn w:val="Normal"/>
    <w:uiPriority w:val="99"/>
    <w:semiHidden/>
    <w:unhideWhenUsed/>
    <w:rsid w:val="00513475"/>
    <w:pPr>
      <w:spacing w:before="100" w:beforeAutospacing="1" w:after="100" w:afterAutospacing="1"/>
    </w:pPr>
    <w:rPr>
      <w:rFonts w:ascii="Times New Roman" w:eastAsiaTheme="minorEastAsia" w:hAnsi="Times New Roman"/>
      <w:sz w:val="24"/>
      <w:szCs w:val="24"/>
      <w:lang w:bidi="t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11366897">
      <w:bodyDiv w:val="1"/>
      <w:marLeft w:val="0"/>
      <w:marRight w:val="0"/>
      <w:marTop w:val="0"/>
      <w:marBottom w:val="0"/>
      <w:divBdr>
        <w:top w:val="none" w:sz="0" w:space="0" w:color="auto"/>
        <w:left w:val="none" w:sz="0" w:space="0" w:color="auto"/>
        <w:bottom w:val="none" w:sz="0" w:space="0" w:color="auto"/>
        <w:right w:val="none" w:sz="0" w:space="0" w:color="auto"/>
      </w:divBdr>
      <w:divsChild>
        <w:div w:id="814612877">
          <w:marLeft w:val="0"/>
          <w:marRight w:val="0"/>
          <w:marTop w:val="0"/>
          <w:marBottom w:val="0"/>
          <w:divBdr>
            <w:top w:val="none" w:sz="0" w:space="0" w:color="auto"/>
            <w:left w:val="none" w:sz="0" w:space="0" w:color="auto"/>
            <w:bottom w:val="none" w:sz="0" w:space="0" w:color="auto"/>
            <w:right w:val="none" w:sz="0" w:space="0" w:color="auto"/>
          </w:divBdr>
          <w:divsChild>
            <w:div w:id="160537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595211306">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2986365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49378053">
      <w:bodyDiv w:val="1"/>
      <w:marLeft w:val="0"/>
      <w:marRight w:val="0"/>
      <w:marTop w:val="0"/>
      <w:marBottom w:val="0"/>
      <w:divBdr>
        <w:top w:val="none" w:sz="0" w:space="0" w:color="auto"/>
        <w:left w:val="none" w:sz="0" w:space="0" w:color="auto"/>
        <w:bottom w:val="none" w:sz="0" w:space="0" w:color="auto"/>
        <w:right w:val="none" w:sz="0" w:space="0" w:color="auto"/>
      </w:divBdr>
    </w:div>
    <w:div w:id="210260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9734/jsrr/2025/v31i83394" TargetMode="External"/><Relationship Id="rId26" Type="http://schemas.openxmlformats.org/officeDocument/2006/relationships/hyperlink" Target="https://doi.org/10.56557/arjocs/2025/v7i1143" TargetMode="External"/><Relationship Id="rId39" Type="http://schemas.openxmlformats.org/officeDocument/2006/relationships/header" Target="header5.xml"/><Relationship Id="rId21" Type="http://schemas.openxmlformats.org/officeDocument/2006/relationships/hyperlink" Target="https://doi.org/10.21590/h642vm48" TargetMode="External"/><Relationship Id="rId34" Type="http://schemas.openxmlformats.org/officeDocument/2006/relationships/hyperlink" Target="https://doi.org/10.1007/s11756-023-01457-9"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9734/jabb/2025/v28i82737" TargetMode="External"/><Relationship Id="rId20" Type="http://schemas.openxmlformats.org/officeDocument/2006/relationships/hyperlink" Target="https://doi.org/10.3390/jof9060675" TargetMode="External"/><Relationship Id="rId29" Type="http://schemas.openxmlformats.org/officeDocument/2006/relationships/hyperlink" Target="https://doi.org/10.1038/s41598-024-54687-5"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07/s00294-016-0567-5" TargetMode="External"/><Relationship Id="rId32" Type="http://schemas.openxmlformats.org/officeDocument/2006/relationships/hyperlink" Target="https://doi.org/10.17957/IJAB/15.1968" TargetMode="External"/><Relationship Id="rId37" Type="http://schemas.openxmlformats.org/officeDocument/2006/relationships/hyperlink" Target="https://doi.org/10.1016/j.fbr.2016.05.001" TargetMode="External"/><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doi.org/10.3390/horticulturae9060716" TargetMode="External"/><Relationship Id="rId23" Type="http://schemas.openxmlformats.org/officeDocument/2006/relationships/hyperlink" Target="https://doi.org/10.1007/s002530100646" TargetMode="External"/><Relationship Id="rId28" Type="http://schemas.openxmlformats.org/officeDocument/2006/relationships/hyperlink" Target="https://doi.org/10.1111/ppa.14078" TargetMode="External"/><Relationship Id="rId36" Type="http://schemas.openxmlformats.org/officeDocument/2006/relationships/hyperlink" Target="https://doi.org/10.1007/978-3-030-91650-3_4" TargetMode="External"/><Relationship Id="rId10" Type="http://schemas.openxmlformats.org/officeDocument/2006/relationships/footer" Target="footer1.xml"/><Relationship Id="rId19" Type="http://schemas.openxmlformats.org/officeDocument/2006/relationships/hyperlink" Target="https://doi.org/10.3390/stresses6020035" TargetMode="External"/><Relationship Id="rId31" Type="http://schemas.openxmlformats.org/officeDocument/2006/relationships/hyperlink" Target="https://doi.org/10.3390/jof1009060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16/j.rhisph.2022.100648" TargetMode="External"/><Relationship Id="rId22" Type="http://schemas.openxmlformats.org/officeDocument/2006/relationships/hyperlink" Target="https://doi.org/10.3389/fmicb.2025.1595946" TargetMode="External"/><Relationship Id="rId27" Type="http://schemas.openxmlformats.org/officeDocument/2006/relationships/hyperlink" Target="https://doi.org/10.1016/j.scitotenv.2021.145996" TargetMode="External"/><Relationship Id="rId30" Type="http://schemas.openxmlformats.org/officeDocument/2006/relationships/hyperlink" Target="https://doi.org/10.1111/ppa.14088" TargetMode="External"/><Relationship Id="rId35" Type="http://schemas.openxmlformats.org/officeDocument/2006/relationships/hyperlink" Target="https://doi.org/10.1007/978-3-030-81107-5_4" TargetMode="Externa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54085/ap.2025.14.1.114" TargetMode="External"/><Relationship Id="rId25" Type="http://schemas.openxmlformats.org/officeDocument/2006/relationships/hyperlink" Target="https://doi.org/10.3390/applmicrobiol5040123" TargetMode="External"/><Relationship Id="rId33" Type="http://schemas.openxmlformats.org/officeDocument/2006/relationships/hyperlink" Target="https://doi.org/10.3390/pathogens13080632" TargetMode="External"/><Relationship Id="rId38" Type="http://schemas.openxmlformats.org/officeDocument/2006/relationships/header" Target="header4.xml"/><Relationship Id="rId44" Type="http://schemas.openxmlformats.org/officeDocument/2006/relationships/hyperlink" Target="https://doi.org/10.1007/s42161-022-01279-9" TargetMode="External"/><Relationship Id="rId45" Type="http://schemas.openxmlformats.org/officeDocument/2006/relationships/hyperlink" Target="https://doi.org/10.1016/j.pmpp.2023.102005" TargetMode="External"/><Relationship Id="rId46" Type="http://schemas.openxmlformats.org/officeDocument/2006/relationships/hyperlink" Target="https://doi.org/10.1007/s12088-024-01356-w" TargetMode="External"/><Relationship Id="rId47" Type="http://schemas.openxmlformats.org/officeDocument/2006/relationships/hyperlink" Target="https://doi.org/10.18805/LR-54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9946B-7C7A-4C5C-8D16-64CEDB293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11</TotalTime>
  <Pages>7</Pages>
  <Words>4146</Words>
  <Characters>23635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27726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1020</cp:lastModifiedBy>
  <cp:revision>10</cp:revision>
  <cp:lastPrinted>1999-07-06T11:00:00Z</cp:lastPrinted>
  <dcterms:created xsi:type="dcterms:W3CDTF">2026-08-20T13:50:00Z</dcterms:created>
  <dcterms:modified xsi:type="dcterms:W3CDTF">2026-08-22T10:00:00Z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id="bPeYbNty"/&gt;&lt;style id="http://www.zotero.org/styles/plant-molecular-biology" hasBibliography="1" bibliographyStyleHasBeenSet="1"/&gt;&lt;prefs&gt;&lt;pref name="fieldType" value="Field"/&gt;&lt;/prefs&gt;&lt;/data&gt;</vt:lpwstr>
  </property>
  <property fmtid="{D5CDD505-2E9C-101B-9397-08002B2CF9AE}" pid="3" name="GrammarlyDocumentId">
    <vt:lpwstr>379f991e-3dfc-4a93-be28-6f745120b425</vt:lpwstr>
  </property>
</Properties>
</file>