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09C58" w14:textId="77777777" w:rsidR="008E6158" w:rsidRPr="00FB31D9" w:rsidRDefault="008E6158" w:rsidP="00DB2291">
      <w:pPr>
        <w:pStyle w:val="Heading1"/>
        <w:spacing w:before="100" w:beforeAutospacing="1" w:after="100" w:afterAutospacing="1"/>
        <w:jc w:val="both"/>
        <w:rPr>
          <w:color w:val="000000" w:themeColor="text1"/>
        </w:rPr>
      </w:pPr>
      <w:bookmarkStart w:id="0" w:name="X94b488dfec6657144c9cac824c50d932ff3eadb"/>
      <w:r w:rsidRPr="00FB31D9">
        <w:rPr>
          <w:color w:val="000000" w:themeColor="text1"/>
        </w:rPr>
        <w:t>Review Article</w:t>
      </w:r>
    </w:p>
    <w:p w14:paraId="407ACFCF" w14:textId="77777777" w:rsidR="00281C2C" w:rsidRPr="00FB31D9" w:rsidRDefault="00000000" w:rsidP="00DB2291">
      <w:pPr>
        <w:pStyle w:val="Heading1"/>
        <w:spacing w:before="100" w:beforeAutospacing="1" w:after="100" w:afterAutospacing="1"/>
        <w:jc w:val="both"/>
        <w:rPr>
          <w:color w:val="000000" w:themeColor="text1"/>
        </w:rPr>
      </w:pPr>
      <w:r w:rsidRPr="00FB31D9">
        <w:rPr>
          <w:color w:val="000000" w:themeColor="text1"/>
        </w:rPr>
        <w:t>The Definiteness Effect in Mandarin Chinese: A Critical Narrative Review of Marking Devices, Existential Constructions, and Acquisition</w:t>
      </w:r>
    </w:p>
    <w:p w14:paraId="42830AFF" w14:textId="77777777" w:rsidR="00281C2C" w:rsidRPr="00FB31D9" w:rsidRDefault="00000000" w:rsidP="00DB2291">
      <w:pPr>
        <w:pStyle w:val="Heading2"/>
        <w:spacing w:before="100" w:beforeAutospacing="1" w:after="100" w:afterAutospacing="1"/>
        <w:jc w:val="both"/>
        <w:rPr>
          <w:color w:val="000000" w:themeColor="text1"/>
        </w:rPr>
      </w:pPr>
      <w:bookmarkStart w:id="1" w:name="abstract"/>
      <w:r w:rsidRPr="00FB31D9">
        <w:rPr>
          <w:color w:val="000000" w:themeColor="text1"/>
        </w:rPr>
        <w:t>Abstract</w:t>
      </w:r>
    </w:p>
    <w:p w14:paraId="3849A776"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Mandarin Chinese lacks morphological articles, yet speakers reliably distinguish definite from indefinite reference through word order, nominal form, and discourse context. This review critically synthesises the theoretical, corpus-based, and acquisition literature on the definiteness effect in Mandarin, understood both as the classic restriction against strong determiners in postverbal position under the existential verb </w:t>
      </w:r>
      <w:r w:rsidRPr="00FB31D9">
        <w:rPr>
          <w:i/>
          <w:iCs/>
          <w:color w:val="000000" w:themeColor="text1"/>
        </w:rPr>
        <w:t>you</w:t>
      </w:r>
      <w:r w:rsidRPr="00FB31D9">
        <w:rPr>
          <w:color w:val="000000" w:themeColor="text1"/>
        </w:rPr>
        <w:t xml:space="preserve"> and, more broadly, as the set of regularities governing definite and indefinite interpretation across bare nouns, demonstrative phrases, and classifier phrases. The review traces the position-based account associated with preverbal and postverbal asymmetries, evaluates competing syntactic and semantic analyses of bare-noun definiteness, and examines the unresolved dispute between accounts that treat Mandarin demonstratives as obligatory markers of anaphoric definiteness and accounts that admit optionality conditioned by discourse coherence. Evidence from corpus-based and experimental studies of the </w:t>
      </w:r>
      <w:r w:rsidRPr="00FB31D9">
        <w:rPr>
          <w:i/>
          <w:iCs/>
          <w:color w:val="000000" w:themeColor="text1"/>
        </w:rPr>
        <w:t>you</w:t>
      </w:r>
      <w:r w:rsidRPr="00FB31D9">
        <w:rPr>
          <w:color w:val="000000" w:themeColor="text1"/>
        </w:rPr>
        <w:t>-existential construction is weighed against claims, originating in the pragmatic literature, that the definiteness effect is a derivative of information-structural constraints rather than a grammatical primitive. The review further considers first-language acquisition data on children’s interpretation of bare and demonstrative nominals, second-language and heritage-speaker evidence on the acquisition of definiteness marking, and cross-dialectal comparisons with Cantonese, Wu, and other classifier languages that illuminate the typological status of the Mandarin pattern. Methodological strengths and limitations of the reviewed literature are assessed, including the reliance on constructed judgement data, the scarcity of large-scale corpus quantification, and inconsistent operationalisation of definiteness across studies. The review identifies persistent disagreement over whether Mandarin definiteness is regulated primarily by syntax, semantics, or discourse pragmatics, and proposes that convergent psycholinguistic and corpus evidence, rather than further theory-internal argumentation alone, is required before the competing accounts can be adjudicated.</w:t>
      </w:r>
    </w:p>
    <w:p w14:paraId="7CAA3700" w14:textId="77777777" w:rsidR="00281C2C" w:rsidRPr="00FB31D9" w:rsidRDefault="00000000" w:rsidP="00DB2291">
      <w:pPr>
        <w:pStyle w:val="BodyText"/>
        <w:spacing w:before="100" w:beforeAutospacing="1" w:after="100" w:afterAutospacing="1"/>
        <w:jc w:val="both"/>
        <w:rPr>
          <w:color w:val="000000" w:themeColor="text1"/>
        </w:rPr>
      </w:pPr>
      <w:r w:rsidRPr="00FB31D9">
        <w:rPr>
          <w:b/>
          <w:bCs/>
          <w:color w:val="000000" w:themeColor="text1"/>
        </w:rPr>
        <w:t>Keywords:</w:t>
      </w:r>
      <w:r w:rsidRPr="00FB31D9">
        <w:rPr>
          <w:color w:val="000000" w:themeColor="text1"/>
        </w:rPr>
        <w:t xml:space="preserve"> definiteness effect, Mandarin Chinese, bare nouns, existential constructions, classifier languages, article-less languages</w:t>
      </w:r>
    </w:p>
    <w:p w14:paraId="290CF2BD" w14:textId="77777777" w:rsidR="00281C2C" w:rsidRPr="00FB31D9" w:rsidRDefault="00000000" w:rsidP="00DB2291">
      <w:pPr>
        <w:pStyle w:val="Heading2"/>
        <w:spacing w:before="100" w:beforeAutospacing="1" w:after="100" w:afterAutospacing="1"/>
        <w:jc w:val="both"/>
        <w:rPr>
          <w:color w:val="000000" w:themeColor="text1"/>
        </w:rPr>
      </w:pPr>
      <w:bookmarkStart w:id="2" w:name="introduction"/>
      <w:bookmarkEnd w:id="1"/>
      <w:r w:rsidRPr="00FB31D9">
        <w:rPr>
          <w:color w:val="000000" w:themeColor="text1"/>
        </w:rPr>
        <w:t>1. Introduction</w:t>
      </w:r>
    </w:p>
    <w:p w14:paraId="70C8FA53"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Definiteness is among the most extensively theorised categories in formal semantics, yet its grammatical expression varies dramatically across languages. English and many other European languages mark the distinction through a dedicated functional category of articles, so that the choice between </w:t>
      </w:r>
      <w:r w:rsidRPr="00FB31D9">
        <w:rPr>
          <w:i/>
          <w:iCs/>
          <w:color w:val="000000" w:themeColor="text1"/>
        </w:rPr>
        <w:t>the book</w:t>
      </w:r>
      <w:r w:rsidRPr="00FB31D9">
        <w:rPr>
          <w:color w:val="000000" w:themeColor="text1"/>
        </w:rPr>
        <w:t xml:space="preserve"> and </w:t>
      </w:r>
      <w:r w:rsidRPr="00FB31D9">
        <w:rPr>
          <w:i/>
          <w:iCs/>
          <w:color w:val="000000" w:themeColor="text1"/>
        </w:rPr>
        <w:t>a book</w:t>
      </w:r>
      <w:r w:rsidRPr="00FB31D9">
        <w:rPr>
          <w:color w:val="000000" w:themeColor="text1"/>
        </w:rPr>
        <w:t xml:space="preserve"> signals, respectively, familiarity or uniqueness on the one hand and novelty or non-identifiability on the other. Mandarin </w:t>
      </w:r>
      <w:r w:rsidRPr="00FB31D9">
        <w:rPr>
          <w:color w:val="000000" w:themeColor="text1"/>
        </w:rPr>
        <w:lastRenderedPageBreak/>
        <w:t xml:space="preserve">Chinese possesses no such category. A bare noun such as </w:t>
      </w:r>
      <w:r w:rsidRPr="00FB31D9">
        <w:rPr>
          <w:i/>
          <w:iCs/>
          <w:color w:val="000000" w:themeColor="text1"/>
        </w:rPr>
        <w:t>shu</w:t>
      </w:r>
      <w:r w:rsidRPr="00FB31D9">
        <w:rPr>
          <w:color w:val="000000" w:themeColor="text1"/>
        </w:rPr>
        <w:t xml:space="preserve"> (‘book’) can, depending on its syntactic position, aspectual context, and discourse setting, denote a unique or familiar individual, an indefinite or non-specific entity, or a kind. This referential flexibility has made Mandarin nominal expressions a central testing ground for theories of how definiteness is computed in languages without articles, and it has generated a substantial and still expanding body of syntactic, semantic, corpus-based, and psycholinguistic research.</w:t>
      </w:r>
    </w:p>
    <w:p w14:paraId="69382ECC" w14:textId="77777777" w:rsidR="009E3A68" w:rsidRPr="00DB2291" w:rsidRDefault="00000000" w:rsidP="00DB2291">
      <w:pPr>
        <w:pStyle w:val="BodyText"/>
        <w:jc w:val="both"/>
        <w:rPr>
          <w:bCs/>
        </w:rPr>
      </w:pPr>
      <w:r w:rsidRPr="00DB2291">
        <w:rPr>
          <w:bCs/>
          <w:highlight w:val="yellow"/>
        </w:rPr>
        <w:t>Recent experimental work has strengthened this empirical basis by showing that Mandarin speakers accept both bare nouns and demonstrative descriptions for anaphorically identifiable referents, while displaying context-sensitive preferences between the two forms (Huang, 2025). Complementary comprehension and production evidence from bridging contexts indicates that both nominal strategies can support unique and relational interpretations, although their distribution remains sensitive to lexical relationality and discourse configuration (Ahn &amp; Zhu, 2025).</w:t>
      </w:r>
    </w:p>
    <w:p w14:paraId="2B6830A3" w14:textId="30239241"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The term definiteness effect originates in the observation, first systematised for English existential </w:t>
      </w:r>
      <w:r w:rsidRPr="00FB31D9">
        <w:rPr>
          <w:i/>
          <w:iCs/>
          <w:color w:val="000000" w:themeColor="text1"/>
        </w:rPr>
        <w:t>there</w:t>
      </w:r>
      <w:r w:rsidRPr="00FB31D9">
        <w:rPr>
          <w:color w:val="000000" w:themeColor="text1"/>
        </w:rPr>
        <w:t xml:space="preserve">-sentences, that certain strong quantificational and definite noun phrases are excluded from the postverbal position of an existential construction: </w:t>
      </w:r>
      <w:r w:rsidRPr="00FB31D9">
        <w:rPr>
          <w:i/>
          <w:iCs/>
          <w:color w:val="000000" w:themeColor="text1"/>
        </w:rPr>
        <w:t>there is a book on the table</w:t>
      </w:r>
      <w:r w:rsidRPr="00FB31D9">
        <w:rPr>
          <w:color w:val="000000" w:themeColor="text1"/>
        </w:rPr>
        <w:t xml:space="preserve"> is acceptable, whereas </w:t>
      </w:r>
      <w:r w:rsidRPr="00FB31D9">
        <w:rPr>
          <w:i/>
          <w:iCs/>
          <w:color w:val="000000" w:themeColor="text1"/>
        </w:rPr>
        <w:t>there is the book on the table</w:t>
      </w:r>
      <w:r w:rsidRPr="00FB31D9">
        <w:rPr>
          <w:color w:val="000000" w:themeColor="text1"/>
        </w:rPr>
        <w:t xml:space="preserve"> is markedly degraded outside particular discourse contexts (Abbott, 1993). Mandarin possesses a structurally comparable existential construction built on the verb </w:t>
      </w:r>
      <w:r w:rsidRPr="00FB31D9">
        <w:rPr>
          <w:i/>
          <w:iCs/>
          <w:color w:val="000000" w:themeColor="text1"/>
        </w:rPr>
        <w:t>you</w:t>
      </w:r>
      <w:r w:rsidRPr="00FB31D9">
        <w:rPr>
          <w:color w:val="000000" w:themeColor="text1"/>
        </w:rPr>
        <w:t xml:space="preserve"> (‘have, exist’), the closest Mandarin counterpart to the English there-construction, and a parallel restriction against definite postverbal noun phrases has long been reported for this construction (Hu &amp; Pan, 200</w:t>
      </w:r>
      <w:r w:rsidR="0077305B">
        <w:rPr>
          <w:color w:val="000000" w:themeColor="text1"/>
        </w:rPr>
        <w:t>8</w:t>
      </w:r>
      <w:r w:rsidRPr="00FB31D9">
        <w:rPr>
          <w:color w:val="000000" w:themeColor="text1"/>
        </w:rPr>
        <w:t>; Huang, 1987). At the same time, the label definiteness effect has been extended in the Mandarin literature to a wider set of phenomena concerning how bare nouns, demonstrative phrases, and classifier phrases are interpreted according to their position relative to the verb, their syntactic function, and the discourse status of their referents. This review adopts the broader usage, treating the classical existential restriction as one instantiation, among several, of the more general problem of how a language without articles regulates definite and indefinite reference.</w:t>
      </w:r>
    </w:p>
    <w:p w14:paraId="571E9F9A"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The theoretical stakes of this question extend well beyond Mandarin-internal description. Article-less languages have played a pivotal role in debates over whether definiteness is a syntactic category associated with a dedicated Determiner Phrase (DP) projection, a semantic operation of type-shifting applied to predicative nominals, or a discourse-pragmatic effect governed by principles of information structure that make no reference to a formal definiteness feature at all. Because Mandarin combines the absence of articles with a numeral classifier system, a demonstrative paradigm, and comparatively free postverbal argument alternations, it offers an unusually rich empirical domain in which these competing architectures can be tested against one another.</w:t>
      </w:r>
    </w:p>
    <w:p w14:paraId="4CDDAE3C" w14:textId="77777777" w:rsidR="009E3A68" w:rsidRPr="00DB2291" w:rsidRDefault="00000000" w:rsidP="00DB2291">
      <w:pPr>
        <w:pStyle w:val="BodyText"/>
        <w:jc w:val="both"/>
        <w:rPr>
          <w:bCs/>
        </w:rPr>
      </w:pPr>
      <w:r w:rsidRPr="00DB2291">
        <w:rPr>
          <w:bCs/>
          <w:highlight w:val="yellow"/>
        </w:rPr>
        <w:t>Recent comparative analysis likewise treats the distribution of anaphoric bare nominals and demonstrative-marked nominals as evidence bearing on the structural representation of definiteness in Mandarin, while showing that the availability of covert determiner-like structure differs across languages (Park &amp; Kang, 2024).</w:t>
      </w:r>
    </w:p>
    <w:p w14:paraId="6F722516" w14:textId="77777777" w:rsidR="00281C2C" w:rsidRPr="00FB31D9" w:rsidRDefault="00000000" w:rsidP="00DB2291">
      <w:pPr>
        <w:pStyle w:val="Heading3"/>
        <w:spacing w:before="100" w:beforeAutospacing="1" w:after="100" w:afterAutospacing="1"/>
        <w:jc w:val="both"/>
        <w:rPr>
          <w:color w:val="000000" w:themeColor="text1"/>
        </w:rPr>
      </w:pPr>
      <w:bookmarkStart w:id="3" w:name="scope-research-gap-and-objectives"/>
      <w:r w:rsidRPr="00FB31D9">
        <w:rPr>
          <w:color w:val="000000" w:themeColor="text1"/>
        </w:rPr>
        <w:lastRenderedPageBreak/>
        <w:t>1.1 Scope, Research Gap and Objectives</w:t>
      </w:r>
    </w:p>
    <w:p w14:paraId="3A2710B5" w14:textId="687B56D7" w:rsidR="009E3A68" w:rsidRPr="00DB2291"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The present review is restricted to Mandarin Chinese, drawing on comparative Sinitic evidence, principally from Cantonese and Wu varieties, only where it directly bears on the interpretation of the Mandarin pattern. The review addresses four interlocking strands of the literature. The first strand concerns the syntax and semantics of definiteness marking in bare nominal expressions, demonstrative phrases, and classifier phrases, including the long-standing generalisation that preverbal position favours definite interpretation while postverbal position favours indefinite interpretation. The second strand concerns the existential </w:t>
      </w:r>
      <w:r w:rsidRPr="00FB31D9">
        <w:rPr>
          <w:i/>
          <w:iCs/>
          <w:color w:val="000000" w:themeColor="text1"/>
        </w:rPr>
        <w:t>you</w:t>
      </w:r>
      <w:r w:rsidRPr="00FB31D9">
        <w:rPr>
          <w:color w:val="000000" w:themeColor="text1"/>
        </w:rPr>
        <w:t>-construction and the extent to which it exhibits a definiteness effect analogous to, but not identical with, the English pattern. The third strand concerns a recent and unresolved theoretical dispute over whether Mandarin distinguishes unique from anaphoric definiteness through a categorical opposition between bare nouns and demonstrative phrases, or whether the two forms compete more flexibly under discourse-coherence pressures. The fourth strand concerns the acquisition of definiteness marking in first-language development, second-language learning, and heritage-language maintenance, which provides an independent empirical window onto the psychological reality of the theoretical distinctions proposed in the syntactic and semantic literature.</w:t>
      </w:r>
      <w:r w:rsidR="00DB2291">
        <w:rPr>
          <w:color w:val="000000" w:themeColor="text1"/>
        </w:rPr>
        <w:t xml:space="preserve"> </w:t>
      </w:r>
      <w:r w:rsidRPr="00DB2291">
        <w:rPr>
          <w:bCs/>
          <w:highlight w:val="yellow"/>
        </w:rPr>
        <w:t>Cross-dialectal corpus research on definite classifier-noun constructions in Suzhou Wu further shows that Chinese definiteness systems need not align directly with English article-demonstrative categories, reinforcing the value of language-internal and comparative Sinitic analysis (Xu &amp; Zhou, 2024).</w:t>
      </w:r>
    </w:p>
    <w:p w14:paraId="07B8C720"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Existing reviews of Mandarin nominal syntax, most notably handbook chapters on classifier phrases and noun phrase structure, summarise the descriptive generalisations but generally predate the theoretical proposals published from 2018 onward that reframe the unique-versus-anaphoric distinction as the organising principle of Mandarin definiteness marking. Those handbook treatments are also not designed to weigh the syntactic and semantic accounts against the accumulating acquisition and corpus evidence, which has grown substantially over the past decade and bears directly on the psychological plausibility of the competing analyses. No existing synthesis integrates the formal syntactic and semantic literature on bare nouns and demonstratives, the discourse-pragmatic literature on the existential construction, and the acquisition literature within a single critical framework. This gap is the principal justification for the present review.</w:t>
      </w:r>
    </w:p>
    <w:p w14:paraId="56BBC228"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The objectives of the review are, first, to characterise the descriptive generalisations governing definiteness marking in Mandarin nominal expressions and to evaluate the syntactic and semantic mechanisms proposed to derive them; second, to assess the evidence bearing on the existence, scope, and pragmatic conditioning of a definiteness effect in the Mandarin existential construction; third, to evaluate the currently unresolved dispute between categorical and gradient accounts of the unique-anaphoric distinction; and fourth, to integrate acquisition evidence, from first-language development through second-language and heritage-language studies, as a converging or diverging source of evidence on the psychological status of the proposed distinctions. The review excludes purely descriptive pedagogical treatments intended for language learners, work confined to Classical or pre-modern Chinese, and computational or machine-translation studies that </w:t>
      </w:r>
      <w:r w:rsidRPr="00FB31D9">
        <w:rPr>
          <w:color w:val="000000" w:themeColor="text1"/>
        </w:rPr>
        <w:lastRenderedPageBreak/>
        <w:t>do not engage with the linguistic analysis of definiteness, except where such studies provide corpus quantification directly relevant to the theoretical debates under review.</w:t>
      </w:r>
    </w:p>
    <w:p w14:paraId="7C1466D3" w14:textId="77777777" w:rsidR="00281C2C" w:rsidRPr="00FB31D9" w:rsidRDefault="00000000" w:rsidP="00DB2291">
      <w:pPr>
        <w:pStyle w:val="Heading2"/>
        <w:spacing w:before="100" w:beforeAutospacing="1" w:after="100" w:afterAutospacing="1"/>
        <w:jc w:val="both"/>
        <w:rPr>
          <w:color w:val="000000" w:themeColor="text1"/>
        </w:rPr>
      </w:pPr>
      <w:bookmarkStart w:id="4" w:name="methods-for-literature-selection"/>
      <w:bookmarkEnd w:id="2"/>
      <w:bookmarkEnd w:id="3"/>
      <w:r w:rsidRPr="00FB31D9">
        <w:rPr>
          <w:color w:val="000000" w:themeColor="text1"/>
        </w:rPr>
        <w:t>2. Methods for Literature Selection</w:t>
      </w:r>
    </w:p>
    <w:p w14:paraId="35B994E1" w14:textId="77777777" w:rsidR="00281C2C" w:rsidRPr="00FB31D9" w:rsidRDefault="00000000" w:rsidP="00DB2291">
      <w:pPr>
        <w:pStyle w:val="Heading3"/>
        <w:spacing w:before="100" w:beforeAutospacing="1" w:after="100" w:afterAutospacing="1"/>
        <w:jc w:val="both"/>
        <w:rPr>
          <w:color w:val="000000" w:themeColor="text1"/>
        </w:rPr>
      </w:pPr>
      <w:bookmarkStart w:id="5" w:name="review-design-and-rationale"/>
      <w:r w:rsidRPr="00FB31D9">
        <w:rPr>
          <w:color w:val="000000" w:themeColor="text1"/>
        </w:rPr>
        <w:t>2.1 Review Design and Rationale</w:t>
      </w:r>
    </w:p>
    <w:p w14:paraId="2B9148B1"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A critical narrative review design was selected in preference to a systematic review, scoping review, or meta-analysis. The literature on definiteness in Mandarin spans formal syntax, formal semantics, discourse pragmatics, corpus linguistics, and psycholinguistics, and much of the theoretical literature advances competing analyses of the same core data rather than reporting effect sizes that could be quantitatively pooled. A systematic review protocol with fixed eligibility criteria and a single outcome metric would therefore misrepresent the structure of the debate, which turns on the comparative explanatory adequacy of rival syntactic and semantic architectures rather than on the aggregation of comparable empirical effects. A narrative review format allows the thematic organisation of theoretical, corpus-based, and acquisition evidence around the specific controversies that structure the field, while still requiring transparency about search procedures and critical appraisal. The present review follows the general quality principles articulated by Baethge et al. (2019) for narrative reviews, namely explicit justification of the review’s importance, a stated set of aims, a documented literature search, and a synthesis that distinguishes well-supported from provisional conclusions, while adapting these principles to a linguistics topic rather than the biomedical context in which the framework was originally developed. Narrative review methodology does not remove the obligation for critical appraisal of source quality and methodological transparency, and the present review accordingly documents its information sources, search strategy, and eligibility criteria in the subsections that follow.</w:t>
      </w:r>
    </w:p>
    <w:p w14:paraId="7F9E76AE" w14:textId="77777777" w:rsidR="00281C2C" w:rsidRPr="00FB31D9" w:rsidRDefault="00000000" w:rsidP="00DB2291">
      <w:pPr>
        <w:pStyle w:val="Heading3"/>
        <w:spacing w:before="100" w:beforeAutospacing="1" w:after="100" w:afterAutospacing="1"/>
        <w:jc w:val="both"/>
        <w:rPr>
          <w:color w:val="000000" w:themeColor="text1"/>
        </w:rPr>
      </w:pPr>
      <w:bookmarkStart w:id="6" w:name="information-sources"/>
      <w:bookmarkEnd w:id="5"/>
      <w:r w:rsidRPr="00FB31D9">
        <w:rPr>
          <w:color w:val="000000" w:themeColor="text1"/>
        </w:rPr>
        <w:t>2.2 Information Sources</w:t>
      </w:r>
    </w:p>
    <w:p w14:paraId="7D3BDCE1"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The literature search drew on Google Scholar, Semantic Scholar, OpenAlex, CORE, the Directory of Open Access Journals, Crossref Metadata Search, and ScienceOpen as general-purpose scholarly indexes, together with the online repositories and publisher platforms of the principal linguistics journals in which the reviewed literature appears, including MIT Press Direct, De Gruyter Brill, Cambridge Core, SAGE Journals, John Benjamins, Springer Link, and ScienceDirect. Field-specific coverage was supplemented through the publication listings of the Linguistics and East Asian Languages departments of the University of Southern California, the University of California, Berkeley, and the Centre de Recherches Linguistiques sur l’Asie Orientale, which host institutional repositories for several of the most actively publishing researchers in Chinese theoretical syntax. Frontiers in Psychology and PubMed Central were consulted for psycholinguistic and acquisition studies. Bibliographies of recently published theoretical articles were examined through backward citation searching, and forward citation searching was conducted for the principal theoretical proposals to identify subsequent critical responses. These sources were genuinely searched in the course of preparing this review; no claim is made of access to </w:t>
      </w:r>
      <w:r w:rsidRPr="00FB31D9">
        <w:rPr>
          <w:color w:val="000000" w:themeColor="text1"/>
        </w:rPr>
        <w:lastRenderedPageBreak/>
        <w:t>subscription-only indexes such as Web of Science or Scopus beyond what is reflected in the publicly accessible bibliographic and citation information retrieved through the sources listed above.</w:t>
      </w:r>
    </w:p>
    <w:p w14:paraId="7C95A4B0" w14:textId="77777777" w:rsidR="00281C2C" w:rsidRPr="00FB31D9" w:rsidRDefault="00000000" w:rsidP="00DB2291">
      <w:pPr>
        <w:pStyle w:val="Heading3"/>
        <w:spacing w:before="100" w:beforeAutospacing="1" w:after="100" w:afterAutospacing="1"/>
        <w:jc w:val="both"/>
        <w:rPr>
          <w:color w:val="000000" w:themeColor="text1"/>
        </w:rPr>
      </w:pPr>
      <w:bookmarkStart w:id="7" w:name="search-strategy-and-search-period"/>
      <w:bookmarkEnd w:id="6"/>
      <w:r w:rsidRPr="00FB31D9">
        <w:rPr>
          <w:color w:val="000000" w:themeColor="text1"/>
        </w:rPr>
        <w:t>2.3 Search Strategy and Search Period</w:t>
      </w:r>
    </w:p>
    <w:p w14:paraId="13DBE502"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Search concepts were developed around four clusters corresponding to the four strands of the review. The first cluster combined the terms definiteness, indefiniteness, bare noun, bare nominal, classifier phrase, demonstrative, and specificity with Mandarin Chinese and Sinitic. The second cluster combined existential construction, </w:t>
      </w:r>
      <w:r w:rsidRPr="00FB31D9">
        <w:rPr>
          <w:i/>
          <w:iCs/>
          <w:color w:val="000000" w:themeColor="text1"/>
        </w:rPr>
        <w:t>you</w:t>
      </w:r>
      <w:r w:rsidRPr="00FB31D9">
        <w:rPr>
          <w:color w:val="000000" w:themeColor="text1"/>
        </w:rPr>
        <w:t>-construction, there-construction, definiteness effect, and presentational sentence with Mandarin and Chinese. The third cluster combined anaphoric definiteness, unique definiteness, weak and strong definite, and Index! with Mandarin, Jenks, and Dayal. The fourth cluster combined acquisition, first language, second language, heritage language, and reference production with Mandarin definiteness and bare noun interpretation. Representative Boolean strings included (“Mandarin Chinese” OR “Chinese”) AND (“bare noun</w:t>
      </w:r>
      <w:r w:rsidRPr="00FB31D9">
        <w:rPr>
          <w:i/>
          <w:iCs/>
          <w:color w:val="000000" w:themeColor="text1"/>
        </w:rPr>
        <w:t xml:space="preserve">” </w:t>
      </w:r>
      <w:proofErr w:type="gramStart"/>
      <w:r w:rsidRPr="00FB31D9">
        <w:rPr>
          <w:i/>
          <w:iCs/>
          <w:color w:val="000000" w:themeColor="text1"/>
        </w:rPr>
        <w:t>OR ”bare</w:t>
      </w:r>
      <w:proofErr w:type="gramEnd"/>
      <w:r w:rsidRPr="00FB31D9">
        <w:rPr>
          <w:i/>
          <w:iCs/>
          <w:color w:val="000000" w:themeColor="text1"/>
        </w:rPr>
        <w:t xml:space="preserve"> nominal</w:t>
      </w:r>
      <w:r w:rsidRPr="00FB31D9">
        <w:rPr>
          <w:color w:val="000000" w:themeColor="text1"/>
        </w:rPr>
        <w:t>”) AND (“definite</w:t>
      </w:r>
      <w:r w:rsidRPr="00FB31D9">
        <w:rPr>
          <w:i/>
          <w:iCs/>
          <w:color w:val="000000" w:themeColor="text1"/>
        </w:rPr>
        <w:t xml:space="preserve">” </w:t>
      </w:r>
      <w:proofErr w:type="gramStart"/>
      <w:r w:rsidRPr="00FB31D9">
        <w:rPr>
          <w:i/>
          <w:iCs/>
          <w:color w:val="000000" w:themeColor="text1"/>
        </w:rPr>
        <w:t>OR ”specificity</w:t>
      </w:r>
      <w:proofErr w:type="gramEnd"/>
      <w:r w:rsidRPr="00FB31D9">
        <w:rPr>
          <w:i/>
          <w:iCs/>
          <w:color w:val="000000" w:themeColor="text1"/>
        </w:rPr>
        <w:t xml:space="preserve">”); </w:t>
      </w:r>
      <w:proofErr w:type="gramStart"/>
      <w:r w:rsidRPr="00FB31D9">
        <w:rPr>
          <w:i/>
          <w:iCs/>
          <w:color w:val="000000" w:themeColor="text1"/>
        </w:rPr>
        <w:t>(”existential</w:t>
      </w:r>
      <w:proofErr w:type="gramEnd"/>
      <w:r w:rsidRPr="00FB31D9">
        <w:rPr>
          <w:i/>
          <w:iCs/>
          <w:color w:val="000000" w:themeColor="text1"/>
        </w:rPr>
        <w:t xml:space="preserve"> construction</w:t>
      </w:r>
      <w:r w:rsidRPr="00FB31D9">
        <w:rPr>
          <w:color w:val="000000" w:themeColor="text1"/>
        </w:rPr>
        <w:t>” OR “you-construction” OR “there-construction”) AND (“Mandarin” OR “Chinese”) AND (“definiteness effect”); and (“Mandarin” OR “Chinese”) AND (“heritage” OR “second language” OR “L2” OR “acquisition”) AND (“definite</w:t>
      </w:r>
      <w:r w:rsidRPr="00FB31D9">
        <w:rPr>
          <w:i/>
          <w:iCs/>
          <w:color w:val="000000" w:themeColor="text1"/>
        </w:rPr>
        <w:t xml:space="preserve">” </w:t>
      </w:r>
      <w:proofErr w:type="gramStart"/>
      <w:r w:rsidRPr="00FB31D9">
        <w:rPr>
          <w:i/>
          <w:iCs/>
          <w:color w:val="000000" w:themeColor="text1"/>
        </w:rPr>
        <w:t>OR ”demonstrative</w:t>
      </w:r>
      <w:proofErr w:type="gramEnd"/>
      <w:r w:rsidRPr="00FB31D9">
        <w:rPr>
          <w:color w:val="000000" w:themeColor="text1"/>
        </w:rPr>
        <w:t>”). Search terms were combined with truncation and synonym variants as appropriate to each database interface.</w:t>
      </w:r>
    </w:p>
    <w:p w14:paraId="75ED34F2"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The starting point of the search period was set at 1987, corresponding to the publication of the foundational analysis of existential sentences and indefiniteness in Chinese that inaugurated the modern theoretical literature on this topic, with earlier general semantic literature on definiteness and the definiteness effect incorporated only where a Mandarin-specific publication in the search period cites it as conceptually necessary. The search end date was 21 May 2026.</w:t>
      </w:r>
    </w:p>
    <w:p w14:paraId="28152319" w14:textId="77777777" w:rsidR="00281C2C" w:rsidRPr="00FB31D9" w:rsidRDefault="00000000" w:rsidP="00DB2291">
      <w:pPr>
        <w:pStyle w:val="Heading3"/>
        <w:spacing w:before="100" w:beforeAutospacing="1" w:after="100" w:afterAutospacing="1"/>
        <w:jc w:val="both"/>
        <w:rPr>
          <w:color w:val="000000" w:themeColor="text1"/>
        </w:rPr>
      </w:pPr>
      <w:bookmarkStart w:id="8" w:name="eligibility-criteria"/>
      <w:bookmarkEnd w:id="7"/>
      <w:r w:rsidRPr="00FB31D9">
        <w:rPr>
          <w:color w:val="000000" w:themeColor="text1"/>
        </w:rPr>
        <w:t>2.4 Eligibility Criteria</w:t>
      </w:r>
    </w:p>
    <w:p w14:paraId="4DF0413C"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Eligible sources were peer-reviewed journal articles, peer-reviewed book chapters in edited scholarly volumes, and scholarly monographs addressing the syntax, semantics, pragmatics, corpus distribution, or acquisition of definiteness marking, bare nominal interpretation, demonstrative reference, classifier-phrase interpretation, or existential constructions in Mandarin Chinese or closely comparable Sinitic varieties. Sources restricted to Classical Chinese, sources addressing definiteness only as an incidental feature of an unrelated primary phenomenon, unverifiable or bibliographically incomplete sources, non-scholarly pedagogical or language-learning material, and preprints for which a peer-reviewed version was identified were excluded. No language restriction was applied to the underlying linguistic data discussed by the reviewed sources, but the sources themselves were required to be published in English, reflecting the language of the majority of the international theoretical and psycholinguistic literature on this topic and the language in which the review is written. Doctoral dissertations were consulted for background and citation-tracing purposes but were not relied upon as stand-alone </w:t>
      </w:r>
      <w:r w:rsidRPr="00FB31D9">
        <w:rPr>
          <w:color w:val="000000" w:themeColor="text1"/>
        </w:rPr>
        <w:lastRenderedPageBreak/>
        <w:t>evidentiary sources in the reference list unless subsequently published in peer-reviewed form.</w:t>
      </w:r>
    </w:p>
    <w:p w14:paraId="15037BC2" w14:textId="77777777" w:rsidR="00281C2C" w:rsidRPr="00FB31D9" w:rsidRDefault="00000000" w:rsidP="00DB2291">
      <w:pPr>
        <w:pStyle w:val="Heading3"/>
        <w:spacing w:before="100" w:beforeAutospacing="1" w:after="100" w:afterAutospacing="1"/>
        <w:jc w:val="both"/>
        <w:rPr>
          <w:color w:val="000000" w:themeColor="text1"/>
        </w:rPr>
      </w:pPr>
      <w:bookmarkStart w:id="9" w:name="X7d2e9d0ecae87711c8cd031b02724f1a8226a19"/>
      <w:bookmarkEnd w:id="8"/>
      <w:r w:rsidRPr="00FB31D9">
        <w:rPr>
          <w:color w:val="000000" w:themeColor="text1"/>
        </w:rPr>
        <w:t>2.5 Screening, Duplicate Handling and Study Selection</w:t>
      </w:r>
    </w:p>
    <w:p w14:paraId="41AF769A"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Candidate sources identified through the search strategy described in Section 2.3 were screened by title and abstract for relevance to the four thematic strands identified in Section 1.1, and full texts or detailed abstracts were then examined for eligibility against the criteria in Section 2.4. Because several outlets index the same article under slightly different metadata, duplicate records were identified by matching digital object identifiers and, where a digital object identifier was unavailable, by matching author, year, and title strings across databases. Sources for which full bibliographic details, including author, year, venue, and either a digital object identifier or a stable publisher uniform resource locator, could not be verified through at least one authoritative source were excluded rather than retained on the basis of a secondary citation alone. This narrative review does not report numerical screening counts, since a formally systematic screening process with a predefined denominator of records was not undertaken; the search instead followed an iterative, citation-tracing strategy appropriate to a theoretically structured narrative synthesis.</w:t>
      </w:r>
    </w:p>
    <w:p w14:paraId="0365C379" w14:textId="77777777" w:rsidR="00281C2C" w:rsidRPr="00FB31D9" w:rsidRDefault="00000000" w:rsidP="00DB2291">
      <w:pPr>
        <w:pStyle w:val="Heading3"/>
        <w:spacing w:before="100" w:beforeAutospacing="1" w:after="100" w:afterAutospacing="1"/>
        <w:jc w:val="both"/>
        <w:rPr>
          <w:color w:val="000000" w:themeColor="text1"/>
        </w:rPr>
      </w:pPr>
      <w:bookmarkStart w:id="10" w:name="Xc28834b6ce4066e280aa110dcd5d5fe36acafe5"/>
      <w:bookmarkEnd w:id="9"/>
      <w:r w:rsidRPr="00FB31D9">
        <w:rPr>
          <w:color w:val="000000" w:themeColor="text1"/>
        </w:rPr>
        <w:t>2.6 Critical Appraisal and Evidence Synthesis</w:t>
      </w:r>
    </w:p>
    <w:p w14:paraId="72089E0B"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Methodological quality was appraised according to criteria appropriate to each source type. Theoretical syntactic and semantic contributions were appraised for the breadth of empirical coverage of their proposed generalisations, for whether counterexamples raised in subsequent literature were acknowledged and addressed, and for the extent to which judgements were drawn from a single researcher’s intuitions as opposed to being corroborated by independent speaker consultation or corpus data. Corpus-based studies were appraised for corpus size, register coverage, and the transparency of the annotation scheme used to code definiteness. Experimental and acquisition studies were appraised for sample size, the use of native-speaker or age-matched control groups, the reliability of coding for open-ended production data, and the extent to which statistical analyses were reported with adequate detail to support the stated conclusions. Thematic organisation proceeded by identifying the recurring points of disagreement across studies, namely the syntactic-versus-semantic-versus-pragmatic locus of the definiteness effect, the categorical-versus-gradient status of the bare-noun-versus-demonstrative distinction, and the extent to which acquisition data corroborate or complicate the theoretical proposals, and by organising the synthesis around these disagreements rather than around a chronological or source-by-source catalogue.</w:t>
      </w:r>
    </w:p>
    <w:p w14:paraId="4FA408D3" w14:textId="77777777" w:rsidR="00281C2C" w:rsidRPr="00FB31D9" w:rsidRDefault="00000000" w:rsidP="00DB2291">
      <w:pPr>
        <w:pStyle w:val="Heading2"/>
        <w:spacing w:before="100" w:beforeAutospacing="1" w:after="100" w:afterAutospacing="1"/>
        <w:jc w:val="both"/>
        <w:rPr>
          <w:color w:val="000000" w:themeColor="text1"/>
        </w:rPr>
      </w:pPr>
      <w:bookmarkStart w:id="11" w:name="Xdd86fcbca1e9f0e9e4fcc5e689fca7ac8059e6b"/>
      <w:bookmarkEnd w:id="4"/>
      <w:bookmarkEnd w:id="10"/>
      <w:r w:rsidRPr="00FB31D9">
        <w:rPr>
          <w:color w:val="000000" w:themeColor="text1"/>
        </w:rPr>
        <w:t>3. Theoretical Foundations: Definiteness, the Definiteness Effect, and Article-less Languages</w:t>
      </w:r>
    </w:p>
    <w:p w14:paraId="62F3782B"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The semantic literature distinguishes several notions that are frequently conflated under the single label of definiteness. Uniqueness theories treat a definite description as asserting </w:t>
      </w:r>
      <w:r w:rsidRPr="00FB31D9">
        <w:rPr>
          <w:color w:val="000000" w:themeColor="text1"/>
        </w:rPr>
        <w:lastRenderedPageBreak/>
        <w:t>or presupposing that its descriptive content is satisfied by exactly one individual in the relevant domain of evaluation, following the Russellian and neo-Russellian tradition. Familiarity theories instead treat definiteness as signalling that the referent is already established in the discourse context, whether through explicit prior mention, situational salience, or inferable association with an already-established entity. A separate but related distinction concerns specificity, which tracks whether a speaker has a particular individual in mind independently of whether that individual is presupposed to be identifiable to the hearer, so that an indefinite expression can be specific or non-specific while remaining formally indefinite. Chen (2004) provides an influential synthesis of this territory for Chinese specifically, arguing that identifiability, rather than either uniqueness or familiarity taken in isolation, offers the most empirically adequate characterisation of the referential distinctions that Mandarin nominal expressions encode, since Mandarin bare nouns pattern with definites in some diagnostic contexts and with indefinites in others depending on the discourse-cognitive status of the referent rather than on a single unified semantic feature.</w:t>
      </w:r>
    </w:p>
    <w:p w14:paraId="3155EA94"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The definiteness effect proper originates in the observation that certain existential and presentational constructions across languages disallow, or strongly disprefer, definite and other strong noun phrases in the position asserting existence. Abbott (1993) offers an influential pragmatic account of this restriction for English, arguing that the effect follows from the discourse function of existential sentences as devices for introducing new information rather than from a syntactic or semantic ban on definite postverbal noun phrases as such; definite noun phrases become acceptable in the construction precisely when they can be construed as conveying genuinely new information relative to the existing discourse context. This pragmatic reframing is important for the Mandarin literature because it predicts, correctly according to several subsequent studies, that the restriction should be sensitive to information structure and discourse context rather than holding as an exceptionless syntactic filter, a prediction that has shaped much of the subsequent empirical work on the Mandarin </w:t>
      </w:r>
      <w:r w:rsidRPr="00FB31D9">
        <w:rPr>
          <w:i/>
          <w:iCs/>
          <w:color w:val="000000" w:themeColor="text1"/>
        </w:rPr>
        <w:t>you</w:t>
      </w:r>
      <w:r w:rsidRPr="00FB31D9">
        <w:rPr>
          <w:color w:val="000000" w:themeColor="text1"/>
        </w:rPr>
        <w:t>-construction reviewed in Section 6.</w:t>
      </w:r>
    </w:p>
    <w:p w14:paraId="48150B41"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Theoretical accounts of why article-less languages such as Mandarin nonetheless exhibit systematic definiteness contrasts fall into three broad families. Syntactic accounts posit a covert or reduced functional structure above the noun, whether a null Determiner head or a designated Specificity Phrase, whose presence or feature specification determines the referential interpretation of the nominal (Jiang, 2020). Semantic accounts, associated most closely with Chierchia’s (1998) theory of the Nominal Mapping Parameter, treat Chinese-type languages as generating bare nouns directly as predicates of type &lt;</w:t>
      </w:r>
      <w:proofErr w:type="gramStart"/>
      <w:r w:rsidRPr="00FB31D9">
        <w:rPr>
          <w:color w:val="000000" w:themeColor="text1"/>
        </w:rPr>
        <w:t>e,t</w:t>
      </w:r>
      <w:proofErr w:type="gramEnd"/>
      <w:r w:rsidRPr="00FB31D9">
        <w:rPr>
          <w:color w:val="000000" w:themeColor="text1"/>
        </w:rPr>
        <w:t xml:space="preserve">&gt; that denote kinds, with definite, indefinite, and generic readings arising through independently motivated type-shifting operators, including an iota operator that selects the unique maximal individual satisfying the nominal predicate in a given situation. Chierchia’s framework predicts that languages permitting bare arguments across the board, as Chinese does, should also lack a plural morphology contrast and should employ classifiers obligatorily for counting, a cluster of properties that broadly holds for Mandarin and that has made the framework a persistent reference point for subsequent Mandarin-specific proposals, including Cheng and Sybesma (1999) and Jenks (2018), discussed in Section 4. Discourse-pragmatic accounts, exemplified by Abbott’s (1993) treatment of the existential </w:t>
      </w:r>
      <w:r w:rsidRPr="00FB31D9">
        <w:rPr>
          <w:color w:val="000000" w:themeColor="text1"/>
        </w:rPr>
        <w:lastRenderedPageBreak/>
        <w:t>definiteness effect and extended to Mandarin word order phenomena in the classic functionalist description of Li and Thompson (1981), instead treat definiteness contrasts as epiphenomena of more general principles governing the introduction and tracking of discourse referents, with syntactic position operating as a correlate rather than a cause of referential interpretation.</w:t>
      </w:r>
    </w:p>
    <w:p w14:paraId="6A5D8E22"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These three families of explanation are not mutually exclusive in practice, and much of the contemporary literature reviewed in the sections that follow combines elements of more than one, for instance by adopting a semantic type-shifting mechanism to derive bare-noun definiteness while invoking discourse-pragmatic principles to explain when a demonstrative is required in preference to a bare noun. The persistence of this hybridity across four decades of research is itself a notable feature of the field and is revisited critically in Section 7. Table 1 summarises the principal conceptual distinctions drawn upon throughout the remainder of this review.</w:t>
      </w:r>
    </w:p>
    <w:p w14:paraId="2222A02B" w14:textId="77777777" w:rsidR="00281C2C" w:rsidRPr="00FB31D9" w:rsidRDefault="00000000" w:rsidP="00DB2291">
      <w:pPr>
        <w:pStyle w:val="BodyText"/>
        <w:spacing w:before="100" w:beforeAutospacing="1" w:after="100" w:afterAutospacing="1"/>
        <w:jc w:val="both"/>
        <w:rPr>
          <w:color w:val="000000" w:themeColor="text1"/>
        </w:rPr>
      </w:pPr>
      <w:r w:rsidRPr="00FB31D9">
        <w:rPr>
          <w:b/>
          <w:bCs/>
          <w:color w:val="000000" w:themeColor="text1"/>
        </w:rPr>
        <w:t>Table 1</w:t>
      </w:r>
      <w:r w:rsidR="00194EBE" w:rsidRPr="00FB31D9">
        <w:rPr>
          <w:b/>
          <w:bCs/>
          <w:color w:val="000000" w:themeColor="text1"/>
        </w:rPr>
        <w:t xml:space="preserve">: </w:t>
      </w:r>
      <w:r w:rsidRPr="00FB31D9">
        <w:rPr>
          <w:i/>
          <w:iCs/>
          <w:color w:val="000000" w:themeColor="text1"/>
        </w:rPr>
        <w:t>Key conceptual distinctions in the semantic literature on definiteness relevant to Mandarin Chinese</w:t>
      </w:r>
    </w:p>
    <w:tbl>
      <w:tblPr>
        <w:tblStyle w:val="TableGrid"/>
        <w:tblW w:w="5000" w:type="pct"/>
        <w:tblLook w:val="0020" w:firstRow="1" w:lastRow="0" w:firstColumn="0" w:lastColumn="0" w:noHBand="0" w:noVBand="0"/>
      </w:tblPr>
      <w:tblGrid>
        <w:gridCol w:w="1944"/>
        <w:gridCol w:w="3087"/>
        <w:gridCol w:w="2808"/>
        <w:gridCol w:w="1737"/>
      </w:tblGrid>
      <w:tr w:rsidR="00281C2C" w:rsidRPr="00FB31D9" w14:paraId="5579A86E" w14:textId="77777777" w:rsidTr="00194EBE">
        <w:tc>
          <w:tcPr>
            <w:tcW w:w="1015" w:type="pct"/>
          </w:tcPr>
          <w:p w14:paraId="25676817"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Concept</w:t>
            </w:r>
          </w:p>
        </w:tc>
        <w:tc>
          <w:tcPr>
            <w:tcW w:w="1612" w:type="pct"/>
          </w:tcPr>
          <w:p w14:paraId="0B11055D"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Definition</w:t>
            </w:r>
          </w:p>
        </w:tc>
        <w:tc>
          <w:tcPr>
            <w:tcW w:w="1466" w:type="pct"/>
          </w:tcPr>
          <w:p w14:paraId="27076D7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Diagnostic property</w:t>
            </w:r>
          </w:p>
        </w:tc>
        <w:tc>
          <w:tcPr>
            <w:tcW w:w="907" w:type="pct"/>
          </w:tcPr>
          <w:p w14:paraId="62FE6BC7"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Supporting references</w:t>
            </w:r>
          </w:p>
        </w:tc>
      </w:tr>
      <w:tr w:rsidR="00281C2C" w:rsidRPr="00FB31D9" w14:paraId="085AEBE7" w14:textId="77777777" w:rsidTr="00194EBE">
        <w:tc>
          <w:tcPr>
            <w:tcW w:w="1015" w:type="pct"/>
          </w:tcPr>
          <w:p w14:paraId="373F5675"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Uniqueness</w:t>
            </w:r>
          </w:p>
        </w:tc>
        <w:tc>
          <w:tcPr>
            <w:tcW w:w="1612" w:type="pct"/>
          </w:tcPr>
          <w:p w14:paraId="13E49FD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The descriptive content of the expression is satisfied by exactly one individual in the relevant domain</w:t>
            </w:r>
          </w:p>
        </w:tc>
        <w:tc>
          <w:tcPr>
            <w:tcW w:w="1466" w:type="pct"/>
          </w:tcPr>
          <w:p w14:paraId="44D4028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Presupposition of a single referent satisfying the description</w:t>
            </w:r>
          </w:p>
        </w:tc>
        <w:tc>
          <w:tcPr>
            <w:tcW w:w="907" w:type="pct"/>
          </w:tcPr>
          <w:p w14:paraId="147284B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Chen (2004); Schwarz (2013)</w:t>
            </w:r>
          </w:p>
        </w:tc>
      </w:tr>
      <w:tr w:rsidR="00281C2C" w:rsidRPr="00FB31D9" w14:paraId="142B9343" w14:textId="77777777" w:rsidTr="00194EBE">
        <w:tc>
          <w:tcPr>
            <w:tcW w:w="1015" w:type="pct"/>
          </w:tcPr>
          <w:p w14:paraId="2318BAF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Familiarity</w:t>
            </w:r>
          </w:p>
        </w:tc>
        <w:tc>
          <w:tcPr>
            <w:tcW w:w="1612" w:type="pct"/>
          </w:tcPr>
          <w:p w14:paraId="06C9322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The referent is already established in the discourse or situational context</w:t>
            </w:r>
          </w:p>
        </w:tc>
        <w:tc>
          <w:tcPr>
            <w:tcW w:w="1466" w:type="pct"/>
          </w:tcPr>
          <w:p w14:paraId="6F94EFC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Presupposition of prior mention or situational salience</w:t>
            </w:r>
          </w:p>
        </w:tc>
        <w:tc>
          <w:tcPr>
            <w:tcW w:w="907" w:type="pct"/>
          </w:tcPr>
          <w:p w14:paraId="3FBEC22A"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Chen (2004); Schwarz (2013)</w:t>
            </w:r>
          </w:p>
        </w:tc>
      </w:tr>
      <w:tr w:rsidR="00281C2C" w:rsidRPr="00FB31D9" w14:paraId="5F7566EF" w14:textId="77777777" w:rsidTr="00194EBE">
        <w:tc>
          <w:tcPr>
            <w:tcW w:w="1015" w:type="pct"/>
          </w:tcPr>
          <w:p w14:paraId="66BD282F"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Specificity</w:t>
            </w:r>
          </w:p>
        </w:tc>
        <w:tc>
          <w:tcPr>
            <w:tcW w:w="1612" w:type="pct"/>
          </w:tcPr>
          <w:p w14:paraId="01BB91C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The speaker has a particular individual in mind, independent of hearer identifiability</w:t>
            </w:r>
          </w:p>
        </w:tc>
        <w:tc>
          <w:tcPr>
            <w:tcW w:w="1466" w:type="pct"/>
          </w:tcPr>
          <w:p w14:paraId="13D45F0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Wide-scope or referential construal that can co-occur with formal indefiniteness</w:t>
            </w:r>
          </w:p>
        </w:tc>
        <w:tc>
          <w:tcPr>
            <w:tcW w:w="907" w:type="pct"/>
          </w:tcPr>
          <w:p w14:paraId="554F54CF"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Tsai (2001); Chen (2004)</w:t>
            </w:r>
          </w:p>
        </w:tc>
      </w:tr>
      <w:tr w:rsidR="00281C2C" w:rsidRPr="00FB31D9" w14:paraId="01559467" w14:textId="77777777" w:rsidTr="00194EBE">
        <w:tc>
          <w:tcPr>
            <w:tcW w:w="1015" w:type="pct"/>
          </w:tcPr>
          <w:p w14:paraId="35FAC195"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Identifiability</w:t>
            </w:r>
          </w:p>
        </w:tc>
        <w:tc>
          <w:tcPr>
            <w:tcW w:w="1612" w:type="pct"/>
          </w:tcPr>
          <w:p w14:paraId="6FE1340A"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The referent can be identified by the hearer on some basis, whether unique, familiar, or inferable</w:t>
            </w:r>
          </w:p>
        </w:tc>
        <w:tc>
          <w:tcPr>
            <w:tcW w:w="1466" w:type="pct"/>
          </w:tcPr>
          <w:p w14:paraId="2D964557"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Proposed as the operative category unifying Chinese referential contrasts</w:t>
            </w:r>
          </w:p>
        </w:tc>
        <w:tc>
          <w:tcPr>
            <w:tcW w:w="907" w:type="pct"/>
          </w:tcPr>
          <w:p w14:paraId="78EEEF0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Chen (2004)</w:t>
            </w:r>
          </w:p>
        </w:tc>
      </w:tr>
      <w:tr w:rsidR="00281C2C" w:rsidRPr="00FB31D9" w14:paraId="50807457" w14:textId="77777777" w:rsidTr="00194EBE">
        <w:tc>
          <w:tcPr>
            <w:tcW w:w="1015" w:type="pct"/>
          </w:tcPr>
          <w:p w14:paraId="4B2ADC67"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Weak-article (unique) definite</w:t>
            </w:r>
          </w:p>
        </w:tc>
        <w:tc>
          <w:tcPr>
            <w:tcW w:w="1612" w:type="pct"/>
          </w:tcPr>
          <w:p w14:paraId="465642F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Definite reference achieved via situational or world-knowledge uniqueness without a linguistic antecedent</w:t>
            </w:r>
          </w:p>
        </w:tc>
        <w:tc>
          <w:tcPr>
            <w:tcW w:w="1466" w:type="pct"/>
          </w:tcPr>
          <w:p w14:paraId="76540A7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Realised as a bare noun in Mandarin</w:t>
            </w:r>
          </w:p>
        </w:tc>
        <w:tc>
          <w:tcPr>
            <w:tcW w:w="907" w:type="pct"/>
          </w:tcPr>
          <w:p w14:paraId="112195E7"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Jenks (2018); Schwarz (2013)</w:t>
            </w:r>
          </w:p>
        </w:tc>
      </w:tr>
      <w:tr w:rsidR="00281C2C" w:rsidRPr="00FB31D9" w14:paraId="66973DF7" w14:textId="77777777" w:rsidTr="00194EBE">
        <w:tc>
          <w:tcPr>
            <w:tcW w:w="1015" w:type="pct"/>
          </w:tcPr>
          <w:p w14:paraId="6AFC1B00"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Strong-article (anaphoric) definite</w:t>
            </w:r>
          </w:p>
        </w:tc>
        <w:tc>
          <w:tcPr>
            <w:tcW w:w="1612" w:type="pct"/>
          </w:tcPr>
          <w:p w14:paraId="64A4B054"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Definite reference achieved via an explicit prior linguistic antecedent</w:t>
            </w:r>
          </w:p>
        </w:tc>
        <w:tc>
          <w:tcPr>
            <w:tcW w:w="1466" w:type="pct"/>
          </w:tcPr>
          <w:p w14:paraId="1D0D84E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Realised as a demonstrative phrase in Mandarin</w:t>
            </w:r>
          </w:p>
        </w:tc>
        <w:tc>
          <w:tcPr>
            <w:tcW w:w="907" w:type="pct"/>
          </w:tcPr>
          <w:p w14:paraId="2AB1159F"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Jenks (2018); Dayal &amp; Jiang (2023)</w:t>
            </w:r>
          </w:p>
        </w:tc>
      </w:tr>
      <w:tr w:rsidR="00281C2C" w:rsidRPr="00FB31D9" w14:paraId="3326CC59" w14:textId="77777777" w:rsidTr="00194EBE">
        <w:tc>
          <w:tcPr>
            <w:tcW w:w="1015" w:type="pct"/>
          </w:tcPr>
          <w:p w14:paraId="53311854"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 xml:space="preserve">Definiteness </w:t>
            </w:r>
            <w:r w:rsidRPr="00FB31D9">
              <w:rPr>
                <w:color w:val="000000" w:themeColor="text1"/>
              </w:rPr>
              <w:lastRenderedPageBreak/>
              <w:t>effect</w:t>
            </w:r>
          </w:p>
        </w:tc>
        <w:tc>
          <w:tcPr>
            <w:tcW w:w="1612" w:type="pct"/>
          </w:tcPr>
          <w:p w14:paraId="1D7F2210"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lastRenderedPageBreak/>
              <w:t xml:space="preserve">Restriction against strong </w:t>
            </w:r>
            <w:r w:rsidRPr="00FB31D9">
              <w:rPr>
                <w:color w:val="000000" w:themeColor="text1"/>
              </w:rPr>
              <w:lastRenderedPageBreak/>
              <w:t>or definite noun phrases in the postverbal position of existential constructions</w:t>
            </w:r>
          </w:p>
        </w:tc>
        <w:tc>
          <w:tcPr>
            <w:tcW w:w="1466" w:type="pct"/>
          </w:tcPr>
          <w:p w14:paraId="314A879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lastRenderedPageBreak/>
              <w:t xml:space="preserve">Marked degradation of a </w:t>
            </w:r>
            <w:r w:rsidRPr="00FB31D9">
              <w:rPr>
                <w:color w:val="000000" w:themeColor="text1"/>
              </w:rPr>
              <w:lastRenderedPageBreak/>
              <w:t>definite postverbal NP in out-of-the-blue contexts</w:t>
            </w:r>
          </w:p>
        </w:tc>
        <w:tc>
          <w:tcPr>
            <w:tcW w:w="907" w:type="pct"/>
          </w:tcPr>
          <w:p w14:paraId="1340AC83"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lastRenderedPageBreak/>
              <w:t xml:space="preserve">Abbott </w:t>
            </w:r>
            <w:r w:rsidRPr="00FB31D9">
              <w:rPr>
                <w:color w:val="000000" w:themeColor="text1"/>
              </w:rPr>
              <w:lastRenderedPageBreak/>
              <w:t>(1993); Huang (1987)</w:t>
            </w:r>
          </w:p>
        </w:tc>
      </w:tr>
    </w:tbl>
    <w:p w14:paraId="727A32FE" w14:textId="77777777" w:rsidR="00281C2C" w:rsidRPr="00FB31D9" w:rsidRDefault="00000000" w:rsidP="00DB2291">
      <w:pPr>
        <w:pStyle w:val="BodyText"/>
        <w:spacing w:before="100" w:beforeAutospacing="1" w:after="100" w:afterAutospacing="1"/>
        <w:jc w:val="both"/>
        <w:rPr>
          <w:color w:val="000000" w:themeColor="text1"/>
        </w:rPr>
      </w:pPr>
      <w:r w:rsidRPr="00FB31D9">
        <w:rPr>
          <w:i/>
          <w:iCs/>
          <w:color w:val="000000" w:themeColor="text1"/>
        </w:rPr>
        <w:lastRenderedPageBreak/>
        <w:t>Note.</w:t>
      </w:r>
      <w:r w:rsidRPr="00FB31D9">
        <w:rPr>
          <w:color w:val="000000" w:themeColor="text1"/>
        </w:rPr>
        <w:t xml:space="preserve"> NP = noun phrase.</w:t>
      </w:r>
    </w:p>
    <w:p w14:paraId="5503311C" w14:textId="77777777" w:rsidR="00281C2C" w:rsidRPr="00FB31D9" w:rsidRDefault="00000000" w:rsidP="00DB2291">
      <w:pPr>
        <w:pStyle w:val="Heading2"/>
        <w:spacing w:before="100" w:beforeAutospacing="1" w:after="100" w:afterAutospacing="1"/>
        <w:jc w:val="both"/>
        <w:rPr>
          <w:color w:val="000000" w:themeColor="text1"/>
        </w:rPr>
      </w:pPr>
      <w:bookmarkStart w:id="12" w:name="X28f2c6eb728ae5512d6db03ff66dcfcf1d65a1c"/>
      <w:bookmarkEnd w:id="11"/>
      <w:r w:rsidRPr="00FB31D9">
        <w:rPr>
          <w:color w:val="000000" w:themeColor="text1"/>
        </w:rPr>
        <w:t>4. Devices of Definiteness Marking in Mandarin: Bare Nouns, Demonstratives, and Classifier Phrases</w:t>
      </w:r>
    </w:p>
    <w:p w14:paraId="767FDC4E"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Mandarin nominal expressions occur in at least four surface forms relevant to definiteness: the bare noun, the demonstrative-plus-noun phrase (zhe/na plus noun, glossed roughly as this/that plus noun), the bare classifier-plus-noun phrase without an overt numeral, and the full numeral-classifier-noun phrase. The foundational syntactic treatment of this system is Cheng and Sybesma (1999), who argue against treating bare nouns as structurally bare, proposing instead that Mandarin bare nouns involve a covert classifier head into which the noun raises, with the resulting structure interpreted definitely through what is effectively an iota-type operation associated with the classifier position. On this account, the availability of definite bare nouns in Mandarin, in contrast with Cantonese, where bare nouns cannot be definite and a bare classifier-plus-noun sequence is instead required for definite reference, follows from a parametric difference in whether the noun or the classifier head hosts the relevant definiteness-inducing operator. Cheng and Sybesma’s proposal was extended cross-dialectally by Cheng and Sybesma’s own subsequent comparative work and has been tested against further Sinitic varieties, including Wu Chinese, where Simpson (2017) shows that the Jinyun variety exploits both the bare classifier and the bare noun strategy but assigns them different discourse functions, with bare classifiers favoured for anaphoric and situationally salient definite reference and bare nouns favoured for other definite uses; this finding already complicates any simple binary parameter of the kind proposed by Cheng and Sybesma (1999), since a single variety can deploy both strategies non-redundantly.</w:t>
      </w:r>
    </w:p>
    <w:p w14:paraId="22339413"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The claim that Mandarin restricts bare classifier phrases, in contrast with bare nouns, to indefinite interpretation was investigated cross-linguistically by Simpson, Soh, and Nomoto (2011), who conducted parallel elicitation across Cantonese, Vietnamese, Hmong, and Bangla to test the generalisation that classifier languages exhibit either the bare-classifier or the bare-noun strategy for definite reference but not both within a single language. Their results show more cross-linguistic variation than the original binary hypothesis predicted, with some varieties permitting a degree of competition between the two strategies rather than a categorical division of labour. This finding is significant for the Mandarin-specific literature because it indicates that the clean typological split between Mandarin, which permits bare-noun definites, and Cantonese, which instead permits bare-classifier definites, may reflect a preference rather than an absolute grammatical constraint, a possibility that subsequent Mandarin-internal work on demonstratives, discussed below, echoes in a different empirical domain.</w:t>
      </w:r>
    </w:p>
    <w:p w14:paraId="2FC45A92"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lastRenderedPageBreak/>
        <w:t>A separate line of theoretical work addresses the licensing of bare nominal arguments more generally within a comparative typology of classifier languages. Li (1998) proposes that Mandarin argument positions require either a Determiner Phrase or a Number Phrase projection to be licensed as arguments, accounting for restrictions on bare numeral phrases in subject position, while Chierchia (1998) situates the same facts within the broader Nominal Mapping Parameter, under which languages with generalised classifier systems, such as Mandarin, are predicted to allow bare nominal arguments precisely because their nouns denote kinds rather than predicates of individuals, with the classifier supplying the individuating function that number morphology performs in languages like English. Jiang (2020) develops this line of enquiry further, proposing a parametric account of nominal argument licensing across classifier languages that treats the syntactic distribution of Mandarin bare nouns, bare classifier phrases, and full numeral phrases as following from independently motivated differences in how each language’s grammar restricts the syntactic argument positions.</w:t>
      </w:r>
    </w:p>
    <w:p w14:paraId="1AD35953"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Two positions with respect to the classical syntax-semantics interface question deserve particular note because they anticipate the debate addressed in Section 7. Tsai (2001) argues that specificity in Mandarin subject position is regulated by an interface condition requiring that certain subject positions be filled by expressions whose reference is fixed independently of the assertion, connecting the well-known preference for definite or specific subjects, discussed in Section 5, to a general condition on the syntax-semantics mapping rather than treating it as a construction-specific stipulation. Huang, Li, and Li’s (2009) comprehensive syntactic reference grammar of Chinese situates the bare-noun and demonstrative facts within the broader architecture of Chinese clause structure, providing the descriptive baseline against which subsequent narrower theoretical proposals, including those reviewed in Section 7, have been evaluated.</w:t>
      </w:r>
    </w:p>
    <w:p w14:paraId="3916872A"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Corpus and diachronic evidence on definiteness marking beyond the classifier system itself is comparatively sparse but not absent. Huang (1999) traces the emergence in spoken Mandarin discourse of a grammaticalised use of the numeral yi (‘one’) plus classifier as an incipient indefinite article, arguing on the basis of naturally occurring conversational data that this pattern shows signs of morphosyntactic bleaching characteristic of article grammaticalisation cross-linguistically, even though Mandarin has not developed a fully obligatory article system of the kind found in English. This finding bears on the theoretical debate in an important way, since it suggests that the boundary between article and article-less languages may itself be gradient rather than categorical, with Mandarin occupying an intermediate position on a grammaticalisation cline rather than representing a wholly distinct typological category from article languages. Table 2 summarises the principal Mandarin nominal forms and their characteristic definiteness readings discussed above.</w:t>
      </w:r>
    </w:p>
    <w:p w14:paraId="304C3112" w14:textId="77777777" w:rsidR="00281C2C" w:rsidRPr="00FB31D9" w:rsidRDefault="00000000" w:rsidP="00DB2291">
      <w:pPr>
        <w:pStyle w:val="BodyText"/>
        <w:spacing w:before="100" w:beforeAutospacing="1" w:after="100" w:afterAutospacing="1"/>
        <w:jc w:val="both"/>
        <w:rPr>
          <w:color w:val="000000" w:themeColor="text1"/>
        </w:rPr>
      </w:pPr>
      <w:r w:rsidRPr="00FB31D9">
        <w:rPr>
          <w:b/>
          <w:bCs/>
          <w:color w:val="000000" w:themeColor="text1"/>
        </w:rPr>
        <w:t>Table 2</w:t>
      </w:r>
      <w:r w:rsidR="00194EBE" w:rsidRPr="00FB31D9">
        <w:rPr>
          <w:b/>
          <w:bCs/>
          <w:color w:val="000000" w:themeColor="text1"/>
        </w:rPr>
        <w:t xml:space="preserve">: </w:t>
      </w:r>
      <w:r w:rsidRPr="00FB31D9">
        <w:rPr>
          <w:i/>
          <w:iCs/>
          <w:color w:val="000000" w:themeColor="text1"/>
        </w:rPr>
        <w:t>Forms of Mandarin nominal expressions and their characteristic definiteness readings by structural position</w:t>
      </w:r>
    </w:p>
    <w:tbl>
      <w:tblPr>
        <w:tblStyle w:val="TableGrid"/>
        <w:tblW w:w="5000" w:type="pct"/>
        <w:tblLook w:val="0020" w:firstRow="1" w:lastRow="0" w:firstColumn="0" w:lastColumn="0" w:noHBand="0" w:noVBand="0"/>
      </w:tblPr>
      <w:tblGrid>
        <w:gridCol w:w="1840"/>
        <w:gridCol w:w="1892"/>
        <w:gridCol w:w="1684"/>
        <w:gridCol w:w="2583"/>
        <w:gridCol w:w="1577"/>
      </w:tblGrid>
      <w:tr w:rsidR="00281C2C" w:rsidRPr="00FB31D9" w14:paraId="6841D724" w14:textId="77777777" w:rsidTr="00194EBE">
        <w:tc>
          <w:tcPr>
            <w:tcW w:w="0" w:type="auto"/>
          </w:tcPr>
          <w:p w14:paraId="76035F1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Nominal form</w:t>
            </w:r>
          </w:p>
        </w:tc>
        <w:tc>
          <w:tcPr>
            <w:tcW w:w="0" w:type="auto"/>
          </w:tcPr>
          <w:p w14:paraId="7A632614"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Preverbal (subject/topic) reading</w:t>
            </w:r>
          </w:p>
        </w:tc>
        <w:tc>
          <w:tcPr>
            <w:tcW w:w="0" w:type="auto"/>
          </w:tcPr>
          <w:p w14:paraId="48B8C6E0"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Postverbal reading</w:t>
            </w:r>
          </w:p>
        </w:tc>
        <w:tc>
          <w:tcPr>
            <w:tcW w:w="0" w:type="auto"/>
          </w:tcPr>
          <w:p w14:paraId="73B251B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Key theoretical claim</w:t>
            </w:r>
          </w:p>
        </w:tc>
        <w:tc>
          <w:tcPr>
            <w:tcW w:w="0" w:type="auto"/>
          </w:tcPr>
          <w:p w14:paraId="1AF5F19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Supporting references</w:t>
            </w:r>
          </w:p>
        </w:tc>
      </w:tr>
      <w:tr w:rsidR="00281C2C" w:rsidRPr="00FB31D9" w14:paraId="4B7A048A" w14:textId="77777777" w:rsidTr="00194EBE">
        <w:tc>
          <w:tcPr>
            <w:tcW w:w="0" w:type="auto"/>
          </w:tcPr>
          <w:p w14:paraId="40E75D24"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lastRenderedPageBreak/>
              <w:t>Bare noun (N)</w:t>
            </w:r>
          </w:p>
        </w:tc>
        <w:tc>
          <w:tcPr>
            <w:tcW w:w="0" w:type="auto"/>
          </w:tcPr>
          <w:p w14:paraId="06ECF87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Definite (unique or kind)</w:t>
            </w:r>
          </w:p>
        </w:tc>
        <w:tc>
          <w:tcPr>
            <w:tcW w:w="0" w:type="auto"/>
          </w:tcPr>
          <w:p w14:paraId="4C056EAF"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Indefinite, definite if discourse-old, or generic</w:t>
            </w:r>
          </w:p>
        </w:tc>
        <w:tc>
          <w:tcPr>
            <w:tcW w:w="0" w:type="auto"/>
          </w:tcPr>
          <w:p w14:paraId="07740DEA"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N raises to a covert Cl head hosting an iota-type operator</w:t>
            </w:r>
          </w:p>
        </w:tc>
        <w:tc>
          <w:tcPr>
            <w:tcW w:w="0" w:type="auto"/>
          </w:tcPr>
          <w:p w14:paraId="0A46716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Cheng &amp; Sybesma (1999); Chen (2004)</w:t>
            </w:r>
          </w:p>
        </w:tc>
      </w:tr>
      <w:tr w:rsidR="00281C2C" w:rsidRPr="00FB31D9" w14:paraId="5795FBF5" w14:textId="77777777" w:rsidTr="00194EBE">
        <w:tc>
          <w:tcPr>
            <w:tcW w:w="0" w:type="auto"/>
          </w:tcPr>
          <w:p w14:paraId="230D06D7"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Demonstrative + N (</w:t>
            </w:r>
            <w:r w:rsidRPr="00FB31D9">
              <w:rPr>
                <w:i/>
                <w:iCs/>
                <w:color w:val="000000" w:themeColor="text1"/>
              </w:rPr>
              <w:t>zhe</w:t>
            </w:r>
            <w:r w:rsidRPr="00FB31D9">
              <w:rPr>
                <w:color w:val="000000" w:themeColor="text1"/>
              </w:rPr>
              <w:t>/</w:t>
            </w:r>
            <w:r w:rsidRPr="00FB31D9">
              <w:rPr>
                <w:i/>
                <w:iCs/>
                <w:color w:val="000000" w:themeColor="text1"/>
              </w:rPr>
              <w:t>na</w:t>
            </w:r>
            <w:r w:rsidRPr="00FB31D9">
              <w:rPr>
                <w:color w:val="000000" w:themeColor="text1"/>
              </w:rPr>
              <w:t xml:space="preserve"> + N)</w:t>
            </w:r>
          </w:p>
        </w:tc>
        <w:tc>
          <w:tcPr>
            <w:tcW w:w="0" w:type="auto"/>
          </w:tcPr>
          <w:p w14:paraId="45CC1E60"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Anaphoric definite</w:t>
            </w:r>
          </w:p>
        </w:tc>
        <w:tc>
          <w:tcPr>
            <w:tcW w:w="0" w:type="auto"/>
          </w:tcPr>
          <w:p w14:paraId="42B6328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Anaphoric definite (less positionally restricted)</w:t>
            </w:r>
          </w:p>
        </w:tc>
        <w:tc>
          <w:tcPr>
            <w:tcW w:w="0" w:type="auto"/>
          </w:tcPr>
          <w:p w14:paraId="62BD1CDD"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Demonstrative carries an index argument licensing anaphoric reference</w:t>
            </w:r>
          </w:p>
        </w:tc>
        <w:tc>
          <w:tcPr>
            <w:tcW w:w="0" w:type="auto"/>
          </w:tcPr>
          <w:p w14:paraId="0C09307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Jenks (2018); Dayal &amp; Jiang (2023)</w:t>
            </w:r>
          </w:p>
        </w:tc>
      </w:tr>
      <w:tr w:rsidR="00281C2C" w:rsidRPr="00FB31D9" w14:paraId="39F35837" w14:textId="77777777" w:rsidTr="00194EBE">
        <w:tc>
          <w:tcPr>
            <w:tcW w:w="0" w:type="auto"/>
          </w:tcPr>
          <w:p w14:paraId="2FEFC9F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Bare Cl + N</w:t>
            </w:r>
          </w:p>
        </w:tc>
        <w:tc>
          <w:tcPr>
            <w:tcW w:w="0" w:type="auto"/>
          </w:tcPr>
          <w:p w14:paraId="1D23A1AF"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Largely excluded</w:t>
            </w:r>
          </w:p>
        </w:tc>
        <w:tc>
          <w:tcPr>
            <w:tcW w:w="0" w:type="auto"/>
          </w:tcPr>
          <w:p w14:paraId="7AFE7CB4"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Indefinite, non-specific</w:t>
            </w:r>
          </w:p>
        </w:tc>
        <w:tc>
          <w:tcPr>
            <w:tcW w:w="0" w:type="auto"/>
          </w:tcPr>
          <w:p w14:paraId="1003063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Cl alone does not host the Mandarin definiteness operator (contrast with Cantonese)</w:t>
            </w:r>
          </w:p>
        </w:tc>
        <w:tc>
          <w:tcPr>
            <w:tcW w:w="0" w:type="auto"/>
          </w:tcPr>
          <w:p w14:paraId="5F1168E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Cheng &amp; Sybesma (1999); Simpson et al. (2011)</w:t>
            </w:r>
          </w:p>
        </w:tc>
      </w:tr>
      <w:tr w:rsidR="00281C2C" w:rsidRPr="00FB31D9" w14:paraId="74786452" w14:textId="77777777" w:rsidTr="00194EBE">
        <w:tc>
          <w:tcPr>
            <w:tcW w:w="0" w:type="auto"/>
          </w:tcPr>
          <w:p w14:paraId="478C0315"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Num-Cl + N</w:t>
            </w:r>
          </w:p>
        </w:tc>
        <w:tc>
          <w:tcPr>
            <w:tcW w:w="0" w:type="auto"/>
          </w:tcPr>
          <w:p w14:paraId="615F12F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Excluded as a bare indefinite subject</w:t>
            </w:r>
          </w:p>
        </w:tc>
        <w:tc>
          <w:tcPr>
            <w:tcW w:w="0" w:type="auto"/>
          </w:tcPr>
          <w:p w14:paraId="1766B159"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 xml:space="preserve">Indefinite; specific or non-specific with </w:t>
            </w:r>
            <w:r w:rsidRPr="00FB31D9">
              <w:rPr>
                <w:i/>
                <w:iCs/>
                <w:color w:val="000000" w:themeColor="text1"/>
              </w:rPr>
              <w:t>yi</w:t>
            </w:r>
            <w:r w:rsidRPr="00FB31D9">
              <w:rPr>
                <w:color w:val="000000" w:themeColor="text1"/>
              </w:rPr>
              <w:t xml:space="preserve"> (‘one’)</w:t>
            </w:r>
          </w:p>
        </w:tc>
        <w:tc>
          <w:tcPr>
            <w:tcW w:w="0" w:type="auto"/>
          </w:tcPr>
          <w:p w14:paraId="59AE583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Requires D/NumP licensing for argumenthood</w:t>
            </w:r>
          </w:p>
        </w:tc>
        <w:tc>
          <w:tcPr>
            <w:tcW w:w="0" w:type="auto"/>
          </w:tcPr>
          <w:p w14:paraId="107BB26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Li (1998); Tsai (2001)</w:t>
            </w:r>
          </w:p>
        </w:tc>
      </w:tr>
      <w:tr w:rsidR="00281C2C" w:rsidRPr="00FB31D9" w14:paraId="026AEA24" w14:textId="77777777" w:rsidTr="00194EBE">
        <w:tc>
          <w:tcPr>
            <w:tcW w:w="0" w:type="auto"/>
          </w:tcPr>
          <w:p w14:paraId="49AD997F" w14:textId="77777777" w:rsidR="00281C2C" w:rsidRPr="00FB31D9" w:rsidRDefault="00000000" w:rsidP="00DB2291">
            <w:pPr>
              <w:pStyle w:val="Compact"/>
              <w:spacing w:before="100" w:beforeAutospacing="1" w:after="100" w:afterAutospacing="1"/>
              <w:jc w:val="both"/>
              <w:rPr>
                <w:color w:val="000000" w:themeColor="text1"/>
              </w:rPr>
            </w:pPr>
            <w:r w:rsidRPr="00FB31D9">
              <w:rPr>
                <w:i/>
                <w:iCs/>
                <w:color w:val="000000" w:themeColor="text1"/>
              </w:rPr>
              <w:t>Yi</w:t>
            </w:r>
            <w:r w:rsidRPr="00FB31D9">
              <w:rPr>
                <w:color w:val="000000" w:themeColor="text1"/>
              </w:rPr>
              <w:t xml:space="preserve"> (‘one’) + Cl + N</w:t>
            </w:r>
          </w:p>
        </w:tc>
        <w:tc>
          <w:tcPr>
            <w:tcW w:w="0" w:type="auto"/>
          </w:tcPr>
          <w:p w14:paraId="23E672C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Rare; contrastive only</w:t>
            </w:r>
          </w:p>
        </w:tc>
        <w:tc>
          <w:tcPr>
            <w:tcW w:w="0" w:type="auto"/>
          </w:tcPr>
          <w:p w14:paraId="5ACE2DB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Emerging indefinite-article-like use in spoken discourse</w:t>
            </w:r>
          </w:p>
        </w:tc>
        <w:tc>
          <w:tcPr>
            <w:tcW w:w="0" w:type="auto"/>
          </w:tcPr>
          <w:p w14:paraId="32BD5F49"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Incipient grammaticalisation from numeral toward article function</w:t>
            </w:r>
          </w:p>
        </w:tc>
        <w:tc>
          <w:tcPr>
            <w:tcW w:w="0" w:type="auto"/>
          </w:tcPr>
          <w:p w14:paraId="25FD532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Huang, S. (1999)</w:t>
            </w:r>
          </w:p>
        </w:tc>
      </w:tr>
    </w:tbl>
    <w:p w14:paraId="5AA50FB0" w14:textId="77777777" w:rsidR="00281C2C" w:rsidRPr="00FB31D9" w:rsidRDefault="00000000" w:rsidP="00DB2291">
      <w:pPr>
        <w:pStyle w:val="BodyText"/>
        <w:spacing w:before="100" w:beforeAutospacing="1" w:after="100" w:afterAutospacing="1"/>
        <w:jc w:val="both"/>
        <w:rPr>
          <w:color w:val="000000" w:themeColor="text1"/>
        </w:rPr>
      </w:pPr>
      <w:r w:rsidRPr="00FB31D9">
        <w:rPr>
          <w:i/>
          <w:iCs/>
          <w:color w:val="000000" w:themeColor="text1"/>
        </w:rPr>
        <w:t>Note.</w:t>
      </w:r>
      <w:r w:rsidRPr="00FB31D9">
        <w:rPr>
          <w:color w:val="000000" w:themeColor="text1"/>
        </w:rPr>
        <w:t xml:space="preserve"> N = noun; Cl = classifier; Num = numeral; D = determiner; NumP = Number Phrase.</w:t>
      </w:r>
    </w:p>
    <w:p w14:paraId="0957BE04" w14:textId="77777777" w:rsidR="00281C2C" w:rsidRPr="00FB31D9" w:rsidRDefault="00000000" w:rsidP="00DB2291">
      <w:pPr>
        <w:pStyle w:val="Heading2"/>
        <w:spacing w:before="100" w:beforeAutospacing="1" w:after="100" w:afterAutospacing="1"/>
        <w:jc w:val="both"/>
        <w:rPr>
          <w:color w:val="000000" w:themeColor="text1"/>
        </w:rPr>
      </w:pPr>
      <w:bookmarkStart w:id="13" w:name="X1573d223fd0e187476fd700fed6f7edc9dc9849"/>
      <w:bookmarkEnd w:id="12"/>
      <w:r w:rsidRPr="00FB31D9">
        <w:rPr>
          <w:color w:val="000000" w:themeColor="text1"/>
        </w:rPr>
        <w:t>5. Word Order and the Preverbal/Postverbal Asymmetry</w:t>
      </w:r>
    </w:p>
    <w:p w14:paraId="0621593A"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The most robust and longest-established generalisation in the Mandarin definiteness literature concerns the correlation between preverbal position and definite interpretation on the one hand, and postverbal position and indefinite interpretation on the other. Li and Thompson’s (1981) functional reference grammar formulated this generalisation for topics, subjects, and objects alike, observing that a preverbal subject is typically construed as definite while a postverbal subject, for instance in an existential or presentational construction, is typically construed as indefinite, and that unmarked postverbal objects likewise favour an indefinite reading while any of several preverbal object positions favour a definite reading. This description remains widely cited and continues to inform subsequent generative treatments of the same facts.</w:t>
      </w:r>
    </w:p>
    <w:p w14:paraId="4868BB45"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The syntactic and semantic literature has sought to derive this word-order correlation from more general principles rather than treating it as an independent stipulation. Tsai’s (2001) subject-specificity account, discussed in Section 4, derives the preverbal-subject-definiteness correlation from an interface condition requiring the subject position associated with predication to host a referentially fixed expression, predicting the well-known ban on plain indefinite bare numeral phrases in Mandarin subject position, a restriction that instead forces such phrases into postverbal position under the existential </w:t>
      </w:r>
      <w:r w:rsidRPr="00FB31D9">
        <w:rPr>
          <w:color w:val="000000" w:themeColor="text1"/>
        </w:rPr>
        <w:lastRenderedPageBreak/>
        <w:t xml:space="preserve">verb </w:t>
      </w:r>
      <w:r w:rsidRPr="00FB31D9">
        <w:rPr>
          <w:i/>
          <w:iCs/>
          <w:color w:val="000000" w:themeColor="text1"/>
        </w:rPr>
        <w:t>you</w:t>
      </w:r>
      <w:r w:rsidRPr="00FB31D9">
        <w:rPr>
          <w:color w:val="000000" w:themeColor="text1"/>
        </w:rPr>
        <w:t>, a pattern examined further in Section 6. Complementary semantic work situates the correlation within event-structural composition, since accounts building on the iota-type-shifting analysis of Cheng and Sybesma (1999) predict that a bare noun composing in subject position, structurally external to the verb phrase, must undergo type-shifting to a definite individual-denoting expression prior to composition, whereas a bare noun composing internal to the verb phrase can instead remain existentially interpreted through existential closure operating within that domain.</w:t>
      </w:r>
    </w:p>
    <w:p w14:paraId="74E51E8E"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Corpus-based evidence on the preverbal-postverbal asymmetry beyond the existential construction remains comparatively limited relative to the volume of theory-internal argumentation the generalisation has attracted, and this asymmetry between theoretical elaboration and corpus verification is a recurring methodological weakness noted throughout this review. Acquisition research, reviewed in Section 9, provides one of the more direct empirical windows onto the psychological reality of the word-order correlation, since studies of children’s production of referring expressions test whether the preverbal-postverbal generalisation guides spontaneous discourse behaviour rather than merely constrained grammaticality judgements. Chen, Narasimhan, Chan, Yang, and Yang (2020) directly examine this question in a study of information structure and word order preference across Mandarin-speaking children and adults, discussed further in Section 9, finding that the old-before-new ordering preference associated with the definiteness-driven word-order asymmetry is present but not fully adult-like in young children’s spontaneous production, indicating that the preverbal-postverbal pattern, although grammatically available from an early age, requires a protracted developmental period before it is deployed with adult-like consistency in discourse.</w:t>
      </w:r>
    </w:p>
    <w:p w14:paraId="14D21B49" w14:textId="77777777" w:rsidR="00281C2C" w:rsidRPr="00FB31D9" w:rsidRDefault="00000000" w:rsidP="00DB2291">
      <w:pPr>
        <w:pStyle w:val="Heading2"/>
        <w:spacing w:before="100" w:beforeAutospacing="1" w:after="100" w:afterAutospacing="1"/>
        <w:jc w:val="both"/>
        <w:rPr>
          <w:color w:val="000000" w:themeColor="text1"/>
        </w:rPr>
      </w:pPr>
      <w:bookmarkStart w:id="14" w:name="X1e575c851c506b92526256c078d16f735503dca"/>
      <w:bookmarkEnd w:id="13"/>
      <w:r w:rsidRPr="00FB31D9">
        <w:rPr>
          <w:color w:val="000000" w:themeColor="text1"/>
        </w:rPr>
        <w:t>6. The Mandarin Existential You-Construction and the Definiteness Effect</w:t>
      </w:r>
    </w:p>
    <w:p w14:paraId="5B6D6FFF"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The Mandarin existential construction built on </w:t>
      </w:r>
      <w:r w:rsidRPr="00FB31D9">
        <w:rPr>
          <w:i/>
          <w:iCs/>
          <w:color w:val="000000" w:themeColor="text1"/>
        </w:rPr>
        <w:t>you</w:t>
      </w:r>
      <w:r w:rsidRPr="00FB31D9">
        <w:rPr>
          <w:color w:val="000000" w:themeColor="text1"/>
        </w:rPr>
        <w:t xml:space="preserve"> (‘have, exist’) has been analysed as the closest structural counterpart to the English </w:t>
      </w:r>
      <w:r w:rsidRPr="00FB31D9">
        <w:rPr>
          <w:i/>
          <w:iCs/>
          <w:color w:val="000000" w:themeColor="text1"/>
        </w:rPr>
        <w:t>there</w:t>
      </w:r>
      <w:r w:rsidRPr="00FB31D9">
        <w:rPr>
          <w:color w:val="000000" w:themeColor="text1"/>
        </w:rPr>
        <w:t xml:space="preserve">-construction, and a restriction against strong determiners, including the demonstratives </w:t>
      </w:r>
      <w:r w:rsidRPr="00FB31D9">
        <w:rPr>
          <w:i/>
          <w:iCs/>
          <w:color w:val="000000" w:themeColor="text1"/>
        </w:rPr>
        <w:t>zhe</w:t>
      </w:r>
      <w:r w:rsidRPr="00FB31D9">
        <w:rPr>
          <w:color w:val="000000" w:themeColor="text1"/>
        </w:rPr>
        <w:t xml:space="preserve"> (‘this’) and </w:t>
      </w:r>
      <w:r w:rsidRPr="00FB31D9">
        <w:rPr>
          <w:i/>
          <w:iCs/>
          <w:color w:val="000000" w:themeColor="text1"/>
        </w:rPr>
        <w:t>na</w:t>
      </w:r>
      <w:r w:rsidRPr="00FB31D9">
        <w:rPr>
          <w:color w:val="000000" w:themeColor="text1"/>
        </w:rPr>
        <w:t xml:space="preserve"> (‘that’) and the universal quantifier </w:t>
      </w:r>
      <w:r w:rsidRPr="00FB31D9">
        <w:rPr>
          <w:i/>
          <w:iCs/>
          <w:color w:val="000000" w:themeColor="text1"/>
        </w:rPr>
        <w:t>mei</w:t>
      </w:r>
      <w:r w:rsidRPr="00FB31D9">
        <w:rPr>
          <w:color w:val="000000" w:themeColor="text1"/>
        </w:rPr>
        <w:t xml:space="preserve"> (‘every’), in the postverbal noun phrase position has been reported since Huang’s (1987) foundational treatment of existential sentences and indefiniteness in Chinese. Huang’s analysis, along with subsequent syntactic work by Li (1990) and Pan (1996), situates this restriction within a broader account of unaccusativity and unavailability of a genuine external argument position for the postverbal noun phrase in the existential construction, paralleling analyses of the English definiteness effect that treat postverbal existential noun phrases as underlying objects rather than derived subjects.</w:t>
      </w:r>
    </w:p>
    <w:p w14:paraId="106E777C" w14:textId="47276B53"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A substantial body of subsequent research has, however, complicated the picture of the </w:t>
      </w:r>
      <w:r w:rsidRPr="00FB31D9">
        <w:rPr>
          <w:i/>
          <w:iCs/>
          <w:color w:val="000000" w:themeColor="text1"/>
        </w:rPr>
        <w:t>you</w:t>
      </w:r>
      <w:r w:rsidRPr="00FB31D9">
        <w:rPr>
          <w:color w:val="000000" w:themeColor="text1"/>
        </w:rPr>
        <w:t>-construction as subject to a categorical, syntactically determined definiteness effect. Hu and Pan (200</w:t>
      </w:r>
      <w:r w:rsidR="0077305B">
        <w:rPr>
          <w:color w:val="000000" w:themeColor="text1"/>
        </w:rPr>
        <w:t>8</w:t>
      </w:r>
      <w:r w:rsidRPr="00FB31D9">
        <w:rPr>
          <w:color w:val="000000" w:themeColor="text1"/>
        </w:rPr>
        <w:t xml:space="preserve">) argue that the restriction is better understood as a by-product of the discourse function of the existential construction, which they characterise as introducing new information into the discourse, where the new information introduced can be either a new entity or a new relation between an already-familiar entity and a predicate; on this account, definite postverbal noun phrases become acceptable precisely when the sentence </w:t>
      </w:r>
      <w:r w:rsidRPr="00FB31D9">
        <w:rPr>
          <w:color w:val="000000" w:themeColor="text1"/>
        </w:rPr>
        <w:lastRenderedPageBreak/>
        <w:t xml:space="preserve">as a whole introduces a new relation rather than a wholly new entity, extending Abbott’s (1993) pragmatic account of the English definiteness effect to the Mandarin data and thereby reframing the restriction as discourse-pragmatic rather than syntactic in its ultimate source. An earlier conference contribution reached a related conclusion using discourse-status coding of naturally occurring examples, finding that definite postverbal noun phrases in Mandarin </w:t>
      </w:r>
      <w:r w:rsidRPr="00FB31D9">
        <w:rPr>
          <w:i/>
          <w:iCs/>
          <w:color w:val="000000" w:themeColor="text1"/>
        </w:rPr>
        <w:t>you</w:t>
      </w:r>
      <w:r w:rsidRPr="00FB31D9">
        <w:rPr>
          <w:color w:val="000000" w:themeColor="text1"/>
        </w:rPr>
        <w:t>-existentials are licensed by their information-structural status as hearer-new rather than by their formal definiteness as such, and that Mandarin data include cases in which the existential is discourse-initial despite containing a definite postverbal noun phrase, a pattern that a purely syntactic constraint would not straightforwardly predict.</w:t>
      </w:r>
    </w:p>
    <w:p w14:paraId="78EA8E76"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More recent theoretical work has sought to reconcile the apparent counterexamples with a principled syntactic and semantic architecture rather than abandoning a grammatical characterisation of the construction altogether. Paul, Lu, and Lee (2020) argue that much of the controversy in the earlier literature stems from a failure to distinguish two superficially similar but structurally distinct constructions, an existential construction proper, in which a sentence-initial locative phrase is not syntactically required, and a locative construction, in which an obligatory sentence-initial locative phrase occupies the subject position rather than a topic position; only the former, on their analysis, functions as a diagnostic environment for unaccusativity, while the latter tolerates a substantially wider range of predicates. This structural distinction has direct consequences for the definiteness effect literature, since examples that appear to violate the postverbal definiteness restriction may in some cases involve the locative rather than the existential construction, meaning that the apparent counterexamples do not necessarily undermine a genuine syntactic restriction operative within the narrower existential construction proper.</w:t>
      </w:r>
    </w:p>
    <w:p w14:paraId="59682A78"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Kuo (2022) develops a related but distinct refinement, proposing that Mandarin possesses, in addition to the canonical out-of-the-blue existential construction, a contextualised existential construction involving an underlying topic-comment structure that does not exhibit the cross-linguistically typical predicate restriction associated with existential codas and that consequently also does not exhibit the definiteness restriction in the same way, since the postverbal noun phrase in this contextualised variant is analysed as a subtype of an independently motivated existential coda construction rather than as the canonical postverbal existential argument. Chen (2022) approaches the same empirical territory from a corpus-based contrastive perspective, comparing English and Mandarin existential constructions directly and finding that the two languages differ in their patterns of covert versus overt expression of background information, in the semantics of the existential verb and the asserted noun phrase, and in an interaction between the presence of a coda constituent and the definiteness of the noun phrase, with contextual features including the semantics, number, quantification, and modification of the noun phrase, together with the covert or overt expression of background information, found to significantly affect the observed distribution of the definiteness effect in corpus data. This corpus-based confirmation that definiteness-effect strength is gradient and context-sensitive, rather than categorically present or absent, provides an important empirical corrective to theory-internal argumentation based on constructed examples, though the </w:t>
      </w:r>
      <w:r w:rsidRPr="00FB31D9">
        <w:rPr>
          <w:color w:val="000000" w:themeColor="text1"/>
        </w:rPr>
        <w:lastRenderedPageBreak/>
        <w:t>corpus study itself, like most in this literature, is confined to written registers and does not extend to spontaneous spoken discourse.</w:t>
      </w:r>
    </w:p>
    <w:p w14:paraId="0C322320" w14:textId="0138C94E"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Taken together, the existential-construction literature illustrates a recurring pattern in the broader definiteness-effect debate. Syntactic accounts (Huang, 1987; Pan, 1996; Paul et al., 2020) succeed in capturing structural regularities, including the two-construction distinction proposed by Paul et al. (2020), that a purely pragmatic account does not obviously predict, while pragmatic accounts (Abbott, 1993; Hu &amp; Pan, 200</w:t>
      </w:r>
      <w:r w:rsidR="0077305B">
        <w:rPr>
          <w:color w:val="000000" w:themeColor="text1"/>
        </w:rPr>
        <w:t>8</w:t>
      </w:r>
      <w:r w:rsidRPr="00FB31D9">
        <w:rPr>
          <w:color w:val="000000" w:themeColor="text1"/>
        </w:rPr>
        <w:t>) succeed in explaining the well-documented sensitivity of the restriction to discourse context and information status that a purely syntactic filter does not obviously predict. Neither family of account, evaluated in isolation against the full range of reported data, appears fully adequate, and the corpus evidence assembled by Chen (2022) suggests that the empirically accurate generalisation is likely to combine structural licensing conditions with a gradient, discourse-sensitive component, a conclusion consistent with the broader trajectory of the definiteness-effect literature outside Chinese as well. Table 3 summarises the competing accounts reviewed in this section.</w:t>
      </w:r>
    </w:p>
    <w:p w14:paraId="7A7A3AD1" w14:textId="77777777" w:rsidR="00281C2C" w:rsidRPr="00FB31D9" w:rsidRDefault="00000000" w:rsidP="00DB2291">
      <w:pPr>
        <w:pStyle w:val="BodyText"/>
        <w:spacing w:before="100" w:beforeAutospacing="1" w:after="100" w:afterAutospacing="1"/>
        <w:jc w:val="both"/>
        <w:rPr>
          <w:color w:val="000000" w:themeColor="text1"/>
        </w:rPr>
      </w:pPr>
      <w:r w:rsidRPr="00FB31D9">
        <w:rPr>
          <w:b/>
          <w:bCs/>
          <w:color w:val="000000" w:themeColor="text1"/>
        </w:rPr>
        <w:t>Table 3</w:t>
      </w:r>
      <w:r w:rsidR="00194EBE" w:rsidRPr="00FB31D9">
        <w:rPr>
          <w:b/>
          <w:bCs/>
          <w:color w:val="000000" w:themeColor="text1"/>
        </w:rPr>
        <w:t xml:space="preserve">: </w:t>
      </w:r>
      <w:r w:rsidRPr="00FB31D9">
        <w:rPr>
          <w:i/>
          <w:iCs/>
          <w:color w:val="000000" w:themeColor="text1"/>
        </w:rPr>
        <w:t>Competing accounts of the definiteness effect in the Mandarin</w:t>
      </w:r>
      <w:r w:rsidRPr="00FB31D9">
        <w:rPr>
          <w:color w:val="000000" w:themeColor="text1"/>
        </w:rPr>
        <w:t xml:space="preserve"> you</w:t>
      </w:r>
      <w:r w:rsidRPr="00FB31D9">
        <w:rPr>
          <w:i/>
          <w:iCs/>
          <w:color w:val="000000" w:themeColor="text1"/>
        </w:rPr>
        <w:t>-existential construction</w:t>
      </w:r>
    </w:p>
    <w:tbl>
      <w:tblPr>
        <w:tblStyle w:val="TableGrid"/>
        <w:tblW w:w="5000" w:type="pct"/>
        <w:tblLook w:val="0020" w:firstRow="1" w:lastRow="0" w:firstColumn="0" w:lastColumn="0" w:noHBand="0" w:noVBand="0"/>
      </w:tblPr>
      <w:tblGrid>
        <w:gridCol w:w="1778"/>
        <w:gridCol w:w="2103"/>
        <w:gridCol w:w="2170"/>
        <w:gridCol w:w="2135"/>
        <w:gridCol w:w="1390"/>
      </w:tblGrid>
      <w:tr w:rsidR="00281C2C" w:rsidRPr="00FB31D9" w14:paraId="11F591E3" w14:textId="77777777" w:rsidTr="00194EBE">
        <w:tc>
          <w:tcPr>
            <w:tcW w:w="0" w:type="auto"/>
          </w:tcPr>
          <w:p w14:paraId="3E2F6CF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Account</w:t>
            </w:r>
          </w:p>
        </w:tc>
        <w:tc>
          <w:tcPr>
            <w:tcW w:w="0" w:type="auto"/>
          </w:tcPr>
          <w:p w14:paraId="3C74487A"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Core claim</w:t>
            </w:r>
          </w:p>
        </w:tc>
        <w:tc>
          <w:tcPr>
            <w:tcW w:w="0" w:type="auto"/>
          </w:tcPr>
          <w:p w14:paraId="540D36C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Principal evidence</w:t>
            </w:r>
          </w:p>
        </w:tc>
        <w:tc>
          <w:tcPr>
            <w:tcW w:w="0" w:type="auto"/>
          </w:tcPr>
          <w:p w14:paraId="19FA5A10"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Limitation noted in the literature</w:t>
            </w:r>
          </w:p>
        </w:tc>
        <w:tc>
          <w:tcPr>
            <w:tcW w:w="0" w:type="auto"/>
          </w:tcPr>
          <w:p w14:paraId="345DEA6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Supporting references</w:t>
            </w:r>
          </w:p>
        </w:tc>
      </w:tr>
      <w:tr w:rsidR="00281C2C" w:rsidRPr="00FB31D9" w14:paraId="467ECFC7" w14:textId="77777777" w:rsidTr="00194EBE">
        <w:tc>
          <w:tcPr>
            <w:tcW w:w="0" w:type="auto"/>
          </w:tcPr>
          <w:p w14:paraId="14EA749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Syntactic / unaccusative</w:t>
            </w:r>
          </w:p>
        </w:tc>
        <w:tc>
          <w:tcPr>
            <w:tcW w:w="0" w:type="auto"/>
          </w:tcPr>
          <w:p w14:paraId="01880833"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Postverbal NP is a derived object; strong determiners are barred from this position</w:t>
            </w:r>
          </w:p>
        </w:tc>
        <w:tc>
          <w:tcPr>
            <w:tcW w:w="0" w:type="auto"/>
          </w:tcPr>
          <w:p w14:paraId="5AAF2E3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Parallel to the English there-construction; ungrammaticality of definite postverbal NPs out of the blue</w:t>
            </w:r>
          </w:p>
        </w:tc>
        <w:tc>
          <w:tcPr>
            <w:tcW w:w="0" w:type="auto"/>
          </w:tcPr>
          <w:p w14:paraId="0D8DF6B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Does not straightforwardly explain attested definite postverbal NPs in context</w:t>
            </w:r>
          </w:p>
        </w:tc>
        <w:tc>
          <w:tcPr>
            <w:tcW w:w="0" w:type="auto"/>
          </w:tcPr>
          <w:p w14:paraId="1A3D8E0A"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Huang (1987); Pan (1996)</w:t>
            </w:r>
          </w:p>
        </w:tc>
      </w:tr>
      <w:tr w:rsidR="00281C2C" w:rsidRPr="00FB31D9" w14:paraId="275E39BA" w14:textId="77777777" w:rsidTr="00194EBE">
        <w:tc>
          <w:tcPr>
            <w:tcW w:w="0" w:type="auto"/>
          </w:tcPr>
          <w:p w14:paraId="09F5DD5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Pragmatic / information-structural</w:t>
            </w:r>
          </w:p>
        </w:tc>
        <w:tc>
          <w:tcPr>
            <w:tcW w:w="0" w:type="auto"/>
          </w:tcPr>
          <w:p w14:paraId="3838F02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The restriction is a by-product of the construction’s function of introducing new entities or new relations</w:t>
            </w:r>
          </w:p>
        </w:tc>
        <w:tc>
          <w:tcPr>
            <w:tcW w:w="0" w:type="auto"/>
          </w:tcPr>
          <w:p w14:paraId="7B60EB3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Definite postverbal NPs attested when a new relation, rather than a new entity, is asserted</w:t>
            </w:r>
          </w:p>
        </w:tc>
        <w:tc>
          <w:tcPr>
            <w:tcW w:w="0" w:type="auto"/>
          </w:tcPr>
          <w:p w14:paraId="502BA26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Under-specifies which structural contexts license the pragmatic override</w:t>
            </w:r>
          </w:p>
        </w:tc>
        <w:tc>
          <w:tcPr>
            <w:tcW w:w="0" w:type="auto"/>
          </w:tcPr>
          <w:p w14:paraId="3501F69A" w14:textId="678D0993"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Abbott (1993); Hu &amp; Pan (200</w:t>
            </w:r>
            <w:r w:rsidR="0077305B">
              <w:rPr>
                <w:color w:val="000000" w:themeColor="text1"/>
              </w:rPr>
              <w:t>8</w:t>
            </w:r>
            <w:r w:rsidRPr="00FB31D9">
              <w:rPr>
                <w:color w:val="000000" w:themeColor="text1"/>
              </w:rPr>
              <w:t>)</w:t>
            </w:r>
          </w:p>
        </w:tc>
      </w:tr>
      <w:tr w:rsidR="00281C2C" w:rsidRPr="00FB31D9" w14:paraId="4E7FD9A6" w14:textId="77777777" w:rsidTr="00194EBE">
        <w:tc>
          <w:tcPr>
            <w:tcW w:w="0" w:type="auto"/>
          </w:tcPr>
          <w:p w14:paraId="64D96ED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Two-construction (existential vs locative)</w:t>
            </w:r>
          </w:p>
        </w:tc>
        <w:tc>
          <w:tcPr>
            <w:tcW w:w="0" w:type="auto"/>
          </w:tcPr>
          <w:p w14:paraId="047EC30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Apparent counterexamples conflate a true existential construction with a distinct locative construction</w:t>
            </w:r>
          </w:p>
        </w:tc>
        <w:tc>
          <w:tcPr>
            <w:tcW w:w="0" w:type="auto"/>
          </w:tcPr>
          <w:p w14:paraId="0E0D3DAA"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Only the existential construction diagnoses unaccusativity; the locative construction tolerates a wider predicate range</w:t>
            </w:r>
          </w:p>
        </w:tc>
        <w:tc>
          <w:tcPr>
            <w:tcW w:w="0" w:type="auto"/>
          </w:tcPr>
          <w:p w14:paraId="2D034CD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Requires independent structural diagnostics to classify examples</w:t>
            </w:r>
          </w:p>
        </w:tc>
        <w:tc>
          <w:tcPr>
            <w:tcW w:w="0" w:type="auto"/>
          </w:tcPr>
          <w:p w14:paraId="72A8BDA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Paul, Lu, &amp; Lee (2020)</w:t>
            </w:r>
          </w:p>
        </w:tc>
      </w:tr>
      <w:tr w:rsidR="00281C2C" w:rsidRPr="00FB31D9" w14:paraId="69211783" w14:textId="77777777" w:rsidTr="00194EBE">
        <w:tc>
          <w:tcPr>
            <w:tcW w:w="0" w:type="auto"/>
          </w:tcPr>
          <w:p w14:paraId="19CDA16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lastRenderedPageBreak/>
              <w:t>Contextualised existential / coda</w:t>
            </w:r>
          </w:p>
        </w:tc>
        <w:tc>
          <w:tcPr>
            <w:tcW w:w="0" w:type="auto"/>
          </w:tcPr>
          <w:p w14:paraId="00B6B090"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 topic-comment-based existential subtype lacks the canonical predicate and definiteness restrictions</w:t>
            </w:r>
          </w:p>
        </w:tc>
        <w:tc>
          <w:tcPr>
            <w:tcW w:w="0" w:type="auto"/>
          </w:tcPr>
          <w:p w14:paraId="7BA02F3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Absence of the predicate restriction in contextualised examples</w:t>
            </w:r>
          </w:p>
        </w:tc>
        <w:tc>
          <w:tcPr>
            <w:tcW w:w="0" w:type="auto"/>
          </w:tcPr>
          <w:p w14:paraId="4B4160C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Scope of the contextualised subtype relative to the canonical construction not fully delimited</w:t>
            </w:r>
          </w:p>
        </w:tc>
        <w:tc>
          <w:tcPr>
            <w:tcW w:w="0" w:type="auto"/>
          </w:tcPr>
          <w:p w14:paraId="262B607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Kuo (2022)</w:t>
            </w:r>
          </w:p>
        </w:tc>
      </w:tr>
      <w:tr w:rsidR="00281C2C" w:rsidRPr="00FB31D9" w14:paraId="017AE42A" w14:textId="77777777" w:rsidTr="00194EBE">
        <w:tc>
          <w:tcPr>
            <w:tcW w:w="0" w:type="auto"/>
          </w:tcPr>
          <w:p w14:paraId="358FEBB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Corpus-quantified gradience</w:t>
            </w:r>
          </w:p>
        </w:tc>
        <w:tc>
          <w:tcPr>
            <w:tcW w:w="0" w:type="auto"/>
          </w:tcPr>
          <w:p w14:paraId="6D5266E7"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Definiteness-effect strength varies continuously with NP semantics, number, modification, and coda presence</w:t>
            </w:r>
          </w:p>
        </w:tc>
        <w:tc>
          <w:tcPr>
            <w:tcW w:w="0" w:type="auto"/>
          </w:tcPr>
          <w:p w14:paraId="0D42983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Multivariate corpus analysis of English and Mandarin existentials</w:t>
            </w:r>
          </w:p>
        </w:tc>
        <w:tc>
          <w:tcPr>
            <w:tcW w:w="0" w:type="auto"/>
          </w:tcPr>
          <w:p w14:paraId="4ED55569"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Confined to written corpus registers; not yet extended to spoken discourse</w:t>
            </w:r>
          </w:p>
        </w:tc>
        <w:tc>
          <w:tcPr>
            <w:tcW w:w="0" w:type="auto"/>
          </w:tcPr>
          <w:p w14:paraId="693A6D2A"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Chen, Q. (2022)</w:t>
            </w:r>
          </w:p>
        </w:tc>
      </w:tr>
    </w:tbl>
    <w:p w14:paraId="628FD50E" w14:textId="77777777" w:rsidR="00281C2C" w:rsidRPr="00FB31D9" w:rsidRDefault="00000000" w:rsidP="00DB2291">
      <w:pPr>
        <w:pStyle w:val="BodyText"/>
        <w:spacing w:before="100" w:beforeAutospacing="1" w:after="100" w:afterAutospacing="1"/>
        <w:jc w:val="both"/>
        <w:rPr>
          <w:color w:val="000000" w:themeColor="text1"/>
        </w:rPr>
      </w:pPr>
      <w:r w:rsidRPr="00FB31D9">
        <w:rPr>
          <w:i/>
          <w:iCs/>
          <w:color w:val="000000" w:themeColor="text1"/>
        </w:rPr>
        <w:t>Note.</w:t>
      </w:r>
      <w:r w:rsidRPr="00FB31D9">
        <w:rPr>
          <w:color w:val="000000" w:themeColor="text1"/>
        </w:rPr>
        <w:t xml:space="preserve"> NP = noun phrase.</w:t>
      </w:r>
    </w:p>
    <w:p w14:paraId="42ED63F6" w14:textId="77777777" w:rsidR="00281C2C" w:rsidRPr="00FB31D9" w:rsidRDefault="00000000" w:rsidP="00DB2291">
      <w:pPr>
        <w:pStyle w:val="Heading2"/>
        <w:spacing w:before="100" w:beforeAutospacing="1" w:after="100" w:afterAutospacing="1"/>
        <w:jc w:val="both"/>
        <w:rPr>
          <w:color w:val="000000" w:themeColor="text1"/>
        </w:rPr>
      </w:pPr>
      <w:bookmarkStart w:id="15" w:name="X4cfc47b10f88328aeb0a83b2e1effe9c2017896"/>
      <w:bookmarkEnd w:id="14"/>
      <w:r w:rsidRPr="00FB31D9">
        <w:rPr>
          <w:color w:val="000000" w:themeColor="text1"/>
        </w:rPr>
        <w:t>7. Anaphoric versus Unique Definiteness: The Jenks-Dayal-Jiang-Simpson-Wu Debate</w:t>
      </w:r>
    </w:p>
    <w:p w14:paraId="2820AC8F"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The most theoretically consequential recent development in this literature is Jenks’s (2018) proposal that Mandarin draws a principled, categorical distinction between two subtypes of definiteness that many earlier accounts had treated as a single undifferentiated category. Building on Schwarz’s (2013) cross-linguistic distinction between weak-article and strong-article definites, established originally for languages such as German that morphologically distinguish the two types, Jenks argues that Mandarin unique definites, referents identifiable from the immediate situation or from general world knowledge without requiring a linguistic antecedent, are realised as bare nouns, while Mandarin anaphoric definites, referents that depend for their identification on a prior linguistic antecedent, are realised as demonstrative phrases, with bare nouns excluded from anaphoric definite environments except in subject position. Jenks derives this distribution from a proposed principle, labelled Index!, requiring that indexical expressions, including demonstratives with their additional index argument, be used whenever the relevant referential dependency licenses them, so that a bare noun’s more limited unique-definite interpretation, achieved through a last-resort iota-type-shifting operator, is available only when the stronger demonstrative option is independently unavailable, as in subject position, which Jenks analyses as involving an independent topichood requirement that bare nominal subjects satisfy.</w:t>
      </w:r>
    </w:p>
    <w:p w14:paraId="0888BBC6"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This proposal has been influential precisely because it offers a unified, principled account of a distributional pattern, the systematic unavailability of bare nouns in a range of anaphoric and bridging contexts, that earlier descriptive treatments had left largely unexplained. It has, however, been directly challenged on empirical grounds by Dayal and Jiang (2023), who argue that Jenks’s empirical generalisations about the distribution of </w:t>
      </w:r>
      <w:r w:rsidRPr="00FB31D9">
        <w:rPr>
          <w:color w:val="000000" w:themeColor="text1"/>
        </w:rPr>
        <w:lastRenderedPageBreak/>
        <w:t>Mandarin bare nouns and demonstratives are not fully accurate, presenting examples in which anaphoric bare nouns are acceptable in positions and contexts that the Index! principle predicts should require a demonstrative. Dayal and Jiang propose an alternative account under which Mandarin demonstratives are analysed as relationalising operators introducing an external index together with a relational predicate in their nominal restriction, deriving the observed contrast between bare nouns and demonstratives in bridging contexts from a lexical restriction on the kind of relational content that licenses each form rather than from Jenks’s global economy principle governing indexical expression generally.</w:t>
      </w:r>
    </w:p>
    <w:p w14:paraId="00985BE6"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A parallel and largely independent critique is developed by Simpson and Wu (2022), who argue on the basis of a reassessment of the relevant Mandarin data that there is substantially greater optionality in the choice between definite bare nouns and demonstrative-marked nouns than Jenks’s categorical characterisation implies, and that the alternation observed between the two forms is conditioned by considerations of discourse coherence and parsing expectations rather than by a strict grammatical requirement tied to the anaphoric-versus-unique distinction as such. On this account, demonstratives are frequently available, and sometimes preferred, in contexts that Jenks’s framework would classify as unique-definite environments licensing only bare nouns, and the choice between the two forms instead reflects gradient discourse-processing considerations concerning referential accessibility and potential ambiguity resolution rather than a categorical semantic distinction.</w:t>
      </w:r>
    </w:p>
    <w:p w14:paraId="700A262C"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The disagreement among Jenks (2018), Dayal and Jiang (2023), and Simpson and Wu (2022) </w:t>
      </w:r>
      <w:proofErr w:type="gramStart"/>
      <w:r w:rsidRPr="00FB31D9">
        <w:rPr>
          <w:color w:val="000000" w:themeColor="text1"/>
        </w:rPr>
        <w:t>has</w:t>
      </w:r>
      <w:proofErr w:type="gramEnd"/>
      <w:r w:rsidRPr="00FB31D9">
        <w:rPr>
          <w:color w:val="000000" w:themeColor="text1"/>
        </w:rPr>
        <w:t xml:space="preserve"> not been resolved through the accumulation of further constructed examples and remains an open question in the literature at the time of this review. Several features of the debate merit critical comment. First, all three contributions rely predominantly on researcher-constructed examples evaluated through acceptability judgements, generally the authors’ own or those of a small number of consulted native speakers, rather than on quantitative acceptability-judgement experiments with adequately powered samples or on corpus frequency data; this is a significant methodological limitation given that the dispute concerns whether a pattern is categorical or gradient, a question for which converging quantitative evidence from acceptability-rating studies and corpus distributions would be considerably more diagnostic than the qualitative contrast of individual examples that currently structures the debate. Second, the acquisition literature reviewed in Section 9, particularly Chang’s (2016) finding that Mandarin-speaking children assign a non-adult-like generic interpretation to demonstrative nominals in certain contexts and that individual variation in this pattern correlates with individual variation in the interpretation of bare nominals, offers indirect evidence that the relevant grammatical distinctions are not acquired as a single, uniformly categorical system, a finding more naturally compatible with gradient or partially optional accounts of the kind proposed by Simpson and Wu (2022) than with a fully categorical principle such as Index!, although the acquisition data were not designed to test the specific unique-anaphoric distinction directly and any such connection remains inferential. Third, related work on heritage Mandarin speakers, reviewed in Section 10, documents systematic over-reliance on demonstrative noun phrases relative to monolingual baselines, a pattern that is more readily interpreted under </w:t>
      </w:r>
      <w:r w:rsidRPr="00FB31D9">
        <w:rPr>
          <w:color w:val="000000" w:themeColor="text1"/>
        </w:rPr>
        <w:lastRenderedPageBreak/>
        <w:t>an account permitting genuine optionality between bare nouns and demonstratives, since cross-linguistic influence from an article language would be expected to shift usage along a competition gradient rather than to override a strict categorical constraint entirely.</w:t>
      </w:r>
    </w:p>
    <w:p w14:paraId="506758DA" w14:textId="77777777" w:rsidR="00281C2C" w:rsidRPr="00FB31D9" w:rsidRDefault="00000000" w:rsidP="00DB2291">
      <w:pPr>
        <w:pStyle w:val="Heading2"/>
        <w:spacing w:before="100" w:beforeAutospacing="1" w:after="100" w:afterAutospacing="1"/>
        <w:jc w:val="both"/>
        <w:rPr>
          <w:color w:val="000000" w:themeColor="text1"/>
        </w:rPr>
      </w:pPr>
      <w:bookmarkStart w:id="16" w:name="X220f4a0abb202db9a55aaab3d6b948b2a504f0e"/>
      <w:bookmarkEnd w:id="15"/>
      <w:r w:rsidRPr="00FB31D9">
        <w:rPr>
          <w:color w:val="000000" w:themeColor="text1"/>
        </w:rPr>
        <w:t>8. Cross-Dialectal and Typological Perspectives</w:t>
      </w:r>
    </w:p>
    <w:p w14:paraId="27C873BF"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Comparative evidence from other Sinitic varieties and from unrelated classifier languages has played a substantial role in adjudicating between competing analyses of the Mandarin pattern, on the logic that a well-motivated parameter should predict a coherent space of cross-linguistic variation rather than treating Mandarin as an isolated exception. Cheng and Sybesma’s (1999) original comparison between Mandarin and Cantonese established the influential generalisation that Mandarin permits definite bare nouns but not definite bare classifier phrases, while Cantonese exhibits the reverse pattern, permitting definite bare classifier phrases but not definite bare nouns, a complementary distribution that the authors derive from a parametric difference in whether the noun or the classifier head hosts the definiteness-inducing iota operator.</w:t>
      </w:r>
    </w:p>
    <w:p w14:paraId="500D23FA"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Subsequent cross-linguistic and cross-dialectal work has shown this complementary pattern to be less absolute than the original two-language comparison suggested. Simpson, Soh, and Nomoto’s (2011) broader typological investigation across Vietnamese, Hmong, Bangla, and two Cantonese varieties finds greater variation in the alternation between bare-classifier and bare-noun strategies for definite reference than the strict Cheng-and-Sybesma parameter predicts, with some varieties permitting genuine competition between the two strategies. Simpson’s (2017) detailed study of the Jinyun variety of Wu Chinese similarly documents a system in which both bare classifiers and bare nouns are available for definite reference but are functionally differentiated, with bare classifiers favoured for anaphoric, bridging, and situationally salient reference and bare nouns favoured for a distinct cluster of definite uses; this functional division within a single variety anticipates, in a different empirical domain, the anaphoric-versus-unique distinction that Jenks (2018) later proposes for the bare-noun-versus-demonstrative alternation within Mandarin itself, discussed in Section 7, suggesting that a recurring organisational principle, the differentiation of anaphoric from non-anaphoric definiteness through distinct morphosyntactic means, may be operative across the Sinitic family even where the specific forms implicated differ from variety to variety.</w:t>
      </w:r>
    </w:p>
    <w:p w14:paraId="232A1380"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The typological literature on the Mandarin </w:t>
      </w:r>
      <w:r w:rsidRPr="00FB31D9">
        <w:rPr>
          <w:i/>
          <w:iCs/>
          <w:color w:val="000000" w:themeColor="text1"/>
        </w:rPr>
        <w:t>you</w:t>
      </w:r>
      <w:r w:rsidRPr="00FB31D9">
        <w:rPr>
          <w:color w:val="000000" w:themeColor="text1"/>
        </w:rPr>
        <w:t xml:space="preserve">-existential construction has likewise drawn on comparative evidence, with Paul, Lu, and Lee’s (2020) distinction between the existential and locative constructions motivated in part by comparison with locative-inversion phenomena in unrelated languages, and with Chen’s (2022) corpus-based contrastive study directly comparing English and Mandarin existential patterns rather than relying on introspective cross-linguistic comparison alone. This body of comparative evidence collectively indicates that neither the bare-noun-versus-bare-classifier parameter nor the existential definiteness effect is a Mandarin-specific idiosyncrasy but instead reflects variation along dimensions that recur, with differing specific instantiations, across the broader class of numeral classifier languages, strengthening the theoretical stakes of </w:t>
      </w:r>
      <w:r w:rsidRPr="00FB31D9">
        <w:rPr>
          <w:color w:val="000000" w:themeColor="text1"/>
        </w:rPr>
        <w:lastRenderedPageBreak/>
        <w:t>resolving the Mandarin-internal debates reviewed in Sections 6 and 7 for the wider typology of definiteness marking in article-less languages.</w:t>
      </w:r>
    </w:p>
    <w:p w14:paraId="203ADBA3" w14:textId="77777777" w:rsidR="00281C2C" w:rsidRPr="00FB31D9" w:rsidRDefault="00000000" w:rsidP="00DB2291">
      <w:pPr>
        <w:pStyle w:val="Heading2"/>
        <w:spacing w:before="100" w:beforeAutospacing="1" w:after="100" w:afterAutospacing="1"/>
        <w:jc w:val="both"/>
        <w:rPr>
          <w:color w:val="000000" w:themeColor="text1"/>
        </w:rPr>
      </w:pPr>
      <w:bookmarkStart w:id="17" w:name="X2a4110b46e8a90a72e808ce3600569cebc48193"/>
      <w:bookmarkEnd w:id="16"/>
      <w:r w:rsidRPr="00FB31D9">
        <w:rPr>
          <w:color w:val="000000" w:themeColor="text1"/>
        </w:rPr>
        <w:t>9. Acquisition of Definiteness in Mandarin: First-Language Development</w:t>
      </w:r>
    </w:p>
    <w:p w14:paraId="0D08B04B"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First-language acquisition research offers a source of evidence that is largely independent of the theory-internal argumentation that structures Sections 6 and 7, since it asks not what the adult grammar permits but how children come to construct the relevant categories from naturalistic input, a question that can corroborate or complicate competing analyses of the target grammar. Gelman and Tardif (1998) provide an early cross-linguistic benchmark, comparing generic noun phrases in English and Mandarin and finding that Mandarin-speaking adults maintain a clear distinction between generic bare nouns and explicitly quantified expressions, a distinction that Mandarin-speaking children begin to master from around three years of age, though the full adult-like pattern develops over a protracted period. Tardif, Gelman, Fu, and Zhu (2012) extend this line of enquiry across three studies of generic noun phrase interpretation among children and adults, confirming that Mandarin-speaking children distinguish generics from universally and existentially quantified expressions from around five years of age in both comprehension and property-generation tasks, with the extended developmental trajectory relative to English-speaking children attributed primarily to difficulty with the quantifiers themselves rather than difficulty with the generic bare-noun form per se, a finding that suggests the referential flexibility of Mandarin bare nouns is not itself a substantial obstacle to acquisition once the relevant quantificational contrasts are independently mastered.</w:t>
      </w:r>
    </w:p>
    <w:p w14:paraId="215FE9F1"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Chang’s (2016) experimental study addresses the interpretation of bare and demonstrative nominals directly, testing Mandarin-speaking children and adults on nominal types in stage-level and individual-level predicate contexts. Chang reports that children distinguish bare from demonstrative nominals by assigning generic interpretations more readily to bare nominals, that children, like adults, entertain both generic and existential-definite readings of bare nominal subjects, and, most significantly for the theoretical debate reviewed in Section 7, that children show a marked discrepancy from adult grammar in their interpretation of demonstrative nominals, frequently assigning demonstrative phrases a non-target generic interpretation that adult Mandarin grammar does not license. Chang further reports a positive correlation, at the level of individual participants, between the tendency to assign generic readings to demonstrative nominals and the tendency to assign generic readings to bare nominals, suggesting that children who have not yet fully differentiated the referential functions of the two nominal types treat them as more functionally similar than the target grammar allows. This pattern of protracted acquisition for the bare-noun-versus-demonstrative contrast is consistent with the possibility, raised in Section 7, that the distinction is not acquired as a single categorical rule but is built up gradually from more general referential and quantificational distinctions, though the acquisition study itself was not designed to test the anaphoric-versus-unique distinction central to the Jenks-Dayal-Jiang-Simpson-Wu debate and any inference from Chang’s findings to that debate must remain cautious.</w:t>
      </w:r>
    </w:p>
    <w:p w14:paraId="779E7AF8"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lastRenderedPageBreak/>
        <w:t>Word order and referring-expression choice have also been examined directly in production. Chen, Narasimhan, Chan, Yang, and Yang (2020) elicited conjoined noun phrases referring to new and previously mentioned entities from Mandarin-speaking children and adults, finding that the language-general preference for placing new-referent expressions after old-referent expressions, a preference closely related to the postverbal-indefinite generalisation reviewed in Section 5, is present in child speech but is not yet deployed with fully adult-like consistency, indicating that the discourse-pragmatic component of Mandarin definiteness marking, and not merely its lexical or morphosyntactic component, undergoes continued development through the preschool years. Considered together with Chang’s (2016) and Gelman and Tardif’s (1998) findings on the protracted mastery of nominal-type distinctions, the first-language acquisition literature converges on the conclusion that Mandarin definiteness marking, precisely because it depends on an interaction of lexical form, syntactic position, and discourse status rather than on a single transparent morphological cue, is acquired gradually and unevenly across its component subsystems, a pattern that contrasts with the comparatively early establishment of basic article use documented for English in the broader comparative acquisition literature.</w:t>
      </w:r>
    </w:p>
    <w:p w14:paraId="15E073AF" w14:textId="77777777" w:rsidR="00281C2C" w:rsidRPr="00FB31D9" w:rsidRDefault="00000000" w:rsidP="00DB2291">
      <w:pPr>
        <w:pStyle w:val="Heading2"/>
        <w:spacing w:before="100" w:beforeAutospacing="1" w:after="100" w:afterAutospacing="1"/>
        <w:jc w:val="both"/>
        <w:rPr>
          <w:color w:val="000000" w:themeColor="text1"/>
        </w:rPr>
      </w:pPr>
      <w:bookmarkStart w:id="18" w:name="X10778e7a4145da0bc4c84234e9b76f9150657f8"/>
      <w:bookmarkEnd w:id="17"/>
      <w:r w:rsidRPr="00FB31D9">
        <w:rPr>
          <w:color w:val="000000" w:themeColor="text1"/>
        </w:rPr>
        <w:t>10. Second-Language and Heritage Acquisition of Mandarin Definiteness Marking</w:t>
      </w:r>
    </w:p>
    <w:p w14:paraId="5EC2B027"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Second-language and heritage-language research on Mandarin definiteness marking provides a further independent empirical perspective, since learners whose first language possesses an obligatory article system offer a natural test of whether the syntax-discourse mapping proposed in the theoretical literature constitutes a genuine locus of acquisition difficulty distinct from more general syntactic or lexical learning. Wu and Qin (2023) compared intermediate-to-advanced second-language Mandarin learners from English-speaking backgrounds with native Mandarin speakers using a picture-description production task and a felicity-judgement task, finding that the second-language learners were not native-like in mapping nominal forms onto definiteness distinctions and, critically, that they lacked full knowledge of the subject-definiteness constraint discussed in Section 5, the restriction disfavouring indefinite bare nominal subjects in Mandarin. Wu and Qin attribute this difficulty jointly to first-language interference, given that English marks definiteness through an obligatory functional category with no direct correlate in the syntax-discourse mapping that regulates Mandarin bare nouns, and to the general difficulty associated with syntax-discourse interface phenomena in second-language acquisition, a difficulty that has been extensively documented for a wide range of unrelated interface phenomena in the broader second-language acquisition literature and that the Interface Hypothesis was originally formulated to explain.</w:t>
      </w:r>
    </w:p>
    <w:p w14:paraId="6DECAF1E"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Jin, Ke, and Lee (2022) extend this interface-based framework to adult heritage speakers of Mandarin, administering an acceptability-judgement task targeting bare nouns, classifier-plus-noun phrases, and numeral-classifier-noun phrases across four interface-regulated referential readings, including type-denoting, quantity-denoting, indefinite-individual-denoting, and definite-individual-denoting interpretations. Their results indicate </w:t>
      </w:r>
      <w:r w:rsidRPr="00FB31D9">
        <w:rPr>
          <w:color w:val="000000" w:themeColor="text1"/>
        </w:rPr>
        <w:lastRenderedPageBreak/>
        <w:t>differential mastery across the tested nominal forms and readings, with heritage speakers showing greater difficulty on readings regulated at the syntax-discourse interface than on readings regulated at the syntax-semantics interface, a pattern consistent with the Interface Hypothesis and directly relevant to the theoretical debate in Section 7, since the anaphoric-versus-unique distinction, and by extension the bare-noun-versus-demonstrative alternation, is itself plausibly a syntax-discourse interface phenomenon under most current analyses.</w:t>
      </w:r>
    </w:p>
    <w:p w14:paraId="2C0701C5"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Production evidence from heritage-speaking children corroborates and extends these findings. Zhou, Mai, Cai, Liang, and Yip (2022) examined character introduction and reintroduction in oral narratives produced by Mandarin-English bilingual preschoolers, finding, consistent with earlier reports of heritage Mandarin speakers over-relying on demonstrative noun phrases in positions requiring definite or specific reference, that bilingual children’s referring-expression choices in Mandarin showed evidence of cross-linguistic influence from English, with demonstrative noun phrases produced at elevated rates relative to age-matched Mandarin monolingual baselines. This pattern of demonstrative over-extension among heritage and bilingual Mandarin speakers is directly relevant to the Section 7 debate: an account under which the bare-noun-versus-demonstrative alternation is governed by a strict categorical principle such as Index! predicts that cross-linguistic influence from an article language should, if anything, produce over-extension of demonstratives specifically into anaphoric-definite contexts where they are independently licensed, whereas an account permitting genuine optionality, as proposed by Simpson and Wu (2022), more naturally accommodates the observed extension of demonstratives into contexts that adult monolingual norms would treat as more felicitously expressed with a bare noun, since such extension can be understood as a shift along an already-graded competition between the two forms rather than as violation of a categorical constraint. Complementing the acquisition evidence with second-language evidence in the reverse direction, Feng (2019) examined the acquisition of English definite noun phrases by Mandarin-speaking learners of English, finding that intermediate, though not advanced, Chinese-speaking learners had particular difficulty with non-anaphoric definite descriptions in English, contexts in which definiteness must be established through pragmatic and world knowledge rather than through an explicit linguistic antecedent; Feng interprets this asymmetry as showing that accommodating presuppositions at the semantics-pragmatics interface constitutes an independent source of acquisition difficulty even when the relevant morphosyntactic feature, in this case the definite article itself, does not require feature reassembly from the learners’ first language, since Mandarin demonstratives are argued to share the relevant definiteness feature specification with the English definite article. This reverse-direction evidence strengthens the case that the syntax-discourse and semantics-pragmatics interfaces implicated in Mandarin definiteness marking constitute genuine, empirically detectable loci of acquisition difficulty rather than being artefacts specific to the direction of transfer from an article-less to an article language.</w:t>
      </w:r>
    </w:p>
    <w:p w14:paraId="23DB9D63"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 xml:space="preserve">A further complementary line of evidence concerns the acquisition of existential-construction definiteness restrictions specifically. Jiang and Zhang (2022) examined Chinese learners’ acquisition of English existential constructions at the syntax-pragmatics </w:t>
      </w:r>
      <w:r w:rsidRPr="00FB31D9">
        <w:rPr>
          <w:color w:val="000000" w:themeColor="text1"/>
        </w:rPr>
        <w:lastRenderedPageBreak/>
        <w:t>interface, finding that learners overproduced existential constructions relative to native-speaker baselines and displayed non-native-like preference patterns that persisted until an advanced proficiency stage, with qualitative interview data indicating that non-native production reflected first-language transfer and input-frequency effects while non-native comprehension instead reflected underspecification of the relevant form-function mapping. Considered alongside the L1 acquisition findings of Chen, Narasimhan, Chan, Yang, and Yang (2020) on the protracted development of information-structural word-order preferences within Mandarin itself, this body of second-language evidence indicates that the discourse-pragmatic conditioning of the existential-construction definiteness effect documented in Section 6 is not a peripheral refinement but a substantial component of the target grammar that resists straightforward transfer or acquisition in both first- and second-language populations. Table 4 summarises the acquisition studies reviewed in Sections 9 and 10.</w:t>
      </w:r>
    </w:p>
    <w:p w14:paraId="3B31A8FF" w14:textId="77777777" w:rsidR="00281C2C" w:rsidRPr="00FB31D9" w:rsidRDefault="00000000" w:rsidP="00DB2291">
      <w:pPr>
        <w:pStyle w:val="BodyText"/>
        <w:spacing w:before="100" w:beforeAutospacing="1" w:after="100" w:afterAutospacing="1"/>
        <w:jc w:val="both"/>
        <w:rPr>
          <w:color w:val="000000" w:themeColor="text1"/>
        </w:rPr>
      </w:pPr>
      <w:r w:rsidRPr="00FB31D9">
        <w:rPr>
          <w:b/>
          <w:bCs/>
          <w:color w:val="000000" w:themeColor="text1"/>
        </w:rPr>
        <w:t>Table 4</w:t>
      </w:r>
      <w:r w:rsidR="00194EBE" w:rsidRPr="00FB31D9">
        <w:rPr>
          <w:b/>
          <w:bCs/>
          <w:color w:val="000000" w:themeColor="text1"/>
        </w:rPr>
        <w:t xml:space="preserve">: </w:t>
      </w:r>
      <w:r w:rsidRPr="00FB31D9">
        <w:rPr>
          <w:i/>
          <w:iCs/>
          <w:color w:val="000000" w:themeColor="text1"/>
        </w:rPr>
        <w:t>Representative acquisition studies of Mandarin definiteness marking</w:t>
      </w:r>
    </w:p>
    <w:tbl>
      <w:tblPr>
        <w:tblStyle w:val="TableGrid"/>
        <w:tblW w:w="5000" w:type="pct"/>
        <w:tblLook w:val="0020" w:firstRow="1" w:lastRow="0" w:firstColumn="0" w:lastColumn="0" w:noHBand="0" w:noVBand="0"/>
      </w:tblPr>
      <w:tblGrid>
        <w:gridCol w:w="1698"/>
        <w:gridCol w:w="3553"/>
        <w:gridCol w:w="2785"/>
        <w:gridCol w:w="1540"/>
      </w:tblGrid>
      <w:tr w:rsidR="00281C2C" w:rsidRPr="00FB31D9" w14:paraId="4863023D" w14:textId="77777777" w:rsidTr="00194EBE">
        <w:tc>
          <w:tcPr>
            <w:tcW w:w="0" w:type="auto"/>
          </w:tcPr>
          <w:p w14:paraId="7B2D03C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Population</w:t>
            </w:r>
          </w:p>
        </w:tc>
        <w:tc>
          <w:tcPr>
            <w:tcW w:w="0" w:type="auto"/>
          </w:tcPr>
          <w:p w14:paraId="08F775B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Method</w:t>
            </w:r>
          </w:p>
        </w:tc>
        <w:tc>
          <w:tcPr>
            <w:tcW w:w="0" w:type="auto"/>
          </w:tcPr>
          <w:p w14:paraId="186AACF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Key finding</w:t>
            </w:r>
          </w:p>
        </w:tc>
        <w:tc>
          <w:tcPr>
            <w:tcW w:w="0" w:type="auto"/>
          </w:tcPr>
          <w:p w14:paraId="4F7B4DC3"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Supporting references</w:t>
            </w:r>
          </w:p>
        </w:tc>
      </w:tr>
      <w:tr w:rsidR="00281C2C" w:rsidRPr="00FB31D9" w14:paraId="19909EE2" w14:textId="77777777" w:rsidTr="00194EBE">
        <w:tc>
          <w:tcPr>
            <w:tcW w:w="0" w:type="auto"/>
          </w:tcPr>
          <w:p w14:paraId="1959B42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L1 children (3-7 years) and adults</w:t>
            </w:r>
          </w:p>
        </w:tc>
        <w:tc>
          <w:tcPr>
            <w:tcW w:w="0" w:type="auto"/>
          </w:tcPr>
          <w:p w14:paraId="21621045"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Comprehension and property-generation tasks on generic vs quantified NPs</w:t>
            </w:r>
          </w:p>
        </w:tc>
        <w:tc>
          <w:tcPr>
            <w:tcW w:w="0" w:type="auto"/>
          </w:tcPr>
          <w:p w14:paraId="4A16EC73"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Generic/quantified distinction mastered from around 5 years; delay attributed to quantifier rather than bare-noun difficulty</w:t>
            </w:r>
          </w:p>
        </w:tc>
        <w:tc>
          <w:tcPr>
            <w:tcW w:w="0" w:type="auto"/>
          </w:tcPr>
          <w:p w14:paraId="6C79D94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Gelman &amp; Tardif (1998); Tardif et al. (2012)</w:t>
            </w:r>
          </w:p>
        </w:tc>
      </w:tr>
      <w:tr w:rsidR="00281C2C" w:rsidRPr="00FB31D9" w14:paraId="1763706F" w14:textId="77777777" w:rsidTr="00194EBE">
        <w:tc>
          <w:tcPr>
            <w:tcW w:w="0" w:type="auto"/>
          </w:tcPr>
          <w:p w14:paraId="5C2BF8C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L1 children and adults</w:t>
            </w:r>
          </w:p>
        </w:tc>
        <w:tc>
          <w:tcPr>
            <w:tcW w:w="0" w:type="auto"/>
          </w:tcPr>
          <w:p w14:paraId="1DF3B85F"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Truth-value judgement task on bare vs demonstrative nominal interpretation</w:t>
            </w:r>
          </w:p>
        </w:tc>
        <w:tc>
          <w:tcPr>
            <w:tcW w:w="0" w:type="auto"/>
          </w:tcPr>
          <w:p w14:paraId="29F4D254"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Children over-extend generic readings to demonstratives, correlated with generic readings for bare nouns; non-adult-like until later</w:t>
            </w:r>
          </w:p>
        </w:tc>
        <w:tc>
          <w:tcPr>
            <w:tcW w:w="0" w:type="auto"/>
          </w:tcPr>
          <w:p w14:paraId="3035B4B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Chang (2016)</w:t>
            </w:r>
          </w:p>
        </w:tc>
      </w:tr>
      <w:tr w:rsidR="00281C2C" w:rsidRPr="00FB31D9" w14:paraId="4EAEDF8C" w14:textId="77777777" w:rsidTr="00194EBE">
        <w:tc>
          <w:tcPr>
            <w:tcW w:w="0" w:type="auto"/>
          </w:tcPr>
          <w:p w14:paraId="5CDD078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L1 children (around 4;6) and adults</w:t>
            </w:r>
          </w:p>
        </w:tc>
        <w:tc>
          <w:tcPr>
            <w:tcW w:w="0" w:type="auto"/>
          </w:tcPr>
          <w:p w14:paraId="2676782C"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Elicited production of conjoined new- and old-referent NPs</w:t>
            </w:r>
          </w:p>
        </w:tc>
        <w:tc>
          <w:tcPr>
            <w:tcW w:w="0" w:type="auto"/>
          </w:tcPr>
          <w:p w14:paraId="29ECF75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Old-before-new word order preference present but not yet adult-like in children</w:t>
            </w:r>
          </w:p>
        </w:tc>
        <w:tc>
          <w:tcPr>
            <w:tcW w:w="0" w:type="auto"/>
          </w:tcPr>
          <w:p w14:paraId="02D8B54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Chen, J., et al. (2020)</w:t>
            </w:r>
          </w:p>
        </w:tc>
      </w:tr>
      <w:tr w:rsidR="00281C2C" w:rsidRPr="00FB31D9" w14:paraId="2D4E6EF5" w14:textId="77777777" w:rsidTr="00194EBE">
        <w:tc>
          <w:tcPr>
            <w:tcW w:w="0" w:type="auto"/>
          </w:tcPr>
          <w:p w14:paraId="25C2E2A4"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Adult L2 Mandarin learners (L1 English)</w:t>
            </w:r>
          </w:p>
        </w:tc>
        <w:tc>
          <w:tcPr>
            <w:tcW w:w="0" w:type="auto"/>
          </w:tcPr>
          <w:p w14:paraId="407D83D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Picture-description and felicity-judgement tasks</w:t>
            </w:r>
          </w:p>
        </w:tc>
        <w:tc>
          <w:tcPr>
            <w:tcW w:w="0" w:type="auto"/>
          </w:tcPr>
          <w:p w14:paraId="2A36EBC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Non-native mapping of nominal forms to definiteness; incomplete knowledge of the subject-definiteness constraint</w:t>
            </w:r>
          </w:p>
        </w:tc>
        <w:tc>
          <w:tcPr>
            <w:tcW w:w="0" w:type="auto"/>
          </w:tcPr>
          <w:p w14:paraId="17FF0423"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Wu &amp; Qin (2023)</w:t>
            </w:r>
          </w:p>
        </w:tc>
      </w:tr>
      <w:tr w:rsidR="00281C2C" w:rsidRPr="00FB31D9" w14:paraId="5F07206C" w14:textId="77777777" w:rsidTr="00194EBE">
        <w:tc>
          <w:tcPr>
            <w:tcW w:w="0" w:type="auto"/>
          </w:tcPr>
          <w:p w14:paraId="3503885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Adult heritage Mandarin speakers</w:t>
            </w:r>
          </w:p>
        </w:tc>
        <w:tc>
          <w:tcPr>
            <w:tcW w:w="0" w:type="auto"/>
          </w:tcPr>
          <w:p w14:paraId="63925B8D"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Acceptability-judgement task (accuracy and reaction time) across four referential readings</w:t>
            </w:r>
          </w:p>
        </w:tc>
        <w:tc>
          <w:tcPr>
            <w:tcW w:w="0" w:type="auto"/>
          </w:tcPr>
          <w:p w14:paraId="00CF2A49"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Greater difficulty at the syntax-discourse than the syntax-semantics interface</w:t>
            </w:r>
          </w:p>
        </w:tc>
        <w:tc>
          <w:tcPr>
            <w:tcW w:w="0" w:type="auto"/>
          </w:tcPr>
          <w:p w14:paraId="2695E1E0"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Jin, Ke, &amp; Lee (2022)</w:t>
            </w:r>
          </w:p>
        </w:tc>
      </w:tr>
      <w:tr w:rsidR="00281C2C" w:rsidRPr="00FB31D9" w14:paraId="332660B1" w14:textId="77777777" w:rsidTr="00194EBE">
        <w:tc>
          <w:tcPr>
            <w:tcW w:w="0" w:type="auto"/>
          </w:tcPr>
          <w:p w14:paraId="2F73B09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 xml:space="preserve">Bilingual </w:t>
            </w:r>
            <w:r w:rsidRPr="00FB31D9">
              <w:rPr>
                <w:color w:val="000000" w:themeColor="text1"/>
              </w:rPr>
              <w:lastRenderedPageBreak/>
              <w:t>Mandarin-English preschoolers</w:t>
            </w:r>
          </w:p>
        </w:tc>
        <w:tc>
          <w:tcPr>
            <w:tcW w:w="0" w:type="auto"/>
          </w:tcPr>
          <w:p w14:paraId="044AF28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lastRenderedPageBreak/>
              <w:t xml:space="preserve">Narrative elicitation (character </w:t>
            </w:r>
            <w:r w:rsidRPr="00FB31D9">
              <w:rPr>
                <w:color w:val="000000" w:themeColor="text1"/>
              </w:rPr>
              <w:lastRenderedPageBreak/>
              <w:t>introduction/reintroduction)</w:t>
            </w:r>
          </w:p>
        </w:tc>
        <w:tc>
          <w:tcPr>
            <w:tcW w:w="0" w:type="auto"/>
          </w:tcPr>
          <w:p w14:paraId="4A4775D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lastRenderedPageBreak/>
              <w:t>Elevated demonstrative-</w:t>
            </w:r>
            <w:r w:rsidRPr="00FB31D9">
              <w:rPr>
                <w:color w:val="000000" w:themeColor="text1"/>
              </w:rPr>
              <w:lastRenderedPageBreak/>
              <w:t>NP use relative to monolingual baseline, attributed to cross-linguistic influence</w:t>
            </w:r>
          </w:p>
        </w:tc>
        <w:tc>
          <w:tcPr>
            <w:tcW w:w="0" w:type="auto"/>
          </w:tcPr>
          <w:p w14:paraId="3281A86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lastRenderedPageBreak/>
              <w:t xml:space="preserve">Zhou, Mai, </w:t>
            </w:r>
            <w:r w:rsidRPr="00FB31D9">
              <w:rPr>
                <w:color w:val="000000" w:themeColor="text1"/>
              </w:rPr>
              <w:lastRenderedPageBreak/>
              <w:t>Cai, Liang, &amp; Yip (2022)</w:t>
            </w:r>
          </w:p>
        </w:tc>
      </w:tr>
      <w:tr w:rsidR="00281C2C" w:rsidRPr="00FB31D9" w14:paraId="1AAD3DA7" w14:textId="77777777" w:rsidTr="00194EBE">
        <w:tc>
          <w:tcPr>
            <w:tcW w:w="0" w:type="auto"/>
          </w:tcPr>
          <w:p w14:paraId="6258480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lastRenderedPageBreak/>
              <w:t>Adult L1-Mandarin learners of English</w:t>
            </w:r>
          </w:p>
        </w:tc>
        <w:tc>
          <w:tcPr>
            <w:tcW w:w="0" w:type="auto"/>
          </w:tcPr>
          <w:p w14:paraId="6FCF492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Acceptability-judgement task on English definite NPs</w:t>
            </w:r>
          </w:p>
        </w:tc>
        <w:tc>
          <w:tcPr>
            <w:tcW w:w="0" w:type="auto"/>
          </w:tcPr>
          <w:p w14:paraId="7E36EBA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Intermediate learners show selective difficulty with non-anaphoric definites</w:t>
            </w:r>
          </w:p>
        </w:tc>
        <w:tc>
          <w:tcPr>
            <w:tcW w:w="0" w:type="auto"/>
          </w:tcPr>
          <w:p w14:paraId="1BFB81BF"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Feng (2019)</w:t>
            </w:r>
          </w:p>
        </w:tc>
      </w:tr>
      <w:tr w:rsidR="00281C2C" w:rsidRPr="00FB31D9" w14:paraId="7102FF8D" w14:textId="77777777" w:rsidTr="00194EBE">
        <w:tc>
          <w:tcPr>
            <w:tcW w:w="0" w:type="auto"/>
          </w:tcPr>
          <w:p w14:paraId="0322EB2A"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Adult L1-Mandarin learners of English</w:t>
            </w:r>
          </w:p>
        </w:tc>
        <w:tc>
          <w:tcPr>
            <w:tcW w:w="0" w:type="auto"/>
          </w:tcPr>
          <w:p w14:paraId="6DA4664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Mixed-method production/comprehension study</w:t>
            </w:r>
          </w:p>
        </w:tc>
        <w:tc>
          <w:tcPr>
            <w:tcW w:w="0" w:type="auto"/>
          </w:tcPr>
          <w:p w14:paraId="56F4783A"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Overproduction of existential constructions; non-native preference patterns persist to advanced proficiency</w:t>
            </w:r>
          </w:p>
        </w:tc>
        <w:tc>
          <w:tcPr>
            <w:tcW w:w="0" w:type="auto"/>
          </w:tcPr>
          <w:p w14:paraId="7BB5301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Jiang, S., &amp; Zhang (2022)</w:t>
            </w:r>
          </w:p>
        </w:tc>
      </w:tr>
    </w:tbl>
    <w:p w14:paraId="1B12C7B9" w14:textId="77777777" w:rsidR="00281C2C" w:rsidRPr="00FB31D9" w:rsidRDefault="00000000" w:rsidP="00DB2291">
      <w:pPr>
        <w:pStyle w:val="BodyText"/>
        <w:spacing w:before="100" w:beforeAutospacing="1" w:after="100" w:afterAutospacing="1"/>
        <w:jc w:val="both"/>
        <w:rPr>
          <w:color w:val="000000" w:themeColor="text1"/>
        </w:rPr>
      </w:pPr>
      <w:r w:rsidRPr="00FB31D9">
        <w:rPr>
          <w:i/>
          <w:iCs/>
          <w:color w:val="000000" w:themeColor="text1"/>
        </w:rPr>
        <w:t>Note.</w:t>
      </w:r>
      <w:r w:rsidRPr="00FB31D9">
        <w:rPr>
          <w:color w:val="000000" w:themeColor="text1"/>
        </w:rPr>
        <w:t xml:space="preserve"> NP = noun phrase; L1 = first language; L2 = second language.</w:t>
      </w:r>
    </w:p>
    <w:p w14:paraId="3A84D5A8" w14:textId="77777777" w:rsidR="00281C2C" w:rsidRPr="00FB31D9" w:rsidRDefault="00000000" w:rsidP="00DB2291">
      <w:pPr>
        <w:pStyle w:val="Heading2"/>
        <w:spacing w:before="100" w:beforeAutospacing="1" w:after="100" w:afterAutospacing="1"/>
        <w:jc w:val="both"/>
        <w:rPr>
          <w:color w:val="000000" w:themeColor="text1"/>
        </w:rPr>
      </w:pPr>
      <w:bookmarkStart w:id="19" w:name="X765b2337908267a4461f24cdf2160de9194391b"/>
      <w:bookmarkEnd w:id="18"/>
      <w:r w:rsidRPr="00FB31D9">
        <w:rPr>
          <w:color w:val="000000" w:themeColor="text1"/>
        </w:rPr>
        <w:t>11. Methodological Landscape: A Critical Appraisal</w:t>
      </w:r>
    </w:p>
    <w:p w14:paraId="15055285"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Across the theoretical, corpus-based, and acquisition literatures reviewed in Sections 3 through 10, several recurring methodological features shape the reliability of the field’s conclusions and merit explicit critical comment. First, the theoretical syntactic and semantic literature, including the central contributions of Cheng and Sybesma (1999), Jenks (2018), Dayal and Jiang (2023), and Simpson and Wu (2022), relies predominantly on constructed examples evaluated through researcher-internal or small-scale native-speaker judgements rather than on systematically sampled acceptability-rating experiments. This is a standard and, within limits, defensible methodology for establishing the existence of a grammatical contrast, but it is poorly suited to adjudicating disputes, such as the one reviewed in Section 7, that concern whether an attested contrast is categorical or gradient, since a categorical account and a strongly graded account can generate very similar patterns of judgements for the small number of examples typically discussed in a theoretical paper while making sharply divergent predictions for the full distribution of judgements across a systematically sampled item set.</w:t>
      </w:r>
    </w:p>
    <w:p w14:paraId="083B6C8C"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Second, corpus-based quantification of the phenomena under review remains comparatively underdeveloped relative to the volume of theoretical argumentation devoted to them. Chen’s (2022) contrastive corpus study of English and Mandarin existential constructions is a notable exception and demonstrates the diagnostic value of corpus quantification for questions of gradience, but comparable corpus-based quantification of the bare-noun-versus-demonstrative alternation central to Section 7, or of the preverbal-postverbal word-order asymmetry central to Section 5, is largely absent from the reviewed literature, leaving central claims in both domains resting on argumentation from constructed examples that has not been independently corroborated against naturally occurring usage frequencies.</w:t>
      </w:r>
    </w:p>
    <w:p w14:paraId="6ABFDB1F"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lastRenderedPageBreak/>
        <w:t>Third, the acquisition literature is comparatively stronger on methodological transparency, with most reviewed studies reporting sample sizes, coding procedures, and statistical analyses in sufficient detail to support their stated conclusions, though sample sizes in several of the reviewed acceptability-judgement and production studies, including Chang (2016) and Jin, Ke, and Lee (2022), remain modest relative to the number of experimental conditions tested, and cross-study comparison is complicated by differing operationalisations of definiteness, specificity, and anaphoricity across studies originating in rather different theoretical traditions, ranging from generative syntax and formal semantics to functionalist and usage-based approaches to language acquisition. Fourth, geographical and register concentration is a further limitation: the theoretical literature draws overwhelmingly on the judgements of researchers and consultants based in mainland China, Taiwan, and North American university linguistics departments, with comparatively little systematic attention to regional variation in definiteness marking within the Mandarin-speaking world outside the dialectal comparisons discussed in Section 8, and corpus and acquisition studies are similarly concentrated in a small number of research centres in Hong Kong, mainland China, Taiwan, and the United Kingdom, raising open questions about the generalisability of the reported patterns across the full range of Mandarin-speaking communities.</w:t>
      </w:r>
    </w:p>
    <w:p w14:paraId="5D46312A" w14:textId="77777777" w:rsidR="00281C2C" w:rsidRPr="00FB31D9" w:rsidRDefault="00000000" w:rsidP="00DB2291">
      <w:pPr>
        <w:pStyle w:val="Heading2"/>
        <w:spacing w:before="100" w:beforeAutospacing="1" w:after="100" w:afterAutospacing="1"/>
        <w:jc w:val="both"/>
        <w:rPr>
          <w:color w:val="000000" w:themeColor="text1"/>
        </w:rPr>
      </w:pPr>
      <w:bookmarkStart w:id="20" w:name="future-directions"/>
      <w:bookmarkEnd w:id="19"/>
      <w:r w:rsidRPr="00FB31D9">
        <w:rPr>
          <w:color w:val="000000" w:themeColor="text1"/>
        </w:rPr>
        <w:t>Future Directions</w:t>
      </w:r>
    </w:p>
    <w:p w14:paraId="68D91097"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Four research priorities emerge from the preceding critical synthesis as most likely to advance the field materially.</w:t>
      </w:r>
    </w:p>
    <w:p w14:paraId="6A5E661E"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The most immediate priority concerns the categorical-versus-gradient status of the bare-noun-versus-demonstrative alternation at the centre of the Jenks-Dayal-Jiang-Simpson-Wu debate reviewed in Section 7. The current evidentiary basis for this dispute consists overwhelmingly of contrastive constructed examples evaluated through small-scale or researcher-internal judgements, a design that cannot distinguish a categorical constraint with a small number of systematic exceptions from a genuinely graded preference. The field requires large-item, adequately powered acceptability-rating studies, employing continuous or ordinal response scales rather than binary grammaticality judgements, that systematically cross the anaphoric-versus-unique distinction with syntactic position, referent animacy, and discourse distance from the antecedent. Such studies should be complemented by corpus-based quantification of bare-noun and demonstrative frequency across these same factors in naturally occurring spoken and written Mandarin, since converging evidence from rating gradience and corpus frequency distributions would be considerably more diagnostic than further theoretical argumentation from constructed examples. This priority is immediate rather than long-term because the relevant experimental and corpus methods are already well established in the broader psycholinguistic literature and require adaptation rather than novel development.</w:t>
      </w:r>
    </w:p>
    <w:p w14:paraId="42807101"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A second priority concerns the discourse-pragmatic conditioning of the existential-construction definiteness effect reviewed in Section 6. The corpus-based evidence assembled by Chen (2022) demonstrates that contextual features, including background-</w:t>
      </w:r>
      <w:r w:rsidRPr="00FB31D9">
        <w:rPr>
          <w:color w:val="000000" w:themeColor="text1"/>
        </w:rPr>
        <w:lastRenderedPageBreak/>
        <w:t>information expression and noun-phrase modification, significantly affect the observed strength of the definiteness restriction, but comparable corpus quantification has not yet been extended to spoken conversational Mandarin, where discourse-pragmatic conditioning might be expected to operate most transparently, nor has it been integrated with the structural distinction between existential and locative constructions proposed by Paul, Lu, and Lee (2020). A study design combining syntactically annotated spoken and written corpora with the existential-versus-locative structural diagnostic would allow the field to determine what proportion of apparent definiteness-effect violations in Mandarin reflect genuine locative constructions misclassified as existentials, as opposed to genuine discourse-licensed exceptions within the existential construction proper, a question with direct consequences for whether the Mandarin definiteness effect should be characterised as fundamentally syntactic, fundamentally pragmatic, or a composite of the two.</w:t>
      </w:r>
    </w:p>
    <w:p w14:paraId="547C009D"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A third, longer-term priority concerns the integration of acquisition and adult theoretical evidence. The acquisition studies reviewed in Sections 9 and 10 were, without exception, designed to answer developmental or interface-hypothesis questions rather than to test the specific theoretical proposals reviewed in Section 7 directly, so that the connections drawn in this review between, for instance, Chang’s (2016) findings on children’s demonstrative interpretation and the categorical-versus-gradient debate remain inferential rather than the product of a study purpose-built to test that link. A study explicitly designed within the Jenks-versus-Dayal-and-Jiang-versus-Simpson-and-Wu theoretical space, testing whether child learners, second-language learners, and heritage speakers acquire the anaphoric-unique distinction as a unitary categorical rule or as a set of gradient tendencies that strengthen with increasing proficiency, would provide a form of convergent evidence, developmental trajectory data, that is in principle available but has not yet been systematically collected for this specific theoretical question. Such a study would require coordinated experimental protocols across first-language, second-language, and heritage populations and a multi-year data-collection timescale, distinguishing it from the shorter-term priorities above.</w:t>
      </w:r>
    </w:p>
    <w:p w14:paraId="34306B4A"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A fourth priority, also longer-term, concerns geographical and register coverage. As noted in Section 11, the reviewed corpus and acquisition literature is concentrated in a small number of research centres, and systematic attention to regional variation in definiteness marking across the wider Mandarin-speaking world, including varieties spoken outside mainland China, Taiwan, Hong Kong, and Singapore, together with a wider range of discourse registers extending beyond the written and elicited-narrative data that dominate the current corpus base, would materially improve the external validity of conclusions currently drawn from a comparatively narrow evidentiary base. Policy and pedagogical implications follow most directly from the second-language and heritage-acquisition priorities: outcome measures tracking learners’ mastery of the subject-definiteness constraint and the existential-construction definiteness restriction, in both comprehension and spontaneous production, would provide an evidentiary basis for sequencing these interface-regulated phenomena within Mandarin second-language curricula, where they are not currently treated as a coherent instructional unit distinct from more general noun-phrase grammar. Table 5 summarises these four priorities.</w:t>
      </w:r>
    </w:p>
    <w:p w14:paraId="4090D112" w14:textId="77777777" w:rsidR="00281C2C" w:rsidRPr="00FB31D9" w:rsidRDefault="00000000" w:rsidP="00DB2291">
      <w:pPr>
        <w:pStyle w:val="BodyText"/>
        <w:spacing w:before="100" w:beforeAutospacing="1" w:after="100" w:afterAutospacing="1"/>
        <w:jc w:val="both"/>
        <w:rPr>
          <w:color w:val="000000" w:themeColor="text1"/>
        </w:rPr>
      </w:pPr>
      <w:r w:rsidRPr="00FB31D9">
        <w:rPr>
          <w:b/>
          <w:bCs/>
          <w:color w:val="000000" w:themeColor="text1"/>
        </w:rPr>
        <w:lastRenderedPageBreak/>
        <w:t>Table 5</w:t>
      </w:r>
      <w:r w:rsidR="00194EBE" w:rsidRPr="00FB31D9">
        <w:rPr>
          <w:b/>
          <w:bCs/>
          <w:color w:val="000000" w:themeColor="text1"/>
        </w:rPr>
        <w:t xml:space="preserve">: </w:t>
      </w:r>
      <w:r w:rsidRPr="00FB31D9">
        <w:rPr>
          <w:i/>
          <w:iCs/>
          <w:color w:val="000000" w:themeColor="text1"/>
        </w:rPr>
        <w:t>Research gaps and proposed priorities for future investigation</w:t>
      </w:r>
    </w:p>
    <w:tbl>
      <w:tblPr>
        <w:tblStyle w:val="TableGrid"/>
        <w:tblW w:w="5000" w:type="pct"/>
        <w:tblLook w:val="0020" w:firstRow="1" w:lastRow="0" w:firstColumn="0" w:lastColumn="0" w:noHBand="0" w:noVBand="0"/>
      </w:tblPr>
      <w:tblGrid>
        <w:gridCol w:w="2530"/>
        <w:gridCol w:w="2052"/>
        <w:gridCol w:w="1330"/>
        <w:gridCol w:w="2210"/>
        <w:gridCol w:w="1454"/>
      </w:tblGrid>
      <w:tr w:rsidR="00281C2C" w:rsidRPr="00FB31D9" w14:paraId="21502418" w14:textId="77777777" w:rsidTr="00194EBE">
        <w:tc>
          <w:tcPr>
            <w:tcW w:w="0" w:type="auto"/>
          </w:tcPr>
          <w:p w14:paraId="0EB17B8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Gap</w:t>
            </w:r>
          </w:p>
        </w:tc>
        <w:tc>
          <w:tcPr>
            <w:tcW w:w="0" w:type="auto"/>
          </w:tcPr>
          <w:p w14:paraId="49DDAC29"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Proposed priority</w:t>
            </w:r>
          </w:p>
        </w:tc>
        <w:tc>
          <w:tcPr>
            <w:tcW w:w="0" w:type="auto"/>
          </w:tcPr>
          <w:p w14:paraId="582275DD"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Timescale</w:t>
            </w:r>
          </w:p>
        </w:tc>
        <w:tc>
          <w:tcPr>
            <w:tcW w:w="0" w:type="auto"/>
          </w:tcPr>
          <w:p w14:paraId="3D107860"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Rationale</w:t>
            </w:r>
          </w:p>
        </w:tc>
        <w:tc>
          <w:tcPr>
            <w:tcW w:w="0" w:type="auto"/>
          </w:tcPr>
          <w:p w14:paraId="3BE6D397"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Supporting references</w:t>
            </w:r>
          </w:p>
        </w:tc>
      </w:tr>
      <w:tr w:rsidR="00281C2C" w:rsidRPr="00FB31D9" w14:paraId="4418F792" w14:textId="77777777" w:rsidTr="00194EBE">
        <w:tc>
          <w:tcPr>
            <w:tcW w:w="0" w:type="auto"/>
          </w:tcPr>
          <w:p w14:paraId="1A857733"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Categorical vs gradient status of the bare-noun/demonstrative alternation unresolved</w:t>
            </w:r>
          </w:p>
        </w:tc>
        <w:tc>
          <w:tcPr>
            <w:tcW w:w="0" w:type="auto"/>
          </w:tcPr>
          <w:p w14:paraId="0D3AA823"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Large-item acceptability-rating experiments crossed with corpus frequency analysis</w:t>
            </w:r>
          </w:p>
        </w:tc>
        <w:tc>
          <w:tcPr>
            <w:tcW w:w="0" w:type="auto"/>
          </w:tcPr>
          <w:p w14:paraId="1E50FA91"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Immediate</w:t>
            </w:r>
          </w:p>
        </w:tc>
        <w:tc>
          <w:tcPr>
            <w:tcW w:w="0" w:type="auto"/>
          </w:tcPr>
          <w:p w14:paraId="23A95AD4"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Existing evidence rests on small contrastive example sets that cannot distinguish categorical from graded patterns</w:t>
            </w:r>
          </w:p>
        </w:tc>
        <w:tc>
          <w:tcPr>
            <w:tcW w:w="0" w:type="auto"/>
          </w:tcPr>
          <w:p w14:paraId="330E3BCD"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Jenks (2018); Dayal &amp; Jiang (2023); Simpson &amp; Wu (2022)</w:t>
            </w:r>
          </w:p>
        </w:tc>
      </w:tr>
      <w:tr w:rsidR="00281C2C" w:rsidRPr="00FB31D9" w14:paraId="115B94FB" w14:textId="77777777" w:rsidTr="00194EBE">
        <w:tc>
          <w:tcPr>
            <w:tcW w:w="0" w:type="auto"/>
          </w:tcPr>
          <w:p w14:paraId="0CDE7C8D"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Discourse-pragmatic conditioning of the existential definiteness effect under-quantified in spoken registers</w:t>
            </w:r>
          </w:p>
        </w:tc>
        <w:tc>
          <w:tcPr>
            <w:tcW w:w="0" w:type="auto"/>
          </w:tcPr>
          <w:p w14:paraId="4E5CDEE6"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Corpus study combining spoken/written annotation with existential-vs-locative structural diagnostics</w:t>
            </w:r>
          </w:p>
        </w:tc>
        <w:tc>
          <w:tcPr>
            <w:tcW w:w="0" w:type="auto"/>
          </w:tcPr>
          <w:p w14:paraId="5BE007CD"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Immediate</w:t>
            </w:r>
          </w:p>
        </w:tc>
        <w:tc>
          <w:tcPr>
            <w:tcW w:w="0" w:type="auto"/>
          </w:tcPr>
          <w:p w14:paraId="3C98330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Would clarify what proportion of apparent counterexamples reflect construction misclassification versus genuine discourse licensing</w:t>
            </w:r>
          </w:p>
        </w:tc>
        <w:tc>
          <w:tcPr>
            <w:tcW w:w="0" w:type="auto"/>
          </w:tcPr>
          <w:p w14:paraId="35EAF23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Paul, Lu, &amp; Lee (2020); Chen, Q. (2022)</w:t>
            </w:r>
          </w:p>
        </w:tc>
      </w:tr>
      <w:tr w:rsidR="00281C2C" w:rsidRPr="00FB31D9" w14:paraId="7BB9D320" w14:textId="77777777" w:rsidTr="00194EBE">
        <w:tc>
          <w:tcPr>
            <w:tcW w:w="0" w:type="auto"/>
          </w:tcPr>
          <w:p w14:paraId="016F28F8"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Acquisition evidence not purpose-built to test the categorical/gradient debate</w:t>
            </w:r>
          </w:p>
        </w:tc>
        <w:tc>
          <w:tcPr>
            <w:tcW w:w="0" w:type="auto"/>
          </w:tcPr>
          <w:p w14:paraId="20836605"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Coordinated L1/L2/heritage study explicitly targeting the anaphoric-unique distinction</w:t>
            </w:r>
          </w:p>
        </w:tc>
        <w:tc>
          <w:tcPr>
            <w:tcW w:w="0" w:type="auto"/>
          </w:tcPr>
          <w:p w14:paraId="6BEDA2EF"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Longer-term</w:t>
            </w:r>
          </w:p>
        </w:tc>
        <w:tc>
          <w:tcPr>
            <w:tcW w:w="0" w:type="auto"/>
          </w:tcPr>
          <w:p w14:paraId="16909D5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Would provide convergent developmental-trajectory evidence currently unavailable</w:t>
            </w:r>
          </w:p>
        </w:tc>
        <w:tc>
          <w:tcPr>
            <w:tcW w:w="0" w:type="auto"/>
          </w:tcPr>
          <w:p w14:paraId="44F164EE"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Chang (2016); Jin, Ke, &amp; Lee (2022)</w:t>
            </w:r>
          </w:p>
        </w:tc>
      </w:tr>
      <w:tr w:rsidR="00281C2C" w:rsidRPr="00FB31D9" w14:paraId="56C4A46C" w14:textId="77777777" w:rsidTr="00194EBE">
        <w:tc>
          <w:tcPr>
            <w:tcW w:w="0" w:type="auto"/>
          </w:tcPr>
          <w:p w14:paraId="22E57C92"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Narrow geographical and register coverage of corpus and acquisition studies</w:t>
            </w:r>
          </w:p>
        </w:tc>
        <w:tc>
          <w:tcPr>
            <w:tcW w:w="0" w:type="auto"/>
          </w:tcPr>
          <w:p w14:paraId="58E8AFF3"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Extend data collection across Mandarin-speaking regions and discourse registers beyond written and elicited-narrative data</w:t>
            </w:r>
          </w:p>
        </w:tc>
        <w:tc>
          <w:tcPr>
            <w:tcW w:w="0" w:type="auto"/>
          </w:tcPr>
          <w:p w14:paraId="71B2DEFB"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Longer-term</w:t>
            </w:r>
          </w:p>
        </w:tc>
        <w:tc>
          <w:tcPr>
            <w:tcW w:w="0" w:type="auto"/>
          </w:tcPr>
          <w:p w14:paraId="76213DFD"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Current evidentiary base is concentrated in a small number of research centres, limiting external validity</w:t>
            </w:r>
          </w:p>
        </w:tc>
        <w:tc>
          <w:tcPr>
            <w:tcW w:w="0" w:type="auto"/>
          </w:tcPr>
          <w:p w14:paraId="74540805" w14:textId="77777777" w:rsidR="00281C2C" w:rsidRPr="00FB31D9" w:rsidRDefault="00000000" w:rsidP="00DB2291">
            <w:pPr>
              <w:pStyle w:val="Compact"/>
              <w:spacing w:before="100" w:beforeAutospacing="1" w:after="100" w:afterAutospacing="1"/>
              <w:jc w:val="both"/>
              <w:rPr>
                <w:color w:val="000000" w:themeColor="text1"/>
              </w:rPr>
            </w:pPr>
            <w:r w:rsidRPr="00FB31D9">
              <w:rPr>
                <w:color w:val="000000" w:themeColor="text1"/>
              </w:rPr>
              <w:t>Simpson et al. (2011); Simpson (2017)</w:t>
            </w:r>
          </w:p>
        </w:tc>
      </w:tr>
    </w:tbl>
    <w:p w14:paraId="50E49FC5" w14:textId="77777777" w:rsidR="00281C2C" w:rsidRPr="00FB31D9" w:rsidRDefault="00000000" w:rsidP="00DB2291">
      <w:pPr>
        <w:pStyle w:val="BodyText"/>
        <w:spacing w:before="100" w:beforeAutospacing="1" w:after="100" w:afterAutospacing="1"/>
        <w:jc w:val="both"/>
        <w:rPr>
          <w:color w:val="000000" w:themeColor="text1"/>
        </w:rPr>
      </w:pPr>
      <w:r w:rsidRPr="00FB31D9">
        <w:rPr>
          <w:i/>
          <w:iCs/>
          <w:color w:val="000000" w:themeColor="text1"/>
        </w:rPr>
        <w:t>Note.</w:t>
      </w:r>
      <w:r w:rsidRPr="00FB31D9">
        <w:rPr>
          <w:color w:val="000000" w:themeColor="text1"/>
        </w:rPr>
        <w:t xml:space="preserve"> L1 = first language; L2 = second language.</w:t>
      </w:r>
    </w:p>
    <w:p w14:paraId="6DD22EEA" w14:textId="77777777" w:rsidR="00281C2C" w:rsidRPr="00FB31D9" w:rsidRDefault="00000000" w:rsidP="00DB2291">
      <w:pPr>
        <w:pStyle w:val="Heading2"/>
        <w:spacing w:before="100" w:beforeAutospacing="1" w:after="100" w:afterAutospacing="1"/>
        <w:jc w:val="both"/>
        <w:rPr>
          <w:color w:val="000000" w:themeColor="text1"/>
        </w:rPr>
      </w:pPr>
      <w:bookmarkStart w:id="21" w:name="conclusions"/>
      <w:bookmarkEnd w:id="20"/>
      <w:r w:rsidRPr="00FB31D9">
        <w:rPr>
          <w:color w:val="000000" w:themeColor="text1"/>
        </w:rPr>
        <w:t>Conclusions</w:t>
      </w:r>
    </w:p>
    <w:p w14:paraId="335ECBDB"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This review set out to characterise the state of knowledge on definiteness marking and the definiteness effect in Mandarin Chinese and to evaluate the strength, consistency, and remaining points of contention within the relevant syntactic, semantic, corpus-based, and acquisition literatures. Several conclusions are defensible on the basis of the evidence reviewed. The descriptive generalisation that preverbal position favours definite </w:t>
      </w:r>
      <w:r w:rsidRPr="00FB31D9">
        <w:rPr>
          <w:color w:val="000000" w:themeColor="text1"/>
        </w:rPr>
        <w:lastRenderedPageBreak/>
        <w:t xml:space="preserve">interpretation and postverbal position favours indefinite interpretation is well established and has proved robust across four decades of syntactic and semantic theorising, even though the precise mechanism deriving this asymmetry, whether an interface condition on subject licensing, a type-shifting operation sensitive to structural position, or a discourse-pragmatic correlate of topic-comment structure, remains a matter of ongoing theoretical development rather than settled consensus. The existence of a definiteness effect in the Mandarin </w:t>
      </w:r>
      <w:r w:rsidRPr="00FB31D9">
        <w:rPr>
          <w:i/>
          <w:iCs/>
          <w:color w:val="000000" w:themeColor="text1"/>
        </w:rPr>
        <w:t>you</w:t>
      </w:r>
      <w:r w:rsidRPr="00FB31D9">
        <w:rPr>
          <w:color w:val="000000" w:themeColor="text1"/>
        </w:rPr>
        <w:t>-existential construction is likewise well established as a descriptive generalisation, but the evidence reviewed in Section 6 supports the conclusion that this restriction is neither a purely syntactic filter nor a purely pragmatic tendency but a composite phenomenon in which structural licensing conditions interact with discourse-pragmatic factors governing the introduction of new entities and new relations, a conclusion for which the corpus-based evidence of Chen (2022) provides the most direct quantitative support currently available.</w:t>
      </w:r>
    </w:p>
    <w:p w14:paraId="56BF6C58"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The central theoretical dispute addressed by this review, concerning whether Mandarin encodes a categorical distinction between unique and anaphoric definiteness through the bare-noun-versus-demonstrative alternation, remains unresolved. The evidence considered across Sections 7, 9, and 10 is more consistent, on balance, with an account permitting genuine optionality conditioned by discourse coherence than with a strictly categorical principle, given the acquisition evidence for protracted and individually variable mastery of the relevant contrast and the heritage-speaker evidence for gradient rather than categorical shift under cross-linguistic influence, but this balance of evidence falls short of a decisive adjudication, and confidence in this conclusion should accordingly remain moderate pending the acceptability-rating and corpus studies identified in the Future Directions section. Comparative evidence from Cantonese, Wu, and other classifier languages supports the broader conclusion that Mandarin definiteness marking is best understood as one instantiation of a recurring typological pattern, in which languages without articles differentiate anaphoric from non-anaphoric definiteness through varying morphosyntactic means, rather than as an isolated or idiosyncratic system. The acquisition literature, spanning first-language development, second-language learning, and heritage-language maintenance, converges in showing that the syntax-discourse and semantics-pragmatics interfaces implicated in Mandarin definiteness marking constitute a genuine and measurable locus of developmental and cross-linguistic difficulty, lending independent empirical weight to interface-based theoretical accounts of the phenomenon. Considered as a whole, the literature has made substantial descriptive and theoretical progress in characterising how a language without articles regulates definite and indefinite reference, while leaving open precisely the questions, concerning the categorical or gradient nature of the core distinctions, that are most consequential for the broader typology of definiteness marking beyond Mandarin itself.</w:t>
      </w:r>
    </w:p>
    <w:p w14:paraId="08AC595E" w14:textId="77777777" w:rsidR="00281C2C" w:rsidRPr="00FB31D9" w:rsidRDefault="00000000" w:rsidP="00DB2291">
      <w:pPr>
        <w:pStyle w:val="Heading2"/>
        <w:spacing w:before="100" w:beforeAutospacing="1" w:after="100" w:afterAutospacing="1"/>
        <w:jc w:val="both"/>
        <w:rPr>
          <w:color w:val="000000" w:themeColor="text1"/>
        </w:rPr>
      </w:pPr>
      <w:bookmarkStart w:id="22" w:name="limitations"/>
      <w:bookmarkEnd w:id="21"/>
      <w:r w:rsidRPr="00FB31D9">
        <w:rPr>
          <w:color w:val="000000" w:themeColor="text1"/>
        </w:rPr>
        <w:t>Limitations</w:t>
      </w:r>
    </w:p>
    <w:p w14:paraId="56ED261E" w14:textId="77777777" w:rsidR="00281C2C" w:rsidRPr="00FB31D9" w:rsidRDefault="00000000" w:rsidP="00DB2291">
      <w:pPr>
        <w:pStyle w:val="FirstParagraph"/>
        <w:spacing w:before="100" w:beforeAutospacing="1" w:after="100" w:afterAutospacing="1"/>
        <w:jc w:val="both"/>
        <w:rPr>
          <w:color w:val="000000" w:themeColor="text1"/>
        </w:rPr>
      </w:pPr>
      <w:r w:rsidRPr="00FB31D9">
        <w:rPr>
          <w:color w:val="000000" w:themeColor="text1"/>
        </w:rPr>
        <w:t xml:space="preserve">As with any narrative review, the conclusions offered here are subject to the intrinsic limitations of the narrative review method, including the possibility of selection and interpretive bias in the identification, weighting, and synthesis of sources, notwithstanding </w:t>
      </w:r>
      <w:r w:rsidRPr="00FB31D9">
        <w:rPr>
          <w:color w:val="000000" w:themeColor="text1"/>
        </w:rPr>
        <w:lastRenderedPageBreak/>
        <w:t>the transparent search strategy and explicit critical-appraisal criteria documented in Section 2. The review does not employ a formally systematic screening protocol with a predefined and reported denominator of records assessed, and a differently constructed search strategy might have surfaced additional sources bearing on the theoretical debates addressed, particularly unpublished conference proceedings and dissertations that were consulted for background orientation but excluded from the evidentiary base under the eligibility criteria stated in Section 2.4.</w:t>
      </w:r>
    </w:p>
    <w:p w14:paraId="62DC24DD" w14:textId="77777777" w:rsidR="00281C2C" w:rsidRPr="00FB31D9" w:rsidRDefault="00000000" w:rsidP="00DB2291">
      <w:pPr>
        <w:pStyle w:val="BodyText"/>
        <w:spacing w:before="100" w:beforeAutospacing="1" w:after="100" w:afterAutospacing="1"/>
        <w:jc w:val="both"/>
        <w:rPr>
          <w:color w:val="000000" w:themeColor="text1"/>
        </w:rPr>
      </w:pPr>
      <w:r w:rsidRPr="00FB31D9">
        <w:rPr>
          <w:color w:val="000000" w:themeColor="text1"/>
        </w:rPr>
        <w:t>The review was conducted without access to subscription-only bibliographic databases such as Web of Science or Scopus beyond what is reflected in publicly accessible citation and bibliographic metadata, and it is possible that additional relevant peer-reviewed literature indexed exclusively in those databases was not identified. The review is restricted to English-language scholarly sources, which excludes a body of relevant Chinese-language theoretical and pedagogical literature on this topic that could not be verified against the bibliographic-authenticity standards applied throughout this review; this restriction is likely to have introduced some bias toward analyses situated within the generative and formal-semantic traditions predominant in English-language international linguistics publishing, relative to functionalist and pedagogical traditions more prominently represented in Chinese-language scholarship. The reviewed literature itself is heterogeneous in research design, spanning theoretical syntactic argumentation, corpus quantification, and experimental acquisition studies that operationalise definiteness, specificity, and anaphoricity in not fully consistent ways, which constrains the extent to which findings from different studies can be directly compared or quantitatively synthesised and is part of the rationale, stated in Section 2.1, for adopting a narrative rather than a quantitative synthesis. The review relies substantially on observational acceptability-judgement and corpus-frequency evidence rather than on experimentally controlled manipulation of the theoretical constructs under debate, a limitation shared with the primary literature it synthesises and one that is addressed directly in the Future Directions section. Finally, this is a rapidly developing area of theoretical semantics, with the central dispute addressed in Section 7 originating within the past decade and continuing to generate active responses at the time of writing; the balance of evidence characterised in the Conclusions section should therefore be understood as a snapshot of an unsettled and actively evolving debate rather than as a stable resolution.</w:t>
      </w:r>
    </w:p>
    <w:p w14:paraId="327F1591" w14:textId="77777777" w:rsidR="008E6158" w:rsidRPr="00FB31D9" w:rsidRDefault="008E6158" w:rsidP="00DB2291">
      <w:pPr>
        <w:spacing w:after="0"/>
        <w:jc w:val="both"/>
        <w:rPr>
          <w:rFonts w:ascii="Times New Roman" w:hAnsi="Times New Roman" w:cs="Times New Roman"/>
          <w:b/>
          <w:color w:val="000000" w:themeColor="text1"/>
        </w:rPr>
      </w:pPr>
      <w:r w:rsidRPr="00FB31D9">
        <w:rPr>
          <w:rFonts w:ascii="Times New Roman" w:hAnsi="Times New Roman" w:cs="Times New Roman"/>
          <w:b/>
          <w:color w:val="000000" w:themeColor="text1"/>
        </w:rPr>
        <w:t>Declaration of AI Use</w:t>
      </w:r>
    </w:p>
    <w:p w14:paraId="506B2900" w14:textId="77777777" w:rsidR="008E6158" w:rsidRPr="00FB31D9" w:rsidRDefault="008E6158" w:rsidP="00DB2291">
      <w:pPr>
        <w:spacing w:after="0"/>
        <w:jc w:val="both"/>
        <w:rPr>
          <w:rFonts w:ascii="Times New Roman" w:hAnsi="Times New Roman" w:cs="Times New Roman"/>
          <w:color w:val="000000" w:themeColor="text1"/>
        </w:rPr>
      </w:pPr>
    </w:p>
    <w:p w14:paraId="3A10D039" w14:textId="77777777" w:rsidR="008E6158" w:rsidRPr="00FB31D9" w:rsidRDefault="008E6158" w:rsidP="00DB2291">
      <w:pPr>
        <w:spacing w:after="0"/>
        <w:jc w:val="both"/>
        <w:rPr>
          <w:rFonts w:ascii="Times New Roman" w:hAnsi="Times New Roman" w:cs="Times New Roman"/>
          <w:color w:val="000000" w:themeColor="text1"/>
        </w:rPr>
      </w:pPr>
      <w:r w:rsidRPr="00FB31D9">
        <w:rPr>
          <w:rFonts w:ascii="Times New Roman" w:hAnsi="Times New Roman" w:cs="Times New Roman"/>
          <w:color w:val="000000" w:themeColor="text1"/>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210F1C6" w14:textId="77777777" w:rsidR="008E6158" w:rsidRPr="00FB31D9" w:rsidRDefault="008E6158" w:rsidP="00DB2291">
      <w:pPr>
        <w:pStyle w:val="BodyText"/>
        <w:spacing w:before="100" w:beforeAutospacing="1" w:after="100" w:afterAutospacing="1"/>
        <w:jc w:val="both"/>
        <w:rPr>
          <w:color w:val="000000" w:themeColor="text1"/>
        </w:rPr>
      </w:pPr>
    </w:p>
    <w:p w14:paraId="4F181551" w14:textId="77777777" w:rsidR="00281C2C" w:rsidRDefault="00000000" w:rsidP="00DB2291">
      <w:pPr>
        <w:pStyle w:val="Heading2"/>
        <w:spacing w:before="100" w:beforeAutospacing="1" w:after="100" w:afterAutospacing="1"/>
        <w:jc w:val="both"/>
        <w:rPr>
          <w:color w:val="000000" w:themeColor="text1"/>
        </w:rPr>
      </w:pPr>
      <w:bookmarkStart w:id="23" w:name="references"/>
      <w:bookmarkEnd w:id="22"/>
      <w:r w:rsidRPr="00FB31D9">
        <w:rPr>
          <w:color w:val="000000" w:themeColor="text1"/>
        </w:rPr>
        <w:lastRenderedPageBreak/>
        <w:t>References</w:t>
      </w:r>
    </w:p>
    <w:bookmarkEnd w:id="0"/>
    <w:bookmarkEnd w:id="23"/>
    <w:p w14:paraId="60C5DD68"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Abbott, B. (1993). A pragmatic account of the definiteness effect in existential sentences. </w:t>
      </w:r>
      <w:r w:rsidRPr="0077305B">
        <w:rPr>
          <w:rFonts w:ascii="Times New Roman" w:eastAsia="Times New Roman" w:hAnsi="Times New Roman" w:cs="Times New Roman"/>
          <w:i/>
          <w:iCs/>
        </w:rPr>
        <w:t>Journal of Pragmatics, 19</w:t>
      </w:r>
      <w:r w:rsidRPr="0077305B">
        <w:rPr>
          <w:rFonts w:ascii="Times New Roman" w:eastAsia="Times New Roman" w:hAnsi="Times New Roman" w:cs="Times New Roman"/>
        </w:rPr>
        <w:t xml:space="preserve">(1), 39–55. </w:t>
      </w:r>
      <w:hyperlink r:id="rId7" w:history="1">
        <w:r w:rsidRPr="0077305B">
          <w:rPr>
            <w:rFonts w:ascii="Times New Roman" w:eastAsia="Times New Roman" w:hAnsi="Times New Roman" w:cs="Times New Roman"/>
            <w:color w:val="0000FF"/>
            <w:u w:val="single"/>
          </w:rPr>
          <w:t>https://doi.org/10.1016/0378-2166(93)90069-2</w:t>
        </w:r>
      </w:hyperlink>
    </w:p>
    <w:p w14:paraId="21CBD03A"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Ahn, D., &amp; Zhu, Z. (2025). A bridge to definiteness: Identifying unique and relational </w:t>
      </w:r>
      <w:proofErr w:type="spellStart"/>
      <w:r w:rsidRPr="0077305B">
        <w:rPr>
          <w:rFonts w:ascii="Times New Roman" w:eastAsia="Times New Roman" w:hAnsi="Times New Roman" w:cs="Times New Roman"/>
        </w:rPr>
        <w:t>definites</w:t>
      </w:r>
      <w:proofErr w:type="spellEnd"/>
      <w:r w:rsidRPr="0077305B">
        <w:rPr>
          <w:rFonts w:ascii="Times New Roman" w:eastAsia="Times New Roman" w:hAnsi="Times New Roman" w:cs="Times New Roman"/>
        </w:rPr>
        <w:t xml:space="preserve"> through bridging. </w:t>
      </w:r>
      <w:r w:rsidRPr="0077305B">
        <w:rPr>
          <w:rFonts w:ascii="Times New Roman" w:eastAsia="Times New Roman" w:hAnsi="Times New Roman" w:cs="Times New Roman"/>
          <w:i/>
          <w:iCs/>
        </w:rPr>
        <w:t>Natural Language Semantics, 33</w:t>
      </w:r>
      <w:r w:rsidRPr="0077305B">
        <w:rPr>
          <w:rFonts w:ascii="Times New Roman" w:eastAsia="Times New Roman" w:hAnsi="Times New Roman" w:cs="Times New Roman"/>
        </w:rPr>
        <w:t xml:space="preserve">(4), 433–484. </w:t>
      </w:r>
      <w:hyperlink r:id="rId8" w:history="1">
        <w:r w:rsidRPr="0077305B">
          <w:rPr>
            <w:rFonts w:ascii="Times New Roman" w:eastAsia="Times New Roman" w:hAnsi="Times New Roman" w:cs="Times New Roman"/>
            <w:color w:val="0000FF"/>
            <w:u w:val="single"/>
          </w:rPr>
          <w:t>https://doi.org/10.1007/s11050-025-09237-8</w:t>
        </w:r>
      </w:hyperlink>
    </w:p>
    <w:p w14:paraId="22FFF4B3" w14:textId="77777777" w:rsidR="0077305B" w:rsidRPr="0077305B" w:rsidRDefault="0077305B" w:rsidP="0077305B">
      <w:pPr>
        <w:spacing w:before="100" w:beforeAutospacing="1" w:after="100" w:afterAutospacing="1"/>
        <w:rPr>
          <w:rFonts w:ascii="Times New Roman" w:eastAsia="Times New Roman" w:hAnsi="Times New Roman" w:cs="Times New Roman"/>
        </w:rPr>
      </w:pPr>
      <w:proofErr w:type="spellStart"/>
      <w:r w:rsidRPr="0077305B">
        <w:rPr>
          <w:rFonts w:ascii="Times New Roman" w:eastAsia="Times New Roman" w:hAnsi="Times New Roman" w:cs="Times New Roman"/>
        </w:rPr>
        <w:t>Baethge</w:t>
      </w:r>
      <w:proofErr w:type="spellEnd"/>
      <w:r w:rsidRPr="0077305B">
        <w:rPr>
          <w:rFonts w:ascii="Times New Roman" w:eastAsia="Times New Roman" w:hAnsi="Times New Roman" w:cs="Times New Roman"/>
        </w:rPr>
        <w:t xml:space="preserve">, C., Goldbeck-Wood, S., &amp; Mertens, S. (2019). SANRA—A scale for the quality assessment of narrative review articles. </w:t>
      </w:r>
      <w:r w:rsidRPr="0077305B">
        <w:rPr>
          <w:rFonts w:ascii="Times New Roman" w:eastAsia="Times New Roman" w:hAnsi="Times New Roman" w:cs="Times New Roman"/>
          <w:i/>
          <w:iCs/>
        </w:rPr>
        <w:t>Research Integrity and Peer Review, 4</w:t>
      </w:r>
      <w:r w:rsidRPr="0077305B">
        <w:rPr>
          <w:rFonts w:ascii="Times New Roman" w:eastAsia="Times New Roman" w:hAnsi="Times New Roman" w:cs="Times New Roman"/>
        </w:rPr>
        <w:t xml:space="preserve">, Article 5. </w:t>
      </w:r>
      <w:hyperlink r:id="rId9" w:history="1">
        <w:r w:rsidRPr="0077305B">
          <w:rPr>
            <w:rFonts w:ascii="Times New Roman" w:eastAsia="Times New Roman" w:hAnsi="Times New Roman" w:cs="Times New Roman"/>
            <w:color w:val="0000FF"/>
            <w:u w:val="single"/>
          </w:rPr>
          <w:t>https://doi.org/10.1186/s41073-019-0064-8</w:t>
        </w:r>
      </w:hyperlink>
    </w:p>
    <w:p w14:paraId="505B3046"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Chang, H.-H. (2016). Interpretation of bare and demonstrative noun phrases in the acquisition of Mandarin. </w:t>
      </w:r>
      <w:r w:rsidRPr="0077305B">
        <w:rPr>
          <w:rFonts w:ascii="Times New Roman" w:eastAsia="Times New Roman" w:hAnsi="Times New Roman" w:cs="Times New Roman"/>
          <w:i/>
          <w:iCs/>
        </w:rPr>
        <w:t>Language and Linguistics, 17</w:t>
      </w:r>
      <w:r w:rsidRPr="0077305B">
        <w:rPr>
          <w:rFonts w:ascii="Times New Roman" w:eastAsia="Times New Roman" w:hAnsi="Times New Roman" w:cs="Times New Roman"/>
        </w:rPr>
        <w:t xml:space="preserve">(6), 797–825. </w:t>
      </w:r>
      <w:hyperlink r:id="rId10" w:history="1">
        <w:r w:rsidRPr="0077305B">
          <w:rPr>
            <w:rFonts w:ascii="Times New Roman" w:eastAsia="Times New Roman" w:hAnsi="Times New Roman" w:cs="Times New Roman"/>
            <w:color w:val="0000FF"/>
            <w:u w:val="single"/>
          </w:rPr>
          <w:t>https://doi.org/10.1177/1606822X16660952</w:t>
        </w:r>
      </w:hyperlink>
    </w:p>
    <w:p w14:paraId="5557BE93"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Chen, J., Narasimhan, B., Chan, A., Yang, W., &amp; Yang, S. (2020). Information structure and word order preference in child and adult speech of Mandarin Chinese. </w:t>
      </w:r>
      <w:r w:rsidRPr="0077305B">
        <w:rPr>
          <w:rFonts w:ascii="Times New Roman" w:eastAsia="Times New Roman" w:hAnsi="Times New Roman" w:cs="Times New Roman"/>
          <w:i/>
          <w:iCs/>
        </w:rPr>
        <w:t>Languages, 5</w:t>
      </w:r>
      <w:r w:rsidRPr="0077305B">
        <w:rPr>
          <w:rFonts w:ascii="Times New Roman" w:eastAsia="Times New Roman" w:hAnsi="Times New Roman" w:cs="Times New Roman"/>
        </w:rPr>
        <w:t xml:space="preserve">(2), Article 14. </w:t>
      </w:r>
      <w:hyperlink r:id="rId11" w:history="1">
        <w:r w:rsidRPr="0077305B">
          <w:rPr>
            <w:rFonts w:ascii="Times New Roman" w:eastAsia="Times New Roman" w:hAnsi="Times New Roman" w:cs="Times New Roman"/>
            <w:color w:val="0000FF"/>
            <w:u w:val="single"/>
          </w:rPr>
          <w:t>https://doi.org/10.3390/languages5020014</w:t>
        </w:r>
      </w:hyperlink>
    </w:p>
    <w:p w14:paraId="223702BE"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Chen, P. (2004). Identifiability and definiteness in Chinese. </w:t>
      </w:r>
      <w:r w:rsidRPr="0077305B">
        <w:rPr>
          <w:rFonts w:ascii="Times New Roman" w:eastAsia="Times New Roman" w:hAnsi="Times New Roman" w:cs="Times New Roman"/>
          <w:i/>
          <w:iCs/>
        </w:rPr>
        <w:t>Linguistics, 42</w:t>
      </w:r>
      <w:r w:rsidRPr="0077305B">
        <w:rPr>
          <w:rFonts w:ascii="Times New Roman" w:eastAsia="Times New Roman" w:hAnsi="Times New Roman" w:cs="Times New Roman"/>
        </w:rPr>
        <w:t xml:space="preserve">(6), 1129–1184. </w:t>
      </w:r>
      <w:hyperlink r:id="rId12" w:history="1">
        <w:r w:rsidRPr="0077305B">
          <w:rPr>
            <w:rFonts w:ascii="Times New Roman" w:eastAsia="Times New Roman" w:hAnsi="Times New Roman" w:cs="Times New Roman"/>
            <w:color w:val="0000FF"/>
            <w:u w:val="single"/>
          </w:rPr>
          <w:t>https://doi.org/10.1515/ling.2004.42.6.1129</w:t>
        </w:r>
      </w:hyperlink>
    </w:p>
    <w:p w14:paraId="3370F7BC"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Chen, Q. (2022). English and Chinese existential constructions in contrast: A corpus-based semantic study. </w:t>
      </w:r>
      <w:proofErr w:type="spellStart"/>
      <w:r w:rsidRPr="0077305B">
        <w:rPr>
          <w:rFonts w:ascii="Times New Roman" w:eastAsia="Times New Roman" w:hAnsi="Times New Roman" w:cs="Times New Roman"/>
          <w:i/>
          <w:iCs/>
        </w:rPr>
        <w:t>Poznań</w:t>
      </w:r>
      <w:proofErr w:type="spellEnd"/>
      <w:r w:rsidRPr="0077305B">
        <w:rPr>
          <w:rFonts w:ascii="Times New Roman" w:eastAsia="Times New Roman" w:hAnsi="Times New Roman" w:cs="Times New Roman"/>
          <w:i/>
          <w:iCs/>
        </w:rPr>
        <w:t xml:space="preserve"> Studies in Contemporary Linguistics, 58</w:t>
      </w:r>
      <w:r w:rsidRPr="0077305B">
        <w:rPr>
          <w:rFonts w:ascii="Times New Roman" w:eastAsia="Times New Roman" w:hAnsi="Times New Roman" w:cs="Times New Roman"/>
        </w:rPr>
        <w:t xml:space="preserve">(4), 717–750. </w:t>
      </w:r>
      <w:hyperlink r:id="rId13" w:history="1">
        <w:r w:rsidRPr="0077305B">
          <w:rPr>
            <w:rFonts w:ascii="Times New Roman" w:eastAsia="Times New Roman" w:hAnsi="Times New Roman" w:cs="Times New Roman"/>
            <w:color w:val="0000FF"/>
            <w:u w:val="single"/>
          </w:rPr>
          <w:t>https://doi.org/10.1515/psicl-2022-0029</w:t>
        </w:r>
      </w:hyperlink>
    </w:p>
    <w:p w14:paraId="0FDCB06E"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Cheng, L. L.-S., &amp; Sybesma, R. (1999). Bare and not-so-bare nouns and the structure of NP. </w:t>
      </w:r>
      <w:r w:rsidRPr="0077305B">
        <w:rPr>
          <w:rFonts w:ascii="Times New Roman" w:eastAsia="Times New Roman" w:hAnsi="Times New Roman" w:cs="Times New Roman"/>
          <w:i/>
          <w:iCs/>
        </w:rPr>
        <w:t>Linguistic Inquiry, 30</w:t>
      </w:r>
      <w:r w:rsidRPr="0077305B">
        <w:rPr>
          <w:rFonts w:ascii="Times New Roman" w:eastAsia="Times New Roman" w:hAnsi="Times New Roman" w:cs="Times New Roman"/>
        </w:rPr>
        <w:t xml:space="preserve">(4), 509–542. </w:t>
      </w:r>
      <w:hyperlink r:id="rId14" w:history="1">
        <w:r w:rsidRPr="0077305B">
          <w:rPr>
            <w:rFonts w:ascii="Times New Roman" w:eastAsia="Times New Roman" w:hAnsi="Times New Roman" w:cs="Times New Roman"/>
            <w:color w:val="0000FF"/>
            <w:u w:val="single"/>
          </w:rPr>
          <w:t>https://doi.org/10.1162/002438999554192</w:t>
        </w:r>
      </w:hyperlink>
    </w:p>
    <w:p w14:paraId="20692A3B" w14:textId="77777777" w:rsidR="0077305B" w:rsidRPr="0077305B" w:rsidRDefault="0077305B" w:rsidP="0077305B">
      <w:pPr>
        <w:spacing w:before="100" w:beforeAutospacing="1" w:after="100" w:afterAutospacing="1"/>
        <w:rPr>
          <w:rFonts w:ascii="Times New Roman" w:eastAsia="Times New Roman" w:hAnsi="Times New Roman" w:cs="Times New Roman"/>
        </w:rPr>
      </w:pPr>
      <w:proofErr w:type="spellStart"/>
      <w:r w:rsidRPr="0077305B">
        <w:rPr>
          <w:rFonts w:ascii="Times New Roman" w:eastAsia="Times New Roman" w:hAnsi="Times New Roman" w:cs="Times New Roman"/>
        </w:rPr>
        <w:t>Chierchia</w:t>
      </w:r>
      <w:proofErr w:type="spellEnd"/>
      <w:r w:rsidRPr="0077305B">
        <w:rPr>
          <w:rFonts w:ascii="Times New Roman" w:eastAsia="Times New Roman" w:hAnsi="Times New Roman" w:cs="Times New Roman"/>
        </w:rPr>
        <w:t xml:space="preserve">, G. (1998). Reference to kinds across languages. </w:t>
      </w:r>
      <w:r w:rsidRPr="0077305B">
        <w:rPr>
          <w:rFonts w:ascii="Times New Roman" w:eastAsia="Times New Roman" w:hAnsi="Times New Roman" w:cs="Times New Roman"/>
          <w:i/>
          <w:iCs/>
        </w:rPr>
        <w:t>Natural Language Semantics, 6</w:t>
      </w:r>
      <w:r w:rsidRPr="0077305B">
        <w:rPr>
          <w:rFonts w:ascii="Times New Roman" w:eastAsia="Times New Roman" w:hAnsi="Times New Roman" w:cs="Times New Roman"/>
        </w:rPr>
        <w:t xml:space="preserve">(4), 339–405. </w:t>
      </w:r>
      <w:hyperlink r:id="rId15" w:history="1">
        <w:r w:rsidRPr="0077305B">
          <w:rPr>
            <w:rFonts w:ascii="Times New Roman" w:eastAsia="Times New Roman" w:hAnsi="Times New Roman" w:cs="Times New Roman"/>
            <w:color w:val="0000FF"/>
            <w:u w:val="single"/>
          </w:rPr>
          <w:t>https://doi.org/10.1023/A:1008324218506</w:t>
        </w:r>
      </w:hyperlink>
    </w:p>
    <w:p w14:paraId="7D85CABC"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Dayal, V., &amp; Jiang, L. J. (2023). The puzzle of anaphoric bare nouns in Mandarin: A counterpoint to Index! </w:t>
      </w:r>
      <w:r w:rsidRPr="0077305B">
        <w:rPr>
          <w:rFonts w:ascii="Times New Roman" w:eastAsia="Times New Roman" w:hAnsi="Times New Roman" w:cs="Times New Roman"/>
          <w:i/>
          <w:iCs/>
        </w:rPr>
        <w:t>Linguistic Inquiry, 54</w:t>
      </w:r>
      <w:r w:rsidRPr="0077305B">
        <w:rPr>
          <w:rFonts w:ascii="Times New Roman" w:eastAsia="Times New Roman" w:hAnsi="Times New Roman" w:cs="Times New Roman"/>
        </w:rPr>
        <w:t xml:space="preserve">(1), 147–167. </w:t>
      </w:r>
      <w:hyperlink r:id="rId16" w:history="1">
        <w:r w:rsidRPr="0077305B">
          <w:rPr>
            <w:rFonts w:ascii="Times New Roman" w:eastAsia="Times New Roman" w:hAnsi="Times New Roman" w:cs="Times New Roman"/>
            <w:color w:val="0000FF"/>
            <w:u w:val="single"/>
          </w:rPr>
          <w:t>https://doi.org/10.1162/ling_a_00433</w:t>
        </w:r>
      </w:hyperlink>
    </w:p>
    <w:p w14:paraId="10BF7C12"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Feng, S. (2019). The acquisition of English definite noun phrases by Mandarin Chinese speakers. </w:t>
      </w:r>
      <w:r w:rsidRPr="0077305B">
        <w:rPr>
          <w:rFonts w:ascii="Times New Roman" w:eastAsia="Times New Roman" w:hAnsi="Times New Roman" w:cs="Times New Roman"/>
          <w:i/>
          <w:iCs/>
        </w:rPr>
        <w:t>Studies in Second Language Acquisition, 41</w:t>
      </w:r>
      <w:r w:rsidRPr="0077305B">
        <w:rPr>
          <w:rFonts w:ascii="Times New Roman" w:eastAsia="Times New Roman" w:hAnsi="Times New Roman" w:cs="Times New Roman"/>
        </w:rPr>
        <w:t xml:space="preserve">(4), 881–896. </w:t>
      </w:r>
      <w:hyperlink r:id="rId17" w:history="1">
        <w:r w:rsidRPr="0077305B">
          <w:rPr>
            <w:rFonts w:ascii="Times New Roman" w:eastAsia="Times New Roman" w:hAnsi="Times New Roman" w:cs="Times New Roman"/>
            <w:color w:val="0000FF"/>
            <w:u w:val="single"/>
          </w:rPr>
          <w:t>https://doi.org/10.1017/S0272263118000323</w:t>
        </w:r>
      </w:hyperlink>
    </w:p>
    <w:p w14:paraId="1D077610"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Gelman, S. A., &amp; Tardif, T. (1998). A cross-linguistic comparison of generic noun phrases in English and Mandarin. </w:t>
      </w:r>
      <w:r w:rsidRPr="0077305B">
        <w:rPr>
          <w:rFonts w:ascii="Times New Roman" w:eastAsia="Times New Roman" w:hAnsi="Times New Roman" w:cs="Times New Roman"/>
          <w:i/>
          <w:iCs/>
        </w:rPr>
        <w:t>Cognition, 66</w:t>
      </w:r>
      <w:r w:rsidRPr="0077305B">
        <w:rPr>
          <w:rFonts w:ascii="Times New Roman" w:eastAsia="Times New Roman" w:hAnsi="Times New Roman" w:cs="Times New Roman"/>
        </w:rPr>
        <w:t xml:space="preserve">(3), 215–248. </w:t>
      </w:r>
      <w:hyperlink r:id="rId18" w:history="1">
        <w:r w:rsidRPr="0077305B">
          <w:rPr>
            <w:rFonts w:ascii="Times New Roman" w:eastAsia="Times New Roman" w:hAnsi="Times New Roman" w:cs="Times New Roman"/>
            <w:color w:val="0000FF"/>
            <w:u w:val="single"/>
          </w:rPr>
          <w:t>https://doi.org/10.1016/S0010-0277(98)00021-3</w:t>
        </w:r>
      </w:hyperlink>
    </w:p>
    <w:p w14:paraId="42490E24"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lastRenderedPageBreak/>
        <w:t xml:space="preserve">Hu, J., &amp; Pan, H. (2008). Focus and the basic function of Chinese existential </w:t>
      </w:r>
      <w:r w:rsidRPr="0077305B">
        <w:rPr>
          <w:rFonts w:ascii="Times New Roman" w:eastAsia="Times New Roman" w:hAnsi="Times New Roman" w:cs="Times New Roman"/>
          <w:i/>
          <w:iCs/>
        </w:rPr>
        <w:t>you</w:t>
      </w:r>
      <w:r w:rsidRPr="0077305B">
        <w:rPr>
          <w:rFonts w:ascii="Times New Roman" w:eastAsia="Times New Roman" w:hAnsi="Times New Roman" w:cs="Times New Roman"/>
        </w:rPr>
        <w:t xml:space="preserve">-sentences. In I. </w:t>
      </w:r>
      <w:proofErr w:type="spellStart"/>
      <w:r w:rsidRPr="0077305B">
        <w:rPr>
          <w:rFonts w:ascii="Times New Roman" w:eastAsia="Times New Roman" w:hAnsi="Times New Roman" w:cs="Times New Roman"/>
        </w:rPr>
        <w:t>Comorovski</w:t>
      </w:r>
      <w:proofErr w:type="spellEnd"/>
      <w:r w:rsidRPr="0077305B">
        <w:rPr>
          <w:rFonts w:ascii="Times New Roman" w:eastAsia="Times New Roman" w:hAnsi="Times New Roman" w:cs="Times New Roman"/>
        </w:rPr>
        <w:t xml:space="preserve"> &amp; K. von Heusinger (Eds.), </w:t>
      </w:r>
      <w:r w:rsidRPr="0077305B">
        <w:rPr>
          <w:rFonts w:ascii="Times New Roman" w:eastAsia="Times New Roman" w:hAnsi="Times New Roman" w:cs="Times New Roman"/>
          <w:i/>
          <w:iCs/>
        </w:rPr>
        <w:t>Existence: Semantics and syntax</w:t>
      </w:r>
      <w:r w:rsidRPr="0077305B">
        <w:rPr>
          <w:rFonts w:ascii="Times New Roman" w:eastAsia="Times New Roman" w:hAnsi="Times New Roman" w:cs="Times New Roman"/>
        </w:rPr>
        <w:t xml:space="preserve"> (pp. 133–145). Springer. </w:t>
      </w:r>
      <w:hyperlink r:id="rId19" w:history="1">
        <w:r w:rsidRPr="0077305B">
          <w:rPr>
            <w:rFonts w:ascii="Times New Roman" w:eastAsia="Times New Roman" w:hAnsi="Times New Roman" w:cs="Times New Roman"/>
            <w:color w:val="0000FF"/>
            <w:u w:val="single"/>
          </w:rPr>
          <w:t>https://doi.org/10.1007/978-1-4020-6197-4_5</w:t>
        </w:r>
      </w:hyperlink>
    </w:p>
    <w:p w14:paraId="13CA80A1"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Huang, C.-T. J. (1987). Existential sentences in Chinese and (in)definiteness. In E. J. Reuland &amp; A. G. B. ter Meulen (Eds.), </w:t>
      </w:r>
      <w:r w:rsidRPr="0077305B">
        <w:rPr>
          <w:rFonts w:ascii="Times New Roman" w:eastAsia="Times New Roman" w:hAnsi="Times New Roman" w:cs="Times New Roman"/>
          <w:i/>
          <w:iCs/>
        </w:rPr>
        <w:t>The representation of (in)definiteness</w:t>
      </w:r>
      <w:r w:rsidRPr="0077305B">
        <w:rPr>
          <w:rFonts w:ascii="Times New Roman" w:eastAsia="Times New Roman" w:hAnsi="Times New Roman" w:cs="Times New Roman"/>
        </w:rPr>
        <w:t xml:space="preserve"> (pp. 226–253). MIT Press. </w:t>
      </w:r>
      <w:hyperlink r:id="rId20" w:history="1">
        <w:r w:rsidRPr="0077305B">
          <w:rPr>
            <w:rFonts w:ascii="Times New Roman" w:eastAsia="Times New Roman" w:hAnsi="Times New Roman" w:cs="Times New Roman"/>
            <w:color w:val="0000FF"/>
            <w:u w:val="single"/>
          </w:rPr>
          <w:t>https://ctjhuang.scholars.harvard.edu/sites/g/files/omnuum5106/files/ctjhuang/files/1987_indefiniteness_from_bss.pdf</w:t>
        </w:r>
      </w:hyperlink>
    </w:p>
    <w:p w14:paraId="5AB56DE3"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Huang, C.-T. J., Li, Y.-H. A., &amp; Li, Y. (2009). </w:t>
      </w:r>
      <w:r w:rsidRPr="0077305B">
        <w:rPr>
          <w:rFonts w:ascii="Times New Roman" w:eastAsia="Times New Roman" w:hAnsi="Times New Roman" w:cs="Times New Roman"/>
          <w:i/>
          <w:iCs/>
        </w:rPr>
        <w:t>The syntax of Chinese</w:t>
      </w:r>
      <w:r w:rsidRPr="0077305B">
        <w:rPr>
          <w:rFonts w:ascii="Times New Roman" w:eastAsia="Times New Roman" w:hAnsi="Times New Roman" w:cs="Times New Roman"/>
        </w:rPr>
        <w:t xml:space="preserve">. Cambridge University Press. </w:t>
      </w:r>
      <w:hyperlink r:id="rId21" w:history="1">
        <w:r w:rsidRPr="0077305B">
          <w:rPr>
            <w:rFonts w:ascii="Times New Roman" w:eastAsia="Times New Roman" w:hAnsi="Times New Roman" w:cs="Times New Roman"/>
            <w:color w:val="0000FF"/>
            <w:u w:val="single"/>
          </w:rPr>
          <w:t>https://doi.org/10.1017/CBO9781139166935</w:t>
        </w:r>
      </w:hyperlink>
    </w:p>
    <w:p w14:paraId="7D458FA7"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Huang, S. (1999). The emergence of a grammatical category definite article in spoken Chinese. </w:t>
      </w:r>
      <w:r w:rsidRPr="0077305B">
        <w:rPr>
          <w:rFonts w:ascii="Times New Roman" w:eastAsia="Times New Roman" w:hAnsi="Times New Roman" w:cs="Times New Roman"/>
          <w:i/>
          <w:iCs/>
        </w:rPr>
        <w:t>Journal of Pragmatics, 31</w:t>
      </w:r>
      <w:r w:rsidRPr="0077305B">
        <w:rPr>
          <w:rFonts w:ascii="Times New Roman" w:eastAsia="Times New Roman" w:hAnsi="Times New Roman" w:cs="Times New Roman"/>
        </w:rPr>
        <w:t xml:space="preserve">(1), 77–94. </w:t>
      </w:r>
      <w:hyperlink r:id="rId22" w:history="1">
        <w:r w:rsidRPr="0077305B">
          <w:rPr>
            <w:rFonts w:ascii="Times New Roman" w:eastAsia="Times New Roman" w:hAnsi="Times New Roman" w:cs="Times New Roman"/>
            <w:color w:val="0000FF"/>
            <w:u w:val="single"/>
          </w:rPr>
          <w:t>https://doi.org/10.1016/S0378-2166(98)00052-6</w:t>
        </w:r>
      </w:hyperlink>
    </w:p>
    <w:p w14:paraId="70A4F2F9"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Huang, Y. (2025). Between bare nouns and demonstratives: An experimental study of referent identifiability in Mandarin Chinese. </w:t>
      </w:r>
      <w:r w:rsidRPr="0077305B">
        <w:rPr>
          <w:rFonts w:ascii="Times New Roman" w:eastAsia="Times New Roman" w:hAnsi="Times New Roman" w:cs="Times New Roman"/>
          <w:i/>
          <w:iCs/>
        </w:rPr>
        <w:t>Chinese Language and Discourse, 16</w:t>
      </w:r>
      <w:r w:rsidRPr="0077305B">
        <w:rPr>
          <w:rFonts w:ascii="Times New Roman" w:eastAsia="Times New Roman" w:hAnsi="Times New Roman" w:cs="Times New Roman"/>
        </w:rPr>
        <w:t xml:space="preserve">(2), 305–343. </w:t>
      </w:r>
      <w:hyperlink r:id="rId23" w:history="1">
        <w:r w:rsidRPr="0077305B">
          <w:rPr>
            <w:rFonts w:ascii="Times New Roman" w:eastAsia="Times New Roman" w:hAnsi="Times New Roman" w:cs="Times New Roman"/>
            <w:color w:val="0000FF"/>
            <w:u w:val="single"/>
          </w:rPr>
          <w:t>https://doi.org/10.1075/cld.24037.hua</w:t>
        </w:r>
      </w:hyperlink>
    </w:p>
    <w:p w14:paraId="030A3DA9"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Jenks, P. (2018). Articulated definiteness without articles. </w:t>
      </w:r>
      <w:r w:rsidRPr="0077305B">
        <w:rPr>
          <w:rFonts w:ascii="Times New Roman" w:eastAsia="Times New Roman" w:hAnsi="Times New Roman" w:cs="Times New Roman"/>
          <w:i/>
          <w:iCs/>
        </w:rPr>
        <w:t>Linguistic Inquiry, 49</w:t>
      </w:r>
      <w:r w:rsidRPr="0077305B">
        <w:rPr>
          <w:rFonts w:ascii="Times New Roman" w:eastAsia="Times New Roman" w:hAnsi="Times New Roman" w:cs="Times New Roman"/>
        </w:rPr>
        <w:t xml:space="preserve">(3), 501–536. </w:t>
      </w:r>
      <w:hyperlink r:id="rId24" w:history="1">
        <w:r w:rsidRPr="0077305B">
          <w:rPr>
            <w:rFonts w:ascii="Times New Roman" w:eastAsia="Times New Roman" w:hAnsi="Times New Roman" w:cs="Times New Roman"/>
            <w:color w:val="0000FF"/>
            <w:u w:val="single"/>
          </w:rPr>
          <w:t>https://doi.org/10.1162/ling_a_00280</w:t>
        </w:r>
      </w:hyperlink>
    </w:p>
    <w:p w14:paraId="3AEC31F8"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Jiang, L. J. (2020). </w:t>
      </w:r>
      <w:r w:rsidRPr="0077305B">
        <w:rPr>
          <w:rFonts w:ascii="Times New Roman" w:eastAsia="Times New Roman" w:hAnsi="Times New Roman" w:cs="Times New Roman"/>
          <w:i/>
          <w:iCs/>
        </w:rPr>
        <w:t>Nominal arguments and language variation</w:t>
      </w:r>
      <w:r w:rsidRPr="0077305B">
        <w:rPr>
          <w:rFonts w:ascii="Times New Roman" w:eastAsia="Times New Roman" w:hAnsi="Times New Roman" w:cs="Times New Roman"/>
        </w:rPr>
        <w:t xml:space="preserve">. Oxford University Press. </w:t>
      </w:r>
      <w:hyperlink r:id="rId25" w:history="1">
        <w:r w:rsidRPr="0077305B">
          <w:rPr>
            <w:rFonts w:ascii="Times New Roman" w:eastAsia="Times New Roman" w:hAnsi="Times New Roman" w:cs="Times New Roman"/>
            <w:color w:val="0000FF"/>
            <w:u w:val="single"/>
          </w:rPr>
          <w:t>https://doi.org/10.1093/oso/9780190084165.001.0001</w:t>
        </w:r>
      </w:hyperlink>
    </w:p>
    <w:p w14:paraId="1245CC11"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Jiang, S., &amp; Zhang, H. (2022). The features and factors in the acquisition of English existential constructions at the syntax–pragmatics interface by Chinese learners. </w:t>
      </w:r>
      <w:r w:rsidRPr="0077305B">
        <w:rPr>
          <w:rFonts w:ascii="Times New Roman" w:eastAsia="Times New Roman" w:hAnsi="Times New Roman" w:cs="Times New Roman"/>
          <w:i/>
          <w:iCs/>
        </w:rPr>
        <w:t>Frontiers in Psychology, 13</w:t>
      </w:r>
      <w:r w:rsidRPr="0077305B">
        <w:rPr>
          <w:rFonts w:ascii="Times New Roman" w:eastAsia="Times New Roman" w:hAnsi="Times New Roman" w:cs="Times New Roman"/>
        </w:rPr>
        <w:t xml:space="preserve">, Article 983547. </w:t>
      </w:r>
      <w:hyperlink r:id="rId26" w:history="1">
        <w:r w:rsidRPr="0077305B">
          <w:rPr>
            <w:rFonts w:ascii="Times New Roman" w:eastAsia="Times New Roman" w:hAnsi="Times New Roman" w:cs="Times New Roman"/>
            <w:color w:val="0000FF"/>
            <w:u w:val="single"/>
          </w:rPr>
          <w:t>https://doi.org/10.3389/fpsyg.2022.983547</w:t>
        </w:r>
      </w:hyperlink>
    </w:p>
    <w:p w14:paraId="1AB271E8"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Jin, J., Ke, S. E., &amp; Lee, J. C.-K. (2022). Language interfaces in adult heritage language acquisition: A study on encoding of nominal reference in Mandarin Chinese as a heritage language. </w:t>
      </w:r>
      <w:r w:rsidRPr="0077305B">
        <w:rPr>
          <w:rFonts w:ascii="Times New Roman" w:eastAsia="Times New Roman" w:hAnsi="Times New Roman" w:cs="Times New Roman"/>
          <w:i/>
          <w:iCs/>
        </w:rPr>
        <w:t>Frontiers in Psychology, 12</w:t>
      </w:r>
      <w:r w:rsidRPr="0077305B">
        <w:rPr>
          <w:rFonts w:ascii="Times New Roman" w:eastAsia="Times New Roman" w:hAnsi="Times New Roman" w:cs="Times New Roman"/>
        </w:rPr>
        <w:t xml:space="preserve">, Article 790102. </w:t>
      </w:r>
      <w:hyperlink r:id="rId27" w:history="1">
        <w:r w:rsidRPr="0077305B">
          <w:rPr>
            <w:rFonts w:ascii="Times New Roman" w:eastAsia="Times New Roman" w:hAnsi="Times New Roman" w:cs="Times New Roman"/>
            <w:color w:val="0000FF"/>
            <w:u w:val="single"/>
          </w:rPr>
          <w:t>https://doi.org/10.3389/fpsyg.2021.790102</w:t>
        </w:r>
      </w:hyperlink>
    </w:p>
    <w:p w14:paraId="4AC8A0EE"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Kuo, P.-J. (2022). Contextualized existential constructions in Mandarin Chinese. </w:t>
      </w:r>
      <w:r w:rsidRPr="0077305B">
        <w:rPr>
          <w:rFonts w:ascii="Times New Roman" w:eastAsia="Times New Roman" w:hAnsi="Times New Roman" w:cs="Times New Roman"/>
          <w:i/>
          <w:iCs/>
        </w:rPr>
        <w:t>Language Research, 58</w:t>
      </w:r>
      <w:r w:rsidRPr="0077305B">
        <w:rPr>
          <w:rFonts w:ascii="Times New Roman" w:eastAsia="Times New Roman" w:hAnsi="Times New Roman" w:cs="Times New Roman"/>
        </w:rPr>
        <w:t xml:space="preserve">(3), 177–203. </w:t>
      </w:r>
      <w:hyperlink r:id="rId28" w:history="1">
        <w:r w:rsidRPr="0077305B">
          <w:rPr>
            <w:rFonts w:ascii="Times New Roman" w:eastAsia="Times New Roman" w:hAnsi="Times New Roman" w:cs="Times New Roman"/>
            <w:color w:val="0000FF"/>
            <w:u w:val="single"/>
          </w:rPr>
          <w:t>https://doi.org/10.30961/lr.2022.58.3.177</w:t>
        </w:r>
      </w:hyperlink>
    </w:p>
    <w:p w14:paraId="0DD2A786"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Li, C. N., &amp; Thompson, S. A. (1981). </w:t>
      </w:r>
      <w:r w:rsidRPr="0077305B">
        <w:rPr>
          <w:rFonts w:ascii="Times New Roman" w:eastAsia="Times New Roman" w:hAnsi="Times New Roman" w:cs="Times New Roman"/>
          <w:i/>
          <w:iCs/>
        </w:rPr>
        <w:t>Mandarin Chinese: A functional reference grammar</w:t>
      </w:r>
      <w:r w:rsidRPr="0077305B">
        <w:rPr>
          <w:rFonts w:ascii="Times New Roman" w:eastAsia="Times New Roman" w:hAnsi="Times New Roman" w:cs="Times New Roman"/>
        </w:rPr>
        <w:t xml:space="preserve">. University of California Press. </w:t>
      </w:r>
      <w:hyperlink r:id="rId29" w:history="1">
        <w:r w:rsidRPr="0077305B">
          <w:rPr>
            <w:rFonts w:ascii="Times New Roman" w:eastAsia="Times New Roman" w:hAnsi="Times New Roman" w:cs="Times New Roman"/>
            <w:color w:val="0000FF"/>
            <w:u w:val="single"/>
          </w:rPr>
          <w:t>https://www.ucpress.edu/books/mandarin-chinese/paper</w:t>
        </w:r>
      </w:hyperlink>
    </w:p>
    <w:p w14:paraId="65718A15"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Li, Y.-H. A. (1990). </w:t>
      </w:r>
      <w:r w:rsidRPr="0077305B">
        <w:rPr>
          <w:rFonts w:ascii="Times New Roman" w:eastAsia="Times New Roman" w:hAnsi="Times New Roman" w:cs="Times New Roman"/>
          <w:i/>
          <w:iCs/>
        </w:rPr>
        <w:t>Order and constituency in Mandarin Chinese</w:t>
      </w:r>
      <w:r w:rsidRPr="0077305B">
        <w:rPr>
          <w:rFonts w:ascii="Times New Roman" w:eastAsia="Times New Roman" w:hAnsi="Times New Roman" w:cs="Times New Roman"/>
        </w:rPr>
        <w:t xml:space="preserve">. Kluwer Academic Publishers. </w:t>
      </w:r>
      <w:hyperlink r:id="rId30" w:history="1">
        <w:r w:rsidRPr="0077305B">
          <w:rPr>
            <w:rFonts w:ascii="Times New Roman" w:eastAsia="Times New Roman" w:hAnsi="Times New Roman" w:cs="Times New Roman"/>
            <w:color w:val="0000FF"/>
            <w:u w:val="single"/>
          </w:rPr>
          <w:t>https://doi.org/10.1007/978-94-009-1898-6</w:t>
        </w:r>
      </w:hyperlink>
    </w:p>
    <w:p w14:paraId="4FCB2FA1"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Li, Y.-H. A. (1998). Argument determiner phrases and number phrases. </w:t>
      </w:r>
      <w:r w:rsidRPr="0077305B">
        <w:rPr>
          <w:rFonts w:ascii="Times New Roman" w:eastAsia="Times New Roman" w:hAnsi="Times New Roman" w:cs="Times New Roman"/>
          <w:i/>
          <w:iCs/>
        </w:rPr>
        <w:t>Linguistic Inquiry, 29</w:t>
      </w:r>
      <w:r w:rsidRPr="0077305B">
        <w:rPr>
          <w:rFonts w:ascii="Times New Roman" w:eastAsia="Times New Roman" w:hAnsi="Times New Roman" w:cs="Times New Roman"/>
        </w:rPr>
        <w:t xml:space="preserve">(4), 693–702. </w:t>
      </w:r>
      <w:hyperlink r:id="rId31" w:history="1">
        <w:r w:rsidRPr="0077305B">
          <w:rPr>
            <w:rFonts w:ascii="Times New Roman" w:eastAsia="Times New Roman" w:hAnsi="Times New Roman" w:cs="Times New Roman"/>
            <w:color w:val="0000FF"/>
            <w:u w:val="single"/>
          </w:rPr>
          <w:t>https://doi.org/10.1162/ling.1998.29.4.693</w:t>
        </w:r>
      </w:hyperlink>
    </w:p>
    <w:p w14:paraId="40EF11D3"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lastRenderedPageBreak/>
        <w:t xml:space="preserve">Pan, H. (1996). Imperfective aspect </w:t>
      </w:r>
      <w:proofErr w:type="spellStart"/>
      <w:r w:rsidRPr="0077305B">
        <w:rPr>
          <w:rFonts w:ascii="Times New Roman" w:eastAsia="Times New Roman" w:hAnsi="Times New Roman" w:cs="Times New Roman"/>
          <w:i/>
          <w:iCs/>
        </w:rPr>
        <w:t>zhe</w:t>
      </w:r>
      <w:proofErr w:type="spellEnd"/>
      <w:r w:rsidRPr="0077305B">
        <w:rPr>
          <w:rFonts w:ascii="Times New Roman" w:eastAsia="Times New Roman" w:hAnsi="Times New Roman" w:cs="Times New Roman"/>
        </w:rPr>
        <w:t xml:space="preserve">, agent deletion, and locative inversion in Mandarin Chinese. </w:t>
      </w:r>
      <w:r w:rsidRPr="0077305B">
        <w:rPr>
          <w:rFonts w:ascii="Times New Roman" w:eastAsia="Times New Roman" w:hAnsi="Times New Roman" w:cs="Times New Roman"/>
          <w:i/>
          <w:iCs/>
        </w:rPr>
        <w:t>Natural Language &amp; Linguistic Theory, 14</w:t>
      </w:r>
      <w:r w:rsidRPr="0077305B">
        <w:rPr>
          <w:rFonts w:ascii="Times New Roman" w:eastAsia="Times New Roman" w:hAnsi="Times New Roman" w:cs="Times New Roman"/>
        </w:rPr>
        <w:t xml:space="preserve">(2), 409–432. </w:t>
      </w:r>
      <w:hyperlink r:id="rId32" w:history="1">
        <w:r w:rsidRPr="0077305B">
          <w:rPr>
            <w:rFonts w:ascii="Times New Roman" w:eastAsia="Times New Roman" w:hAnsi="Times New Roman" w:cs="Times New Roman"/>
            <w:color w:val="0000FF"/>
            <w:u w:val="single"/>
          </w:rPr>
          <w:t>https://doi.org/10.1007/BF00133688</w:t>
        </w:r>
      </w:hyperlink>
    </w:p>
    <w:p w14:paraId="2E8B996E"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Park, M.-K., &amp; Kang, A. (2024). Anaphoric </w:t>
      </w:r>
      <w:proofErr w:type="spellStart"/>
      <w:r w:rsidRPr="0077305B">
        <w:rPr>
          <w:rFonts w:ascii="Times New Roman" w:eastAsia="Times New Roman" w:hAnsi="Times New Roman" w:cs="Times New Roman"/>
        </w:rPr>
        <w:t>definites</w:t>
      </w:r>
      <w:proofErr w:type="spellEnd"/>
      <w:r w:rsidRPr="0077305B">
        <w:rPr>
          <w:rFonts w:ascii="Times New Roman" w:eastAsia="Times New Roman" w:hAnsi="Times New Roman" w:cs="Times New Roman"/>
        </w:rPr>
        <w:t xml:space="preserve"> without a determiner: Korean vs. Chinese. </w:t>
      </w:r>
      <w:r w:rsidRPr="0077305B">
        <w:rPr>
          <w:rFonts w:ascii="Times New Roman" w:eastAsia="Times New Roman" w:hAnsi="Times New Roman" w:cs="Times New Roman"/>
          <w:i/>
          <w:iCs/>
        </w:rPr>
        <w:t>Journal of Cognitive Science, 25</w:t>
      </w:r>
      <w:r w:rsidRPr="0077305B">
        <w:rPr>
          <w:rFonts w:ascii="Times New Roman" w:eastAsia="Times New Roman" w:hAnsi="Times New Roman" w:cs="Times New Roman"/>
        </w:rPr>
        <w:t xml:space="preserve">(1), 67–124. </w:t>
      </w:r>
      <w:hyperlink r:id="rId33" w:history="1">
        <w:r w:rsidRPr="0077305B">
          <w:rPr>
            <w:rFonts w:ascii="Times New Roman" w:eastAsia="Times New Roman" w:hAnsi="Times New Roman" w:cs="Times New Roman"/>
            <w:color w:val="0000FF"/>
            <w:u w:val="single"/>
          </w:rPr>
          <w:t>https://doi.org/10.17791/jcs.2024.25.1.67</w:t>
        </w:r>
      </w:hyperlink>
    </w:p>
    <w:p w14:paraId="3C89D944"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Paul, W., Lu, Y., &amp; Lee, T. H.-T. (2020). Existential and locative constructions in Mandarin Chinese. </w:t>
      </w:r>
      <w:r w:rsidRPr="0077305B">
        <w:rPr>
          <w:rFonts w:ascii="Times New Roman" w:eastAsia="Times New Roman" w:hAnsi="Times New Roman" w:cs="Times New Roman"/>
          <w:i/>
          <w:iCs/>
        </w:rPr>
        <w:t>The Linguistic Review, 37</w:t>
      </w:r>
      <w:r w:rsidRPr="0077305B">
        <w:rPr>
          <w:rFonts w:ascii="Times New Roman" w:eastAsia="Times New Roman" w:hAnsi="Times New Roman" w:cs="Times New Roman"/>
        </w:rPr>
        <w:t xml:space="preserve">(2), 231–267. </w:t>
      </w:r>
      <w:hyperlink r:id="rId34" w:history="1">
        <w:r w:rsidRPr="0077305B">
          <w:rPr>
            <w:rFonts w:ascii="Times New Roman" w:eastAsia="Times New Roman" w:hAnsi="Times New Roman" w:cs="Times New Roman"/>
            <w:color w:val="0000FF"/>
            <w:u w:val="single"/>
          </w:rPr>
          <w:t>https://doi.org/10.1515/tlr-2019-2043</w:t>
        </w:r>
      </w:hyperlink>
    </w:p>
    <w:p w14:paraId="0F60EA69"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Schwarz, F. (2013). Two kinds of </w:t>
      </w:r>
      <w:proofErr w:type="spellStart"/>
      <w:r w:rsidRPr="0077305B">
        <w:rPr>
          <w:rFonts w:ascii="Times New Roman" w:eastAsia="Times New Roman" w:hAnsi="Times New Roman" w:cs="Times New Roman"/>
        </w:rPr>
        <w:t>definites</w:t>
      </w:r>
      <w:proofErr w:type="spellEnd"/>
      <w:r w:rsidRPr="0077305B">
        <w:rPr>
          <w:rFonts w:ascii="Times New Roman" w:eastAsia="Times New Roman" w:hAnsi="Times New Roman" w:cs="Times New Roman"/>
        </w:rPr>
        <w:t xml:space="preserve"> cross-linguistically. </w:t>
      </w:r>
      <w:r w:rsidRPr="0077305B">
        <w:rPr>
          <w:rFonts w:ascii="Times New Roman" w:eastAsia="Times New Roman" w:hAnsi="Times New Roman" w:cs="Times New Roman"/>
          <w:i/>
          <w:iCs/>
        </w:rPr>
        <w:t>Language and Linguistics Compass, 7</w:t>
      </w:r>
      <w:r w:rsidRPr="0077305B">
        <w:rPr>
          <w:rFonts w:ascii="Times New Roman" w:eastAsia="Times New Roman" w:hAnsi="Times New Roman" w:cs="Times New Roman"/>
        </w:rPr>
        <w:t xml:space="preserve">(10), 534–559. </w:t>
      </w:r>
      <w:hyperlink r:id="rId35" w:history="1">
        <w:r w:rsidRPr="0077305B">
          <w:rPr>
            <w:rFonts w:ascii="Times New Roman" w:eastAsia="Times New Roman" w:hAnsi="Times New Roman" w:cs="Times New Roman"/>
            <w:color w:val="0000FF"/>
            <w:u w:val="single"/>
          </w:rPr>
          <w:t>https://doi.org/10.1111/lnc3.12048</w:t>
        </w:r>
      </w:hyperlink>
    </w:p>
    <w:p w14:paraId="140D766B"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Simpson, A. (2017). Bare classifier/noun alternations in the </w:t>
      </w:r>
      <w:proofErr w:type="spellStart"/>
      <w:r w:rsidRPr="0077305B">
        <w:rPr>
          <w:rFonts w:ascii="Times New Roman" w:eastAsia="Times New Roman" w:hAnsi="Times New Roman" w:cs="Times New Roman"/>
        </w:rPr>
        <w:t>Jinyun</w:t>
      </w:r>
      <w:proofErr w:type="spellEnd"/>
      <w:r w:rsidRPr="0077305B">
        <w:rPr>
          <w:rFonts w:ascii="Times New Roman" w:eastAsia="Times New Roman" w:hAnsi="Times New Roman" w:cs="Times New Roman"/>
        </w:rPr>
        <w:t xml:space="preserve"> (Wu) variety of Chinese and the encoding of definiteness. </w:t>
      </w:r>
      <w:r w:rsidRPr="0077305B">
        <w:rPr>
          <w:rFonts w:ascii="Times New Roman" w:eastAsia="Times New Roman" w:hAnsi="Times New Roman" w:cs="Times New Roman"/>
          <w:i/>
          <w:iCs/>
        </w:rPr>
        <w:t>Linguistics, 55</w:t>
      </w:r>
      <w:r w:rsidRPr="0077305B">
        <w:rPr>
          <w:rFonts w:ascii="Times New Roman" w:eastAsia="Times New Roman" w:hAnsi="Times New Roman" w:cs="Times New Roman"/>
        </w:rPr>
        <w:t xml:space="preserve">(2), 305–331. </w:t>
      </w:r>
      <w:hyperlink r:id="rId36" w:history="1">
        <w:r w:rsidRPr="0077305B">
          <w:rPr>
            <w:rFonts w:ascii="Times New Roman" w:eastAsia="Times New Roman" w:hAnsi="Times New Roman" w:cs="Times New Roman"/>
            <w:color w:val="0000FF"/>
            <w:u w:val="single"/>
          </w:rPr>
          <w:t>https://doi.org/10.1515/ling-2016-0041</w:t>
        </w:r>
      </w:hyperlink>
    </w:p>
    <w:p w14:paraId="6384AA28"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Simpson, A., Soh, H. L., &amp; Nomoto, H. (2011). Bare classifiers and definiteness: A cross-linguistic investigation. </w:t>
      </w:r>
      <w:r w:rsidRPr="0077305B">
        <w:rPr>
          <w:rFonts w:ascii="Times New Roman" w:eastAsia="Times New Roman" w:hAnsi="Times New Roman" w:cs="Times New Roman"/>
          <w:i/>
          <w:iCs/>
        </w:rPr>
        <w:t>Studies in Language, 35</w:t>
      </w:r>
      <w:r w:rsidRPr="0077305B">
        <w:rPr>
          <w:rFonts w:ascii="Times New Roman" w:eastAsia="Times New Roman" w:hAnsi="Times New Roman" w:cs="Times New Roman"/>
        </w:rPr>
        <w:t xml:space="preserve">(1), 168–193. </w:t>
      </w:r>
      <w:hyperlink r:id="rId37" w:history="1">
        <w:r w:rsidRPr="0077305B">
          <w:rPr>
            <w:rFonts w:ascii="Times New Roman" w:eastAsia="Times New Roman" w:hAnsi="Times New Roman" w:cs="Times New Roman"/>
            <w:color w:val="0000FF"/>
            <w:u w:val="single"/>
          </w:rPr>
          <w:t>https://doi.org/10.1075/sl.35.1.10sim</w:t>
        </w:r>
      </w:hyperlink>
    </w:p>
    <w:p w14:paraId="73809EB7"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Simpson, A., &amp; Wu, Z. (2022). Constraints on the representation of anaphoric definiteness in Mandarin Chinese: A reassessment. In A. Simpson (Ed.), </w:t>
      </w:r>
      <w:r w:rsidRPr="0077305B">
        <w:rPr>
          <w:rFonts w:ascii="Times New Roman" w:eastAsia="Times New Roman" w:hAnsi="Times New Roman" w:cs="Times New Roman"/>
          <w:i/>
          <w:iCs/>
        </w:rPr>
        <w:t>New explorations in Chinese theoretical syntax: Studies in honor of Yen-Hui Audrey Li</w:t>
      </w:r>
      <w:r w:rsidRPr="0077305B">
        <w:rPr>
          <w:rFonts w:ascii="Times New Roman" w:eastAsia="Times New Roman" w:hAnsi="Times New Roman" w:cs="Times New Roman"/>
        </w:rPr>
        <w:t xml:space="preserve"> (pp. 301–330). John Benjamins. </w:t>
      </w:r>
      <w:hyperlink r:id="rId38" w:history="1">
        <w:r w:rsidRPr="0077305B">
          <w:rPr>
            <w:rFonts w:ascii="Times New Roman" w:eastAsia="Times New Roman" w:hAnsi="Times New Roman" w:cs="Times New Roman"/>
            <w:color w:val="0000FF"/>
            <w:u w:val="single"/>
          </w:rPr>
          <w:t>https://doi.org/10.1075/la.272.11sim</w:t>
        </w:r>
      </w:hyperlink>
    </w:p>
    <w:p w14:paraId="2855B8AF"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Tardif, T., Gelman, S. A., Fu, X., &amp; Zhu, L. (2012). Acquisition of generic noun phrases in Chinese: Learning about lions without an ‘-s’. </w:t>
      </w:r>
      <w:r w:rsidRPr="0077305B">
        <w:rPr>
          <w:rFonts w:ascii="Times New Roman" w:eastAsia="Times New Roman" w:hAnsi="Times New Roman" w:cs="Times New Roman"/>
          <w:i/>
          <w:iCs/>
        </w:rPr>
        <w:t>Journal of Child Language, 39</w:t>
      </w:r>
      <w:r w:rsidRPr="0077305B">
        <w:rPr>
          <w:rFonts w:ascii="Times New Roman" w:eastAsia="Times New Roman" w:hAnsi="Times New Roman" w:cs="Times New Roman"/>
        </w:rPr>
        <w:t xml:space="preserve">(1), 130–161. </w:t>
      </w:r>
      <w:hyperlink r:id="rId39" w:history="1">
        <w:r w:rsidRPr="0077305B">
          <w:rPr>
            <w:rFonts w:ascii="Times New Roman" w:eastAsia="Times New Roman" w:hAnsi="Times New Roman" w:cs="Times New Roman"/>
            <w:color w:val="0000FF"/>
            <w:u w:val="single"/>
          </w:rPr>
          <w:t>https://doi.org/10.1017/S0305000910000735</w:t>
        </w:r>
      </w:hyperlink>
    </w:p>
    <w:p w14:paraId="7B9AE21E"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Tsai, W.-T. D. (2001). On subject specificity and theory of the syntax–semantics interface. </w:t>
      </w:r>
      <w:r w:rsidRPr="0077305B">
        <w:rPr>
          <w:rFonts w:ascii="Times New Roman" w:eastAsia="Times New Roman" w:hAnsi="Times New Roman" w:cs="Times New Roman"/>
          <w:i/>
          <w:iCs/>
        </w:rPr>
        <w:t>Journal of East Asian Linguistics, 10</w:t>
      </w:r>
      <w:r w:rsidRPr="0077305B">
        <w:rPr>
          <w:rFonts w:ascii="Times New Roman" w:eastAsia="Times New Roman" w:hAnsi="Times New Roman" w:cs="Times New Roman"/>
        </w:rPr>
        <w:t xml:space="preserve">(2), 129–168. </w:t>
      </w:r>
      <w:hyperlink r:id="rId40" w:history="1">
        <w:r w:rsidRPr="0077305B">
          <w:rPr>
            <w:rFonts w:ascii="Times New Roman" w:eastAsia="Times New Roman" w:hAnsi="Times New Roman" w:cs="Times New Roman"/>
            <w:color w:val="0000FF"/>
            <w:u w:val="single"/>
          </w:rPr>
          <w:t>https://doi.org/10.1023/A:1008321327978</w:t>
        </w:r>
      </w:hyperlink>
    </w:p>
    <w:p w14:paraId="7FE1A336"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Wu, Z., &amp; Qin, Z. (2023). Acquisition of definiteness marking in L2 Mandarin Chinese by English native speakers: A perspective from the syntax–pragmatics interface. In W. Han &amp; C. Brebner (Eds.), </w:t>
      </w:r>
      <w:r w:rsidRPr="0077305B">
        <w:rPr>
          <w:rFonts w:ascii="Times New Roman" w:eastAsia="Times New Roman" w:hAnsi="Times New Roman" w:cs="Times New Roman"/>
          <w:i/>
          <w:iCs/>
        </w:rPr>
        <w:t>Typical and atypical language development in cultural and linguistic diversity</w:t>
      </w:r>
      <w:r w:rsidRPr="0077305B">
        <w:rPr>
          <w:rFonts w:ascii="Times New Roman" w:eastAsia="Times New Roman" w:hAnsi="Times New Roman" w:cs="Times New Roman"/>
        </w:rPr>
        <w:t xml:space="preserve"> (pp. 107–134). Routledge. </w:t>
      </w:r>
      <w:hyperlink r:id="rId41" w:history="1">
        <w:r w:rsidRPr="0077305B">
          <w:rPr>
            <w:rFonts w:ascii="Times New Roman" w:eastAsia="Times New Roman" w:hAnsi="Times New Roman" w:cs="Times New Roman"/>
            <w:color w:val="0000FF"/>
            <w:u w:val="single"/>
          </w:rPr>
          <w:t>https://doi.org/10.4324/9781003251194-7</w:t>
        </w:r>
      </w:hyperlink>
    </w:p>
    <w:p w14:paraId="0E3F5AD0"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Xu, J., &amp; Zhou, C. (2024). Re-investigating the classification of definite CL-NP constructions in Chinese dialect: An empirical study based on semantic maps. </w:t>
      </w:r>
      <w:r w:rsidRPr="0077305B">
        <w:rPr>
          <w:rFonts w:ascii="Times New Roman" w:eastAsia="Times New Roman" w:hAnsi="Times New Roman" w:cs="Times New Roman"/>
          <w:i/>
          <w:iCs/>
        </w:rPr>
        <w:t>Lingua, 303</w:t>
      </w:r>
      <w:r w:rsidRPr="0077305B">
        <w:rPr>
          <w:rFonts w:ascii="Times New Roman" w:eastAsia="Times New Roman" w:hAnsi="Times New Roman" w:cs="Times New Roman"/>
        </w:rPr>
        <w:t xml:space="preserve">, Article 103713. </w:t>
      </w:r>
      <w:hyperlink r:id="rId42" w:history="1">
        <w:r w:rsidRPr="0077305B">
          <w:rPr>
            <w:rFonts w:ascii="Times New Roman" w:eastAsia="Times New Roman" w:hAnsi="Times New Roman" w:cs="Times New Roman"/>
            <w:color w:val="0000FF"/>
            <w:u w:val="single"/>
          </w:rPr>
          <w:t>https://doi.org/10.1016/j.lingua.2024.103713</w:t>
        </w:r>
      </w:hyperlink>
    </w:p>
    <w:p w14:paraId="2F8B8B58" w14:textId="77777777" w:rsidR="0077305B" w:rsidRPr="0077305B" w:rsidRDefault="0077305B" w:rsidP="0077305B">
      <w:pPr>
        <w:spacing w:before="100" w:beforeAutospacing="1" w:after="100" w:afterAutospacing="1"/>
        <w:rPr>
          <w:rFonts w:ascii="Times New Roman" w:eastAsia="Times New Roman" w:hAnsi="Times New Roman" w:cs="Times New Roman"/>
        </w:rPr>
      </w:pPr>
      <w:r w:rsidRPr="0077305B">
        <w:rPr>
          <w:rFonts w:ascii="Times New Roman" w:eastAsia="Times New Roman" w:hAnsi="Times New Roman" w:cs="Times New Roman"/>
        </w:rPr>
        <w:t xml:space="preserve">Zhou, J., Mai, Z., Cai, Q., Liang, Y., &amp; Yip, V. (2022). Reference production in Mandarin–English bilingual preschoolers: Linguistic, input, and cognitive factors. </w:t>
      </w:r>
      <w:r w:rsidRPr="0077305B">
        <w:rPr>
          <w:rFonts w:ascii="Times New Roman" w:eastAsia="Times New Roman" w:hAnsi="Times New Roman" w:cs="Times New Roman"/>
          <w:i/>
          <w:iCs/>
        </w:rPr>
        <w:t>Frontiers in Psychology, 13</w:t>
      </w:r>
      <w:r w:rsidRPr="0077305B">
        <w:rPr>
          <w:rFonts w:ascii="Times New Roman" w:eastAsia="Times New Roman" w:hAnsi="Times New Roman" w:cs="Times New Roman"/>
        </w:rPr>
        <w:t xml:space="preserve">, Article 897031. </w:t>
      </w:r>
      <w:hyperlink r:id="rId43" w:history="1">
        <w:r w:rsidRPr="0077305B">
          <w:rPr>
            <w:rFonts w:ascii="Times New Roman" w:eastAsia="Times New Roman" w:hAnsi="Times New Roman" w:cs="Times New Roman"/>
            <w:color w:val="0000FF"/>
            <w:u w:val="single"/>
          </w:rPr>
          <w:t>https://doi.org/10.3389/fpsyg.2022.897031</w:t>
        </w:r>
      </w:hyperlink>
    </w:p>
    <w:p w14:paraId="3F4E3D22" w14:textId="00094B23" w:rsidR="0077305B" w:rsidRPr="0077305B" w:rsidRDefault="0077305B" w:rsidP="0077305B">
      <w:pPr>
        <w:pStyle w:val="BodyText"/>
      </w:pPr>
    </w:p>
    <w:sectPr w:rsidR="0077305B" w:rsidRPr="0077305B">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5998E" w14:textId="77777777" w:rsidR="00FC4F65" w:rsidRDefault="00FC4F65">
      <w:pPr>
        <w:spacing w:after="0"/>
      </w:pPr>
      <w:r>
        <w:separator/>
      </w:r>
    </w:p>
  </w:endnote>
  <w:endnote w:type="continuationSeparator" w:id="0">
    <w:p w14:paraId="7E2AA5A7" w14:textId="77777777" w:rsidR="00FC4F65" w:rsidRDefault="00FC4F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34F11" w14:textId="77777777" w:rsidR="00FB31D9" w:rsidRDefault="00FB31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7E0E" w14:textId="77777777" w:rsidR="00FB31D9" w:rsidRDefault="00FB31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A61A" w14:textId="77777777" w:rsidR="00FB31D9" w:rsidRDefault="00FB3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DABE5" w14:textId="77777777" w:rsidR="00FC4F65" w:rsidRDefault="00FC4F65">
      <w:r>
        <w:separator/>
      </w:r>
    </w:p>
  </w:footnote>
  <w:footnote w:type="continuationSeparator" w:id="0">
    <w:p w14:paraId="6AED7382" w14:textId="77777777" w:rsidR="00FC4F65" w:rsidRDefault="00FC4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0FE7" w14:textId="77777777" w:rsidR="00FB31D9" w:rsidRDefault="00000000">
    <w:pPr>
      <w:pStyle w:val="Header"/>
    </w:pPr>
    <w:r>
      <w:rPr>
        <w:noProof/>
      </w:rPr>
      <w:pict w14:anchorId="0F95B0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85313"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7324" w14:textId="77777777" w:rsidR="00FB31D9" w:rsidRDefault="00000000">
    <w:pPr>
      <w:pStyle w:val="Header"/>
    </w:pPr>
    <w:r>
      <w:rPr>
        <w:noProof/>
      </w:rPr>
      <w:pict w14:anchorId="16F94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85314"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DBFF" w14:textId="77777777" w:rsidR="00FB31D9" w:rsidRDefault="00000000">
    <w:pPr>
      <w:pStyle w:val="Header"/>
    </w:pPr>
    <w:r>
      <w:rPr>
        <w:noProof/>
      </w:rPr>
      <w:pict w14:anchorId="1BF89E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85312"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59602B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427819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1C2C"/>
    <w:rsid w:val="000040CD"/>
    <w:rsid w:val="00194EBE"/>
    <w:rsid w:val="00281C2C"/>
    <w:rsid w:val="002C075B"/>
    <w:rsid w:val="00343E09"/>
    <w:rsid w:val="003C3577"/>
    <w:rsid w:val="005013AC"/>
    <w:rsid w:val="005D74A8"/>
    <w:rsid w:val="0077305B"/>
    <w:rsid w:val="008E6158"/>
    <w:rsid w:val="009E3A68"/>
    <w:rsid w:val="00C60EBF"/>
    <w:rsid w:val="00DB2291"/>
    <w:rsid w:val="00EA3329"/>
    <w:rsid w:val="00F33D11"/>
    <w:rsid w:val="00FB31D9"/>
    <w:rsid w:val="00FC4F6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B7364"/>
  <w15:docId w15:val="{CED7C2EF-CC2C-4ADE-95B3-FAD3177D1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194EB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B31D9"/>
    <w:pPr>
      <w:tabs>
        <w:tab w:val="center" w:pos="4513"/>
        <w:tab w:val="right" w:pos="9026"/>
      </w:tabs>
      <w:spacing w:after="0"/>
    </w:pPr>
  </w:style>
  <w:style w:type="character" w:customStyle="1" w:styleId="HeaderChar">
    <w:name w:val="Header Char"/>
    <w:basedOn w:val="DefaultParagraphFont"/>
    <w:link w:val="Header"/>
    <w:rsid w:val="00FB31D9"/>
  </w:style>
  <w:style w:type="paragraph" w:styleId="Footer">
    <w:name w:val="footer"/>
    <w:basedOn w:val="Normal"/>
    <w:link w:val="FooterChar"/>
    <w:rsid w:val="00FB31D9"/>
    <w:pPr>
      <w:tabs>
        <w:tab w:val="center" w:pos="4513"/>
        <w:tab w:val="right" w:pos="9026"/>
      </w:tabs>
      <w:spacing w:after="0"/>
    </w:pPr>
  </w:style>
  <w:style w:type="character" w:customStyle="1" w:styleId="FooterChar">
    <w:name w:val="Footer Char"/>
    <w:basedOn w:val="DefaultParagraphFont"/>
    <w:link w:val="Footer"/>
    <w:rsid w:val="00FB3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515/psicl-2022-0029" TargetMode="External"/><Relationship Id="rId18" Type="http://schemas.openxmlformats.org/officeDocument/2006/relationships/hyperlink" Target="https://doi.org/10.1016/S0010-0277(98)00021-3" TargetMode="External"/><Relationship Id="rId26" Type="http://schemas.openxmlformats.org/officeDocument/2006/relationships/hyperlink" Target="https://doi.org/10.3389/fpsyg.2022.983547" TargetMode="External"/><Relationship Id="rId39" Type="http://schemas.openxmlformats.org/officeDocument/2006/relationships/hyperlink" Target="https://doi.org/10.1017/S0305000910000735" TargetMode="External"/><Relationship Id="rId21" Type="http://schemas.openxmlformats.org/officeDocument/2006/relationships/hyperlink" Target="https://doi.org/10.1017/CBO9781139166935" TargetMode="External"/><Relationship Id="rId34" Type="http://schemas.openxmlformats.org/officeDocument/2006/relationships/hyperlink" Target="https://doi.org/10.1515/tlr-2019-2043" TargetMode="External"/><Relationship Id="rId42" Type="http://schemas.openxmlformats.org/officeDocument/2006/relationships/hyperlink" Target="https://doi.org/10.1016/j.lingua.2024.103713"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doi.org/10.1016/0378-2166(93)90069-2" TargetMode="External"/><Relationship Id="rId2" Type="http://schemas.openxmlformats.org/officeDocument/2006/relationships/styles" Target="styles.xml"/><Relationship Id="rId16" Type="http://schemas.openxmlformats.org/officeDocument/2006/relationships/hyperlink" Target="https://doi.org/10.1162/ling_a_00433" TargetMode="External"/><Relationship Id="rId29" Type="http://schemas.openxmlformats.org/officeDocument/2006/relationships/hyperlink" Target="https://www.ucpress.edu/books/mandarin-chinese/paper" TargetMode="External"/><Relationship Id="rId11" Type="http://schemas.openxmlformats.org/officeDocument/2006/relationships/hyperlink" Target="https://doi.org/10.3390/languages5020014" TargetMode="External"/><Relationship Id="rId24" Type="http://schemas.openxmlformats.org/officeDocument/2006/relationships/hyperlink" Target="https://doi.org/10.1162/ling_a_00280" TargetMode="External"/><Relationship Id="rId32" Type="http://schemas.openxmlformats.org/officeDocument/2006/relationships/hyperlink" Target="https://doi.org/10.1007/BF00133688" TargetMode="External"/><Relationship Id="rId37" Type="http://schemas.openxmlformats.org/officeDocument/2006/relationships/hyperlink" Target="https://doi.org/10.1075/sl.35.1.10sim" TargetMode="External"/><Relationship Id="rId40" Type="http://schemas.openxmlformats.org/officeDocument/2006/relationships/hyperlink" Target="https://doi.org/10.1023/A:1008321327978"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23/A:1008324218506" TargetMode="External"/><Relationship Id="rId23" Type="http://schemas.openxmlformats.org/officeDocument/2006/relationships/hyperlink" Target="https://doi.org/10.1075/cld.24037.hua" TargetMode="External"/><Relationship Id="rId28" Type="http://schemas.openxmlformats.org/officeDocument/2006/relationships/hyperlink" Target="https://doi.org/10.30961/lr.2022.58.3.177" TargetMode="External"/><Relationship Id="rId36" Type="http://schemas.openxmlformats.org/officeDocument/2006/relationships/hyperlink" Target="https://doi.org/10.1515/ling-2016-0041" TargetMode="External"/><Relationship Id="rId49" Type="http://schemas.openxmlformats.org/officeDocument/2006/relationships/footer" Target="footer3.xml"/><Relationship Id="rId10" Type="http://schemas.openxmlformats.org/officeDocument/2006/relationships/hyperlink" Target="https://doi.org/10.1177/1606822X16660952" TargetMode="External"/><Relationship Id="rId19" Type="http://schemas.openxmlformats.org/officeDocument/2006/relationships/hyperlink" Target="https://doi.org/10.1007/978-1-4020-6197-4_5" TargetMode="External"/><Relationship Id="rId31" Type="http://schemas.openxmlformats.org/officeDocument/2006/relationships/hyperlink" Target="https://doi.org/10.1162/ling.1998.29.4.693"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86/s41073-019-0064-8" TargetMode="External"/><Relationship Id="rId14" Type="http://schemas.openxmlformats.org/officeDocument/2006/relationships/hyperlink" Target="https://doi.org/10.1162/002438999554192" TargetMode="External"/><Relationship Id="rId22" Type="http://schemas.openxmlformats.org/officeDocument/2006/relationships/hyperlink" Target="https://doi.org/10.1016/S0378-2166(98)00052-6" TargetMode="External"/><Relationship Id="rId27" Type="http://schemas.openxmlformats.org/officeDocument/2006/relationships/hyperlink" Target="https://doi.org/10.3389/fpsyg.2021.790102" TargetMode="External"/><Relationship Id="rId30" Type="http://schemas.openxmlformats.org/officeDocument/2006/relationships/hyperlink" Target="https://doi.org/10.1007/978-94-009-1898-6" TargetMode="External"/><Relationship Id="rId35" Type="http://schemas.openxmlformats.org/officeDocument/2006/relationships/hyperlink" Target="https://doi.org/10.1111/lnc3.12048" TargetMode="External"/><Relationship Id="rId43" Type="http://schemas.openxmlformats.org/officeDocument/2006/relationships/hyperlink" Target="https://doi.org/10.3389/fpsyg.2022.897031" TargetMode="External"/><Relationship Id="rId48" Type="http://schemas.openxmlformats.org/officeDocument/2006/relationships/header" Target="header3.xml"/><Relationship Id="rId8" Type="http://schemas.openxmlformats.org/officeDocument/2006/relationships/hyperlink" Target="https://doi.org/10.1007/s11050-025-09237-8"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i.org/10.1515/ling.2004.42.6.1129" TargetMode="External"/><Relationship Id="rId17" Type="http://schemas.openxmlformats.org/officeDocument/2006/relationships/hyperlink" Target="https://doi.org/10.1017/S0272263118000323" TargetMode="External"/><Relationship Id="rId25" Type="http://schemas.openxmlformats.org/officeDocument/2006/relationships/hyperlink" Target="https://doi.org/10.1093/oso/9780190084165.001.0001" TargetMode="External"/><Relationship Id="rId33" Type="http://schemas.openxmlformats.org/officeDocument/2006/relationships/hyperlink" Target="https://doi.org/10.17791/jcs.2024.25.1.67" TargetMode="External"/><Relationship Id="rId38" Type="http://schemas.openxmlformats.org/officeDocument/2006/relationships/hyperlink" Target="https://doi.org/10.1075/la.272.11sim" TargetMode="External"/><Relationship Id="rId46" Type="http://schemas.openxmlformats.org/officeDocument/2006/relationships/footer" Target="footer1.xml"/><Relationship Id="rId20" Type="http://schemas.openxmlformats.org/officeDocument/2006/relationships/hyperlink" Target="https://ctjhuang.scholars.harvard.edu/sites/g/files/omnuum5106/files/ctjhuang/files/1987_indefiniteness_from_bss.pdf" TargetMode="External"/><Relationship Id="rId41" Type="http://schemas.openxmlformats.org/officeDocument/2006/relationships/hyperlink" Target="https://doi.org/10.4324/9781003251194-7"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30</Pages>
  <Words>14338</Words>
  <Characters>81727</Characters>
  <Application>Microsoft Office Word</Application>
  <DocSecurity>0</DocSecurity>
  <Lines>681</Lines>
  <Paragraphs>191</Paragraphs>
  <ScaleCrop>false</ScaleCrop>
  <Company>HP</Company>
  <LinksUpToDate>false</LinksUpToDate>
  <CharactersWithSpaces>95874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1087</cp:lastModifiedBy>
  <cp:revision>7</cp:revision>
  <dcterms:created xsi:type="dcterms:W3CDTF">2026-07-19T19:36:00Z</dcterms:created>
  <dcterms:modified xsi:type="dcterms:W3CDTF">2026-08-01T09:28:00Z</dcterms:modified>
</cp:coreProperties>
</file>