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7BF2F" w14:textId="77777777" w:rsidR="00A431CA" w:rsidRPr="0078079E" w:rsidRDefault="00DB74BC" w:rsidP="00A028F1">
      <w:pPr>
        <w:spacing w:after="0" w:line="240" w:lineRule="auto"/>
        <w:jc w:val="center"/>
        <w:rPr>
          <w:rFonts w:ascii="Times New Roman" w:eastAsia="Times New Roman" w:hAnsi="Times New Roman" w:cs="Times New Roman"/>
          <w:b/>
          <w:bCs/>
          <w:kern w:val="0"/>
          <w:sz w:val="28"/>
          <w:szCs w:val="28"/>
          <w14:ligatures w14:val="none"/>
        </w:rPr>
      </w:pPr>
      <w:r w:rsidRPr="0078079E">
        <w:rPr>
          <w:rFonts w:ascii="Times New Roman" w:eastAsia="Times New Roman" w:hAnsi="Times New Roman" w:cs="Times New Roman"/>
          <w:b/>
          <w:bCs/>
          <w:kern w:val="0"/>
          <w:sz w:val="28"/>
          <w:szCs w:val="28"/>
          <w14:ligatures w14:val="none"/>
        </w:rPr>
        <w:t xml:space="preserve">Phytochemical Profiling and Evaluation of Antioxidant, Antidiabetic, and Antimicrobial Activities of </w:t>
      </w:r>
      <w:r w:rsidRPr="0078079E">
        <w:rPr>
          <w:rFonts w:ascii="Times New Roman" w:eastAsia="Times New Roman" w:hAnsi="Times New Roman" w:cs="Times New Roman"/>
          <w:b/>
          <w:bCs/>
          <w:i/>
          <w:iCs/>
          <w:kern w:val="0"/>
          <w:sz w:val="28"/>
          <w:szCs w:val="28"/>
          <w14:ligatures w14:val="none"/>
        </w:rPr>
        <w:t>Blighia sapida</w:t>
      </w:r>
      <w:r w:rsidRPr="0078079E">
        <w:rPr>
          <w:rFonts w:ascii="Times New Roman" w:eastAsia="Times New Roman" w:hAnsi="Times New Roman" w:cs="Times New Roman"/>
          <w:b/>
          <w:bCs/>
          <w:kern w:val="0"/>
          <w:sz w:val="28"/>
          <w:szCs w:val="28"/>
          <w14:ligatures w14:val="none"/>
        </w:rPr>
        <w:t xml:space="preserve"> Leaves from Ogbomosho, Southwest Nigeria</w:t>
      </w:r>
    </w:p>
    <w:p w14:paraId="25FE5EEB" w14:textId="77777777" w:rsidR="00A431CA" w:rsidRPr="0078079E" w:rsidRDefault="00A431CA" w:rsidP="00A028F1">
      <w:pPr>
        <w:spacing w:after="0" w:line="240" w:lineRule="auto"/>
        <w:jc w:val="center"/>
        <w:rPr>
          <w:rFonts w:ascii="Times New Roman" w:eastAsia="Times New Roman" w:hAnsi="Times New Roman" w:cs="Times New Roman"/>
          <w:b/>
          <w:bCs/>
          <w:kern w:val="0"/>
          <w:sz w:val="28"/>
          <w:szCs w:val="28"/>
          <w14:ligatures w14:val="none"/>
        </w:rPr>
      </w:pPr>
    </w:p>
    <w:p w14:paraId="3F567CC7" w14:textId="77777777" w:rsidR="00DB74BC" w:rsidRDefault="00DB74BC" w:rsidP="00A028F1">
      <w:pPr>
        <w:spacing w:after="0" w:line="240" w:lineRule="auto"/>
        <w:jc w:val="center"/>
        <w:rPr>
          <w:rFonts w:ascii="Times New Roman" w:hAnsi="Times New Roman" w:cs="Times New Roman"/>
          <w:b/>
          <w:bCs/>
          <w:sz w:val="24"/>
          <w:szCs w:val="24"/>
          <w:vertAlign w:val="superscript"/>
        </w:rPr>
      </w:pPr>
    </w:p>
    <w:p w14:paraId="324ACBA4" w14:textId="77777777" w:rsidR="006B1899" w:rsidRPr="0078079E" w:rsidRDefault="006B1899" w:rsidP="00A028F1">
      <w:pPr>
        <w:spacing w:after="0" w:line="240" w:lineRule="auto"/>
        <w:jc w:val="center"/>
        <w:rPr>
          <w:rStyle w:val="Hyperlink"/>
          <w:rFonts w:ascii="Times New Roman" w:hAnsi="Times New Roman" w:cs="Times New Roman"/>
          <w:color w:val="000000"/>
          <w:sz w:val="24"/>
          <w:szCs w:val="24"/>
          <w:u w:val="none"/>
        </w:rPr>
      </w:pPr>
    </w:p>
    <w:p w14:paraId="73FDA2ED" w14:textId="77777777" w:rsidR="00A431CA" w:rsidRPr="0078079E" w:rsidRDefault="00A431CA" w:rsidP="00A028F1">
      <w:pPr>
        <w:spacing w:line="240" w:lineRule="auto"/>
      </w:pPr>
    </w:p>
    <w:p w14:paraId="6460469F" w14:textId="77777777" w:rsidR="00A028F1" w:rsidRPr="0078079E" w:rsidRDefault="00A028F1" w:rsidP="00A028F1">
      <w:pPr>
        <w:spacing w:line="240" w:lineRule="auto"/>
        <w:jc w:val="both"/>
        <w:rPr>
          <w:rFonts w:ascii="Times New Roman" w:hAnsi="Times New Roman" w:cs="Times New Roman"/>
          <w:b/>
          <w:bCs/>
          <w:sz w:val="24"/>
          <w:szCs w:val="24"/>
        </w:rPr>
      </w:pPr>
      <w:r w:rsidRPr="0078079E">
        <w:rPr>
          <w:rFonts w:ascii="Times New Roman" w:hAnsi="Times New Roman" w:cs="Times New Roman"/>
          <w:b/>
          <w:bCs/>
          <w:sz w:val="24"/>
          <w:szCs w:val="24"/>
        </w:rPr>
        <w:t>ABSTRACT</w:t>
      </w:r>
    </w:p>
    <w:p w14:paraId="5C822A96" w14:textId="7C335A01" w:rsidR="00A431CA" w:rsidRDefault="00DB74BC" w:rsidP="00A028F1">
      <w:pPr>
        <w:spacing w:after="0" w:line="240" w:lineRule="auto"/>
        <w:jc w:val="both"/>
        <w:rPr>
          <w:rFonts w:ascii="Times New Roman" w:hAnsi="Times New Roman" w:cs="Times New Roman"/>
          <w:sz w:val="24"/>
          <w:szCs w:val="24"/>
        </w:rPr>
      </w:pPr>
      <w:r w:rsidRPr="0078079E">
        <w:rPr>
          <w:rFonts w:ascii="Times New Roman" w:hAnsi="Times New Roman" w:cs="Times New Roman"/>
          <w:i/>
          <w:sz w:val="24"/>
          <w:szCs w:val="24"/>
        </w:rPr>
        <w:t xml:space="preserve">Blighia </w:t>
      </w:r>
      <w:proofErr w:type="spellStart"/>
      <w:r w:rsidRPr="0078079E">
        <w:rPr>
          <w:rFonts w:ascii="Times New Roman" w:hAnsi="Times New Roman" w:cs="Times New Roman"/>
          <w:i/>
          <w:sz w:val="24"/>
          <w:szCs w:val="24"/>
        </w:rPr>
        <w:t>sapida</w:t>
      </w:r>
      <w:proofErr w:type="spellEnd"/>
      <w:r w:rsidR="00A028F1" w:rsidRPr="0078079E">
        <w:rPr>
          <w:rFonts w:ascii="Times New Roman" w:hAnsi="Times New Roman" w:cs="Times New Roman"/>
          <w:sz w:val="24"/>
          <w:szCs w:val="24"/>
        </w:rPr>
        <w:t xml:space="preserve"> is an important </w:t>
      </w:r>
      <w:r w:rsidRPr="0078079E">
        <w:rPr>
          <w:rFonts w:ascii="Times New Roman" w:hAnsi="Times New Roman" w:cs="Times New Roman"/>
          <w:sz w:val="24"/>
          <w:szCs w:val="24"/>
        </w:rPr>
        <w:t xml:space="preserve">plant </w:t>
      </w:r>
      <w:r w:rsidR="00A028F1" w:rsidRPr="0078079E">
        <w:rPr>
          <w:rFonts w:ascii="Times New Roman" w:hAnsi="Times New Roman" w:cs="Times New Roman"/>
          <w:sz w:val="24"/>
          <w:szCs w:val="24"/>
        </w:rPr>
        <w:t xml:space="preserve">that </w:t>
      </w:r>
      <w:r w:rsidRPr="0078079E">
        <w:rPr>
          <w:rFonts w:ascii="Times New Roman" w:hAnsi="Times New Roman" w:cs="Times New Roman"/>
          <w:sz w:val="24"/>
          <w:szCs w:val="24"/>
        </w:rPr>
        <w:t>has important therapeutic qualities in almost every part of it. Claims have been made regarding the antioxidant, anti-inflammatory, anthelmintic, and antibacterial qualities of Blighia sapida leaves. The current study focuses on the phytochemical screening, antioxidant, anti-diabetic, and antibacterial qualities of the leaves of Blighia sapida that have been extracted using ethanol, ethyl acetate, and hexane as three distinct solvents. Ethanol yielded the maximum quantity of extract. Alkaloids, flavonoids, tannins, phenolic compounds, glycosides, terpenoids, quinones, cardiac glycosides, coumarins, anthocyanins, and saponins were all detected by the phytochemical screening method in the ethanolic extract. The ethanol extract had lower levels of TPC (36.46±0.02 GAE/mg/g), TFC (5.96±0.02 QE/mg/g), TTC (4.80±0.01 TAE/mg/g), TAC (5.08±0.02 %), and TSC (68.72±0.02 %) than the ethyl acetate extract, which had higher levels of TPC (37.70±0.03 GAE/mg/g), TTC (10.75±0.01 TAE/mg/g), TAC (13.92±0.02 %), and TSC (9.87±0.02 %). The ethanol extract outperformed the ethyl acetate</w:t>
      </w:r>
      <w:r w:rsidR="000E6A56">
        <w:rPr>
          <w:rFonts w:ascii="Times New Roman" w:hAnsi="Times New Roman" w:cs="Times New Roman"/>
          <w:sz w:val="24"/>
          <w:szCs w:val="24"/>
        </w:rPr>
        <w:t xml:space="preserve"> extract</w:t>
      </w:r>
      <w:r w:rsidRPr="0078079E">
        <w:rPr>
          <w:rFonts w:ascii="Times New Roman" w:hAnsi="Times New Roman" w:cs="Times New Roman"/>
          <w:sz w:val="24"/>
          <w:szCs w:val="24"/>
        </w:rPr>
        <w:t xml:space="preserve">, which had an IC50 value of 7.17 mg/mL, in the DPPH radical scavenging investigation, with an IC50 value of 5.46 mg/mL. However, the FRAP test revealed that the ethyl acetate extract outperformed the ethanol </w:t>
      </w:r>
      <w:r w:rsidR="000E6A56">
        <w:rPr>
          <w:rFonts w:ascii="Times New Roman" w:hAnsi="Times New Roman" w:cs="Times New Roman"/>
          <w:sz w:val="24"/>
          <w:szCs w:val="24"/>
        </w:rPr>
        <w:t xml:space="preserve">extract </w:t>
      </w:r>
      <w:r w:rsidRPr="0078079E">
        <w:rPr>
          <w:rFonts w:ascii="Times New Roman" w:hAnsi="Times New Roman" w:cs="Times New Roman"/>
          <w:sz w:val="24"/>
          <w:szCs w:val="24"/>
        </w:rPr>
        <w:t xml:space="preserve">with an IC50 value of 3.62 mg/mL and an IC50 value of 2.83 mg/mL. The in vitro percentage of inhibition (54.04±0.78 to 76.40±0.57%) and IC50 (1.57 mg/mL) of the ethanol extract showed the highest inhibited activity of α-amylase through competitive inhibition, which was comparable to that of acarbose. In contrast, ethyl acetate showed a percentage of inhibition (26.09±0.67 to 70.19±1.00%) and an IC50 (2.19 mg/mL). When it came to Proteus vulgaris, Pseudomonas aeruginosa, and Staphylococcus aureus, only </w:t>
      </w:r>
      <w:r w:rsidR="000E6A56">
        <w:rPr>
          <w:rFonts w:ascii="Times New Roman" w:hAnsi="Times New Roman" w:cs="Times New Roman"/>
          <w:sz w:val="24"/>
          <w:szCs w:val="24"/>
        </w:rPr>
        <w:t xml:space="preserve">the </w:t>
      </w:r>
      <w:r w:rsidRPr="0078079E">
        <w:rPr>
          <w:rFonts w:ascii="Times New Roman" w:hAnsi="Times New Roman" w:cs="Times New Roman"/>
          <w:sz w:val="24"/>
          <w:szCs w:val="24"/>
        </w:rPr>
        <w:t>methanolic extract exhibited antibacterial action.</w:t>
      </w:r>
    </w:p>
    <w:p w14:paraId="4C53552F" w14:textId="77777777" w:rsidR="006B1899" w:rsidRPr="0078079E" w:rsidRDefault="006B1899" w:rsidP="00A028F1">
      <w:pPr>
        <w:spacing w:after="0" w:line="240" w:lineRule="auto"/>
        <w:jc w:val="both"/>
        <w:rPr>
          <w:rFonts w:ascii="Times New Roman" w:hAnsi="Times New Roman" w:cs="Times New Roman"/>
          <w:sz w:val="24"/>
          <w:szCs w:val="24"/>
        </w:rPr>
      </w:pPr>
    </w:p>
    <w:p w14:paraId="146FFB2A" w14:textId="4669A79A" w:rsidR="00F374F4" w:rsidRPr="0078079E" w:rsidRDefault="00F374F4" w:rsidP="00A028F1">
      <w:pPr>
        <w:spacing w:line="240" w:lineRule="auto"/>
        <w:jc w:val="both"/>
        <w:rPr>
          <w:rFonts w:ascii="Times New Roman" w:hAnsi="Times New Roman" w:cs="Times New Roman"/>
          <w:sz w:val="24"/>
          <w:szCs w:val="24"/>
        </w:rPr>
      </w:pPr>
      <w:r w:rsidRPr="00880EE5">
        <w:rPr>
          <w:rStyle w:val="Strong"/>
          <w:highlight w:val="yellow"/>
        </w:rPr>
        <w:t>Keywords:</w:t>
      </w:r>
      <w:r w:rsidRPr="00880EE5">
        <w:rPr>
          <w:highlight w:val="yellow"/>
        </w:rPr>
        <w:t xml:space="preserve"> </w:t>
      </w:r>
      <w:r w:rsidRPr="00880EE5">
        <w:rPr>
          <w:rStyle w:val="Emphasis"/>
          <w:highlight w:val="yellow"/>
        </w:rPr>
        <w:t xml:space="preserve">Blighia </w:t>
      </w:r>
      <w:proofErr w:type="spellStart"/>
      <w:r w:rsidRPr="00880EE5">
        <w:rPr>
          <w:rStyle w:val="Emphasis"/>
          <w:highlight w:val="yellow"/>
        </w:rPr>
        <w:t>sapida</w:t>
      </w:r>
      <w:proofErr w:type="spellEnd"/>
      <w:r w:rsidRPr="00880EE5">
        <w:rPr>
          <w:highlight w:val="yellow"/>
        </w:rPr>
        <w:t>; Phytochemical profiling; Antioxidant activity; α-Amylase inhibition; Antimicrobial activity; Medicinal plants</w:t>
      </w:r>
    </w:p>
    <w:p w14:paraId="55D4BE29" w14:textId="77777777" w:rsidR="00A028F1" w:rsidRPr="0078079E" w:rsidRDefault="00A028F1" w:rsidP="00A028F1">
      <w:pPr>
        <w:spacing w:line="240" w:lineRule="auto"/>
        <w:jc w:val="both"/>
        <w:rPr>
          <w:rFonts w:ascii="Times New Roman" w:hAnsi="Times New Roman" w:cs="Times New Roman"/>
          <w:b/>
          <w:bCs/>
          <w:sz w:val="24"/>
          <w:szCs w:val="24"/>
        </w:rPr>
      </w:pPr>
    </w:p>
    <w:p w14:paraId="5D900F39" w14:textId="77777777" w:rsidR="00A431CA" w:rsidRPr="0078079E" w:rsidRDefault="00DB74BC" w:rsidP="00A028F1">
      <w:pPr>
        <w:spacing w:line="240" w:lineRule="auto"/>
        <w:jc w:val="both"/>
        <w:rPr>
          <w:rFonts w:ascii="Times New Roman" w:hAnsi="Times New Roman" w:cs="Times New Roman"/>
          <w:b/>
          <w:bCs/>
          <w:sz w:val="24"/>
          <w:szCs w:val="24"/>
        </w:rPr>
      </w:pPr>
      <w:r w:rsidRPr="0078079E">
        <w:rPr>
          <w:rFonts w:ascii="Times New Roman" w:hAnsi="Times New Roman" w:cs="Times New Roman"/>
          <w:b/>
          <w:bCs/>
          <w:sz w:val="24"/>
          <w:szCs w:val="24"/>
        </w:rPr>
        <w:t xml:space="preserve">INTRODUCTION </w:t>
      </w:r>
    </w:p>
    <w:p w14:paraId="40E82090" w14:textId="77777777" w:rsidR="00AB2D8D" w:rsidRPr="00B339E9" w:rsidRDefault="00AB2D8D" w:rsidP="00AB2D8D">
      <w:pPr>
        <w:pStyle w:val="isselectedend"/>
        <w:jc w:val="both"/>
        <w:rPr>
          <w:highlight w:val="yellow"/>
        </w:rPr>
      </w:pPr>
      <w:r w:rsidRPr="00B339E9">
        <w:rPr>
          <w:highlight w:val="yellow"/>
        </w:rPr>
        <w:t>Medicinal plants have played an essential role in promoting human health and well-being throughout history. Since ancient times, plants have served as important sources of therapeutic agents in various traditional healthcare systems worldwide (Dar et al., 2017). Medicinal plants are regarded as valuable resources of natural medicines, from which numerous therapeutic agents have been developed (</w:t>
      </w:r>
      <w:proofErr w:type="spellStart"/>
      <w:r w:rsidRPr="00B339E9">
        <w:rPr>
          <w:highlight w:val="yellow"/>
        </w:rPr>
        <w:t>Ugboko</w:t>
      </w:r>
      <w:proofErr w:type="spellEnd"/>
      <w:r w:rsidRPr="00B339E9">
        <w:rPr>
          <w:highlight w:val="yellow"/>
        </w:rPr>
        <w:t xml:space="preserve"> et al., 2020). Plant-derived products continue to contribute significantly to the discovery and development of novel pharmaceuticals because they contain a diverse range of bioactive compounds, including lipids (Nasim et al., 2022), phytochemicals (Dar et al., 2023), </w:t>
      </w:r>
      <w:proofErr w:type="spellStart"/>
      <w:r w:rsidRPr="00B339E9">
        <w:rPr>
          <w:highlight w:val="yellow"/>
        </w:rPr>
        <w:t>flavours</w:t>
      </w:r>
      <w:proofErr w:type="spellEnd"/>
      <w:r w:rsidRPr="00B339E9">
        <w:rPr>
          <w:highlight w:val="yellow"/>
        </w:rPr>
        <w:t xml:space="preserve"> (Nasim et al., 2022), fragrances, and pigments (</w:t>
      </w:r>
      <w:proofErr w:type="spellStart"/>
      <w:r w:rsidRPr="00B339E9">
        <w:rPr>
          <w:highlight w:val="yellow"/>
        </w:rPr>
        <w:t>Chaachouay</w:t>
      </w:r>
      <w:proofErr w:type="spellEnd"/>
      <w:r w:rsidRPr="00B339E9">
        <w:rPr>
          <w:highlight w:val="yellow"/>
        </w:rPr>
        <w:t xml:space="preserve"> &amp; Zidane, 2024). </w:t>
      </w:r>
      <w:r w:rsidRPr="00B339E9">
        <w:rPr>
          <w:highlight w:val="yellow"/>
        </w:rPr>
        <w:lastRenderedPageBreak/>
        <w:t xml:space="preserve">Consequently, plant extracts are widely </w:t>
      </w:r>
      <w:proofErr w:type="spellStart"/>
      <w:r w:rsidRPr="00B339E9">
        <w:rPr>
          <w:highlight w:val="yellow"/>
        </w:rPr>
        <w:t>utilised</w:t>
      </w:r>
      <w:proofErr w:type="spellEnd"/>
      <w:r w:rsidRPr="00B339E9">
        <w:rPr>
          <w:highlight w:val="yellow"/>
        </w:rPr>
        <w:t xml:space="preserve"> in the food, pharmaceutical, and cosmetic industries (</w:t>
      </w:r>
      <w:proofErr w:type="spellStart"/>
      <w:r w:rsidRPr="00B339E9">
        <w:rPr>
          <w:highlight w:val="yellow"/>
        </w:rPr>
        <w:t>Bolouri</w:t>
      </w:r>
      <w:proofErr w:type="spellEnd"/>
      <w:r w:rsidRPr="00B339E9">
        <w:rPr>
          <w:highlight w:val="yellow"/>
        </w:rPr>
        <w:t xml:space="preserve"> et al., 2022).</w:t>
      </w:r>
    </w:p>
    <w:p w14:paraId="2435FFC4" w14:textId="77777777" w:rsidR="00AB2D8D" w:rsidRPr="00B339E9" w:rsidRDefault="00AB2D8D" w:rsidP="00AB2D8D">
      <w:pPr>
        <w:pStyle w:val="isselectedend"/>
        <w:jc w:val="both"/>
        <w:rPr>
          <w:highlight w:val="yellow"/>
        </w:rPr>
      </w:pPr>
      <w:r w:rsidRPr="00B339E9">
        <w:rPr>
          <w:rStyle w:val="Emphasis"/>
          <w:highlight w:val="yellow"/>
        </w:rPr>
        <w:t xml:space="preserve">Blighia </w:t>
      </w:r>
      <w:proofErr w:type="spellStart"/>
      <w:r w:rsidRPr="00B339E9">
        <w:rPr>
          <w:rStyle w:val="Emphasis"/>
          <w:highlight w:val="yellow"/>
        </w:rPr>
        <w:t>sapida</w:t>
      </w:r>
      <w:proofErr w:type="spellEnd"/>
      <w:r w:rsidRPr="00B339E9">
        <w:rPr>
          <w:highlight w:val="yellow"/>
        </w:rPr>
        <w:t xml:space="preserve"> K.D. Koenig (Ackee), a member of the </w:t>
      </w:r>
      <w:proofErr w:type="spellStart"/>
      <w:r w:rsidRPr="00B339E9">
        <w:rPr>
          <w:highlight w:val="yellow"/>
        </w:rPr>
        <w:t>Sapindaceae</w:t>
      </w:r>
      <w:proofErr w:type="spellEnd"/>
      <w:r w:rsidRPr="00B339E9">
        <w:rPr>
          <w:highlight w:val="yellow"/>
        </w:rPr>
        <w:t xml:space="preserve"> family, is native to West Africa and is widely cultivated in tropical regions, including the Caribbean (Wray et al., 2020). The plant thrives in well-drained soils under </w:t>
      </w:r>
      <w:proofErr w:type="spellStart"/>
      <w:r w:rsidRPr="00B339E9">
        <w:rPr>
          <w:highlight w:val="yellow"/>
        </w:rPr>
        <w:t>favourable</w:t>
      </w:r>
      <w:proofErr w:type="spellEnd"/>
      <w:r w:rsidRPr="00B339E9">
        <w:rPr>
          <w:highlight w:val="yellow"/>
        </w:rPr>
        <w:t xml:space="preserve"> climatic conditions with abundant sunlight. Its leaves are compound, consisting of 4–8 leaflets arranged in opposite pairs along a central rachis (Wray et al., 2020). The leaflets are generally oval to elongated in shape, possess smooth margins, and exhibit a glossy dark-green appearance.</w:t>
      </w:r>
    </w:p>
    <w:p w14:paraId="46A1D8AC" w14:textId="77777777" w:rsidR="00AB2D8D" w:rsidRPr="00B339E9" w:rsidRDefault="00AB2D8D" w:rsidP="00AB2D8D">
      <w:pPr>
        <w:pStyle w:val="isselectedend"/>
        <w:jc w:val="both"/>
        <w:rPr>
          <w:highlight w:val="yellow"/>
        </w:rPr>
      </w:pPr>
      <w:r w:rsidRPr="00B339E9">
        <w:rPr>
          <w:highlight w:val="yellow"/>
        </w:rPr>
        <w:t xml:space="preserve">Previous studies have shown that </w:t>
      </w:r>
      <w:r w:rsidRPr="00B339E9">
        <w:rPr>
          <w:rStyle w:val="Emphasis"/>
          <w:highlight w:val="yellow"/>
        </w:rPr>
        <w:t xml:space="preserve">Blighia </w:t>
      </w:r>
      <w:proofErr w:type="spellStart"/>
      <w:r w:rsidRPr="00B339E9">
        <w:rPr>
          <w:rStyle w:val="Emphasis"/>
          <w:highlight w:val="yellow"/>
        </w:rPr>
        <w:t>sapida</w:t>
      </w:r>
      <w:proofErr w:type="spellEnd"/>
      <w:r w:rsidRPr="00B339E9">
        <w:rPr>
          <w:highlight w:val="yellow"/>
        </w:rPr>
        <w:t xml:space="preserve"> contains a variety of bioactive compounds, including flavonoids (Ibraheem et al., 2022), alkaloids (Wray et al., 2020), and saponins (Ajose et al., 2019). These phytochemicals have been associated with antioxidant, anti-inflammatory, antimicrobial, and anthelmintic activities (Boakye-Yiadom et al., 2021). Recent investigations have further demonstrated the biological relevance of </w:t>
      </w:r>
      <w:r w:rsidRPr="00B339E9">
        <w:rPr>
          <w:rStyle w:val="Emphasis"/>
          <w:highlight w:val="yellow"/>
        </w:rPr>
        <w:t xml:space="preserve">Blighia </w:t>
      </w:r>
      <w:proofErr w:type="spellStart"/>
      <w:r w:rsidRPr="00B339E9">
        <w:rPr>
          <w:rStyle w:val="Emphasis"/>
          <w:highlight w:val="yellow"/>
        </w:rPr>
        <w:t>sapida</w:t>
      </w:r>
      <w:proofErr w:type="spellEnd"/>
      <w:r w:rsidRPr="00B339E9">
        <w:rPr>
          <w:highlight w:val="yellow"/>
        </w:rPr>
        <w:t xml:space="preserve"> through its antioxidant, anti-inflammatory, antidiabetic, and antibacterial activities, supporting its continued exploration as a potential source of bioactive compounds for pharmaceutical applications (Ibraheem et al., 2024; </w:t>
      </w:r>
      <w:proofErr w:type="spellStart"/>
      <w:r w:rsidRPr="00B339E9">
        <w:rPr>
          <w:highlight w:val="yellow"/>
        </w:rPr>
        <w:t>Yendze</w:t>
      </w:r>
      <w:proofErr w:type="spellEnd"/>
      <w:r w:rsidRPr="00B339E9">
        <w:rPr>
          <w:highlight w:val="yellow"/>
        </w:rPr>
        <w:t xml:space="preserve"> et al., 2024; Olayinka et al., 2021).</w:t>
      </w:r>
    </w:p>
    <w:p w14:paraId="4A02097D" w14:textId="77777777" w:rsidR="00AB2D8D" w:rsidRPr="00B339E9" w:rsidRDefault="00AB2D8D" w:rsidP="00AB2D8D">
      <w:pPr>
        <w:pStyle w:val="isselectedend"/>
        <w:jc w:val="both"/>
        <w:rPr>
          <w:highlight w:val="yellow"/>
        </w:rPr>
      </w:pPr>
      <w:r w:rsidRPr="00B339E9">
        <w:rPr>
          <w:highlight w:val="yellow"/>
        </w:rPr>
        <w:t xml:space="preserve">Extracts obtained from </w:t>
      </w:r>
      <w:r w:rsidRPr="00B339E9">
        <w:rPr>
          <w:rStyle w:val="Emphasis"/>
          <w:highlight w:val="yellow"/>
        </w:rPr>
        <w:t xml:space="preserve">Blighia </w:t>
      </w:r>
      <w:proofErr w:type="spellStart"/>
      <w:r w:rsidRPr="00B339E9">
        <w:rPr>
          <w:rStyle w:val="Emphasis"/>
          <w:highlight w:val="yellow"/>
        </w:rPr>
        <w:t>sapida</w:t>
      </w:r>
      <w:proofErr w:type="spellEnd"/>
      <w:r w:rsidRPr="00B339E9">
        <w:rPr>
          <w:highlight w:val="yellow"/>
        </w:rPr>
        <w:t xml:space="preserve"> leaves have traditionally been used in the management of skin infections and wound healing because of their antimicrobial properties. Several studies have identified flavonoids, alkaloids, and saponins as important contributors to the antimicrobial activity of the leaves (Ajose et al., 2019). Furthermore, extracts of </w:t>
      </w:r>
      <w:r w:rsidRPr="00B339E9">
        <w:rPr>
          <w:rStyle w:val="Emphasis"/>
          <w:highlight w:val="yellow"/>
        </w:rPr>
        <w:t xml:space="preserve">Blighia </w:t>
      </w:r>
      <w:proofErr w:type="spellStart"/>
      <w:r w:rsidRPr="00B339E9">
        <w:rPr>
          <w:rStyle w:val="Emphasis"/>
          <w:highlight w:val="yellow"/>
        </w:rPr>
        <w:t>sapida</w:t>
      </w:r>
      <w:proofErr w:type="spellEnd"/>
      <w:r w:rsidRPr="00B339E9">
        <w:rPr>
          <w:highlight w:val="yellow"/>
        </w:rPr>
        <w:t xml:space="preserve"> have demonstrated significant antioxidant activity in both in vitro and in vivo studies. These extracts have been reported to exhibit strong free-radical scavenging capacities and to protect cells and tissues against oxidative damage caused by reactive oxygen species (Adekola et al., 2022). In addition, </w:t>
      </w:r>
      <w:r w:rsidRPr="00B339E9">
        <w:rPr>
          <w:rStyle w:val="Emphasis"/>
          <w:highlight w:val="yellow"/>
        </w:rPr>
        <w:t xml:space="preserve">Blighia </w:t>
      </w:r>
      <w:proofErr w:type="spellStart"/>
      <w:r w:rsidRPr="00B339E9">
        <w:rPr>
          <w:rStyle w:val="Emphasis"/>
          <w:highlight w:val="yellow"/>
        </w:rPr>
        <w:t>sapida</w:t>
      </w:r>
      <w:proofErr w:type="spellEnd"/>
      <w:r w:rsidRPr="00B339E9">
        <w:rPr>
          <w:highlight w:val="yellow"/>
        </w:rPr>
        <w:t xml:space="preserve"> leaf extracts have shown promising antidiabetic properties, including the ability to reduce blood glucose levels and mitigate oxidative stress (Ibraheem et al., 2022).</w:t>
      </w:r>
    </w:p>
    <w:p w14:paraId="4B32D36E" w14:textId="77777777" w:rsidR="00AB2D8D" w:rsidRPr="00B339E9" w:rsidRDefault="00AB2D8D" w:rsidP="00AB2D8D">
      <w:pPr>
        <w:pStyle w:val="isselectedend"/>
        <w:jc w:val="both"/>
        <w:rPr>
          <w:highlight w:val="yellow"/>
        </w:rPr>
      </w:pPr>
      <w:r w:rsidRPr="00B339E9">
        <w:rPr>
          <w:highlight w:val="yellow"/>
        </w:rPr>
        <w:t xml:space="preserve">Traditionally, the plant has been used for the management of various ailments, including hypertension, fever, and stomach disorders (Boakye-Yiadom et al., 2021). It has also been reported that leaf extracts exhibit anthelmintic activity against intestinal parasites such as </w:t>
      </w:r>
      <w:r w:rsidRPr="00B339E9">
        <w:rPr>
          <w:rStyle w:val="Emphasis"/>
          <w:highlight w:val="yellow"/>
        </w:rPr>
        <w:t>Ascaris lumbricoides</w:t>
      </w:r>
      <w:r w:rsidRPr="00B339E9">
        <w:rPr>
          <w:highlight w:val="yellow"/>
        </w:rPr>
        <w:t xml:space="preserve"> and </w:t>
      </w:r>
      <w:r w:rsidRPr="00B339E9">
        <w:rPr>
          <w:rStyle w:val="Emphasis"/>
          <w:highlight w:val="yellow"/>
        </w:rPr>
        <w:t xml:space="preserve">Trichuris </w:t>
      </w:r>
      <w:proofErr w:type="spellStart"/>
      <w:r w:rsidRPr="00B339E9">
        <w:rPr>
          <w:rStyle w:val="Emphasis"/>
          <w:highlight w:val="yellow"/>
        </w:rPr>
        <w:t>trichiura</w:t>
      </w:r>
      <w:proofErr w:type="spellEnd"/>
      <w:r w:rsidRPr="00B339E9">
        <w:rPr>
          <w:highlight w:val="yellow"/>
        </w:rPr>
        <w:t xml:space="preserve">. The therapeutic properties of </w:t>
      </w:r>
      <w:r w:rsidRPr="00B339E9">
        <w:rPr>
          <w:rStyle w:val="Emphasis"/>
          <w:highlight w:val="yellow"/>
        </w:rPr>
        <w:t xml:space="preserve">Blighia </w:t>
      </w:r>
      <w:proofErr w:type="spellStart"/>
      <w:r w:rsidRPr="00B339E9">
        <w:rPr>
          <w:rStyle w:val="Emphasis"/>
          <w:highlight w:val="yellow"/>
        </w:rPr>
        <w:t>sapida</w:t>
      </w:r>
      <w:proofErr w:type="spellEnd"/>
      <w:r w:rsidRPr="00B339E9">
        <w:rPr>
          <w:highlight w:val="yellow"/>
        </w:rPr>
        <w:t xml:space="preserve"> have largely been attributed to the presence of secondary metabolites, including alkaloids, flavonoids, tannins, and saponins (</w:t>
      </w:r>
      <w:proofErr w:type="spellStart"/>
      <w:r w:rsidRPr="00B339E9">
        <w:rPr>
          <w:highlight w:val="yellow"/>
        </w:rPr>
        <w:t>Aloko</w:t>
      </w:r>
      <w:proofErr w:type="spellEnd"/>
      <w:r w:rsidRPr="00B339E9">
        <w:rPr>
          <w:highlight w:val="yellow"/>
        </w:rPr>
        <w:t xml:space="preserve"> et al., 2019).</w:t>
      </w:r>
    </w:p>
    <w:p w14:paraId="77E606B0" w14:textId="77777777" w:rsidR="00AB2D8D" w:rsidRPr="00B339E9" w:rsidRDefault="00AB2D8D" w:rsidP="00AB2D8D">
      <w:pPr>
        <w:pStyle w:val="isselectedend"/>
        <w:jc w:val="both"/>
        <w:rPr>
          <w:highlight w:val="yellow"/>
        </w:rPr>
      </w:pPr>
      <w:r w:rsidRPr="00B339E9">
        <w:rPr>
          <w:highlight w:val="yellow"/>
        </w:rPr>
        <w:t xml:space="preserve">Despite the growing ethnomedicinal use of </w:t>
      </w:r>
      <w:r w:rsidRPr="00B339E9">
        <w:rPr>
          <w:rStyle w:val="Emphasis"/>
          <w:highlight w:val="yellow"/>
        </w:rPr>
        <w:t xml:space="preserve">Blighia </w:t>
      </w:r>
      <w:proofErr w:type="spellStart"/>
      <w:r w:rsidRPr="00B339E9">
        <w:rPr>
          <w:rStyle w:val="Emphasis"/>
          <w:highlight w:val="yellow"/>
        </w:rPr>
        <w:t>sapida</w:t>
      </w:r>
      <w:proofErr w:type="spellEnd"/>
      <w:r w:rsidRPr="00B339E9">
        <w:rPr>
          <w:highlight w:val="yellow"/>
        </w:rPr>
        <w:t xml:space="preserve">, there remains limited comparative information regarding the influence of extraction solvents on the phytochemical composition and the associated antioxidant, antidiabetic, and antimicrobial activities of the leaves. Furthermore, studies integrating comprehensive phytochemical profiling with multiple biological activity assays for </w:t>
      </w:r>
      <w:r w:rsidRPr="00B339E9">
        <w:rPr>
          <w:rStyle w:val="Emphasis"/>
          <w:highlight w:val="yellow"/>
        </w:rPr>
        <w:t xml:space="preserve">Blighia </w:t>
      </w:r>
      <w:proofErr w:type="spellStart"/>
      <w:r w:rsidRPr="00B339E9">
        <w:rPr>
          <w:rStyle w:val="Emphasis"/>
          <w:highlight w:val="yellow"/>
        </w:rPr>
        <w:t>sapida</w:t>
      </w:r>
      <w:proofErr w:type="spellEnd"/>
      <w:r w:rsidRPr="00B339E9">
        <w:rPr>
          <w:highlight w:val="yellow"/>
        </w:rPr>
        <w:t xml:space="preserve"> leaves collected from Ogbomosho, Southwest Nigeria, are scarce. Addressing this knowledge gap may improve understanding of the phytochemical composition and biological activities of the species and provide scientific evidence supporting its potential therapeutic applications.</w:t>
      </w:r>
    </w:p>
    <w:p w14:paraId="4E9B8513" w14:textId="77777777" w:rsidR="00AB2D8D" w:rsidRDefault="00AB2D8D" w:rsidP="00AB2D8D">
      <w:pPr>
        <w:pStyle w:val="NormalWeb"/>
        <w:jc w:val="both"/>
      </w:pPr>
      <w:r w:rsidRPr="00B339E9">
        <w:rPr>
          <w:highlight w:val="yellow"/>
        </w:rPr>
        <w:lastRenderedPageBreak/>
        <w:t xml:space="preserve">Therefore, the present study aimed to evaluate the phytochemical composition, antioxidant activity, α-amylase inhibitory potential, and antimicrobial properties of ethyl acetate and ethanol extracts of </w:t>
      </w:r>
      <w:r w:rsidRPr="00B339E9">
        <w:rPr>
          <w:rStyle w:val="Emphasis"/>
          <w:highlight w:val="yellow"/>
        </w:rPr>
        <w:t xml:space="preserve">Blighia </w:t>
      </w:r>
      <w:proofErr w:type="spellStart"/>
      <w:r w:rsidRPr="00B339E9">
        <w:rPr>
          <w:rStyle w:val="Emphasis"/>
          <w:highlight w:val="yellow"/>
        </w:rPr>
        <w:t>sapida</w:t>
      </w:r>
      <w:proofErr w:type="spellEnd"/>
      <w:r w:rsidRPr="00B339E9">
        <w:rPr>
          <w:highlight w:val="yellow"/>
        </w:rPr>
        <w:t xml:space="preserve"> leaves collected from Ogbomosho, Southwest Nigeria. In addition, GC–MS analysis was performed on the most biologically active extract to identify its major phytochemical constituents.</w:t>
      </w:r>
    </w:p>
    <w:p w14:paraId="2A4877B7" w14:textId="77777777" w:rsidR="00A431CA" w:rsidRPr="0078079E" w:rsidRDefault="00A431CA" w:rsidP="00A028F1">
      <w:pPr>
        <w:spacing w:line="240" w:lineRule="auto"/>
        <w:jc w:val="both"/>
        <w:rPr>
          <w:rFonts w:ascii="Times New Roman" w:hAnsi="Times New Roman" w:cs="Times New Roman"/>
          <w:sz w:val="24"/>
          <w:szCs w:val="24"/>
        </w:rPr>
      </w:pPr>
    </w:p>
    <w:p w14:paraId="392567D8" w14:textId="77777777" w:rsidR="00A431CA" w:rsidRPr="0078079E" w:rsidRDefault="00DB74BC" w:rsidP="00A028F1">
      <w:pPr>
        <w:spacing w:line="240" w:lineRule="auto"/>
        <w:jc w:val="both"/>
        <w:rPr>
          <w:rFonts w:ascii="Times New Roman" w:hAnsi="Times New Roman" w:cs="Times New Roman"/>
          <w:b/>
          <w:bCs/>
          <w:sz w:val="24"/>
          <w:szCs w:val="24"/>
        </w:rPr>
      </w:pPr>
      <w:r w:rsidRPr="0078079E">
        <w:rPr>
          <w:rFonts w:ascii="Times New Roman" w:hAnsi="Times New Roman" w:cs="Times New Roman"/>
          <w:b/>
          <w:bCs/>
          <w:sz w:val="24"/>
          <w:szCs w:val="24"/>
        </w:rPr>
        <w:t xml:space="preserve">MATERIALS AND METHODS </w:t>
      </w:r>
    </w:p>
    <w:p w14:paraId="6B0DA46E" w14:textId="77777777" w:rsidR="00A431CA" w:rsidRPr="0078079E" w:rsidRDefault="00DB74BC" w:rsidP="00A028F1">
      <w:pPr>
        <w:spacing w:after="0" w:line="240" w:lineRule="auto"/>
        <w:jc w:val="both"/>
        <w:rPr>
          <w:rFonts w:ascii="Times New Roman" w:hAnsi="Times New Roman" w:cs="Times New Roman"/>
          <w:b/>
          <w:bCs/>
          <w:sz w:val="24"/>
          <w:szCs w:val="24"/>
        </w:rPr>
      </w:pPr>
      <w:r w:rsidRPr="0078079E">
        <w:rPr>
          <w:rFonts w:ascii="Times New Roman" w:hAnsi="Times New Roman" w:cs="Times New Roman"/>
          <w:b/>
          <w:bCs/>
          <w:sz w:val="24"/>
          <w:szCs w:val="24"/>
        </w:rPr>
        <w:t xml:space="preserve">Reagents and chemical used </w:t>
      </w:r>
    </w:p>
    <w:p w14:paraId="0569FD6F" w14:textId="77777777" w:rsidR="00A431CA" w:rsidRPr="0078079E" w:rsidRDefault="00DB74BC" w:rsidP="00A028F1">
      <w:pPr>
        <w:spacing w:after="0" w:line="240" w:lineRule="auto"/>
        <w:jc w:val="both"/>
        <w:rPr>
          <w:rFonts w:ascii="Times New Roman" w:hAnsi="Times New Roman" w:cs="Times New Roman"/>
          <w:sz w:val="24"/>
          <w:szCs w:val="24"/>
        </w:rPr>
      </w:pPr>
      <w:r w:rsidRPr="0078079E">
        <w:rPr>
          <w:rFonts w:ascii="Times New Roman" w:hAnsi="Times New Roman" w:cs="Times New Roman"/>
          <w:sz w:val="24"/>
          <w:szCs w:val="24"/>
        </w:rPr>
        <w:t>Folin-Ciocalteu’s reagent, 1,1-diphenyl-2-picrylhydrazyl (DPPH), gallic acid 2,4,6-tripyridyl-s-triazine, vitamin C, ascorbic acid, potato dextrose agar (PDA), Tris-HCl buffer (pH 6.9), solvents and other reagents used were of analytical grade and purchased from Lab-trade, a Nigerian company which sells Sigma Aldrich Chemical Co. (St. Louis, MO, United states of america).</w:t>
      </w:r>
    </w:p>
    <w:p w14:paraId="4E2C4D56" w14:textId="77777777" w:rsidR="00A431CA" w:rsidRPr="0078079E" w:rsidRDefault="00A431CA" w:rsidP="00A028F1">
      <w:pPr>
        <w:spacing w:after="0" w:line="240" w:lineRule="auto"/>
        <w:jc w:val="both"/>
        <w:rPr>
          <w:rFonts w:ascii="Times New Roman" w:hAnsi="Times New Roman" w:cs="Times New Roman"/>
          <w:b/>
          <w:bCs/>
          <w:sz w:val="24"/>
          <w:szCs w:val="24"/>
        </w:rPr>
      </w:pPr>
    </w:p>
    <w:p w14:paraId="149FB70F" w14:textId="77777777" w:rsidR="00A431CA" w:rsidRPr="0078079E" w:rsidRDefault="00DB74BC" w:rsidP="00A028F1">
      <w:pPr>
        <w:spacing w:after="0" w:line="240" w:lineRule="auto"/>
        <w:jc w:val="both"/>
        <w:rPr>
          <w:rFonts w:ascii="Times New Roman" w:hAnsi="Times New Roman" w:cs="Times New Roman"/>
          <w:b/>
          <w:bCs/>
          <w:sz w:val="24"/>
          <w:szCs w:val="24"/>
        </w:rPr>
      </w:pPr>
      <w:r w:rsidRPr="0078079E">
        <w:rPr>
          <w:rFonts w:ascii="Times New Roman" w:hAnsi="Times New Roman" w:cs="Times New Roman"/>
          <w:b/>
          <w:bCs/>
          <w:sz w:val="24"/>
          <w:szCs w:val="24"/>
        </w:rPr>
        <w:t xml:space="preserve">Plant collection and extraction </w:t>
      </w:r>
    </w:p>
    <w:p w14:paraId="4E3E739E" w14:textId="77777777" w:rsidR="00A431CA" w:rsidRPr="0078079E" w:rsidRDefault="00DB74BC" w:rsidP="00A028F1">
      <w:pPr>
        <w:spacing w:after="0" w:line="240" w:lineRule="auto"/>
        <w:jc w:val="both"/>
        <w:rPr>
          <w:rFonts w:ascii="Times New Roman" w:hAnsi="Times New Roman" w:cs="Times New Roman"/>
          <w:sz w:val="24"/>
          <w:szCs w:val="24"/>
        </w:rPr>
      </w:pPr>
      <w:r w:rsidRPr="0078079E">
        <w:rPr>
          <w:rFonts w:ascii="Times New Roman" w:hAnsi="Times New Roman" w:cs="Times New Roman"/>
          <w:sz w:val="24"/>
          <w:szCs w:val="24"/>
        </w:rPr>
        <w:t>Healthy Blighia sapida leaves were collected from Oke Anu, General area, Ogbomosho, Oyo state, Nigeria, identified and attested by Taxonomist, Department of Pure and Applied Biology, Ladoke Akintola University of Technology, Ogbomosho. The plant materials were cleaned with tap water, prior to water purified by distillation, shade dry and powdered. The powdered plant materials were subjected to successive extraction with n-hexane, ethyl acetate and ethanol and applying maceration method. The extracts were dry utilizing rotary evaporator. The dried crude extracts were stored in refrigerator at 0 0C for future use. The yield in dry extract expressed as a percentage is determined according to the following equation:</w:t>
      </w:r>
    </w:p>
    <w:p w14:paraId="4CE664F1" w14:textId="77777777" w:rsidR="00A431CA" w:rsidRPr="0078079E" w:rsidRDefault="00DB74BC" w:rsidP="00A028F1">
      <w:pPr>
        <w:spacing w:after="0" w:line="240" w:lineRule="auto"/>
        <w:jc w:val="center"/>
        <w:rPr>
          <w:rFonts w:ascii="Times New Roman" w:hAnsi="Times New Roman" w:cs="Times New Roman"/>
          <w:sz w:val="24"/>
          <w:szCs w:val="24"/>
        </w:rPr>
      </w:pPr>
      <w:r w:rsidRPr="0078079E">
        <w:rPr>
          <w:rFonts w:ascii="Times New Roman" w:hAnsi="Times New Roman" w:cs="Times New Roman"/>
          <w:sz w:val="24"/>
          <w:szCs w:val="24"/>
        </w:rPr>
        <w:t xml:space="preserve">Yield % = </w:t>
      </w:r>
      <m:oMath>
        <m:f>
          <m:fPr>
            <m:ctrlPr>
              <w:rPr>
                <w:rFonts w:ascii="Cambria Math" w:hAnsi="Cambria Math" w:cs="Times New Roman"/>
                <w:sz w:val="28"/>
                <w:szCs w:val="28"/>
              </w:rPr>
            </m:ctrlPr>
          </m:fPr>
          <m:num>
            <m:r>
              <m:rPr>
                <m:sty m:val="p"/>
              </m:rPr>
              <w:rPr>
                <w:rFonts w:ascii="Cambria Math" w:hAnsi="Cambria Math" w:cs="Times New Roman"/>
                <w:sz w:val="28"/>
                <w:szCs w:val="28"/>
              </w:rPr>
              <m:t>M1</m:t>
            </m:r>
          </m:num>
          <m:den>
            <m:r>
              <m:rPr>
                <m:sty m:val="p"/>
              </m:rPr>
              <w:rPr>
                <w:rFonts w:ascii="Cambria Math" w:hAnsi="Cambria Math" w:cs="Times New Roman"/>
                <w:sz w:val="28"/>
                <w:szCs w:val="28"/>
              </w:rPr>
              <m:t xml:space="preserve">M2  </m:t>
            </m:r>
          </m:den>
        </m:f>
      </m:oMath>
      <w:r w:rsidRPr="0078079E">
        <w:rPr>
          <w:rFonts w:ascii="Times New Roman" w:hAnsi="Times New Roman" w:cs="Times New Roman"/>
          <w:sz w:val="24"/>
          <w:szCs w:val="24"/>
        </w:rPr>
        <w:t xml:space="preserve"> × 100</w:t>
      </w:r>
    </w:p>
    <w:p w14:paraId="3DBB44A6" w14:textId="77777777" w:rsidR="00A431CA" w:rsidRPr="0078079E" w:rsidRDefault="00DB74BC" w:rsidP="00A028F1">
      <w:pPr>
        <w:spacing w:after="0" w:line="240" w:lineRule="auto"/>
        <w:jc w:val="both"/>
        <w:rPr>
          <w:rFonts w:ascii="Times New Roman" w:hAnsi="Times New Roman" w:cs="Times New Roman"/>
          <w:sz w:val="24"/>
          <w:szCs w:val="24"/>
        </w:rPr>
      </w:pPr>
      <w:r w:rsidRPr="0078079E">
        <w:rPr>
          <w:rFonts w:ascii="Times New Roman" w:hAnsi="Times New Roman" w:cs="Times New Roman"/>
          <w:sz w:val="24"/>
          <w:szCs w:val="24"/>
        </w:rPr>
        <w:t xml:space="preserve">Yield % = yield in percentage </w:t>
      </w:r>
    </w:p>
    <w:p w14:paraId="544558A3" w14:textId="77777777" w:rsidR="00A431CA" w:rsidRPr="0078079E" w:rsidRDefault="00DB74BC" w:rsidP="00A028F1">
      <w:pPr>
        <w:spacing w:after="0" w:line="240" w:lineRule="auto"/>
        <w:jc w:val="both"/>
        <w:rPr>
          <w:rFonts w:ascii="Times New Roman" w:hAnsi="Times New Roman" w:cs="Times New Roman"/>
          <w:sz w:val="24"/>
          <w:szCs w:val="24"/>
        </w:rPr>
      </w:pPr>
      <w:r w:rsidRPr="0078079E">
        <w:rPr>
          <w:rFonts w:ascii="Times New Roman" w:hAnsi="Times New Roman" w:cs="Times New Roman"/>
          <w:sz w:val="24"/>
          <w:szCs w:val="24"/>
        </w:rPr>
        <w:t>M</w:t>
      </w:r>
      <w:r w:rsidRPr="0078079E">
        <w:rPr>
          <w:rFonts w:ascii="Times New Roman" w:hAnsi="Times New Roman" w:cs="Times New Roman"/>
          <w:sz w:val="24"/>
          <w:szCs w:val="24"/>
          <w:vertAlign w:val="subscript"/>
        </w:rPr>
        <w:t>1</w:t>
      </w:r>
      <w:r w:rsidRPr="0078079E">
        <w:rPr>
          <w:rFonts w:ascii="Times New Roman" w:hAnsi="Times New Roman" w:cs="Times New Roman"/>
          <w:sz w:val="24"/>
          <w:szCs w:val="24"/>
        </w:rPr>
        <w:t>= mass of dry crude extract (g)</w:t>
      </w:r>
    </w:p>
    <w:p w14:paraId="0366583C" w14:textId="77777777" w:rsidR="00A431CA" w:rsidRPr="0078079E" w:rsidRDefault="00DB74BC" w:rsidP="00A028F1">
      <w:pPr>
        <w:spacing w:after="0" w:line="240" w:lineRule="auto"/>
        <w:jc w:val="both"/>
        <w:rPr>
          <w:rFonts w:ascii="Times New Roman" w:hAnsi="Times New Roman" w:cs="Times New Roman"/>
          <w:sz w:val="24"/>
          <w:szCs w:val="24"/>
        </w:rPr>
      </w:pPr>
      <w:r w:rsidRPr="0078079E">
        <w:rPr>
          <w:rFonts w:ascii="Times New Roman" w:hAnsi="Times New Roman" w:cs="Times New Roman"/>
          <w:sz w:val="24"/>
          <w:szCs w:val="24"/>
        </w:rPr>
        <w:t>M</w:t>
      </w:r>
      <w:r w:rsidRPr="0078079E">
        <w:rPr>
          <w:rFonts w:ascii="Times New Roman" w:hAnsi="Times New Roman" w:cs="Times New Roman"/>
          <w:sz w:val="24"/>
          <w:szCs w:val="24"/>
          <w:vertAlign w:val="subscript"/>
        </w:rPr>
        <w:t>2</w:t>
      </w:r>
      <w:r w:rsidRPr="0078079E">
        <w:rPr>
          <w:rFonts w:ascii="Times New Roman" w:hAnsi="Times New Roman" w:cs="Times New Roman"/>
          <w:sz w:val="24"/>
          <w:szCs w:val="24"/>
        </w:rPr>
        <w:t xml:space="preserve"> = mass of pulverized plant materials (g). </w:t>
      </w:r>
    </w:p>
    <w:p w14:paraId="0853A24F" w14:textId="77777777" w:rsidR="00A431CA" w:rsidRPr="0078079E" w:rsidRDefault="00A431CA" w:rsidP="00A028F1">
      <w:pPr>
        <w:spacing w:after="0" w:line="240" w:lineRule="auto"/>
        <w:jc w:val="both"/>
        <w:rPr>
          <w:rFonts w:ascii="Times New Roman" w:hAnsi="Times New Roman" w:cs="Times New Roman"/>
          <w:sz w:val="24"/>
          <w:szCs w:val="24"/>
        </w:rPr>
      </w:pPr>
    </w:p>
    <w:p w14:paraId="0B866022" w14:textId="77777777" w:rsidR="00A431CA" w:rsidRPr="0078079E" w:rsidRDefault="00DB74BC" w:rsidP="00A028F1">
      <w:pPr>
        <w:spacing w:after="0" w:line="240" w:lineRule="auto"/>
        <w:jc w:val="both"/>
        <w:rPr>
          <w:rFonts w:ascii="Times New Roman" w:hAnsi="Times New Roman" w:cs="Times New Roman"/>
          <w:b/>
          <w:bCs/>
          <w:sz w:val="24"/>
          <w:szCs w:val="24"/>
        </w:rPr>
      </w:pPr>
      <w:r w:rsidRPr="0078079E">
        <w:rPr>
          <w:rFonts w:ascii="Times New Roman" w:hAnsi="Times New Roman" w:cs="Times New Roman"/>
          <w:b/>
          <w:bCs/>
          <w:sz w:val="24"/>
          <w:szCs w:val="24"/>
        </w:rPr>
        <w:t xml:space="preserve">Phytochemical screening </w:t>
      </w:r>
    </w:p>
    <w:p w14:paraId="3D22AB01" w14:textId="77777777" w:rsidR="00A431CA" w:rsidRPr="0078079E" w:rsidRDefault="00DB74BC" w:rsidP="00A028F1">
      <w:pPr>
        <w:spacing w:after="0" w:line="240" w:lineRule="auto"/>
        <w:jc w:val="both"/>
        <w:rPr>
          <w:rFonts w:ascii="Times New Roman" w:hAnsi="Times New Roman" w:cs="Times New Roman"/>
          <w:b/>
          <w:bCs/>
          <w:sz w:val="24"/>
          <w:szCs w:val="24"/>
        </w:rPr>
      </w:pPr>
      <w:r w:rsidRPr="0078079E">
        <w:rPr>
          <w:rFonts w:ascii="Times New Roman" w:hAnsi="Times New Roman" w:cs="Times New Roman"/>
          <w:b/>
          <w:bCs/>
          <w:sz w:val="24"/>
          <w:szCs w:val="24"/>
        </w:rPr>
        <w:t>Preliminary phytochemical screening</w:t>
      </w:r>
    </w:p>
    <w:p w14:paraId="7607171B" w14:textId="77777777" w:rsidR="00A431CA" w:rsidRPr="0078079E" w:rsidRDefault="00DB74BC" w:rsidP="00A028F1">
      <w:pPr>
        <w:spacing w:after="0" w:line="240" w:lineRule="auto"/>
        <w:jc w:val="both"/>
        <w:rPr>
          <w:rFonts w:ascii="Times New Roman" w:hAnsi="Times New Roman" w:cs="Times New Roman"/>
          <w:sz w:val="24"/>
          <w:szCs w:val="24"/>
        </w:rPr>
      </w:pPr>
      <w:r w:rsidRPr="0078079E">
        <w:rPr>
          <w:rFonts w:ascii="Times New Roman" w:hAnsi="Times New Roman" w:cs="Times New Roman"/>
          <w:sz w:val="24"/>
          <w:szCs w:val="24"/>
        </w:rPr>
        <w:t>The preliminary phytochemical screening tests were performed to establish the effective components by standard methods (Adepoju et al., 2024; Adeyeni et al., 2024).</w:t>
      </w:r>
    </w:p>
    <w:p w14:paraId="090E6D89" w14:textId="77777777" w:rsidR="00A431CA" w:rsidRPr="0078079E" w:rsidRDefault="00A431CA" w:rsidP="00A028F1">
      <w:pPr>
        <w:spacing w:after="0" w:line="240" w:lineRule="auto"/>
        <w:jc w:val="both"/>
        <w:rPr>
          <w:rFonts w:ascii="Times New Roman" w:hAnsi="Times New Roman" w:cs="Times New Roman"/>
          <w:sz w:val="24"/>
          <w:szCs w:val="24"/>
        </w:rPr>
      </w:pPr>
    </w:p>
    <w:p w14:paraId="098CC4AA" w14:textId="77777777" w:rsidR="00A431CA" w:rsidRPr="0078079E" w:rsidRDefault="00DB74BC" w:rsidP="00A028F1">
      <w:pPr>
        <w:spacing w:after="0" w:line="240" w:lineRule="auto"/>
        <w:jc w:val="both"/>
        <w:rPr>
          <w:rFonts w:ascii="Times New Roman" w:hAnsi="Times New Roman" w:cs="Times New Roman"/>
          <w:b/>
          <w:bCs/>
          <w:sz w:val="24"/>
          <w:szCs w:val="24"/>
        </w:rPr>
      </w:pPr>
      <w:r w:rsidRPr="0078079E">
        <w:rPr>
          <w:rFonts w:ascii="Times New Roman" w:hAnsi="Times New Roman" w:cs="Times New Roman"/>
          <w:b/>
          <w:bCs/>
          <w:sz w:val="24"/>
          <w:szCs w:val="24"/>
        </w:rPr>
        <w:t xml:space="preserve">Quantitative phytochemical screening </w:t>
      </w:r>
    </w:p>
    <w:p w14:paraId="78616175" w14:textId="77777777" w:rsidR="00A431CA" w:rsidRPr="0078079E" w:rsidRDefault="00DB74BC" w:rsidP="00A028F1">
      <w:pPr>
        <w:spacing w:after="0" w:line="240" w:lineRule="auto"/>
        <w:jc w:val="both"/>
        <w:rPr>
          <w:rFonts w:ascii="Times New Roman" w:hAnsi="Times New Roman" w:cs="Times New Roman"/>
          <w:b/>
          <w:bCs/>
          <w:sz w:val="24"/>
          <w:szCs w:val="24"/>
        </w:rPr>
      </w:pPr>
      <w:r w:rsidRPr="0078079E">
        <w:rPr>
          <w:rFonts w:ascii="Times New Roman" w:hAnsi="Times New Roman" w:cs="Times New Roman"/>
          <w:b/>
          <w:bCs/>
          <w:sz w:val="24"/>
          <w:szCs w:val="24"/>
        </w:rPr>
        <w:t>Determination of total alkaloid contents</w:t>
      </w:r>
    </w:p>
    <w:p w14:paraId="4AE4AC15" w14:textId="77777777" w:rsidR="00A431CA" w:rsidRPr="0078079E" w:rsidRDefault="00DB74BC" w:rsidP="00A028F1">
      <w:pPr>
        <w:spacing w:after="0" w:line="240" w:lineRule="auto"/>
        <w:jc w:val="both"/>
        <w:rPr>
          <w:rStyle w:val="selectable-text"/>
          <w:rFonts w:ascii="Times New Roman" w:hAnsi="Times New Roman" w:cs="Times New Roman"/>
          <w:sz w:val="24"/>
          <w:szCs w:val="24"/>
        </w:rPr>
      </w:pPr>
      <w:r w:rsidRPr="0078079E">
        <w:rPr>
          <w:rStyle w:val="selectable-text"/>
          <w:rFonts w:ascii="Times New Roman" w:hAnsi="Times New Roman" w:cs="Times New Roman"/>
          <w:sz w:val="24"/>
          <w:szCs w:val="24"/>
        </w:rPr>
        <w:t>The alkaloid content was determined using the method described by Van Tans (2018). A 5g sample was mixed with 200mL of 10% acetic acid in ethanol in a 250mL beaker. The mixture was filtered for 4 hours, and the resulting extract was then concentrated in a water bath to approximately 25% of its initial volume. Concentrated ammonium hydroxide was gradually added until precipitation occurred. The precipitate was then treated with a diluted ammonium hydroxide solution and filtered. The final product was obtained as a weighted and dried alkaloid.</w:t>
      </w:r>
    </w:p>
    <w:p w14:paraId="41AA6EBB" w14:textId="77777777" w:rsidR="00A431CA" w:rsidRPr="0078079E" w:rsidRDefault="00A431CA" w:rsidP="00A028F1">
      <w:pPr>
        <w:spacing w:after="0" w:line="240" w:lineRule="auto"/>
        <w:jc w:val="both"/>
        <w:rPr>
          <w:rFonts w:ascii="Times New Roman" w:hAnsi="Times New Roman" w:cs="Times New Roman"/>
          <w:sz w:val="24"/>
          <w:szCs w:val="24"/>
        </w:rPr>
      </w:pPr>
    </w:p>
    <w:p w14:paraId="4266D240" w14:textId="77777777" w:rsidR="00A431CA" w:rsidRPr="0078079E" w:rsidRDefault="00DB74BC" w:rsidP="00A028F1">
      <w:pPr>
        <w:spacing w:after="0" w:line="240" w:lineRule="auto"/>
        <w:jc w:val="both"/>
        <w:rPr>
          <w:rFonts w:ascii="Times New Roman" w:hAnsi="Times New Roman" w:cs="Times New Roman"/>
          <w:b/>
          <w:bCs/>
          <w:sz w:val="24"/>
          <w:szCs w:val="24"/>
        </w:rPr>
      </w:pPr>
      <w:r w:rsidRPr="0078079E">
        <w:rPr>
          <w:rFonts w:ascii="Times New Roman" w:hAnsi="Times New Roman" w:cs="Times New Roman"/>
          <w:b/>
          <w:bCs/>
          <w:sz w:val="24"/>
          <w:szCs w:val="24"/>
        </w:rPr>
        <w:t>Determination of total saponin contents</w:t>
      </w:r>
    </w:p>
    <w:p w14:paraId="7D9CC4AD" w14:textId="77777777" w:rsidR="00A431CA" w:rsidRPr="0078079E" w:rsidRDefault="00DB74BC" w:rsidP="00A028F1">
      <w:pPr>
        <w:spacing w:after="0" w:line="240" w:lineRule="auto"/>
        <w:jc w:val="both"/>
        <w:rPr>
          <w:rFonts w:ascii="Times New Roman" w:hAnsi="Times New Roman" w:cs="Times New Roman"/>
          <w:sz w:val="24"/>
          <w:szCs w:val="24"/>
        </w:rPr>
      </w:pPr>
      <w:r w:rsidRPr="0078079E">
        <w:rPr>
          <w:rFonts w:ascii="Times New Roman" w:hAnsi="Times New Roman" w:cs="Times New Roman"/>
          <w:sz w:val="24"/>
          <w:szCs w:val="24"/>
        </w:rPr>
        <w:t xml:space="preserve">The methodology described by Adepoju et al. (2024) was followed precisely. A 20g sample of each was macerated with 100cm³ of 20% aqueous ethanol in a conical flask and heated at 55°C for 4 </w:t>
      </w:r>
      <w:r w:rsidRPr="0078079E">
        <w:rPr>
          <w:rFonts w:ascii="Times New Roman" w:hAnsi="Times New Roman" w:cs="Times New Roman"/>
          <w:sz w:val="24"/>
          <w:szCs w:val="24"/>
        </w:rPr>
        <w:lastRenderedPageBreak/>
        <w:t>hours using a hot water bath. The mixture was then filtered, and the residue was further extracted with 200mL of 20% ethanol. The combined extracts were reduced to 40mL using a 90°C water bath, followed by the addition of 20mL diethyl ether. The aqueous layer was separated and washed twice with 10mL of 5% aqueous sodium chloride. The remaining solution was heated to a constant weight, and the saponin content was determined</w:t>
      </w:r>
    </w:p>
    <w:p w14:paraId="0232227A" w14:textId="77777777" w:rsidR="00A431CA" w:rsidRPr="0078079E" w:rsidRDefault="00A431CA" w:rsidP="00A028F1">
      <w:pPr>
        <w:spacing w:after="0" w:line="240" w:lineRule="auto"/>
        <w:jc w:val="both"/>
        <w:rPr>
          <w:rFonts w:ascii="Times New Roman" w:hAnsi="Times New Roman" w:cs="Times New Roman"/>
          <w:sz w:val="24"/>
          <w:szCs w:val="24"/>
        </w:rPr>
      </w:pPr>
    </w:p>
    <w:p w14:paraId="58615F16" w14:textId="77777777" w:rsidR="00A431CA" w:rsidRPr="0078079E" w:rsidRDefault="00DB74BC" w:rsidP="00A028F1">
      <w:pPr>
        <w:spacing w:after="0" w:line="240" w:lineRule="auto"/>
        <w:jc w:val="both"/>
        <w:rPr>
          <w:rFonts w:ascii="Times New Roman" w:hAnsi="Times New Roman" w:cs="Times New Roman"/>
          <w:b/>
          <w:bCs/>
          <w:sz w:val="24"/>
          <w:szCs w:val="24"/>
        </w:rPr>
      </w:pPr>
      <w:r w:rsidRPr="0078079E">
        <w:rPr>
          <w:rFonts w:ascii="Times New Roman" w:hAnsi="Times New Roman" w:cs="Times New Roman"/>
          <w:b/>
          <w:bCs/>
          <w:sz w:val="24"/>
          <w:szCs w:val="24"/>
        </w:rPr>
        <w:t>Determination of total phenolic content</w:t>
      </w:r>
    </w:p>
    <w:p w14:paraId="2A89B4C0" w14:textId="77777777" w:rsidR="00A431CA" w:rsidRPr="0078079E" w:rsidRDefault="00DB74BC" w:rsidP="00A028F1">
      <w:pPr>
        <w:spacing w:after="0" w:line="240" w:lineRule="auto"/>
        <w:jc w:val="both"/>
        <w:rPr>
          <w:rFonts w:ascii="Times New Roman" w:hAnsi="Times New Roman" w:cs="Times New Roman"/>
          <w:sz w:val="24"/>
          <w:szCs w:val="24"/>
        </w:rPr>
      </w:pPr>
      <w:r w:rsidRPr="0078079E">
        <w:rPr>
          <w:rFonts w:ascii="Times New Roman" w:hAnsi="Times New Roman" w:cs="Times New Roman"/>
          <w:sz w:val="24"/>
          <w:szCs w:val="24"/>
        </w:rPr>
        <w:t>Siddiqui et al. (2017) described a method for determining the total phenolic content in plant extracts using spectrophotometric analysis with the Folin-Ciocalteu test. The procedure involves preparing a reaction mixture in a 25 mL volumetric flask by combining 1 mL of plant extract, 1 mL of Folin-Ciocalteu reagent, and 9 mL of distilled water. After a 5-minute reaction time, 10 mL of a 7% sodium carbonate solution are added. Gallic acid standards (20-100 µg/mL) are prepared using the same procedure. The absorbance of the test and standard solutions is then measured at 550 nm using a UV/Visible spectrophotometer after a 90-minute incubation period at room temperature. The total phenol content is expressed as milligrams of gallic acid equivalent (GAE) per gram of extract.</w:t>
      </w:r>
    </w:p>
    <w:p w14:paraId="7FE7E77D" w14:textId="77777777" w:rsidR="00A431CA" w:rsidRPr="0078079E" w:rsidRDefault="00A431CA" w:rsidP="00A028F1">
      <w:pPr>
        <w:spacing w:after="0" w:line="240" w:lineRule="auto"/>
        <w:jc w:val="both"/>
        <w:rPr>
          <w:rFonts w:ascii="Times New Roman" w:hAnsi="Times New Roman" w:cs="Times New Roman"/>
          <w:sz w:val="24"/>
          <w:szCs w:val="24"/>
        </w:rPr>
      </w:pPr>
    </w:p>
    <w:p w14:paraId="7EA89A05" w14:textId="77777777" w:rsidR="00A431CA" w:rsidRPr="0078079E" w:rsidRDefault="00DB74BC" w:rsidP="00A028F1">
      <w:pPr>
        <w:spacing w:after="0" w:line="240" w:lineRule="auto"/>
        <w:jc w:val="both"/>
        <w:rPr>
          <w:rFonts w:ascii="Times New Roman" w:hAnsi="Times New Roman" w:cs="Times New Roman"/>
          <w:b/>
          <w:bCs/>
          <w:sz w:val="24"/>
          <w:szCs w:val="24"/>
        </w:rPr>
      </w:pPr>
      <w:r w:rsidRPr="0078079E">
        <w:rPr>
          <w:rFonts w:ascii="Times New Roman" w:hAnsi="Times New Roman" w:cs="Times New Roman"/>
          <w:b/>
          <w:bCs/>
          <w:sz w:val="24"/>
          <w:szCs w:val="24"/>
        </w:rPr>
        <w:t>Determination of total tannin Content</w:t>
      </w:r>
    </w:p>
    <w:p w14:paraId="2529BC83" w14:textId="77777777" w:rsidR="00A431CA" w:rsidRPr="0078079E" w:rsidRDefault="00DB74BC" w:rsidP="00A028F1">
      <w:pPr>
        <w:spacing w:after="0" w:line="240" w:lineRule="auto"/>
        <w:jc w:val="both"/>
        <w:rPr>
          <w:rFonts w:ascii="Times New Roman" w:hAnsi="Times New Roman" w:cs="Times New Roman"/>
          <w:sz w:val="24"/>
          <w:szCs w:val="24"/>
        </w:rPr>
      </w:pPr>
      <w:r w:rsidRPr="0078079E">
        <w:rPr>
          <w:rFonts w:ascii="Times New Roman" w:hAnsi="Times New Roman" w:cs="Times New Roman"/>
          <w:sz w:val="24"/>
          <w:szCs w:val="24"/>
        </w:rPr>
        <w:t xml:space="preserve">Adepoju et al., (2024) established the Folin-Ciocalteu method, which was used to determine the tannin concentration. 0.1 mL of the sample extract, 7.5 mL of distilled water, 0.5 mL of the Folin-Ciocalteu reagent, and 1 mL of 35% Na2CO3 were added to a volumetric flask (10 mL). After shaking, the mixture stayed for thirty minutes. Gallic acid standard solutions (20-100 µg/mL) undergo a similar process. A UV/visible spectrophotometer measured the absorbance at 725 nm. The amount of tannin present in each gram of extract was determined in milligrams of GAE. </w:t>
      </w:r>
    </w:p>
    <w:p w14:paraId="4D31A975" w14:textId="77777777" w:rsidR="00A431CA" w:rsidRPr="0078079E" w:rsidRDefault="00A431CA" w:rsidP="00A028F1">
      <w:pPr>
        <w:spacing w:after="0" w:line="240" w:lineRule="auto"/>
        <w:jc w:val="both"/>
        <w:rPr>
          <w:rFonts w:ascii="Times New Roman" w:hAnsi="Times New Roman" w:cs="Times New Roman"/>
          <w:sz w:val="24"/>
          <w:szCs w:val="24"/>
        </w:rPr>
      </w:pPr>
    </w:p>
    <w:p w14:paraId="053ECC5E" w14:textId="77777777" w:rsidR="00A431CA" w:rsidRPr="0078079E" w:rsidRDefault="00DB74BC" w:rsidP="00A028F1">
      <w:pPr>
        <w:spacing w:after="0" w:line="240" w:lineRule="auto"/>
        <w:jc w:val="both"/>
        <w:rPr>
          <w:rFonts w:ascii="Times New Roman" w:hAnsi="Times New Roman" w:cs="Times New Roman"/>
          <w:b/>
          <w:bCs/>
          <w:sz w:val="24"/>
          <w:szCs w:val="24"/>
        </w:rPr>
      </w:pPr>
      <w:r w:rsidRPr="0078079E">
        <w:rPr>
          <w:rFonts w:ascii="Times New Roman" w:hAnsi="Times New Roman" w:cs="Times New Roman"/>
          <w:b/>
          <w:bCs/>
          <w:sz w:val="24"/>
          <w:szCs w:val="24"/>
        </w:rPr>
        <w:t>Determination total flavonoid content</w:t>
      </w:r>
    </w:p>
    <w:p w14:paraId="5532E3FA" w14:textId="77777777" w:rsidR="00A431CA" w:rsidRPr="0078079E" w:rsidRDefault="00DB74BC" w:rsidP="00A028F1">
      <w:pPr>
        <w:spacing w:after="0" w:line="240" w:lineRule="auto"/>
        <w:jc w:val="both"/>
        <w:rPr>
          <w:rFonts w:ascii="Times New Roman" w:hAnsi="Times New Roman" w:cs="Times New Roman"/>
          <w:sz w:val="24"/>
          <w:szCs w:val="24"/>
        </w:rPr>
      </w:pPr>
      <w:r w:rsidRPr="0078079E">
        <w:rPr>
          <w:rFonts w:ascii="Times New Roman" w:hAnsi="Times New Roman" w:cs="Times New Roman"/>
          <w:sz w:val="24"/>
          <w:szCs w:val="24"/>
        </w:rPr>
        <w:t>According to Shraim et al. (2021), the total flavonoid concentration was determined using the aluminium chloride colorimetric method. The procedure involved preparing a solution in a 10 mL volumetric flask by combining 1 mL of extract with 4 mL of distilled water. After a 5-minute reaction time, 0.30 mL of 5% sodium nitrite (previously treated) and 0.3 mL of 10% aluminium chloride were added. Following an additional 5-minute reaction time, 2 mL of 1M sodium hydroxide was added, and the solution was diluted to 10 mL with distilled water. This process was replicated for various standard quercetin solutions (20-100 µg/mL). The absorbance of the test and standard solutions was then measured at 510 nm using a UV/Visible spectrophotometer, with the reagent blank serving as a reference.</w:t>
      </w:r>
    </w:p>
    <w:p w14:paraId="1C60BFA5" w14:textId="77777777" w:rsidR="00A431CA" w:rsidRPr="0078079E" w:rsidRDefault="00A431CA" w:rsidP="00A028F1">
      <w:pPr>
        <w:spacing w:after="0" w:line="240" w:lineRule="auto"/>
        <w:jc w:val="both"/>
        <w:rPr>
          <w:rFonts w:ascii="Times New Roman" w:hAnsi="Times New Roman" w:cs="Times New Roman"/>
          <w:sz w:val="24"/>
          <w:szCs w:val="24"/>
        </w:rPr>
      </w:pPr>
    </w:p>
    <w:p w14:paraId="46A4DDE7" w14:textId="77777777" w:rsidR="00A431CA" w:rsidRPr="0078079E" w:rsidRDefault="00DB74BC" w:rsidP="00A028F1">
      <w:pPr>
        <w:spacing w:after="0" w:line="240" w:lineRule="auto"/>
        <w:jc w:val="both"/>
        <w:rPr>
          <w:rFonts w:ascii="Times New Roman" w:hAnsi="Times New Roman" w:cs="Times New Roman"/>
          <w:b/>
          <w:bCs/>
          <w:sz w:val="24"/>
          <w:szCs w:val="24"/>
        </w:rPr>
      </w:pPr>
      <w:r w:rsidRPr="0078079E">
        <w:rPr>
          <w:rFonts w:ascii="Times New Roman" w:hAnsi="Times New Roman" w:cs="Times New Roman"/>
          <w:b/>
          <w:bCs/>
          <w:sz w:val="24"/>
          <w:szCs w:val="24"/>
        </w:rPr>
        <w:t>Determination of DPPH Free Radical Scavenging Activity</w:t>
      </w:r>
    </w:p>
    <w:p w14:paraId="3DE1D344" w14:textId="77777777" w:rsidR="00A431CA" w:rsidRPr="0078079E" w:rsidRDefault="00DB74BC" w:rsidP="00A028F1">
      <w:pPr>
        <w:spacing w:line="240" w:lineRule="auto"/>
        <w:jc w:val="both"/>
        <w:rPr>
          <w:rFonts w:ascii="Times New Roman" w:eastAsia="Times New Roman" w:hAnsi="Times New Roman" w:cs="Times New Roman"/>
          <w:kern w:val="0"/>
          <w:sz w:val="24"/>
          <w:szCs w:val="24"/>
          <w14:ligatures w14:val="none"/>
        </w:rPr>
      </w:pPr>
      <w:r w:rsidRPr="0078079E">
        <w:rPr>
          <w:rFonts w:ascii="Times New Roman" w:hAnsi="Times New Roman" w:cs="Times New Roman"/>
          <w:sz w:val="24"/>
          <w:szCs w:val="24"/>
        </w:rPr>
        <w:t xml:space="preserve">The free radical scavenging and antioxidant activities of B. sapida leaves extracts against the stable free radical 2,2-diphenyl-1- picrylhydrazyl (DPPH) were evaluated according to </w:t>
      </w:r>
      <w:r w:rsidRPr="0078079E">
        <w:rPr>
          <w:rFonts w:ascii="Times New Roman" w:eastAsia="Times New Roman" w:hAnsi="Times New Roman" w:cs="Times New Roman"/>
          <w:kern w:val="0"/>
          <w:sz w:val="24"/>
          <w:szCs w:val="24"/>
          <w14:ligatures w14:val="none"/>
        </w:rPr>
        <w:t xml:space="preserve">Akinmoladun et al. (2010), </w:t>
      </w:r>
      <w:r w:rsidRPr="0078079E">
        <w:rPr>
          <w:rFonts w:ascii="Times New Roman" w:hAnsi="Times New Roman" w:cs="Times New Roman"/>
          <w:sz w:val="24"/>
          <w:szCs w:val="24"/>
        </w:rPr>
        <w:t>using varying concentrations of the extracts in a methanolic solution of DPPH. Using vitamin C as a reference material, the absorbance at 517 nm was determined using a spectrophotometer following a 30- minute incubation period at room temperature and in the dark. The percentage inhibition was calculated for each concentration of extracts and standard using the following equation.</w:t>
      </w:r>
    </w:p>
    <w:p w14:paraId="1B72A435" w14:textId="77777777" w:rsidR="00A431CA" w:rsidRPr="0078079E" w:rsidRDefault="00DB74BC" w:rsidP="00A028F1">
      <w:pPr>
        <w:spacing w:after="0" w:line="240" w:lineRule="auto"/>
        <w:jc w:val="center"/>
        <w:rPr>
          <w:rFonts w:ascii="Times New Roman" w:hAnsi="Times New Roman" w:cs="Times New Roman"/>
          <w:sz w:val="24"/>
          <w:szCs w:val="24"/>
        </w:rPr>
      </w:pPr>
      <w:r w:rsidRPr="0078079E">
        <w:rPr>
          <w:rFonts w:ascii="Times New Roman" w:hAnsi="Times New Roman" w:cs="Times New Roman"/>
          <w:sz w:val="24"/>
          <w:szCs w:val="24"/>
        </w:rPr>
        <w:t>% Inhibition = (</w:t>
      </w:r>
      <m:oMath>
        <m:f>
          <m:fPr>
            <m:ctrlPr>
              <w:rPr>
                <w:rFonts w:ascii="Cambria Math" w:hAnsi="Cambria Math" w:cs="Times New Roman"/>
                <w:sz w:val="24"/>
                <w:szCs w:val="24"/>
              </w:rPr>
            </m:ctrlPr>
          </m:fPr>
          <m:num>
            <m:r>
              <m:rPr>
                <m:sty m:val="p"/>
              </m:rPr>
              <w:rPr>
                <w:rFonts w:ascii="Cambria Math" w:hAnsi="Cambria Math" w:cs="Cambria Math"/>
                <w:sz w:val="24"/>
                <w:szCs w:val="24"/>
              </w:rPr>
              <m:t>Ab</m:t>
            </m:r>
            <m:r>
              <m:rPr>
                <m:sty m:val="p"/>
              </m:rPr>
              <w:rPr>
                <w:rFonts w:ascii="Cambria Math" w:hAnsi="Cambria Math" w:cs="Times New Roman"/>
                <w:sz w:val="24"/>
                <w:szCs w:val="24"/>
              </w:rPr>
              <m:t>-</m:t>
            </m:r>
            <m:r>
              <m:rPr>
                <m:sty m:val="p"/>
              </m:rPr>
              <w:rPr>
                <w:rFonts w:ascii="Cambria Math" w:hAnsi="Cambria Math" w:cs="Cambria Math"/>
                <w:sz w:val="24"/>
                <w:szCs w:val="24"/>
              </w:rPr>
              <m:t>As</m:t>
            </m:r>
            <m:r>
              <m:rPr>
                <m:sty m:val="p"/>
              </m:rPr>
              <w:rPr>
                <w:rFonts w:ascii="Cambria Math" w:hAnsi="Cambria Math" w:cs="Times New Roman"/>
                <w:sz w:val="24"/>
                <w:szCs w:val="24"/>
              </w:rPr>
              <m:t xml:space="preserve"> </m:t>
            </m:r>
          </m:num>
          <m:den>
            <m:r>
              <m:rPr>
                <m:sty m:val="p"/>
              </m:rPr>
              <w:rPr>
                <w:rFonts w:ascii="Cambria Math" w:hAnsi="Cambria Math" w:cs="Cambria Math"/>
                <w:sz w:val="24"/>
                <w:szCs w:val="24"/>
              </w:rPr>
              <m:t>Ab</m:t>
            </m:r>
            <m:r>
              <m:rPr>
                <m:sty m:val="p"/>
              </m:rPr>
              <w:rPr>
                <w:rFonts w:ascii="Cambria Math" w:hAnsi="Cambria Math" w:cs="Times New Roman"/>
                <w:sz w:val="24"/>
                <w:szCs w:val="24"/>
              </w:rPr>
              <m:t xml:space="preserve"> </m:t>
            </m:r>
          </m:den>
        </m:f>
      </m:oMath>
      <w:r w:rsidRPr="0078079E">
        <w:rPr>
          <w:rFonts w:ascii="Times New Roman" w:hAnsi="Times New Roman" w:cs="Times New Roman"/>
          <w:sz w:val="24"/>
          <w:szCs w:val="24"/>
        </w:rPr>
        <w:t>) x 100</w:t>
      </w:r>
    </w:p>
    <w:p w14:paraId="18124A31" w14:textId="77777777" w:rsidR="00A431CA" w:rsidRPr="0078079E" w:rsidRDefault="00DB74BC" w:rsidP="00A028F1">
      <w:pPr>
        <w:spacing w:after="0" w:line="240" w:lineRule="auto"/>
        <w:jc w:val="both"/>
        <w:rPr>
          <w:rFonts w:ascii="Times New Roman" w:hAnsi="Times New Roman" w:cs="Times New Roman"/>
          <w:sz w:val="24"/>
          <w:szCs w:val="24"/>
        </w:rPr>
      </w:pPr>
      <w:r w:rsidRPr="0078079E">
        <w:rPr>
          <w:rFonts w:ascii="Times New Roman" w:hAnsi="Times New Roman" w:cs="Times New Roman"/>
          <w:sz w:val="24"/>
          <w:szCs w:val="24"/>
        </w:rPr>
        <w:lastRenderedPageBreak/>
        <w:t>As represents the absorbance of the B. sapida leaves extracts at different doses, and Ab represents the absorbance of the blank solution. The dose-response curve was plotted, and then the extracts and the standard's IC</w:t>
      </w:r>
      <w:r w:rsidRPr="0078079E">
        <w:rPr>
          <w:rFonts w:ascii="Times New Roman" w:hAnsi="Times New Roman" w:cs="Times New Roman"/>
          <w:sz w:val="24"/>
          <w:szCs w:val="24"/>
          <w:vertAlign w:val="subscript"/>
        </w:rPr>
        <w:t>50</w:t>
      </w:r>
      <w:r w:rsidRPr="0078079E">
        <w:rPr>
          <w:rFonts w:ascii="Times New Roman" w:hAnsi="Times New Roman" w:cs="Times New Roman"/>
          <w:sz w:val="24"/>
          <w:szCs w:val="24"/>
        </w:rPr>
        <w:t xml:space="preserve"> values were determined. </w:t>
      </w:r>
    </w:p>
    <w:p w14:paraId="10B4F17A" w14:textId="77777777" w:rsidR="00A431CA" w:rsidRPr="0078079E" w:rsidRDefault="00A431CA" w:rsidP="00A028F1">
      <w:pPr>
        <w:spacing w:after="0" w:line="240" w:lineRule="auto"/>
        <w:jc w:val="both"/>
        <w:rPr>
          <w:rFonts w:ascii="Times New Roman" w:hAnsi="Times New Roman" w:cs="Times New Roman"/>
          <w:sz w:val="24"/>
          <w:szCs w:val="24"/>
        </w:rPr>
      </w:pPr>
    </w:p>
    <w:p w14:paraId="08A0873A" w14:textId="77777777" w:rsidR="00A431CA" w:rsidRPr="0078079E" w:rsidRDefault="00DB74BC" w:rsidP="00A028F1">
      <w:pPr>
        <w:spacing w:after="0" w:line="240" w:lineRule="auto"/>
        <w:jc w:val="both"/>
        <w:rPr>
          <w:rFonts w:ascii="Times New Roman" w:hAnsi="Times New Roman" w:cs="Times New Roman"/>
          <w:b/>
          <w:bCs/>
          <w:sz w:val="24"/>
          <w:szCs w:val="24"/>
        </w:rPr>
      </w:pPr>
      <w:r w:rsidRPr="0078079E">
        <w:rPr>
          <w:rFonts w:ascii="Times New Roman" w:hAnsi="Times New Roman" w:cs="Times New Roman"/>
          <w:b/>
          <w:bCs/>
          <w:sz w:val="24"/>
          <w:szCs w:val="24"/>
        </w:rPr>
        <w:t>Ferric reducing antioxidant power assay (FRAP)</w:t>
      </w:r>
    </w:p>
    <w:p w14:paraId="11706E80" w14:textId="77777777" w:rsidR="00A431CA" w:rsidRPr="0078079E" w:rsidRDefault="00DB74BC" w:rsidP="00A028F1">
      <w:pPr>
        <w:spacing w:line="240" w:lineRule="auto"/>
        <w:jc w:val="both"/>
        <w:rPr>
          <w:rFonts w:ascii="Times New Roman" w:eastAsia="Times New Roman" w:hAnsi="Times New Roman" w:cs="Times New Roman"/>
          <w:kern w:val="0"/>
          <w:sz w:val="24"/>
          <w:szCs w:val="24"/>
          <w14:ligatures w14:val="none"/>
        </w:rPr>
      </w:pPr>
      <w:r w:rsidRPr="0078079E">
        <w:rPr>
          <w:rFonts w:ascii="Times New Roman" w:hAnsi="Times New Roman" w:cs="Times New Roman"/>
          <w:sz w:val="24"/>
          <w:szCs w:val="24"/>
        </w:rPr>
        <w:t xml:space="preserve">With a few modifications, the FRAP evaluation guidelines of </w:t>
      </w:r>
      <w:r w:rsidRPr="0078079E">
        <w:rPr>
          <w:rFonts w:ascii="Times New Roman" w:eastAsia="Times New Roman" w:hAnsi="Times New Roman" w:cs="Times New Roman"/>
          <w:kern w:val="0"/>
          <w:sz w:val="24"/>
          <w:szCs w:val="24"/>
          <w14:ligatures w14:val="none"/>
        </w:rPr>
        <w:t xml:space="preserve">Tomasina et al. (2012) </w:t>
      </w:r>
      <w:r w:rsidRPr="0078079E">
        <w:rPr>
          <w:rFonts w:ascii="Times New Roman" w:hAnsi="Times New Roman" w:cs="Times New Roman"/>
          <w:sz w:val="24"/>
          <w:szCs w:val="24"/>
        </w:rPr>
        <w:t>were adhered to. A 300 nm acetate buffer (3.1 g C2H3NaO2.3H2O and 16 mL of acetic acid) with a pH of 3.6 and a 10mM solution of 2,4,6-tripyridyl-s-triazine were included in the stock solutions. The new working solution was prepared by mixing 25 mL of FeCl3.6H2O solution, 2.5 mL of TPTZ solution, and acetate buffer. After mixing the plant extract sample (50 µL, 1 mg/mL) with the FRAP solution, the mixture was left to react for five minutes without light. Then, at 593 nm, the colorful material ferrous tripyridyltriazine complex—was detected. Trolox equivalents in milligrams (mg TE/g) were utilized to assess the outcomes.</w:t>
      </w:r>
    </w:p>
    <w:p w14:paraId="214BE158" w14:textId="77777777" w:rsidR="00A431CA" w:rsidRPr="0078079E" w:rsidRDefault="00A431CA" w:rsidP="00A028F1">
      <w:pPr>
        <w:spacing w:after="0" w:line="240" w:lineRule="auto"/>
        <w:jc w:val="both"/>
        <w:rPr>
          <w:rFonts w:ascii="Times New Roman" w:hAnsi="Times New Roman" w:cs="Times New Roman"/>
          <w:b/>
          <w:bCs/>
          <w:sz w:val="24"/>
          <w:szCs w:val="24"/>
        </w:rPr>
      </w:pPr>
    </w:p>
    <w:p w14:paraId="7710B353" w14:textId="77777777" w:rsidR="00A431CA" w:rsidRPr="0078079E" w:rsidRDefault="00DB74BC" w:rsidP="00A028F1">
      <w:pPr>
        <w:spacing w:after="0" w:line="240" w:lineRule="auto"/>
        <w:jc w:val="both"/>
        <w:rPr>
          <w:rFonts w:ascii="Times New Roman" w:hAnsi="Times New Roman" w:cs="Times New Roman"/>
          <w:b/>
          <w:bCs/>
          <w:sz w:val="24"/>
          <w:szCs w:val="24"/>
        </w:rPr>
      </w:pPr>
      <w:r w:rsidRPr="0078079E">
        <w:rPr>
          <w:rFonts w:ascii="Times New Roman" w:hAnsi="Times New Roman" w:cs="Times New Roman"/>
          <w:b/>
          <w:bCs/>
          <w:sz w:val="24"/>
          <w:szCs w:val="24"/>
        </w:rPr>
        <w:t>Anti-diabetics Assay: α-Amylase Inhibitory Assay</w:t>
      </w:r>
    </w:p>
    <w:p w14:paraId="56BC667F" w14:textId="77777777" w:rsidR="00A431CA" w:rsidRPr="0078079E" w:rsidRDefault="00DB74BC" w:rsidP="00A028F1">
      <w:pPr>
        <w:spacing w:after="0" w:line="240" w:lineRule="auto"/>
        <w:jc w:val="both"/>
        <w:rPr>
          <w:rFonts w:ascii="Times New Roman" w:hAnsi="Times New Roman" w:cs="Times New Roman"/>
          <w:sz w:val="24"/>
          <w:szCs w:val="24"/>
        </w:rPr>
      </w:pPr>
      <w:r w:rsidRPr="0078079E">
        <w:rPr>
          <w:rFonts w:ascii="Times New Roman" w:hAnsi="Times New Roman" w:cs="Times New Roman"/>
          <w:sz w:val="24"/>
          <w:szCs w:val="24"/>
        </w:rPr>
        <w:t>The study's standard operating procedures underwent minor modifications (Adepoju et al., (2024). A 2 mg of starch azure suspension was made in 0.2 mL of 0.5 M Tris-HCl buffer (pH 6.9) containing 0.01 M CaCl2 (substrate solution). A 5-minute preincubation at 37°C was performed on the substrate solution tubes. Five minutes later, it starts to bubble. An extract sample was dissolved in DMSO to produce varying extract concentrations. After that, 0.2 mL of a specific plant extract concentration was added to the substrate solution tube. The tube containing the plant extract and substrate solution also received 0.1 mL of swine pancreatic amylase in Tris-HCl buffer (2 units/mL). For ten minutes, the reaction was performed at 37°C. Each tube was filled with 0.5 mL of 50% acetic acid to halt the process. The reaction mixture was centrifuged for five minutes at 4 °C and 3000 rpm. Using a spectrophotometer, the absorbance of the resultant supernatant at 595 nm was determined. Standard prescription was ascorbic acid, a well-known inhibitor of α-amylase. Three runs of the trials were conducted. Using the formula below, the inhibitory activity of -amylase was determined</w:t>
      </w:r>
    </w:p>
    <w:p w14:paraId="14B4ECFB" w14:textId="77777777" w:rsidR="00A431CA" w:rsidRPr="0078079E" w:rsidRDefault="00DB74BC" w:rsidP="00A028F1">
      <w:pPr>
        <w:spacing w:after="0" w:line="240" w:lineRule="auto"/>
        <w:jc w:val="both"/>
        <w:rPr>
          <w:rFonts w:ascii="Times New Roman" w:hAnsi="Times New Roman" w:cs="Times New Roman"/>
          <w:sz w:val="24"/>
          <w:szCs w:val="24"/>
        </w:rPr>
      </w:pPr>
      <w:r w:rsidRPr="0078079E">
        <w:rPr>
          <w:rFonts w:ascii="Times New Roman" w:hAnsi="Times New Roman" w:cs="Times New Roman"/>
          <w:sz w:val="24"/>
          <w:szCs w:val="24"/>
        </w:rPr>
        <w:t xml:space="preserve"> Percentage α-amylase inhibitory activity = [</w:t>
      </w:r>
      <m:oMath>
        <m:f>
          <m:fPr>
            <m:ctrlPr>
              <w:rPr>
                <w:rFonts w:ascii="Cambria Math" w:hAnsi="Cambria Math" w:cs="Times New Roman"/>
                <w:sz w:val="24"/>
                <w:szCs w:val="24"/>
              </w:rPr>
            </m:ctrlPr>
          </m:fPr>
          <m:num>
            <m:r>
              <m:rPr>
                <m:sty m:val="p"/>
              </m:rPr>
              <w:rPr>
                <w:rFonts w:ascii="Cambria Math" w:hAnsi="Cambria Math" w:cs="Times New Roman"/>
                <w:sz w:val="24"/>
                <w:szCs w:val="24"/>
              </w:rPr>
              <m:t>(</m:t>
            </m:r>
            <m:r>
              <m:rPr>
                <m:sty m:val="p"/>
              </m:rPr>
              <w:rPr>
                <w:rFonts w:ascii="Cambria Math" w:hAnsi="Cambria Math" w:cs="Cambria Math"/>
                <w:sz w:val="24"/>
                <w:szCs w:val="24"/>
              </w:rPr>
              <m:t>Ac</m:t>
            </m:r>
            <m:r>
              <m:rPr>
                <m:sty m:val="p"/>
              </m:rPr>
              <w:rPr>
                <w:rFonts w:ascii="Cambria Math" w:hAnsi="Cambria Math" w:cs="Times New Roman"/>
                <w:sz w:val="24"/>
                <w:szCs w:val="24"/>
              </w:rPr>
              <m:t>+)-(</m:t>
            </m:r>
            <m:r>
              <m:rPr>
                <m:sty m:val="p"/>
              </m:rPr>
              <w:rPr>
                <w:rFonts w:ascii="Cambria Math" w:hAnsi="Cambria Math" w:cs="Cambria Math"/>
                <w:sz w:val="24"/>
                <w:szCs w:val="24"/>
              </w:rPr>
              <m:t>Ac</m:t>
            </m:r>
            <m:r>
              <m:rPr>
                <m:sty m:val="p"/>
              </m:rPr>
              <w:rPr>
                <w:rFonts w:ascii="Cambria Math" w:hAnsi="Cambria Math" w:cs="Times New Roman"/>
                <w:sz w:val="24"/>
                <w:szCs w:val="24"/>
              </w:rPr>
              <m:t>-)]-[(</m:t>
            </m:r>
            <m:r>
              <m:rPr>
                <m:sty m:val="p"/>
              </m:rPr>
              <w:rPr>
                <w:rFonts w:ascii="Cambria Math" w:hAnsi="Cambria Math" w:cs="Cambria Math"/>
                <w:sz w:val="24"/>
                <w:szCs w:val="24"/>
              </w:rPr>
              <m:t>As</m:t>
            </m:r>
            <m:r>
              <m:rPr>
                <m:sty m:val="p"/>
              </m:rPr>
              <w:rPr>
                <w:rFonts w:ascii="Cambria Math" w:hAnsi="Cambria Math" w:cs="Times New Roman"/>
                <w:sz w:val="24"/>
                <w:szCs w:val="24"/>
              </w:rPr>
              <m:t xml:space="preserve"> -</m:t>
            </m:r>
            <m:r>
              <m:rPr>
                <m:sty m:val="p"/>
              </m:rPr>
              <w:rPr>
                <w:rFonts w:ascii="Cambria Math" w:hAnsi="Cambria Math" w:cs="Cambria Math"/>
                <w:sz w:val="24"/>
                <w:szCs w:val="24"/>
              </w:rPr>
              <m:t>Ab</m:t>
            </m:r>
            <m:r>
              <m:rPr>
                <m:sty m:val="p"/>
              </m:rPr>
              <w:rPr>
                <w:rFonts w:ascii="Cambria Math" w:hAnsi="Cambria Math" w:cs="Times New Roman"/>
                <w:sz w:val="24"/>
                <w:szCs w:val="24"/>
              </w:rPr>
              <m:t xml:space="preserve">)] </m:t>
            </m:r>
          </m:num>
          <m:den>
            <m:r>
              <m:rPr>
                <m:sty m:val="p"/>
              </m:rPr>
              <w:rPr>
                <w:rFonts w:ascii="Cambria Math" w:hAnsi="Cambria Math" w:cs="Times New Roman"/>
                <w:sz w:val="24"/>
                <w:szCs w:val="24"/>
              </w:rPr>
              <m:t>[(</m:t>
            </m:r>
            <m:r>
              <m:rPr>
                <m:sty m:val="p"/>
              </m:rPr>
              <w:rPr>
                <w:rFonts w:ascii="Cambria Math" w:hAnsi="Cambria Math" w:cs="Cambria Math"/>
                <w:sz w:val="24"/>
                <w:szCs w:val="24"/>
              </w:rPr>
              <m:t>Ac</m:t>
            </m:r>
            <m:r>
              <m:rPr>
                <m:sty m:val="p"/>
              </m:rPr>
              <w:rPr>
                <w:rFonts w:ascii="Cambria Math" w:hAnsi="Cambria Math" w:cs="Times New Roman"/>
                <w:sz w:val="24"/>
                <w:szCs w:val="24"/>
              </w:rPr>
              <m:t>+)-(</m:t>
            </m:r>
            <m:r>
              <m:rPr>
                <m:sty m:val="p"/>
              </m:rPr>
              <w:rPr>
                <w:rFonts w:ascii="Cambria Math" w:hAnsi="Cambria Math" w:cs="Cambria Math"/>
                <w:sz w:val="24"/>
                <w:szCs w:val="24"/>
              </w:rPr>
              <m:t>Ac</m:t>
            </m:r>
            <m:r>
              <m:rPr>
                <m:sty m:val="p"/>
              </m:rPr>
              <w:rPr>
                <w:rFonts w:ascii="Cambria Math" w:hAnsi="Cambria Math" w:cs="Times New Roman"/>
                <w:sz w:val="24"/>
                <w:szCs w:val="24"/>
              </w:rPr>
              <m:t>-)]</m:t>
            </m:r>
          </m:den>
        </m:f>
      </m:oMath>
      <w:r w:rsidRPr="0078079E">
        <w:rPr>
          <w:rFonts w:ascii="Times New Roman" w:hAnsi="Times New Roman" w:cs="Times New Roman"/>
          <w:sz w:val="24"/>
          <w:szCs w:val="24"/>
        </w:rPr>
        <w:t xml:space="preserve">  × 100 </w:t>
      </w:r>
    </w:p>
    <w:p w14:paraId="7BF420A9" w14:textId="77777777" w:rsidR="00A431CA" w:rsidRPr="0078079E" w:rsidRDefault="00DB74BC" w:rsidP="00A028F1">
      <w:pPr>
        <w:spacing w:after="0" w:line="240" w:lineRule="auto"/>
        <w:jc w:val="both"/>
        <w:rPr>
          <w:rFonts w:ascii="Times New Roman" w:hAnsi="Times New Roman" w:cs="Times New Roman"/>
          <w:sz w:val="24"/>
          <w:szCs w:val="24"/>
        </w:rPr>
      </w:pPr>
      <w:r w:rsidRPr="0078079E">
        <w:rPr>
          <w:rFonts w:ascii="Times New Roman" w:hAnsi="Times New Roman" w:cs="Times New Roman"/>
          <w:sz w:val="24"/>
          <w:szCs w:val="24"/>
        </w:rPr>
        <w:t>Where Ac</w:t>
      </w:r>
      <w:r w:rsidRPr="0078079E">
        <w:rPr>
          <w:rFonts w:ascii="Times New Roman" w:hAnsi="Times New Roman" w:cs="Times New Roman"/>
          <w:sz w:val="24"/>
          <w:szCs w:val="24"/>
          <w:vertAlign w:val="superscript"/>
        </w:rPr>
        <w:t>+</w:t>
      </w:r>
      <w:r w:rsidRPr="0078079E">
        <w:rPr>
          <w:rFonts w:ascii="Times New Roman" w:hAnsi="Times New Roman" w:cs="Times New Roman"/>
          <w:sz w:val="24"/>
          <w:szCs w:val="24"/>
        </w:rPr>
        <w:t>, Ac</w:t>
      </w:r>
      <w:r w:rsidRPr="0078079E">
        <w:rPr>
          <w:rFonts w:ascii="Times New Roman" w:hAnsi="Times New Roman" w:cs="Times New Roman"/>
          <w:sz w:val="24"/>
          <w:szCs w:val="24"/>
          <w:vertAlign w:val="superscript"/>
        </w:rPr>
        <w:t>-</w:t>
      </w:r>
      <w:r w:rsidRPr="0078079E">
        <w:rPr>
          <w:rFonts w:ascii="Times New Roman" w:hAnsi="Times New Roman" w:cs="Times New Roman"/>
          <w:sz w:val="24"/>
          <w:szCs w:val="24"/>
        </w:rPr>
        <w:t>, As and Ab are the absorbance of a test sample (with enzyme), a blank (a test sample without enzyme) and 100% enzyme activity (only solvent with enzyme) respectively.</w:t>
      </w:r>
    </w:p>
    <w:p w14:paraId="5F95FE89" w14:textId="77777777" w:rsidR="00A431CA" w:rsidRPr="0078079E" w:rsidRDefault="00A431CA" w:rsidP="00A028F1">
      <w:pPr>
        <w:spacing w:after="0" w:line="240" w:lineRule="auto"/>
        <w:jc w:val="both"/>
        <w:rPr>
          <w:rFonts w:ascii="Times New Roman" w:hAnsi="Times New Roman" w:cs="Times New Roman"/>
          <w:sz w:val="24"/>
          <w:szCs w:val="24"/>
        </w:rPr>
      </w:pPr>
    </w:p>
    <w:p w14:paraId="1852B373" w14:textId="77777777" w:rsidR="00A431CA" w:rsidRPr="0078079E" w:rsidRDefault="00A431CA" w:rsidP="00A028F1">
      <w:pPr>
        <w:spacing w:after="0" w:line="240" w:lineRule="auto"/>
        <w:jc w:val="both"/>
        <w:rPr>
          <w:rFonts w:ascii="Times New Roman" w:hAnsi="Times New Roman" w:cs="Times New Roman"/>
          <w:b/>
          <w:bCs/>
          <w:sz w:val="24"/>
          <w:szCs w:val="24"/>
        </w:rPr>
      </w:pPr>
    </w:p>
    <w:p w14:paraId="37BB08E9" w14:textId="77777777" w:rsidR="00A431CA" w:rsidRPr="0078079E" w:rsidRDefault="00DB74BC" w:rsidP="00A028F1">
      <w:pPr>
        <w:spacing w:after="0" w:line="240" w:lineRule="auto"/>
        <w:jc w:val="both"/>
        <w:rPr>
          <w:rFonts w:ascii="Times New Roman" w:hAnsi="Times New Roman" w:cs="Times New Roman"/>
          <w:b/>
          <w:bCs/>
          <w:sz w:val="24"/>
          <w:szCs w:val="24"/>
        </w:rPr>
      </w:pPr>
      <w:r w:rsidRPr="0078079E">
        <w:rPr>
          <w:rFonts w:ascii="Times New Roman" w:hAnsi="Times New Roman" w:cs="Times New Roman"/>
          <w:b/>
          <w:bCs/>
          <w:sz w:val="24"/>
          <w:szCs w:val="24"/>
        </w:rPr>
        <w:t xml:space="preserve">Statistical analysis </w:t>
      </w:r>
    </w:p>
    <w:p w14:paraId="1D51AD16" w14:textId="77777777" w:rsidR="00A431CA" w:rsidRPr="0078079E" w:rsidRDefault="00DB74BC" w:rsidP="00A028F1">
      <w:pPr>
        <w:spacing w:after="0" w:line="240" w:lineRule="auto"/>
        <w:jc w:val="both"/>
        <w:rPr>
          <w:rFonts w:ascii="Times New Roman" w:hAnsi="Times New Roman" w:cs="Times New Roman"/>
          <w:sz w:val="24"/>
          <w:szCs w:val="24"/>
        </w:rPr>
      </w:pPr>
      <w:r w:rsidRPr="0078079E">
        <w:rPr>
          <w:rFonts w:ascii="Times New Roman" w:hAnsi="Times New Roman" w:cs="Times New Roman"/>
          <w:sz w:val="24"/>
          <w:szCs w:val="24"/>
        </w:rPr>
        <w:t>The results were expressed in terms of mean ± standard deviation. All the data are presented in the form of mean value of triplicate measurements obtained from three separate readings.</w:t>
      </w:r>
    </w:p>
    <w:p w14:paraId="6169E1AF" w14:textId="77777777" w:rsidR="00A431CA" w:rsidRPr="0078079E" w:rsidRDefault="00A431CA" w:rsidP="00A028F1">
      <w:pPr>
        <w:spacing w:after="0" w:line="240" w:lineRule="auto"/>
        <w:jc w:val="both"/>
        <w:rPr>
          <w:rFonts w:ascii="Times New Roman" w:hAnsi="Times New Roman" w:cs="Times New Roman"/>
          <w:sz w:val="24"/>
          <w:szCs w:val="24"/>
        </w:rPr>
      </w:pPr>
    </w:p>
    <w:p w14:paraId="3603D55C" w14:textId="77777777" w:rsidR="00A431CA" w:rsidRPr="0078079E" w:rsidRDefault="00DB74BC" w:rsidP="00A028F1">
      <w:pPr>
        <w:spacing w:after="0" w:line="240" w:lineRule="auto"/>
        <w:jc w:val="both"/>
        <w:rPr>
          <w:rFonts w:ascii="Times New Roman" w:hAnsi="Times New Roman" w:cs="Times New Roman"/>
          <w:b/>
          <w:bCs/>
          <w:sz w:val="24"/>
          <w:szCs w:val="24"/>
        </w:rPr>
      </w:pPr>
      <w:r w:rsidRPr="0078079E">
        <w:rPr>
          <w:rFonts w:ascii="Times New Roman" w:hAnsi="Times New Roman" w:cs="Times New Roman"/>
          <w:b/>
          <w:bCs/>
          <w:sz w:val="24"/>
          <w:szCs w:val="24"/>
        </w:rPr>
        <w:t>Antifungal screening</w:t>
      </w:r>
    </w:p>
    <w:p w14:paraId="4C1CFBA5" w14:textId="77777777" w:rsidR="00A431CA" w:rsidRPr="0078079E" w:rsidRDefault="00DB74BC" w:rsidP="00A028F1">
      <w:pPr>
        <w:spacing w:after="0" w:line="240" w:lineRule="auto"/>
        <w:jc w:val="both"/>
        <w:rPr>
          <w:rFonts w:ascii="Times New Roman" w:hAnsi="Times New Roman" w:cs="Times New Roman"/>
          <w:sz w:val="24"/>
          <w:szCs w:val="24"/>
        </w:rPr>
      </w:pPr>
      <w:r w:rsidRPr="0078079E">
        <w:rPr>
          <w:rFonts w:ascii="Times New Roman" w:hAnsi="Times New Roman" w:cs="Times New Roman"/>
          <w:sz w:val="24"/>
          <w:szCs w:val="24"/>
        </w:rPr>
        <w:t>The antifungal effects of ethanolic and ethyl acetate extracts of B. sapida were investigated using the mycelia growth inhibition test (</w:t>
      </w:r>
      <w:r w:rsidRPr="0078079E">
        <w:rPr>
          <w:rFonts w:ascii="Times New Roman" w:hAnsi="Times New Roman" w:cs="Times New Roman"/>
          <w:color w:val="000000"/>
          <w:sz w:val="24"/>
          <w:szCs w:val="24"/>
        </w:rPr>
        <w:t>Synytsya et al., 2017</w:t>
      </w:r>
      <w:r w:rsidRPr="0078079E">
        <w:rPr>
          <w:rFonts w:ascii="Times New Roman" w:hAnsi="Times New Roman" w:cs="Times New Roman"/>
          <w:sz w:val="24"/>
          <w:szCs w:val="24"/>
        </w:rPr>
        <w:t xml:space="preserve">). Extracts were put to potato dextrose agar (PDA) at a concentration of 25 g/ml. A 6 mm agar plug containing 48- hour-old cultures of Aspergillus niger, Aspergillus flavus, Aspergillus fumigatus and Fusarium solani, was used to inoculate the PDA plates used in the core portion of this investigation. In the control plates, there were empty nanoparticles. All the plates were incubated at 28 °C for 72 hours. After measuring the radial fungal growths on each plate, the following method was applied to calculate the % growth </w:t>
      </w:r>
      <w:r w:rsidRPr="0078079E">
        <w:rPr>
          <w:rFonts w:ascii="Times New Roman" w:hAnsi="Times New Roman" w:cs="Times New Roman"/>
          <w:sz w:val="24"/>
          <w:szCs w:val="24"/>
        </w:rPr>
        <w:lastRenderedPageBreak/>
        <w:t xml:space="preserve">inhibitions: percentage growth inhibitions = </w:t>
      </w:r>
      <w:r w:rsidRPr="0078079E">
        <w:rPr>
          <w:rFonts w:ascii="Cambria Math" w:hAnsi="Cambria Math" w:cs="Cambria Math"/>
          <w:sz w:val="24"/>
          <w:szCs w:val="24"/>
        </w:rPr>
        <w:t>𝐷𝑐𝑜𝑛𝑡𝑟𝑜𝑙</w:t>
      </w:r>
      <w:r w:rsidRPr="0078079E">
        <w:rPr>
          <w:rFonts w:ascii="Times New Roman" w:hAnsi="Times New Roman" w:cs="Times New Roman"/>
          <w:sz w:val="24"/>
          <w:szCs w:val="24"/>
        </w:rPr>
        <w:t xml:space="preserve"> − </w:t>
      </w:r>
      <w:r w:rsidRPr="0078079E">
        <w:rPr>
          <w:rFonts w:ascii="Cambria Math" w:hAnsi="Cambria Math" w:cs="Cambria Math"/>
          <w:sz w:val="24"/>
          <w:szCs w:val="24"/>
        </w:rPr>
        <w:t>𝐷𝑡𝑒𝑠𝑡</w:t>
      </w:r>
      <w:r w:rsidRPr="0078079E">
        <w:rPr>
          <w:rFonts w:ascii="Times New Roman" w:hAnsi="Times New Roman" w:cs="Times New Roman"/>
          <w:sz w:val="24"/>
          <w:szCs w:val="24"/>
        </w:rPr>
        <w:t xml:space="preserve"> </w:t>
      </w:r>
      <w:r w:rsidRPr="0078079E">
        <w:rPr>
          <w:rFonts w:ascii="Cambria Math" w:hAnsi="Cambria Math" w:cs="Cambria Math"/>
          <w:sz w:val="24"/>
          <w:szCs w:val="24"/>
        </w:rPr>
        <w:t>𝐷𝑐𝑜𝑛𝑡𝑟𝑜𝑙</w:t>
      </w:r>
      <w:r w:rsidRPr="0078079E">
        <w:rPr>
          <w:rFonts w:ascii="Times New Roman" w:hAnsi="Times New Roman" w:cs="Times New Roman"/>
          <w:sz w:val="24"/>
          <w:szCs w:val="24"/>
        </w:rPr>
        <w:t xml:space="preserve"> × 100 Where D is the diameter of fungal growth on the PDA plates.</w:t>
      </w:r>
    </w:p>
    <w:p w14:paraId="0EEEBEE3" w14:textId="77777777" w:rsidR="00A431CA" w:rsidRPr="0078079E" w:rsidRDefault="00A431CA" w:rsidP="00A028F1">
      <w:pPr>
        <w:spacing w:after="0" w:line="240" w:lineRule="auto"/>
        <w:jc w:val="both"/>
        <w:rPr>
          <w:rFonts w:ascii="Times New Roman" w:hAnsi="Times New Roman" w:cs="Times New Roman"/>
          <w:sz w:val="24"/>
          <w:szCs w:val="24"/>
        </w:rPr>
      </w:pPr>
    </w:p>
    <w:p w14:paraId="781DCB0D" w14:textId="77777777" w:rsidR="00A431CA" w:rsidRPr="0078079E" w:rsidRDefault="00DB74BC" w:rsidP="00A028F1">
      <w:pPr>
        <w:spacing w:after="0" w:line="240" w:lineRule="auto"/>
        <w:jc w:val="both"/>
        <w:rPr>
          <w:rFonts w:ascii="Times New Roman" w:hAnsi="Times New Roman" w:cs="Times New Roman"/>
          <w:b/>
          <w:bCs/>
          <w:sz w:val="24"/>
          <w:szCs w:val="24"/>
        </w:rPr>
      </w:pPr>
      <w:r w:rsidRPr="0078079E">
        <w:rPr>
          <w:rFonts w:ascii="Times New Roman" w:hAnsi="Times New Roman" w:cs="Times New Roman"/>
          <w:b/>
          <w:bCs/>
          <w:sz w:val="24"/>
          <w:szCs w:val="24"/>
        </w:rPr>
        <w:t xml:space="preserve">RESULTS AND DISCUSSION </w:t>
      </w:r>
    </w:p>
    <w:p w14:paraId="2A03A198" w14:textId="77777777" w:rsidR="00A431CA" w:rsidRPr="0078079E" w:rsidRDefault="00A431CA" w:rsidP="00A028F1">
      <w:pPr>
        <w:spacing w:after="0" w:line="240" w:lineRule="auto"/>
        <w:jc w:val="both"/>
        <w:rPr>
          <w:rFonts w:ascii="Times New Roman" w:hAnsi="Times New Roman" w:cs="Times New Roman"/>
          <w:i/>
          <w:iCs/>
          <w:sz w:val="24"/>
          <w:szCs w:val="24"/>
        </w:rPr>
      </w:pPr>
    </w:p>
    <w:p w14:paraId="685AFF09" w14:textId="77777777" w:rsidR="00A431CA" w:rsidRPr="0078079E" w:rsidRDefault="00DB74BC" w:rsidP="00A028F1">
      <w:pPr>
        <w:spacing w:after="0" w:line="240" w:lineRule="auto"/>
        <w:jc w:val="both"/>
        <w:rPr>
          <w:rFonts w:ascii="Times New Roman" w:hAnsi="Times New Roman" w:cs="Times New Roman"/>
          <w:b/>
          <w:bCs/>
          <w:sz w:val="24"/>
          <w:szCs w:val="24"/>
        </w:rPr>
      </w:pPr>
      <w:r w:rsidRPr="0078079E">
        <w:rPr>
          <w:rFonts w:ascii="Times New Roman" w:hAnsi="Times New Roman" w:cs="Times New Roman"/>
          <w:b/>
          <w:bCs/>
          <w:sz w:val="24"/>
          <w:szCs w:val="24"/>
        </w:rPr>
        <w:t xml:space="preserve">Percentage yield of the Blighia sapida leaves extracts </w:t>
      </w:r>
    </w:p>
    <w:p w14:paraId="05F6ECAA" w14:textId="77777777" w:rsidR="00A431CA" w:rsidRPr="0078079E" w:rsidRDefault="00DB74BC" w:rsidP="00A028F1">
      <w:pPr>
        <w:spacing w:after="0" w:line="240" w:lineRule="auto"/>
        <w:jc w:val="both"/>
        <w:rPr>
          <w:rFonts w:ascii="Times New Roman" w:hAnsi="Times New Roman" w:cs="Times New Roman"/>
          <w:sz w:val="24"/>
          <w:szCs w:val="24"/>
        </w:rPr>
      </w:pPr>
      <w:r w:rsidRPr="0078079E">
        <w:rPr>
          <w:rFonts w:ascii="Times New Roman" w:hAnsi="Times New Roman" w:cs="Times New Roman"/>
          <w:sz w:val="24"/>
          <w:szCs w:val="24"/>
        </w:rPr>
        <w:t xml:space="preserve">Table 1 shows the </w:t>
      </w:r>
      <w:r w:rsidRPr="0078079E">
        <w:rPr>
          <w:rFonts w:ascii="Times New Roman" w:hAnsi="Times New Roman" w:cs="Times New Roman"/>
          <w:i/>
          <w:iCs/>
          <w:sz w:val="24"/>
          <w:szCs w:val="24"/>
        </w:rPr>
        <w:t xml:space="preserve">Blighia sapida leaves </w:t>
      </w:r>
      <w:r w:rsidRPr="0078079E">
        <w:rPr>
          <w:rFonts w:ascii="Times New Roman" w:hAnsi="Times New Roman" w:cs="Times New Roman"/>
          <w:sz w:val="24"/>
          <w:szCs w:val="24"/>
        </w:rPr>
        <w:t>extraction yield. The yield in percentages for n-hexane, ethyl acetate, and ethanol </w:t>
      </w:r>
      <w:proofErr w:type="gramStart"/>
      <w:r w:rsidRPr="0078079E">
        <w:rPr>
          <w:rFonts w:ascii="Times New Roman" w:hAnsi="Times New Roman" w:cs="Times New Roman"/>
          <w:sz w:val="24"/>
          <w:szCs w:val="24"/>
        </w:rPr>
        <w:t>are</w:t>
      </w:r>
      <w:proofErr w:type="gramEnd"/>
      <w:r w:rsidRPr="0078079E">
        <w:rPr>
          <w:rFonts w:ascii="Times New Roman" w:hAnsi="Times New Roman" w:cs="Times New Roman"/>
          <w:sz w:val="24"/>
          <w:szCs w:val="24"/>
        </w:rPr>
        <w:t xml:space="preserve"> 1.69 %, 2.07 % and 2.17 %, respectively. The relationship between a solvent's polarity and unique ability to penetrate plant cell walls and extract phytochemicals from them is suggested by the fact that the percentage yield increased as the solvent's polarity increased. This outcome also made it evident that ethanol, a more polar solvent, can extract more phytochemicals, this result is consistent with study by Abba et al. (2018)</w:t>
      </w:r>
    </w:p>
    <w:p w14:paraId="6CE1FAEA" w14:textId="77777777" w:rsidR="00A431CA" w:rsidRPr="0078079E" w:rsidRDefault="00A431CA" w:rsidP="00A028F1">
      <w:pPr>
        <w:spacing w:after="0" w:line="240" w:lineRule="auto"/>
        <w:jc w:val="both"/>
        <w:rPr>
          <w:rFonts w:ascii="Times New Roman" w:hAnsi="Times New Roman" w:cs="Times New Roman"/>
          <w:sz w:val="24"/>
          <w:szCs w:val="24"/>
        </w:rPr>
      </w:pPr>
    </w:p>
    <w:p w14:paraId="3463D5F3" w14:textId="77777777" w:rsidR="00A431CA" w:rsidRPr="0078079E" w:rsidRDefault="00A431CA" w:rsidP="00A028F1">
      <w:pPr>
        <w:spacing w:after="0" w:line="240" w:lineRule="auto"/>
        <w:jc w:val="both"/>
        <w:rPr>
          <w:rFonts w:ascii="Times New Roman" w:hAnsi="Times New Roman" w:cs="Times New Roman"/>
          <w:sz w:val="24"/>
          <w:szCs w:val="24"/>
        </w:rPr>
      </w:pPr>
    </w:p>
    <w:p w14:paraId="75139754" w14:textId="77777777" w:rsidR="00A028F1" w:rsidRPr="0078079E" w:rsidRDefault="00A028F1" w:rsidP="00A028F1">
      <w:pPr>
        <w:spacing w:after="0" w:line="240" w:lineRule="auto"/>
        <w:jc w:val="both"/>
        <w:rPr>
          <w:rFonts w:ascii="Times New Roman" w:hAnsi="Times New Roman" w:cs="Times New Roman"/>
          <w:sz w:val="24"/>
          <w:szCs w:val="24"/>
        </w:rPr>
      </w:pPr>
    </w:p>
    <w:p w14:paraId="0BA1595F" w14:textId="77777777" w:rsidR="00A431CA" w:rsidRPr="0078079E" w:rsidRDefault="00DB74BC" w:rsidP="00A028F1">
      <w:pPr>
        <w:spacing w:after="0" w:line="240" w:lineRule="auto"/>
        <w:jc w:val="both"/>
        <w:rPr>
          <w:rFonts w:ascii="Times New Roman" w:hAnsi="Times New Roman" w:cs="Times New Roman"/>
          <w:sz w:val="24"/>
          <w:szCs w:val="24"/>
        </w:rPr>
      </w:pPr>
      <w:r w:rsidRPr="0078079E">
        <w:rPr>
          <w:rFonts w:ascii="Times New Roman" w:hAnsi="Times New Roman" w:cs="Times New Roman"/>
          <w:sz w:val="24"/>
          <w:szCs w:val="24"/>
        </w:rPr>
        <w:t xml:space="preserve">Table 1: Percentage yield of solvent extracts of </w:t>
      </w:r>
      <w:r w:rsidRPr="0078079E">
        <w:rPr>
          <w:rFonts w:ascii="Times New Roman" w:hAnsi="Times New Roman" w:cs="Times New Roman"/>
          <w:i/>
          <w:iCs/>
          <w:sz w:val="24"/>
          <w:szCs w:val="24"/>
        </w:rPr>
        <w:t>Blighia sapida</w:t>
      </w:r>
      <w:r w:rsidRPr="0078079E">
        <w:rPr>
          <w:rFonts w:ascii="Times New Roman" w:hAnsi="Times New Roman" w:cs="Times New Roman"/>
          <w:sz w:val="24"/>
          <w:szCs w:val="24"/>
        </w:rPr>
        <w:t xml:space="preserve"> leaves</w:t>
      </w:r>
    </w:p>
    <w:tbl>
      <w:tblPr>
        <w:tblStyle w:val="ListTable6Colorful1"/>
        <w:tblW w:w="0" w:type="auto"/>
        <w:tblLook w:val="04A0" w:firstRow="1" w:lastRow="0" w:firstColumn="1" w:lastColumn="0" w:noHBand="0" w:noVBand="1"/>
      </w:tblPr>
      <w:tblGrid>
        <w:gridCol w:w="2337"/>
        <w:gridCol w:w="2337"/>
        <w:gridCol w:w="2338"/>
        <w:gridCol w:w="2338"/>
      </w:tblGrid>
      <w:tr w:rsidR="00A431CA" w:rsidRPr="0078079E" w14:paraId="57D41A7E" w14:textId="77777777" w:rsidTr="00A431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47EE3BB2" w14:textId="77777777" w:rsidR="00A431CA" w:rsidRPr="0078079E" w:rsidRDefault="00DB74BC" w:rsidP="00A028F1">
            <w:pPr>
              <w:jc w:val="both"/>
              <w:rPr>
                <w:rFonts w:ascii="Times New Roman" w:hAnsi="Times New Roman" w:cs="Times New Roman"/>
                <w:sz w:val="24"/>
                <w:szCs w:val="24"/>
              </w:rPr>
            </w:pPr>
            <w:r w:rsidRPr="0078079E">
              <w:rPr>
                <w:rFonts w:ascii="Times New Roman" w:hAnsi="Times New Roman" w:cs="Times New Roman"/>
                <w:b w:val="0"/>
                <w:bCs w:val="0"/>
                <w:sz w:val="24"/>
                <w:szCs w:val="24"/>
              </w:rPr>
              <w:t>Solvent</w:t>
            </w:r>
          </w:p>
        </w:tc>
        <w:tc>
          <w:tcPr>
            <w:tcW w:w="2337" w:type="dxa"/>
          </w:tcPr>
          <w:p w14:paraId="1974FF9F" w14:textId="77777777" w:rsidR="00A431CA" w:rsidRPr="0078079E" w:rsidRDefault="00DB74BC" w:rsidP="00A028F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b w:val="0"/>
                <w:bCs w:val="0"/>
                <w:sz w:val="24"/>
                <w:szCs w:val="24"/>
              </w:rPr>
              <w:t xml:space="preserve">Extract color </w:t>
            </w:r>
          </w:p>
        </w:tc>
        <w:tc>
          <w:tcPr>
            <w:tcW w:w="2338" w:type="dxa"/>
          </w:tcPr>
          <w:p w14:paraId="387F3614" w14:textId="77777777" w:rsidR="00A431CA" w:rsidRPr="0078079E" w:rsidRDefault="00DB74BC" w:rsidP="00A028F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b w:val="0"/>
                <w:bCs w:val="0"/>
                <w:sz w:val="24"/>
                <w:szCs w:val="24"/>
              </w:rPr>
              <w:t>Solvent yield (g)</w:t>
            </w:r>
          </w:p>
        </w:tc>
        <w:tc>
          <w:tcPr>
            <w:tcW w:w="2338" w:type="dxa"/>
          </w:tcPr>
          <w:p w14:paraId="034A6367" w14:textId="77777777" w:rsidR="00A431CA" w:rsidRPr="0078079E" w:rsidRDefault="00DB74BC" w:rsidP="00A028F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b w:val="0"/>
                <w:bCs w:val="0"/>
                <w:sz w:val="24"/>
                <w:szCs w:val="24"/>
              </w:rPr>
              <w:t>Percentage yield (%)</w:t>
            </w:r>
          </w:p>
        </w:tc>
      </w:tr>
      <w:tr w:rsidR="00A431CA" w:rsidRPr="0078079E" w14:paraId="66185FA8" w14:textId="77777777" w:rsidTr="00A431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shd w:val="clear" w:color="auto" w:fill="auto"/>
          </w:tcPr>
          <w:p w14:paraId="7F0936D4" w14:textId="77777777" w:rsidR="00A431CA" w:rsidRPr="0078079E" w:rsidRDefault="00DB74BC" w:rsidP="00A028F1">
            <w:pPr>
              <w:jc w:val="both"/>
              <w:rPr>
                <w:rFonts w:ascii="Times New Roman" w:hAnsi="Times New Roman" w:cs="Times New Roman"/>
                <w:sz w:val="24"/>
                <w:szCs w:val="24"/>
              </w:rPr>
            </w:pPr>
            <w:r w:rsidRPr="0078079E">
              <w:rPr>
                <w:rFonts w:ascii="Times New Roman" w:hAnsi="Times New Roman" w:cs="Times New Roman"/>
                <w:b w:val="0"/>
                <w:bCs w:val="0"/>
                <w:sz w:val="24"/>
                <w:szCs w:val="24"/>
              </w:rPr>
              <w:t>n-Hexane</w:t>
            </w:r>
          </w:p>
        </w:tc>
        <w:tc>
          <w:tcPr>
            <w:tcW w:w="2337" w:type="dxa"/>
            <w:shd w:val="clear" w:color="auto" w:fill="auto"/>
          </w:tcPr>
          <w:p w14:paraId="1F8958CE"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Green</w:t>
            </w:r>
          </w:p>
        </w:tc>
        <w:tc>
          <w:tcPr>
            <w:tcW w:w="2338" w:type="dxa"/>
            <w:shd w:val="clear" w:color="auto" w:fill="auto"/>
          </w:tcPr>
          <w:p w14:paraId="73209EFD"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16.89</w:t>
            </w:r>
          </w:p>
        </w:tc>
        <w:tc>
          <w:tcPr>
            <w:tcW w:w="2338" w:type="dxa"/>
            <w:shd w:val="clear" w:color="auto" w:fill="auto"/>
          </w:tcPr>
          <w:p w14:paraId="45804D0A"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1.69</w:t>
            </w:r>
          </w:p>
        </w:tc>
      </w:tr>
      <w:tr w:rsidR="00A431CA" w:rsidRPr="0078079E" w14:paraId="4BFD2A8F" w14:textId="77777777" w:rsidTr="00A431CA">
        <w:tc>
          <w:tcPr>
            <w:cnfStyle w:val="001000000000" w:firstRow="0" w:lastRow="0" w:firstColumn="1" w:lastColumn="0" w:oddVBand="0" w:evenVBand="0" w:oddHBand="0" w:evenHBand="0" w:firstRowFirstColumn="0" w:firstRowLastColumn="0" w:lastRowFirstColumn="0" w:lastRowLastColumn="0"/>
            <w:tcW w:w="2337" w:type="dxa"/>
          </w:tcPr>
          <w:p w14:paraId="501AA6DE" w14:textId="77777777" w:rsidR="00A431CA" w:rsidRPr="0078079E" w:rsidRDefault="00DB74BC" w:rsidP="00A028F1">
            <w:pPr>
              <w:jc w:val="both"/>
              <w:rPr>
                <w:rFonts w:ascii="Times New Roman" w:hAnsi="Times New Roman" w:cs="Times New Roman"/>
                <w:sz w:val="24"/>
                <w:szCs w:val="24"/>
              </w:rPr>
            </w:pPr>
            <w:r w:rsidRPr="0078079E">
              <w:rPr>
                <w:rFonts w:ascii="Times New Roman" w:hAnsi="Times New Roman" w:cs="Times New Roman"/>
                <w:b w:val="0"/>
                <w:bCs w:val="0"/>
                <w:sz w:val="24"/>
                <w:szCs w:val="24"/>
              </w:rPr>
              <w:t>Ethyl acetate</w:t>
            </w:r>
          </w:p>
        </w:tc>
        <w:tc>
          <w:tcPr>
            <w:tcW w:w="2337" w:type="dxa"/>
          </w:tcPr>
          <w:p w14:paraId="29806FA3" w14:textId="77777777" w:rsidR="00A431CA" w:rsidRPr="0078079E" w:rsidRDefault="00DB74BC" w:rsidP="00A028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Light green</w:t>
            </w:r>
          </w:p>
        </w:tc>
        <w:tc>
          <w:tcPr>
            <w:tcW w:w="2338" w:type="dxa"/>
          </w:tcPr>
          <w:p w14:paraId="3F4783A7" w14:textId="77777777" w:rsidR="00A431CA" w:rsidRPr="0078079E" w:rsidRDefault="00DB74BC" w:rsidP="00A028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20.72</w:t>
            </w:r>
          </w:p>
        </w:tc>
        <w:tc>
          <w:tcPr>
            <w:tcW w:w="2338" w:type="dxa"/>
          </w:tcPr>
          <w:p w14:paraId="3592636D" w14:textId="77777777" w:rsidR="00A431CA" w:rsidRPr="0078079E" w:rsidRDefault="00DB74BC" w:rsidP="00A028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2.07</w:t>
            </w:r>
          </w:p>
        </w:tc>
      </w:tr>
      <w:tr w:rsidR="00A431CA" w:rsidRPr="0078079E" w14:paraId="3D0E0A6B" w14:textId="77777777" w:rsidTr="00A431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shd w:val="clear" w:color="auto" w:fill="auto"/>
          </w:tcPr>
          <w:p w14:paraId="4A56813F" w14:textId="77777777" w:rsidR="00A431CA" w:rsidRPr="0078079E" w:rsidRDefault="00DB74BC" w:rsidP="00A028F1">
            <w:pPr>
              <w:jc w:val="both"/>
              <w:rPr>
                <w:rFonts w:ascii="Times New Roman" w:hAnsi="Times New Roman" w:cs="Times New Roman"/>
                <w:sz w:val="24"/>
                <w:szCs w:val="24"/>
              </w:rPr>
            </w:pPr>
            <w:r w:rsidRPr="0078079E">
              <w:rPr>
                <w:rFonts w:ascii="Times New Roman" w:hAnsi="Times New Roman" w:cs="Times New Roman"/>
                <w:b w:val="0"/>
                <w:bCs w:val="0"/>
                <w:sz w:val="24"/>
                <w:szCs w:val="24"/>
              </w:rPr>
              <w:t>Ethanol</w:t>
            </w:r>
          </w:p>
        </w:tc>
        <w:tc>
          <w:tcPr>
            <w:tcW w:w="2337" w:type="dxa"/>
            <w:shd w:val="clear" w:color="auto" w:fill="auto"/>
          </w:tcPr>
          <w:p w14:paraId="73A92ACC"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Brown</w:t>
            </w:r>
          </w:p>
        </w:tc>
        <w:tc>
          <w:tcPr>
            <w:tcW w:w="2338" w:type="dxa"/>
            <w:shd w:val="clear" w:color="auto" w:fill="auto"/>
          </w:tcPr>
          <w:p w14:paraId="3BDBB6F1"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21.69</w:t>
            </w:r>
          </w:p>
        </w:tc>
        <w:tc>
          <w:tcPr>
            <w:tcW w:w="2338" w:type="dxa"/>
            <w:shd w:val="clear" w:color="auto" w:fill="auto"/>
          </w:tcPr>
          <w:p w14:paraId="77060581"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2.17</w:t>
            </w:r>
          </w:p>
        </w:tc>
      </w:tr>
    </w:tbl>
    <w:p w14:paraId="5EB27BB8" w14:textId="77777777" w:rsidR="00A431CA" w:rsidRPr="0078079E" w:rsidRDefault="00A431CA" w:rsidP="00A028F1">
      <w:pPr>
        <w:spacing w:after="0" w:line="240" w:lineRule="auto"/>
        <w:jc w:val="both"/>
        <w:rPr>
          <w:rFonts w:ascii="Times New Roman" w:hAnsi="Times New Roman" w:cs="Times New Roman"/>
          <w:sz w:val="24"/>
          <w:szCs w:val="24"/>
        </w:rPr>
      </w:pPr>
    </w:p>
    <w:p w14:paraId="00411B50" w14:textId="77777777" w:rsidR="00A431CA" w:rsidRPr="0078079E" w:rsidRDefault="00A431CA" w:rsidP="00A028F1">
      <w:pPr>
        <w:spacing w:after="0" w:line="240" w:lineRule="auto"/>
        <w:jc w:val="both"/>
        <w:rPr>
          <w:rFonts w:ascii="Times New Roman" w:hAnsi="Times New Roman" w:cs="Times New Roman"/>
          <w:b/>
          <w:bCs/>
          <w:sz w:val="24"/>
          <w:szCs w:val="24"/>
        </w:rPr>
      </w:pPr>
    </w:p>
    <w:p w14:paraId="5CC17AE4" w14:textId="77777777" w:rsidR="00A431CA" w:rsidRPr="0078079E" w:rsidRDefault="00DB74BC" w:rsidP="00A028F1">
      <w:pPr>
        <w:spacing w:after="0" w:line="240" w:lineRule="auto"/>
        <w:jc w:val="both"/>
        <w:rPr>
          <w:rFonts w:ascii="Times New Roman" w:hAnsi="Times New Roman" w:cs="Times New Roman"/>
          <w:b/>
          <w:bCs/>
          <w:sz w:val="24"/>
          <w:szCs w:val="24"/>
        </w:rPr>
      </w:pPr>
      <w:r w:rsidRPr="0078079E">
        <w:rPr>
          <w:rFonts w:ascii="Times New Roman" w:hAnsi="Times New Roman" w:cs="Times New Roman"/>
          <w:b/>
          <w:bCs/>
          <w:sz w:val="24"/>
          <w:szCs w:val="24"/>
        </w:rPr>
        <w:t>Preliminary phytochemical screening of the extracts</w:t>
      </w:r>
    </w:p>
    <w:p w14:paraId="05946AD4" w14:textId="77777777" w:rsidR="00A431CA" w:rsidRPr="0078079E" w:rsidRDefault="00DB74BC" w:rsidP="00A028F1">
      <w:pPr>
        <w:spacing w:line="240" w:lineRule="auto"/>
        <w:jc w:val="both"/>
        <w:rPr>
          <w:rFonts w:ascii="Times New Roman" w:hAnsi="Times New Roman" w:cs="Times New Roman"/>
          <w:sz w:val="24"/>
          <w:szCs w:val="24"/>
        </w:rPr>
      </w:pPr>
      <w:r w:rsidRPr="0078079E">
        <w:rPr>
          <w:rFonts w:ascii="Times New Roman" w:hAnsi="Times New Roman" w:cs="Times New Roman"/>
          <w:sz w:val="24"/>
          <w:szCs w:val="24"/>
        </w:rPr>
        <w:t xml:space="preserve">The results of the preliminary screening of phytochemicals of the n-hexane, ethyl acetate and ethanol extract of </w:t>
      </w:r>
      <w:r w:rsidRPr="0078079E">
        <w:rPr>
          <w:rFonts w:ascii="Times New Roman" w:hAnsi="Times New Roman" w:cs="Times New Roman"/>
          <w:i/>
          <w:iCs/>
          <w:sz w:val="24"/>
          <w:szCs w:val="24"/>
        </w:rPr>
        <w:t>Blighia sapida</w:t>
      </w:r>
      <w:r w:rsidRPr="0078079E">
        <w:rPr>
          <w:rFonts w:ascii="Times New Roman" w:hAnsi="Times New Roman" w:cs="Times New Roman"/>
          <w:sz w:val="24"/>
          <w:szCs w:val="24"/>
        </w:rPr>
        <w:t xml:space="preserve"> leaves are presented in </w:t>
      </w:r>
      <w:r w:rsidRPr="0078079E">
        <w:rPr>
          <w:rFonts w:ascii="Times New Roman" w:hAnsi="Times New Roman" w:cs="Times New Roman"/>
          <w:b/>
          <w:bCs/>
          <w:sz w:val="24"/>
          <w:szCs w:val="24"/>
        </w:rPr>
        <w:t xml:space="preserve">Table 2. </w:t>
      </w:r>
      <w:r w:rsidRPr="0078079E">
        <w:rPr>
          <w:rFonts w:ascii="Times New Roman" w:hAnsi="Times New Roman" w:cs="Times New Roman"/>
          <w:sz w:val="24"/>
          <w:szCs w:val="24"/>
        </w:rPr>
        <w:t xml:space="preserve">Results revealed that important phytocompounds such as saponins, alkaloids, flavonoids, tannins, coumarins, steroids, cardiac glycosides, glycosides, quinones, anthocyanin and phenol were detected to be present in all the three extracts of the plant. The results of our study showed that </w:t>
      </w:r>
      <w:r w:rsidRPr="0078079E">
        <w:rPr>
          <w:rFonts w:ascii="Times New Roman" w:hAnsi="Times New Roman" w:cs="Times New Roman"/>
          <w:i/>
          <w:iCs/>
          <w:sz w:val="24"/>
          <w:szCs w:val="24"/>
        </w:rPr>
        <w:t xml:space="preserve">Blighia sapida </w:t>
      </w:r>
      <w:r w:rsidRPr="0078079E">
        <w:rPr>
          <w:rFonts w:ascii="Times New Roman" w:hAnsi="Times New Roman" w:cs="Times New Roman"/>
          <w:sz w:val="24"/>
          <w:szCs w:val="24"/>
        </w:rPr>
        <w:t xml:space="preserve">leaves are rich in phenols, flavonoids, tannins, alkaloids and steroids. This is in agreement with the presence of alkaloids, saponins, tannins, flavonoids, anthocyanins, quinones, cardiac glycosides, and glycosides in the aerial extract of </w:t>
      </w:r>
      <w:r w:rsidRPr="0078079E">
        <w:rPr>
          <w:rFonts w:ascii="Times New Roman" w:hAnsi="Times New Roman" w:cs="Times New Roman"/>
          <w:i/>
          <w:iCs/>
          <w:sz w:val="24"/>
          <w:szCs w:val="24"/>
        </w:rPr>
        <w:t>Blighia sapida</w:t>
      </w:r>
      <w:r w:rsidRPr="0078079E">
        <w:rPr>
          <w:rFonts w:ascii="Times New Roman" w:hAnsi="Times New Roman" w:cs="Times New Roman"/>
          <w:sz w:val="24"/>
          <w:szCs w:val="24"/>
        </w:rPr>
        <w:t xml:space="preserve"> as reported earlier by with Dossou, (2014). Terpenoids and anthraquinones were negative in the three extracts, while glycosides and quinone are also negative in the ethyl acetate extract. </w:t>
      </w:r>
    </w:p>
    <w:p w14:paraId="29D2FB64" w14:textId="77777777" w:rsidR="00A431CA" w:rsidRPr="0078079E" w:rsidRDefault="00DB74BC" w:rsidP="00A028F1">
      <w:pPr>
        <w:spacing w:line="240" w:lineRule="auto"/>
        <w:jc w:val="both"/>
        <w:rPr>
          <w:rFonts w:ascii="Times New Roman" w:hAnsi="Times New Roman" w:cs="Times New Roman"/>
          <w:sz w:val="24"/>
          <w:szCs w:val="24"/>
        </w:rPr>
      </w:pPr>
      <w:r w:rsidRPr="0078079E">
        <w:rPr>
          <w:rFonts w:ascii="Times New Roman" w:hAnsi="Times New Roman" w:cs="Times New Roman"/>
          <w:sz w:val="24"/>
          <w:szCs w:val="24"/>
        </w:rPr>
        <w:t>Table 2: Phytochemical composition of leaves extracts of B. sapida</w:t>
      </w:r>
    </w:p>
    <w:tbl>
      <w:tblPr>
        <w:tblStyle w:val="ListTable6Colorful1"/>
        <w:tblW w:w="0" w:type="auto"/>
        <w:tblLook w:val="04A0" w:firstRow="1" w:lastRow="0" w:firstColumn="1" w:lastColumn="0" w:noHBand="0" w:noVBand="1"/>
      </w:tblPr>
      <w:tblGrid>
        <w:gridCol w:w="2059"/>
        <w:gridCol w:w="2711"/>
        <w:gridCol w:w="1170"/>
        <w:gridCol w:w="1882"/>
        <w:gridCol w:w="1194"/>
      </w:tblGrid>
      <w:tr w:rsidR="00A431CA" w:rsidRPr="0078079E" w14:paraId="7D62EBDD" w14:textId="77777777" w:rsidTr="00A431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9" w:type="dxa"/>
          </w:tcPr>
          <w:p w14:paraId="1E0303E5" w14:textId="77777777" w:rsidR="00A431CA" w:rsidRPr="0078079E" w:rsidRDefault="00DB74BC" w:rsidP="00A028F1">
            <w:pPr>
              <w:jc w:val="both"/>
              <w:rPr>
                <w:rFonts w:ascii="Times New Roman" w:hAnsi="Times New Roman" w:cs="Times New Roman"/>
                <w:sz w:val="24"/>
                <w:szCs w:val="24"/>
              </w:rPr>
            </w:pPr>
            <w:r w:rsidRPr="0078079E">
              <w:rPr>
                <w:rFonts w:ascii="Times New Roman" w:hAnsi="Times New Roman" w:cs="Times New Roman"/>
                <w:b w:val="0"/>
                <w:bCs w:val="0"/>
                <w:sz w:val="24"/>
                <w:szCs w:val="24"/>
              </w:rPr>
              <w:t>Phytoconstituents</w:t>
            </w:r>
          </w:p>
        </w:tc>
        <w:tc>
          <w:tcPr>
            <w:tcW w:w="2711" w:type="dxa"/>
          </w:tcPr>
          <w:p w14:paraId="74B9367D" w14:textId="77777777" w:rsidR="00A431CA" w:rsidRPr="0078079E" w:rsidRDefault="00DB74BC" w:rsidP="00A028F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b w:val="0"/>
                <w:bCs w:val="0"/>
                <w:sz w:val="24"/>
                <w:szCs w:val="24"/>
              </w:rPr>
              <w:t>Test</w:t>
            </w:r>
          </w:p>
        </w:tc>
        <w:tc>
          <w:tcPr>
            <w:tcW w:w="1170" w:type="dxa"/>
          </w:tcPr>
          <w:p w14:paraId="006C5280" w14:textId="77777777" w:rsidR="00A431CA" w:rsidRPr="0078079E" w:rsidRDefault="00DB74BC" w:rsidP="00A028F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b w:val="0"/>
                <w:bCs w:val="0"/>
                <w:sz w:val="24"/>
                <w:szCs w:val="24"/>
              </w:rPr>
              <w:t>n-Hexane extract</w:t>
            </w:r>
          </w:p>
        </w:tc>
        <w:tc>
          <w:tcPr>
            <w:tcW w:w="1882" w:type="dxa"/>
          </w:tcPr>
          <w:p w14:paraId="56A599FE" w14:textId="77777777" w:rsidR="00A431CA" w:rsidRPr="0078079E" w:rsidRDefault="00DB74BC" w:rsidP="00A028F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b w:val="0"/>
                <w:bCs w:val="0"/>
                <w:sz w:val="24"/>
                <w:szCs w:val="24"/>
              </w:rPr>
              <w:t>Ethyl acetate extract</w:t>
            </w:r>
          </w:p>
        </w:tc>
        <w:tc>
          <w:tcPr>
            <w:tcW w:w="1194" w:type="dxa"/>
          </w:tcPr>
          <w:p w14:paraId="2A118688" w14:textId="77777777" w:rsidR="00A431CA" w:rsidRPr="0078079E" w:rsidRDefault="00DB74BC" w:rsidP="00A028F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b w:val="0"/>
                <w:bCs w:val="0"/>
                <w:sz w:val="24"/>
                <w:szCs w:val="24"/>
              </w:rPr>
              <w:t>Ethanol extract</w:t>
            </w:r>
          </w:p>
        </w:tc>
      </w:tr>
      <w:tr w:rsidR="00A431CA" w:rsidRPr="0078079E" w14:paraId="04311C2D" w14:textId="77777777" w:rsidTr="00A431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9" w:type="dxa"/>
            <w:shd w:val="clear" w:color="auto" w:fill="auto"/>
          </w:tcPr>
          <w:p w14:paraId="56FF8308" w14:textId="77777777" w:rsidR="00A431CA" w:rsidRPr="0078079E" w:rsidRDefault="00DB74BC" w:rsidP="00A028F1">
            <w:pPr>
              <w:jc w:val="both"/>
              <w:rPr>
                <w:rFonts w:ascii="Times New Roman" w:hAnsi="Times New Roman" w:cs="Times New Roman"/>
                <w:sz w:val="24"/>
                <w:szCs w:val="24"/>
              </w:rPr>
            </w:pPr>
            <w:r w:rsidRPr="0078079E">
              <w:rPr>
                <w:rFonts w:ascii="Times New Roman" w:hAnsi="Times New Roman" w:cs="Times New Roman"/>
                <w:b w:val="0"/>
                <w:bCs w:val="0"/>
                <w:sz w:val="24"/>
                <w:szCs w:val="24"/>
              </w:rPr>
              <w:t>Saponins</w:t>
            </w:r>
          </w:p>
        </w:tc>
        <w:tc>
          <w:tcPr>
            <w:tcW w:w="2711" w:type="dxa"/>
            <w:shd w:val="clear" w:color="auto" w:fill="auto"/>
          </w:tcPr>
          <w:p w14:paraId="2352AC97" w14:textId="77777777" w:rsidR="00A431CA" w:rsidRPr="0078079E" w:rsidRDefault="00DB74BC" w:rsidP="00A028F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Frothing test</w:t>
            </w:r>
          </w:p>
        </w:tc>
        <w:tc>
          <w:tcPr>
            <w:tcW w:w="1170" w:type="dxa"/>
            <w:shd w:val="clear" w:color="auto" w:fill="auto"/>
          </w:tcPr>
          <w:p w14:paraId="35B3D8CD"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c>
          <w:tcPr>
            <w:tcW w:w="1882" w:type="dxa"/>
            <w:shd w:val="clear" w:color="auto" w:fill="auto"/>
          </w:tcPr>
          <w:p w14:paraId="4F90EFF0"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c>
          <w:tcPr>
            <w:tcW w:w="1194" w:type="dxa"/>
            <w:shd w:val="clear" w:color="auto" w:fill="auto"/>
          </w:tcPr>
          <w:p w14:paraId="06519E43"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r>
      <w:tr w:rsidR="00A431CA" w:rsidRPr="0078079E" w14:paraId="2256181B" w14:textId="77777777" w:rsidTr="00A431CA">
        <w:tc>
          <w:tcPr>
            <w:cnfStyle w:val="001000000000" w:firstRow="0" w:lastRow="0" w:firstColumn="1" w:lastColumn="0" w:oddVBand="0" w:evenVBand="0" w:oddHBand="0" w:evenHBand="0" w:firstRowFirstColumn="0" w:firstRowLastColumn="0" w:lastRowFirstColumn="0" w:lastRowLastColumn="0"/>
            <w:tcW w:w="2059" w:type="dxa"/>
          </w:tcPr>
          <w:p w14:paraId="6B12A7C9" w14:textId="77777777" w:rsidR="00A431CA" w:rsidRPr="0078079E" w:rsidRDefault="00DB74BC" w:rsidP="00A028F1">
            <w:pPr>
              <w:jc w:val="both"/>
              <w:rPr>
                <w:rFonts w:ascii="Times New Roman" w:hAnsi="Times New Roman" w:cs="Times New Roman"/>
                <w:sz w:val="24"/>
                <w:szCs w:val="24"/>
              </w:rPr>
            </w:pPr>
            <w:r w:rsidRPr="0078079E">
              <w:rPr>
                <w:rFonts w:ascii="Times New Roman" w:hAnsi="Times New Roman" w:cs="Times New Roman"/>
                <w:b w:val="0"/>
                <w:bCs w:val="0"/>
                <w:sz w:val="24"/>
                <w:szCs w:val="24"/>
              </w:rPr>
              <w:t>Alkaloids</w:t>
            </w:r>
          </w:p>
        </w:tc>
        <w:tc>
          <w:tcPr>
            <w:tcW w:w="2711" w:type="dxa"/>
          </w:tcPr>
          <w:p w14:paraId="45BBC820" w14:textId="77777777" w:rsidR="00A431CA" w:rsidRPr="0078079E" w:rsidRDefault="00DB74BC" w:rsidP="00A028F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Mayers and Wagner’s test</w:t>
            </w:r>
          </w:p>
        </w:tc>
        <w:tc>
          <w:tcPr>
            <w:tcW w:w="1170" w:type="dxa"/>
          </w:tcPr>
          <w:p w14:paraId="4FF94213" w14:textId="77777777" w:rsidR="00A431CA" w:rsidRPr="0078079E" w:rsidRDefault="00DB74BC" w:rsidP="00A028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c>
          <w:tcPr>
            <w:tcW w:w="1882" w:type="dxa"/>
          </w:tcPr>
          <w:p w14:paraId="2868B390" w14:textId="77777777" w:rsidR="00A431CA" w:rsidRPr="0078079E" w:rsidRDefault="00DB74BC" w:rsidP="00A028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c>
          <w:tcPr>
            <w:tcW w:w="1194" w:type="dxa"/>
          </w:tcPr>
          <w:p w14:paraId="53BD5AED" w14:textId="77777777" w:rsidR="00A431CA" w:rsidRPr="0078079E" w:rsidRDefault="00DB74BC" w:rsidP="00A028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r>
      <w:tr w:rsidR="00A431CA" w:rsidRPr="0078079E" w14:paraId="62B36784" w14:textId="77777777" w:rsidTr="00A431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9" w:type="dxa"/>
            <w:shd w:val="clear" w:color="auto" w:fill="auto"/>
          </w:tcPr>
          <w:p w14:paraId="5BE78DC3" w14:textId="77777777" w:rsidR="00A431CA" w:rsidRPr="0078079E" w:rsidRDefault="00DB74BC" w:rsidP="00A028F1">
            <w:pPr>
              <w:jc w:val="both"/>
              <w:rPr>
                <w:rFonts w:ascii="Times New Roman" w:hAnsi="Times New Roman" w:cs="Times New Roman"/>
                <w:sz w:val="24"/>
                <w:szCs w:val="24"/>
              </w:rPr>
            </w:pPr>
            <w:r w:rsidRPr="0078079E">
              <w:rPr>
                <w:rFonts w:ascii="Times New Roman" w:hAnsi="Times New Roman" w:cs="Times New Roman"/>
                <w:b w:val="0"/>
                <w:bCs w:val="0"/>
                <w:sz w:val="24"/>
                <w:szCs w:val="24"/>
              </w:rPr>
              <w:t>Flavonoids</w:t>
            </w:r>
          </w:p>
        </w:tc>
        <w:tc>
          <w:tcPr>
            <w:tcW w:w="2711" w:type="dxa"/>
            <w:shd w:val="clear" w:color="auto" w:fill="auto"/>
          </w:tcPr>
          <w:p w14:paraId="5D365664" w14:textId="77777777" w:rsidR="00A431CA" w:rsidRPr="0078079E" w:rsidRDefault="00DB74BC" w:rsidP="00A028F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Shinoda test</w:t>
            </w:r>
          </w:p>
        </w:tc>
        <w:tc>
          <w:tcPr>
            <w:tcW w:w="1170" w:type="dxa"/>
            <w:shd w:val="clear" w:color="auto" w:fill="auto"/>
          </w:tcPr>
          <w:p w14:paraId="089D3165"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c>
          <w:tcPr>
            <w:tcW w:w="1882" w:type="dxa"/>
            <w:shd w:val="clear" w:color="auto" w:fill="auto"/>
          </w:tcPr>
          <w:p w14:paraId="117C94DC"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c>
          <w:tcPr>
            <w:tcW w:w="1194" w:type="dxa"/>
            <w:shd w:val="clear" w:color="auto" w:fill="auto"/>
          </w:tcPr>
          <w:p w14:paraId="736772FE"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r>
      <w:tr w:rsidR="00A431CA" w:rsidRPr="0078079E" w14:paraId="6989BCE5" w14:textId="77777777" w:rsidTr="00A431CA">
        <w:tc>
          <w:tcPr>
            <w:cnfStyle w:val="001000000000" w:firstRow="0" w:lastRow="0" w:firstColumn="1" w:lastColumn="0" w:oddVBand="0" w:evenVBand="0" w:oddHBand="0" w:evenHBand="0" w:firstRowFirstColumn="0" w:firstRowLastColumn="0" w:lastRowFirstColumn="0" w:lastRowLastColumn="0"/>
            <w:tcW w:w="2059" w:type="dxa"/>
          </w:tcPr>
          <w:p w14:paraId="17972CDD" w14:textId="77777777" w:rsidR="00A431CA" w:rsidRPr="0078079E" w:rsidRDefault="00DB74BC" w:rsidP="00A028F1">
            <w:pPr>
              <w:jc w:val="both"/>
              <w:rPr>
                <w:rFonts w:ascii="Times New Roman" w:hAnsi="Times New Roman" w:cs="Times New Roman"/>
                <w:sz w:val="24"/>
                <w:szCs w:val="24"/>
              </w:rPr>
            </w:pPr>
            <w:r w:rsidRPr="0078079E">
              <w:rPr>
                <w:rFonts w:ascii="Times New Roman" w:hAnsi="Times New Roman" w:cs="Times New Roman"/>
                <w:b w:val="0"/>
                <w:bCs w:val="0"/>
                <w:sz w:val="24"/>
                <w:szCs w:val="24"/>
              </w:rPr>
              <w:t>Tannins</w:t>
            </w:r>
          </w:p>
        </w:tc>
        <w:tc>
          <w:tcPr>
            <w:tcW w:w="2711" w:type="dxa"/>
          </w:tcPr>
          <w:p w14:paraId="1DA0E212" w14:textId="77777777" w:rsidR="00A431CA" w:rsidRPr="0078079E" w:rsidRDefault="00DB74BC" w:rsidP="00A028F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FeCl</w:t>
            </w:r>
            <w:r w:rsidRPr="0078079E">
              <w:rPr>
                <w:rFonts w:ascii="Times New Roman" w:hAnsi="Times New Roman" w:cs="Times New Roman"/>
                <w:sz w:val="24"/>
                <w:szCs w:val="24"/>
                <w:vertAlign w:val="subscript"/>
              </w:rPr>
              <w:t xml:space="preserve">3 </w:t>
            </w:r>
            <w:r w:rsidRPr="0078079E">
              <w:rPr>
                <w:rFonts w:ascii="Times New Roman" w:hAnsi="Times New Roman" w:cs="Times New Roman"/>
                <w:sz w:val="24"/>
                <w:szCs w:val="24"/>
              </w:rPr>
              <w:t>test</w:t>
            </w:r>
          </w:p>
        </w:tc>
        <w:tc>
          <w:tcPr>
            <w:tcW w:w="1170" w:type="dxa"/>
          </w:tcPr>
          <w:p w14:paraId="400D8077" w14:textId="77777777" w:rsidR="00A431CA" w:rsidRPr="0078079E" w:rsidRDefault="00DB74BC" w:rsidP="00A028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c>
          <w:tcPr>
            <w:tcW w:w="1882" w:type="dxa"/>
          </w:tcPr>
          <w:p w14:paraId="61062A59" w14:textId="77777777" w:rsidR="00A431CA" w:rsidRPr="0078079E" w:rsidRDefault="00DB74BC" w:rsidP="00A028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c>
          <w:tcPr>
            <w:tcW w:w="1194" w:type="dxa"/>
          </w:tcPr>
          <w:p w14:paraId="44937F5C" w14:textId="77777777" w:rsidR="00A431CA" w:rsidRPr="0078079E" w:rsidRDefault="00DB74BC" w:rsidP="00A028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r>
      <w:tr w:rsidR="00A431CA" w:rsidRPr="0078079E" w14:paraId="3710C139" w14:textId="77777777" w:rsidTr="00A431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9" w:type="dxa"/>
            <w:shd w:val="clear" w:color="auto" w:fill="auto"/>
          </w:tcPr>
          <w:p w14:paraId="64207A2D" w14:textId="77777777" w:rsidR="00A431CA" w:rsidRPr="0078079E" w:rsidRDefault="00DB74BC" w:rsidP="00A028F1">
            <w:pPr>
              <w:jc w:val="both"/>
              <w:rPr>
                <w:rFonts w:ascii="Times New Roman" w:hAnsi="Times New Roman" w:cs="Times New Roman"/>
                <w:sz w:val="24"/>
                <w:szCs w:val="24"/>
              </w:rPr>
            </w:pPr>
            <w:r w:rsidRPr="0078079E">
              <w:rPr>
                <w:rFonts w:ascii="Times New Roman" w:hAnsi="Times New Roman" w:cs="Times New Roman"/>
                <w:b w:val="0"/>
                <w:bCs w:val="0"/>
                <w:sz w:val="24"/>
                <w:szCs w:val="24"/>
              </w:rPr>
              <w:t>Coumarins</w:t>
            </w:r>
          </w:p>
        </w:tc>
        <w:tc>
          <w:tcPr>
            <w:tcW w:w="2711" w:type="dxa"/>
            <w:shd w:val="clear" w:color="auto" w:fill="auto"/>
          </w:tcPr>
          <w:p w14:paraId="4CFBFA25" w14:textId="77777777" w:rsidR="00A431CA" w:rsidRPr="0078079E" w:rsidRDefault="00DB74BC" w:rsidP="00A028F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FeCl</w:t>
            </w:r>
            <w:r w:rsidRPr="0078079E">
              <w:rPr>
                <w:rFonts w:ascii="Times New Roman" w:hAnsi="Times New Roman" w:cs="Times New Roman"/>
                <w:sz w:val="24"/>
                <w:szCs w:val="24"/>
                <w:vertAlign w:val="subscript"/>
              </w:rPr>
              <w:t xml:space="preserve">3 </w:t>
            </w:r>
            <w:r w:rsidRPr="0078079E">
              <w:rPr>
                <w:rFonts w:ascii="Times New Roman" w:hAnsi="Times New Roman" w:cs="Times New Roman"/>
                <w:sz w:val="24"/>
                <w:szCs w:val="24"/>
              </w:rPr>
              <w:t>test</w:t>
            </w:r>
          </w:p>
        </w:tc>
        <w:tc>
          <w:tcPr>
            <w:tcW w:w="1170" w:type="dxa"/>
            <w:shd w:val="clear" w:color="auto" w:fill="auto"/>
          </w:tcPr>
          <w:p w14:paraId="79B8498F"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c>
          <w:tcPr>
            <w:tcW w:w="1882" w:type="dxa"/>
            <w:shd w:val="clear" w:color="auto" w:fill="auto"/>
          </w:tcPr>
          <w:p w14:paraId="2DEAF746"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c>
          <w:tcPr>
            <w:tcW w:w="1194" w:type="dxa"/>
            <w:shd w:val="clear" w:color="auto" w:fill="auto"/>
          </w:tcPr>
          <w:p w14:paraId="2A1D09E1"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r>
      <w:tr w:rsidR="00A431CA" w:rsidRPr="0078079E" w14:paraId="1F9A50C1" w14:textId="77777777" w:rsidTr="00A431CA">
        <w:tc>
          <w:tcPr>
            <w:cnfStyle w:val="001000000000" w:firstRow="0" w:lastRow="0" w:firstColumn="1" w:lastColumn="0" w:oddVBand="0" w:evenVBand="0" w:oddHBand="0" w:evenHBand="0" w:firstRowFirstColumn="0" w:firstRowLastColumn="0" w:lastRowFirstColumn="0" w:lastRowLastColumn="0"/>
            <w:tcW w:w="2059" w:type="dxa"/>
          </w:tcPr>
          <w:p w14:paraId="18D1824C" w14:textId="77777777" w:rsidR="00A431CA" w:rsidRPr="0078079E" w:rsidRDefault="00DB74BC" w:rsidP="00A028F1">
            <w:pPr>
              <w:jc w:val="both"/>
              <w:rPr>
                <w:rFonts w:ascii="Times New Roman" w:hAnsi="Times New Roman" w:cs="Times New Roman"/>
                <w:sz w:val="24"/>
                <w:szCs w:val="24"/>
              </w:rPr>
            </w:pPr>
            <w:r w:rsidRPr="0078079E">
              <w:rPr>
                <w:rFonts w:ascii="Times New Roman" w:hAnsi="Times New Roman" w:cs="Times New Roman"/>
                <w:b w:val="0"/>
                <w:bCs w:val="0"/>
                <w:sz w:val="24"/>
                <w:szCs w:val="24"/>
              </w:rPr>
              <w:t>Steroids</w:t>
            </w:r>
          </w:p>
        </w:tc>
        <w:tc>
          <w:tcPr>
            <w:tcW w:w="2711" w:type="dxa"/>
          </w:tcPr>
          <w:p w14:paraId="3880683D" w14:textId="77777777" w:rsidR="00A431CA" w:rsidRPr="0078079E" w:rsidRDefault="00DB74BC" w:rsidP="00A028F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Salkowski test</w:t>
            </w:r>
          </w:p>
        </w:tc>
        <w:tc>
          <w:tcPr>
            <w:tcW w:w="1170" w:type="dxa"/>
          </w:tcPr>
          <w:p w14:paraId="312BC2B4" w14:textId="77777777" w:rsidR="00A431CA" w:rsidRPr="0078079E" w:rsidRDefault="00DB74BC" w:rsidP="00A028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c>
          <w:tcPr>
            <w:tcW w:w="1882" w:type="dxa"/>
          </w:tcPr>
          <w:p w14:paraId="76D9455C" w14:textId="77777777" w:rsidR="00A431CA" w:rsidRPr="0078079E" w:rsidRDefault="00DB74BC" w:rsidP="00A028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c>
          <w:tcPr>
            <w:tcW w:w="1194" w:type="dxa"/>
          </w:tcPr>
          <w:p w14:paraId="0846CFB0" w14:textId="77777777" w:rsidR="00A431CA" w:rsidRPr="0078079E" w:rsidRDefault="00DB74BC" w:rsidP="00A028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r>
      <w:tr w:rsidR="00A431CA" w:rsidRPr="0078079E" w14:paraId="04A7EE1E" w14:textId="77777777" w:rsidTr="00A431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9" w:type="dxa"/>
            <w:shd w:val="clear" w:color="auto" w:fill="auto"/>
          </w:tcPr>
          <w:p w14:paraId="7E18D054" w14:textId="77777777" w:rsidR="00A431CA" w:rsidRPr="0078079E" w:rsidRDefault="00DB74BC" w:rsidP="00A028F1">
            <w:pPr>
              <w:jc w:val="both"/>
              <w:rPr>
                <w:rFonts w:ascii="Times New Roman" w:hAnsi="Times New Roman" w:cs="Times New Roman"/>
                <w:sz w:val="24"/>
                <w:szCs w:val="24"/>
              </w:rPr>
            </w:pPr>
            <w:r w:rsidRPr="0078079E">
              <w:rPr>
                <w:rFonts w:ascii="Times New Roman" w:hAnsi="Times New Roman" w:cs="Times New Roman"/>
                <w:b w:val="0"/>
                <w:bCs w:val="0"/>
                <w:sz w:val="24"/>
                <w:szCs w:val="24"/>
              </w:rPr>
              <w:t>Terpenoids</w:t>
            </w:r>
          </w:p>
        </w:tc>
        <w:tc>
          <w:tcPr>
            <w:tcW w:w="2711" w:type="dxa"/>
            <w:shd w:val="clear" w:color="auto" w:fill="auto"/>
          </w:tcPr>
          <w:p w14:paraId="18FD2D04" w14:textId="77777777" w:rsidR="00A431CA" w:rsidRPr="0078079E" w:rsidRDefault="00DB74BC" w:rsidP="00A028F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Knollar’s test</w:t>
            </w:r>
          </w:p>
        </w:tc>
        <w:tc>
          <w:tcPr>
            <w:tcW w:w="1170" w:type="dxa"/>
            <w:shd w:val="clear" w:color="auto" w:fill="auto"/>
          </w:tcPr>
          <w:p w14:paraId="43B4A7BA"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c>
          <w:tcPr>
            <w:tcW w:w="1882" w:type="dxa"/>
            <w:shd w:val="clear" w:color="auto" w:fill="auto"/>
          </w:tcPr>
          <w:p w14:paraId="04936A08"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c>
          <w:tcPr>
            <w:tcW w:w="1194" w:type="dxa"/>
            <w:shd w:val="clear" w:color="auto" w:fill="auto"/>
          </w:tcPr>
          <w:p w14:paraId="2657781E"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r>
      <w:tr w:rsidR="00A431CA" w:rsidRPr="0078079E" w14:paraId="6E2DD54B" w14:textId="77777777" w:rsidTr="00A431CA">
        <w:tc>
          <w:tcPr>
            <w:cnfStyle w:val="001000000000" w:firstRow="0" w:lastRow="0" w:firstColumn="1" w:lastColumn="0" w:oddVBand="0" w:evenVBand="0" w:oddHBand="0" w:evenHBand="0" w:firstRowFirstColumn="0" w:firstRowLastColumn="0" w:lastRowFirstColumn="0" w:lastRowLastColumn="0"/>
            <w:tcW w:w="2059" w:type="dxa"/>
          </w:tcPr>
          <w:p w14:paraId="3966B8DC" w14:textId="77777777" w:rsidR="00A431CA" w:rsidRPr="0078079E" w:rsidRDefault="00DB74BC" w:rsidP="00A028F1">
            <w:pPr>
              <w:jc w:val="both"/>
              <w:rPr>
                <w:rFonts w:ascii="Times New Roman" w:hAnsi="Times New Roman" w:cs="Times New Roman"/>
                <w:sz w:val="24"/>
                <w:szCs w:val="24"/>
              </w:rPr>
            </w:pPr>
            <w:r w:rsidRPr="0078079E">
              <w:rPr>
                <w:rFonts w:ascii="Times New Roman" w:hAnsi="Times New Roman" w:cs="Times New Roman"/>
                <w:b w:val="0"/>
                <w:bCs w:val="0"/>
                <w:sz w:val="24"/>
                <w:szCs w:val="24"/>
              </w:rPr>
              <w:t>Cardiac glycosides</w:t>
            </w:r>
          </w:p>
        </w:tc>
        <w:tc>
          <w:tcPr>
            <w:tcW w:w="2711" w:type="dxa"/>
          </w:tcPr>
          <w:p w14:paraId="34CEA019" w14:textId="77777777" w:rsidR="00A431CA" w:rsidRPr="0078079E" w:rsidRDefault="00DB74BC" w:rsidP="00A028F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Keller-Killiani test</w:t>
            </w:r>
          </w:p>
        </w:tc>
        <w:tc>
          <w:tcPr>
            <w:tcW w:w="1170" w:type="dxa"/>
          </w:tcPr>
          <w:p w14:paraId="75E0A031" w14:textId="77777777" w:rsidR="00A431CA" w:rsidRPr="0078079E" w:rsidRDefault="00DB74BC" w:rsidP="00A028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c>
          <w:tcPr>
            <w:tcW w:w="1882" w:type="dxa"/>
          </w:tcPr>
          <w:p w14:paraId="456E7215" w14:textId="77777777" w:rsidR="00A431CA" w:rsidRPr="0078079E" w:rsidRDefault="00DB74BC" w:rsidP="00A028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c>
          <w:tcPr>
            <w:tcW w:w="1194" w:type="dxa"/>
          </w:tcPr>
          <w:p w14:paraId="391B7A41" w14:textId="77777777" w:rsidR="00A431CA" w:rsidRPr="0078079E" w:rsidRDefault="00DB74BC" w:rsidP="00A028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r>
      <w:tr w:rsidR="00A431CA" w:rsidRPr="0078079E" w14:paraId="2A605299" w14:textId="77777777" w:rsidTr="00A431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9" w:type="dxa"/>
            <w:shd w:val="clear" w:color="auto" w:fill="auto"/>
          </w:tcPr>
          <w:p w14:paraId="6F5C9B99" w14:textId="77777777" w:rsidR="00A431CA" w:rsidRPr="0078079E" w:rsidRDefault="00DB74BC" w:rsidP="00A028F1">
            <w:pPr>
              <w:jc w:val="both"/>
              <w:rPr>
                <w:rFonts w:ascii="Times New Roman" w:hAnsi="Times New Roman" w:cs="Times New Roman"/>
                <w:sz w:val="24"/>
                <w:szCs w:val="24"/>
              </w:rPr>
            </w:pPr>
            <w:r w:rsidRPr="0078079E">
              <w:rPr>
                <w:rFonts w:ascii="Times New Roman" w:hAnsi="Times New Roman" w:cs="Times New Roman"/>
                <w:b w:val="0"/>
                <w:bCs w:val="0"/>
                <w:sz w:val="24"/>
                <w:szCs w:val="24"/>
              </w:rPr>
              <w:t>Glycosides</w:t>
            </w:r>
          </w:p>
        </w:tc>
        <w:tc>
          <w:tcPr>
            <w:tcW w:w="2711" w:type="dxa"/>
            <w:shd w:val="clear" w:color="auto" w:fill="auto"/>
          </w:tcPr>
          <w:p w14:paraId="4ECA3870" w14:textId="77777777" w:rsidR="00A431CA" w:rsidRPr="0078079E" w:rsidRDefault="00DB74BC" w:rsidP="00A028F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FeCl</w:t>
            </w:r>
            <w:r w:rsidRPr="0078079E">
              <w:rPr>
                <w:rFonts w:ascii="Times New Roman" w:hAnsi="Times New Roman" w:cs="Times New Roman"/>
                <w:sz w:val="24"/>
                <w:szCs w:val="24"/>
                <w:vertAlign w:val="subscript"/>
              </w:rPr>
              <w:t xml:space="preserve">3 </w:t>
            </w:r>
            <w:r w:rsidRPr="0078079E">
              <w:rPr>
                <w:rFonts w:ascii="Times New Roman" w:hAnsi="Times New Roman" w:cs="Times New Roman"/>
                <w:sz w:val="24"/>
                <w:szCs w:val="24"/>
              </w:rPr>
              <w:t>test</w:t>
            </w:r>
          </w:p>
        </w:tc>
        <w:tc>
          <w:tcPr>
            <w:tcW w:w="1170" w:type="dxa"/>
            <w:shd w:val="clear" w:color="auto" w:fill="auto"/>
          </w:tcPr>
          <w:p w14:paraId="3EE40445"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c>
          <w:tcPr>
            <w:tcW w:w="1882" w:type="dxa"/>
            <w:shd w:val="clear" w:color="auto" w:fill="auto"/>
          </w:tcPr>
          <w:p w14:paraId="4C848DE7"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c>
          <w:tcPr>
            <w:tcW w:w="1194" w:type="dxa"/>
            <w:shd w:val="clear" w:color="auto" w:fill="auto"/>
          </w:tcPr>
          <w:p w14:paraId="1444B1A9"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r>
      <w:tr w:rsidR="00A431CA" w:rsidRPr="0078079E" w14:paraId="2DDAA666" w14:textId="77777777" w:rsidTr="00A431CA">
        <w:tc>
          <w:tcPr>
            <w:cnfStyle w:val="001000000000" w:firstRow="0" w:lastRow="0" w:firstColumn="1" w:lastColumn="0" w:oddVBand="0" w:evenVBand="0" w:oddHBand="0" w:evenHBand="0" w:firstRowFirstColumn="0" w:firstRowLastColumn="0" w:lastRowFirstColumn="0" w:lastRowLastColumn="0"/>
            <w:tcW w:w="2059" w:type="dxa"/>
          </w:tcPr>
          <w:p w14:paraId="4C4D85E2" w14:textId="77777777" w:rsidR="00A431CA" w:rsidRPr="0078079E" w:rsidRDefault="00DB74BC" w:rsidP="00A028F1">
            <w:pPr>
              <w:jc w:val="both"/>
              <w:rPr>
                <w:rFonts w:ascii="Times New Roman" w:hAnsi="Times New Roman" w:cs="Times New Roman"/>
                <w:sz w:val="24"/>
                <w:szCs w:val="24"/>
              </w:rPr>
            </w:pPr>
            <w:r w:rsidRPr="0078079E">
              <w:rPr>
                <w:rFonts w:ascii="Times New Roman" w:hAnsi="Times New Roman" w:cs="Times New Roman"/>
                <w:b w:val="0"/>
                <w:bCs w:val="0"/>
                <w:sz w:val="24"/>
                <w:szCs w:val="24"/>
              </w:rPr>
              <w:lastRenderedPageBreak/>
              <w:t>Quinones</w:t>
            </w:r>
          </w:p>
        </w:tc>
        <w:tc>
          <w:tcPr>
            <w:tcW w:w="2711" w:type="dxa"/>
          </w:tcPr>
          <w:p w14:paraId="551601D2" w14:textId="77777777" w:rsidR="00A431CA" w:rsidRPr="0078079E" w:rsidRDefault="00DB74BC" w:rsidP="00A028F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Sulfuric acid test</w:t>
            </w:r>
          </w:p>
        </w:tc>
        <w:tc>
          <w:tcPr>
            <w:tcW w:w="1170" w:type="dxa"/>
          </w:tcPr>
          <w:p w14:paraId="4850C382" w14:textId="77777777" w:rsidR="00A431CA" w:rsidRPr="0078079E" w:rsidRDefault="00DB74BC" w:rsidP="00A028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c>
          <w:tcPr>
            <w:tcW w:w="1882" w:type="dxa"/>
          </w:tcPr>
          <w:p w14:paraId="5D69337B" w14:textId="77777777" w:rsidR="00A431CA" w:rsidRPr="0078079E" w:rsidRDefault="00DB74BC" w:rsidP="00A028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c>
          <w:tcPr>
            <w:tcW w:w="1194" w:type="dxa"/>
          </w:tcPr>
          <w:p w14:paraId="27E8ED0C" w14:textId="77777777" w:rsidR="00A431CA" w:rsidRPr="0078079E" w:rsidRDefault="00DB74BC" w:rsidP="00A028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r>
      <w:tr w:rsidR="00A431CA" w:rsidRPr="0078079E" w14:paraId="3733B11A" w14:textId="77777777" w:rsidTr="00A431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9" w:type="dxa"/>
            <w:shd w:val="clear" w:color="auto" w:fill="auto"/>
          </w:tcPr>
          <w:p w14:paraId="382E6402" w14:textId="77777777" w:rsidR="00A431CA" w:rsidRPr="0078079E" w:rsidRDefault="00DB74BC" w:rsidP="00A028F1">
            <w:pPr>
              <w:jc w:val="both"/>
              <w:rPr>
                <w:rFonts w:ascii="Times New Roman" w:hAnsi="Times New Roman" w:cs="Times New Roman"/>
                <w:sz w:val="24"/>
                <w:szCs w:val="24"/>
              </w:rPr>
            </w:pPr>
            <w:r w:rsidRPr="0078079E">
              <w:rPr>
                <w:rFonts w:ascii="Times New Roman" w:hAnsi="Times New Roman" w:cs="Times New Roman"/>
                <w:b w:val="0"/>
                <w:bCs w:val="0"/>
                <w:sz w:val="24"/>
                <w:szCs w:val="24"/>
              </w:rPr>
              <w:t>Anthraquinones</w:t>
            </w:r>
          </w:p>
        </w:tc>
        <w:tc>
          <w:tcPr>
            <w:tcW w:w="2711" w:type="dxa"/>
            <w:shd w:val="clear" w:color="auto" w:fill="auto"/>
          </w:tcPr>
          <w:p w14:paraId="66BF691B" w14:textId="77777777" w:rsidR="00A431CA" w:rsidRPr="0078079E" w:rsidRDefault="00DB74BC" w:rsidP="00A028F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Borntrager’s test</w:t>
            </w:r>
          </w:p>
        </w:tc>
        <w:tc>
          <w:tcPr>
            <w:tcW w:w="1170" w:type="dxa"/>
            <w:shd w:val="clear" w:color="auto" w:fill="auto"/>
          </w:tcPr>
          <w:p w14:paraId="58301C7B"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c>
          <w:tcPr>
            <w:tcW w:w="1882" w:type="dxa"/>
            <w:shd w:val="clear" w:color="auto" w:fill="auto"/>
          </w:tcPr>
          <w:p w14:paraId="48C17532"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c>
          <w:tcPr>
            <w:tcW w:w="1194" w:type="dxa"/>
            <w:shd w:val="clear" w:color="auto" w:fill="auto"/>
          </w:tcPr>
          <w:p w14:paraId="40B9E930"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r>
      <w:tr w:rsidR="00A431CA" w:rsidRPr="0078079E" w14:paraId="70269AC4" w14:textId="77777777" w:rsidTr="00A431CA">
        <w:tc>
          <w:tcPr>
            <w:cnfStyle w:val="001000000000" w:firstRow="0" w:lastRow="0" w:firstColumn="1" w:lastColumn="0" w:oddVBand="0" w:evenVBand="0" w:oddHBand="0" w:evenHBand="0" w:firstRowFirstColumn="0" w:firstRowLastColumn="0" w:lastRowFirstColumn="0" w:lastRowLastColumn="0"/>
            <w:tcW w:w="2059" w:type="dxa"/>
          </w:tcPr>
          <w:p w14:paraId="551E040B" w14:textId="77777777" w:rsidR="00A431CA" w:rsidRPr="0078079E" w:rsidRDefault="00DB74BC" w:rsidP="00A028F1">
            <w:pPr>
              <w:jc w:val="both"/>
              <w:rPr>
                <w:rFonts w:ascii="Times New Roman" w:hAnsi="Times New Roman" w:cs="Times New Roman"/>
                <w:sz w:val="24"/>
                <w:szCs w:val="24"/>
              </w:rPr>
            </w:pPr>
            <w:r w:rsidRPr="0078079E">
              <w:rPr>
                <w:rFonts w:ascii="Times New Roman" w:hAnsi="Times New Roman" w:cs="Times New Roman"/>
                <w:b w:val="0"/>
                <w:bCs w:val="0"/>
                <w:sz w:val="24"/>
                <w:szCs w:val="24"/>
              </w:rPr>
              <w:t>Anthocyanin</w:t>
            </w:r>
          </w:p>
        </w:tc>
        <w:tc>
          <w:tcPr>
            <w:tcW w:w="2711" w:type="dxa"/>
          </w:tcPr>
          <w:p w14:paraId="7B8DEC6A" w14:textId="77777777" w:rsidR="00A431CA" w:rsidRPr="0078079E" w:rsidRDefault="00DB74BC" w:rsidP="00A028F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c>
          <w:tcPr>
            <w:tcW w:w="1170" w:type="dxa"/>
          </w:tcPr>
          <w:p w14:paraId="0EB39738" w14:textId="77777777" w:rsidR="00A431CA" w:rsidRPr="0078079E" w:rsidRDefault="00DB74BC" w:rsidP="00A028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c>
          <w:tcPr>
            <w:tcW w:w="1882" w:type="dxa"/>
          </w:tcPr>
          <w:p w14:paraId="1ABD0ACD" w14:textId="77777777" w:rsidR="00A431CA" w:rsidRPr="0078079E" w:rsidRDefault="00DB74BC" w:rsidP="00A028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c>
          <w:tcPr>
            <w:tcW w:w="1194" w:type="dxa"/>
          </w:tcPr>
          <w:p w14:paraId="61540A93" w14:textId="77777777" w:rsidR="00A431CA" w:rsidRPr="0078079E" w:rsidRDefault="00DB74BC" w:rsidP="00A028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r>
      <w:tr w:rsidR="00A431CA" w:rsidRPr="0078079E" w14:paraId="78E1E9CC" w14:textId="77777777" w:rsidTr="00A431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9" w:type="dxa"/>
            <w:shd w:val="clear" w:color="auto" w:fill="auto"/>
          </w:tcPr>
          <w:p w14:paraId="140C4A97" w14:textId="77777777" w:rsidR="00A431CA" w:rsidRPr="0078079E" w:rsidRDefault="00DB74BC" w:rsidP="00A028F1">
            <w:pPr>
              <w:jc w:val="both"/>
              <w:rPr>
                <w:rFonts w:ascii="Times New Roman" w:hAnsi="Times New Roman" w:cs="Times New Roman"/>
                <w:sz w:val="24"/>
                <w:szCs w:val="24"/>
              </w:rPr>
            </w:pPr>
            <w:r w:rsidRPr="0078079E">
              <w:rPr>
                <w:rFonts w:ascii="Times New Roman" w:hAnsi="Times New Roman" w:cs="Times New Roman"/>
                <w:b w:val="0"/>
                <w:bCs w:val="0"/>
                <w:sz w:val="24"/>
                <w:szCs w:val="24"/>
              </w:rPr>
              <w:t>Phenol</w:t>
            </w:r>
          </w:p>
        </w:tc>
        <w:tc>
          <w:tcPr>
            <w:tcW w:w="2711" w:type="dxa"/>
            <w:shd w:val="clear" w:color="auto" w:fill="auto"/>
          </w:tcPr>
          <w:p w14:paraId="36964039" w14:textId="77777777" w:rsidR="00A431CA" w:rsidRPr="0078079E" w:rsidRDefault="00DB74BC" w:rsidP="00A028F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FeCl</w:t>
            </w:r>
            <w:r w:rsidRPr="0078079E">
              <w:rPr>
                <w:rFonts w:ascii="Times New Roman" w:hAnsi="Times New Roman" w:cs="Times New Roman"/>
                <w:sz w:val="24"/>
                <w:szCs w:val="24"/>
                <w:vertAlign w:val="subscript"/>
              </w:rPr>
              <w:t xml:space="preserve">3 </w:t>
            </w:r>
            <w:r w:rsidRPr="0078079E">
              <w:rPr>
                <w:rFonts w:ascii="Times New Roman" w:hAnsi="Times New Roman" w:cs="Times New Roman"/>
                <w:sz w:val="24"/>
                <w:szCs w:val="24"/>
              </w:rPr>
              <w:t>test</w:t>
            </w:r>
          </w:p>
        </w:tc>
        <w:tc>
          <w:tcPr>
            <w:tcW w:w="1170" w:type="dxa"/>
            <w:shd w:val="clear" w:color="auto" w:fill="auto"/>
          </w:tcPr>
          <w:p w14:paraId="3D2A9B7B"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c>
          <w:tcPr>
            <w:tcW w:w="1882" w:type="dxa"/>
            <w:shd w:val="clear" w:color="auto" w:fill="auto"/>
          </w:tcPr>
          <w:p w14:paraId="269B902E"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c>
          <w:tcPr>
            <w:tcW w:w="1194" w:type="dxa"/>
            <w:shd w:val="clear" w:color="auto" w:fill="auto"/>
          </w:tcPr>
          <w:p w14:paraId="38F70E07"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r>
    </w:tbl>
    <w:p w14:paraId="0DD32D5A" w14:textId="77777777" w:rsidR="00A431CA" w:rsidRPr="0078079E" w:rsidRDefault="00DB74BC" w:rsidP="00A028F1">
      <w:pPr>
        <w:spacing w:after="0" w:line="240" w:lineRule="auto"/>
        <w:jc w:val="both"/>
        <w:rPr>
          <w:rFonts w:ascii="Times New Roman" w:hAnsi="Times New Roman" w:cs="Times New Roman"/>
          <w:sz w:val="24"/>
          <w:szCs w:val="24"/>
        </w:rPr>
      </w:pPr>
      <w:r w:rsidRPr="0078079E">
        <w:rPr>
          <w:rFonts w:ascii="Times New Roman" w:hAnsi="Times New Roman" w:cs="Times New Roman"/>
          <w:sz w:val="24"/>
          <w:szCs w:val="24"/>
        </w:rPr>
        <w:t>Key: + = present and - = absent</w:t>
      </w:r>
    </w:p>
    <w:p w14:paraId="797F7B15" w14:textId="77777777" w:rsidR="00A431CA" w:rsidRPr="0078079E" w:rsidRDefault="00A431CA" w:rsidP="00A028F1">
      <w:pPr>
        <w:spacing w:after="0" w:line="240" w:lineRule="auto"/>
        <w:jc w:val="both"/>
        <w:rPr>
          <w:rFonts w:ascii="Times New Roman" w:hAnsi="Times New Roman" w:cs="Times New Roman"/>
          <w:sz w:val="24"/>
          <w:szCs w:val="24"/>
        </w:rPr>
      </w:pPr>
    </w:p>
    <w:p w14:paraId="2AA1C6F9" w14:textId="77777777" w:rsidR="00A431CA" w:rsidRPr="0078079E" w:rsidRDefault="00A431CA" w:rsidP="00A028F1">
      <w:pPr>
        <w:spacing w:after="0" w:line="240" w:lineRule="auto"/>
        <w:jc w:val="both"/>
        <w:rPr>
          <w:rFonts w:ascii="Times New Roman" w:hAnsi="Times New Roman" w:cs="Times New Roman"/>
          <w:b/>
          <w:bCs/>
          <w:sz w:val="24"/>
          <w:szCs w:val="24"/>
        </w:rPr>
      </w:pPr>
    </w:p>
    <w:p w14:paraId="1B5AF921" w14:textId="77777777" w:rsidR="00A431CA" w:rsidRPr="0078079E" w:rsidRDefault="00DB74BC" w:rsidP="00A028F1">
      <w:pPr>
        <w:spacing w:after="0" w:line="240" w:lineRule="auto"/>
        <w:jc w:val="both"/>
        <w:rPr>
          <w:rFonts w:ascii="Times New Roman" w:hAnsi="Times New Roman" w:cs="Times New Roman"/>
          <w:b/>
          <w:bCs/>
          <w:sz w:val="24"/>
          <w:szCs w:val="24"/>
        </w:rPr>
      </w:pPr>
      <w:r w:rsidRPr="0078079E">
        <w:rPr>
          <w:rFonts w:ascii="Times New Roman" w:hAnsi="Times New Roman" w:cs="Times New Roman"/>
          <w:b/>
          <w:bCs/>
          <w:sz w:val="24"/>
          <w:szCs w:val="24"/>
        </w:rPr>
        <w:t>Quantitative phytochemical</w:t>
      </w:r>
    </w:p>
    <w:p w14:paraId="0C142316" w14:textId="77777777" w:rsidR="00A431CA" w:rsidRPr="0078079E" w:rsidRDefault="00DB74BC" w:rsidP="00A028F1">
      <w:pPr>
        <w:spacing w:line="240" w:lineRule="auto"/>
        <w:jc w:val="both"/>
        <w:rPr>
          <w:rFonts w:ascii="Times New Roman" w:hAnsi="Times New Roman" w:cs="Times New Roman"/>
          <w:sz w:val="24"/>
          <w:szCs w:val="24"/>
        </w:rPr>
      </w:pPr>
      <w:r w:rsidRPr="0078079E">
        <w:rPr>
          <w:rFonts w:ascii="Times New Roman" w:hAnsi="Times New Roman" w:cs="Times New Roman"/>
          <w:sz w:val="24"/>
          <w:szCs w:val="24"/>
        </w:rPr>
        <w:t xml:space="preserve">The results of the quantitative estimation of phytochemicals including total phenolic, flavonoid, tannin alkaloid and steroids contents revealed in the ethyl acetate and ethanol extracts of </w:t>
      </w:r>
      <w:r w:rsidRPr="0078079E">
        <w:rPr>
          <w:rFonts w:ascii="Times New Roman" w:hAnsi="Times New Roman" w:cs="Times New Roman"/>
          <w:i/>
          <w:iCs/>
          <w:sz w:val="24"/>
          <w:szCs w:val="24"/>
        </w:rPr>
        <w:t xml:space="preserve">Blighia sapida </w:t>
      </w:r>
      <w:r w:rsidRPr="0078079E">
        <w:rPr>
          <w:rFonts w:ascii="Times New Roman" w:hAnsi="Times New Roman" w:cs="Times New Roman"/>
          <w:sz w:val="24"/>
          <w:szCs w:val="24"/>
        </w:rPr>
        <w:t xml:space="preserve">leaves are presented in </w:t>
      </w:r>
      <w:r w:rsidRPr="0078079E">
        <w:rPr>
          <w:rFonts w:ascii="Times New Roman" w:hAnsi="Times New Roman" w:cs="Times New Roman"/>
          <w:b/>
          <w:bCs/>
          <w:sz w:val="24"/>
          <w:szCs w:val="24"/>
        </w:rPr>
        <w:t>Table 3</w:t>
      </w:r>
      <w:r w:rsidRPr="0078079E">
        <w:rPr>
          <w:rFonts w:ascii="Times New Roman" w:hAnsi="Times New Roman" w:cs="Times New Roman"/>
          <w:sz w:val="24"/>
          <w:szCs w:val="24"/>
        </w:rPr>
        <w:t xml:space="preserve">. Results showed that </w:t>
      </w:r>
      <w:r w:rsidRPr="0078079E">
        <w:rPr>
          <w:rFonts w:ascii="Times New Roman" w:hAnsi="Times New Roman" w:cs="Times New Roman"/>
          <w:i/>
          <w:iCs/>
          <w:sz w:val="24"/>
          <w:szCs w:val="24"/>
        </w:rPr>
        <w:t xml:space="preserve">Blighia sapida </w:t>
      </w:r>
      <w:r w:rsidRPr="0078079E">
        <w:rPr>
          <w:rFonts w:ascii="Times New Roman" w:hAnsi="Times New Roman" w:cs="Times New Roman"/>
          <w:sz w:val="24"/>
          <w:szCs w:val="24"/>
        </w:rPr>
        <w:t xml:space="preserve">leaves are rich in in phenol content. This finding is in agreement with the studies conducted by </w:t>
      </w:r>
      <w:r w:rsidRPr="0078079E">
        <w:rPr>
          <w:rFonts w:ascii="Times New Roman" w:eastAsia="Times New Roman" w:hAnsi="Times New Roman" w:cs="Times New Roman"/>
          <w:kern w:val="0"/>
          <w:sz w:val="24"/>
          <w:szCs w:val="24"/>
          <w14:ligatures w14:val="none"/>
        </w:rPr>
        <w:t xml:space="preserve">Oloyede et al., and Dossou. However, the maximum phenolic content was found in the ethyl acetate extract with </w:t>
      </w:r>
      <w:r w:rsidRPr="0078079E">
        <w:rPr>
          <w:rFonts w:ascii="Times New Roman" w:hAnsi="Times New Roman" w:cs="Times New Roman"/>
          <w:sz w:val="24"/>
          <w:szCs w:val="24"/>
        </w:rPr>
        <w:t xml:space="preserve">37.70±0.03 mgGAE/g and that of ethanol extract is 36.46±0.02 mgGAE/g. the previous studies reported higher phenol content in the </w:t>
      </w:r>
      <w:r w:rsidRPr="0078079E">
        <w:rPr>
          <w:rFonts w:ascii="Times New Roman" w:hAnsi="Times New Roman" w:cs="Times New Roman"/>
          <w:color w:val="1F1F1F"/>
          <w:sz w:val="24"/>
          <w:szCs w:val="24"/>
        </w:rPr>
        <w:t xml:space="preserve">methanolic extract as reported by </w:t>
      </w:r>
      <w:r w:rsidRPr="0078079E">
        <w:rPr>
          <w:rFonts w:ascii="Times New Roman" w:eastAsia="Times New Roman" w:hAnsi="Times New Roman" w:cs="Times New Roman"/>
          <w:kern w:val="0"/>
          <w:sz w:val="24"/>
          <w:szCs w:val="24"/>
          <w14:ligatures w14:val="none"/>
        </w:rPr>
        <w:t xml:space="preserve">Oloyede et al., </w:t>
      </w:r>
      <w:r w:rsidRPr="0078079E">
        <w:rPr>
          <w:rFonts w:ascii="Times New Roman" w:hAnsi="Times New Roman" w:cs="Times New Roman"/>
          <w:color w:val="1F1F1F"/>
          <w:sz w:val="24"/>
          <w:szCs w:val="24"/>
        </w:rPr>
        <w:t>(</w:t>
      </w:r>
      <w:r w:rsidRPr="0078079E">
        <w:rPr>
          <w:rFonts w:ascii="Times New Roman" w:eastAsia="Times New Roman" w:hAnsi="Times New Roman" w:cs="Times New Roman"/>
          <w:kern w:val="0"/>
          <w:sz w:val="24"/>
          <w:szCs w:val="24"/>
          <w14:ligatures w14:val="none"/>
        </w:rPr>
        <w:t xml:space="preserve">2014) and in the freeze dry fruit arils as reported by Dossou et al., (2014) of the plant. Phenols are group of potential immune-stimulating, compounds that exhibit biological activities such as anticancer, antiviral, antiallergic and antioxidant activities. </w:t>
      </w:r>
      <w:r w:rsidRPr="0078079E">
        <w:rPr>
          <w:rFonts w:ascii="Times New Roman" w:hAnsi="Times New Roman" w:cs="Times New Roman"/>
          <w:sz w:val="24"/>
          <w:szCs w:val="24"/>
        </w:rPr>
        <w:t xml:space="preserve">They are present in most medicinal plants and used widely in phytotherapy. </w:t>
      </w:r>
    </w:p>
    <w:p w14:paraId="7B92AA07" w14:textId="77777777" w:rsidR="00A431CA" w:rsidRPr="0078079E" w:rsidRDefault="00DB74BC" w:rsidP="00A028F1">
      <w:pPr>
        <w:spacing w:line="240" w:lineRule="auto"/>
        <w:jc w:val="both"/>
        <w:rPr>
          <w:rFonts w:ascii="Times New Roman" w:hAnsi="Times New Roman" w:cs="Times New Roman"/>
          <w:sz w:val="24"/>
          <w:szCs w:val="24"/>
        </w:rPr>
      </w:pPr>
      <w:r w:rsidRPr="0078079E">
        <w:rPr>
          <w:rFonts w:ascii="Times New Roman" w:hAnsi="Times New Roman" w:cs="Times New Roman"/>
          <w:sz w:val="24"/>
          <w:szCs w:val="24"/>
        </w:rPr>
        <w:t xml:space="preserve">A similar tendency was observed in the quantification of flavonoid content. The ethyl acetate extract revealed the maximum yield of flavonoids with 12.96±0.02 mgQE/g dry weight and the least amount in the ethanol extract with 5.96±0.02 mgQE/g dry weight. In contrast to the present study, </w:t>
      </w:r>
      <w:r w:rsidRPr="0078079E">
        <w:rPr>
          <w:rFonts w:ascii="Times New Roman" w:eastAsia="Times New Roman" w:hAnsi="Times New Roman" w:cs="Times New Roman"/>
          <w:kern w:val="0"/>
          <w:sz w:val="24"/>
          <w:szCs w:val="24"/>
          <w14:ligatures w14:val="none"/>
        </w:rPr>
        <w:t xml:space="preserve">Oloyede et al., (2014) </w:t>
      </w:r>
      <w:r w:rsidRPr="0078079E">
        <w:rPr>
          <w:rFonts w:ascii="Times New Roman" w:hAnsi="Times New Roman" w:cs="Times New Roman"/>
          <w:sz w:val="24"/>
          <w:szCs w:val="24"/>
        </w:rPr>
        <w:t xml:space="preserve">reported the highest flavonoid content in the ethanol extract with </w:t>
      </w:r>
      <w:r w:rsidRPr="0078079E">
        <w:rPr>
          <w:rFonts w:ascii="Times New Roman" w:hAnsi="Times New Roman" w:cs="Times New Roman"/>
          <w:color w:val="1F1F1F"/>
          <w:sz w:val="24"/>
          <w:szCs w:val="24"/>
        </w:rPr>
        <w:t>590.43±3.8 mg/mL</w:t>
      </w:r>
      <w:r w:rsidRPr="0078079E">
        <w:rPr>
          <w:rFonts w:ascii="Times New Roman" w:hAnsi="Times New Roman" w:cs="Times New Roman"/>
          <w:sz w:val="24"/>
          <w:szCs w:val="24"/>
        </w:rPr>
        <w:t xml:space="preserve"> dry weight followed by water extract with 424.17±36.67 mg QE/gm. dry weight. The highest flavonoids 148.427±4.295 mgEqR/g were detected in the hydroethanolic leaves extract of the plant dry weights as reported by </w:t>
      </w:r>
      <w:r w:rsidRPr="0078079E">
        <w:rPr>
          <w:rFonts w:ascii="Times New Roman" w:eastAsia="Times New Roman" w:hAnsi="Times New Roman" w:cs="Times New Roman"/>
          <w:kern w:val="0"/>
          <w:sz w:val="24"/>
          <w:szCs w:val="24"/>
          <w14:ligatures w14:val="none"/>
        </w:rPr>
        <w:t>Dermane et al. (2024)</w:t>
      </w:r>
      <w:r w:rsidRPr="0078079E">
        <w:rPr>
          <w:rFonts w:ascii="Times New Roman" w:hAnsi="Times New Roman" w:cs="Times New Roman"/>
          <w:sz w:val="24"/>
          <w:szCs w:val="24"/>
        </w:rPr>
        <w:t xml:space="preserve">. Flavonoids exhibit various important biological activities such as anti-inflammatory, anti-ulcer, anti-hepatocic, antiviral, antiallergic and anti-cancer. Flavonoids also act as antioxidant agent scavenging oxidizing molecules such as singlet oxygen and various other free radicals thus, aiding in the prevention of cancer and cardiovascular diseases in human. Flavonoids possess anti-oxidative and mucosal protective effects. </w:t>
      </w:r>
    </w:p>
    <w:p w14:paraId="4491C0BC" w14:textId="77777777" w:rsidR="00A431CA" w:rsidRPr="0078079E" w:rsidRDefault="00DB74BC" w:rsidP="00A028F1">
      <w:pPr>
        <w:spacing w:line="240" w:lineRule="auto"/>
        <w:jc w:val="both"/>
        <w:rPr>
          <w:rFonts w:ascii="Times New Roman" w:hAnsi="Times New Roman" w:cs="Times New Roman"/>
          <w:sz w:val="24"/>
          <w:szCs w:val="24"/>
        </w:rPr>
      </w:pPr>
      <w:r w:rsidRPr="0078079E">
        <w:rPr>
          <w:rFonts w:ascii="Times New Roman" w:hAnsi="Times New Roman" w:cs="Times New Roman"/>
          <w:sz w:val="24"/>
          <w:szCs w:val="24"/>
        </w:rPr>
        <w:t>Regarding the total tannins content, results revealed maximum content in the ethyl acetate extract with 10.75±0.01</w:t>
      </w:r>
      <w:r w:rsidRPr="0078079E">
        <w:rPr>
          <w:rFonts w:ascii="Times New Roman" w:eastAsia="Times New Roman" w:hAnsi="Times New Roman" w:cs="Times New Roman"/>
          <w:kern w:val="0"/>
          <w:sz w:val="24"/>
          <w:szCs w:val="24"/>
          <w14:ligatures w14:val="none"/>
        </w:rPr>
        <w:t xml:space="preserve"> mgTAE/g</w:t>
      </w:r>
      <w:r w:rsidRPr="0078079E">
        <w:rPr>
          <w:rFonts w:ascii="Times New Roman" w:hAnsi="Times New Roman" w:cs="Times New Roman"/>
          <w:sz w:val="24"/>
          <w:szCs w:val="24"/>
        </w:rPr>
        <w:t xml:space="preserve"> dried material and the methanol extract with 4.80±0.</w:t>
      </w:r>
      <w:r w:rsidRPr="0078079E">
        <w:rPr>
          <w:rFonts w:ascii="Times New Roman" w:eastAsia="Times New Roman" w:hAnsi="Times New Roman" w:cs="Times New Roman"/>
          <w:kern w:val="0"/>
          <w:sz w:val="24"/>
          <w:szCs w:val="24"/>
          <w14:ligatures w14:val="none"/>
        </w:rPr>
        <w:t xml:space="preserve"> mgTAE/g</w:t>
      </w:r>
      <w:r w:rsidRPr="0078079E">
        <w:rPr>
          <w:rFonts w:ascii="Times New Roman" w:hAnsi="Times New Roman" w:cs="Times New Roman"/>
          <w:sz w:val="24"/>
          <w:szCs w:val="24"/>
        </w:rPr>
        <w:t xml:space="preserve"> dry weight. This finding is in agreement with the study conducted by </w:t>
      </w:r>
      <w:r w:rsidRPr="0078079E">
        <w:rPr>
          <w:rFonts w:ascii="Times New Roman" w:eastAsia="Times New Roman" w:hAnsi="Times New Roman" w:cs="Times New Roman"/>
          <w:kern w:val="0"/>
          <w:sz w:val="24"/>
          <w:szCs w:val="24"/>
          <w14:ligatures w14:val="none"/>
        </w:rPr>
        <w:t>Dermane et al. (2024)</w:t>
      </w:r>
      <w:r w:rsidRPr="0078079E">
        <w:rPr>
          <w:rFonts w:ascii="Times New Roman" w:hAnsi="Times New Roman" w:cs="Times New Roman"/>
          <w:sz w:val="24"/>
          <w:szCs w:val="24"/>
        </w:rPr>
        <w:t>. Tannins display anticancer and anti- inflammatory properties and are used to treat ulcerated tissues. The presence of tannins in p. hydropiper leaves shows that the plant may be used as a treatment against cancer. Inflammation and ulcerated tissues. In the present investigation, the highest concentration of alkaloid was found in the ethyl acetate extract with 13.92±0.02</w:t>
      </w:r>
      <w:r w:rsidRPr="0078079E">
        <w:rPr>
          <w:rFonts w:ascii="Times New Roman" w:eastAsia="Times New Roman" w:hAnsi="Times New Roman" w:cs="Times New Roman"/>
          <w:kern w:val="0"/>
          <w:sz w:val="24"/>
          <w:szCs w:val="24"/>
          <w14:ligatures w14:val="none"/>
        </w:rPr>
        <w:t xml:space="preserve"> mg/g</w:t>
      </w:r>
      <w:r w:rsidRPr="0078079E">
        <w:rPr>
          <w:rFonts w:ascii="Times New Roman" w:hAnsi="Times New Roman" w:cs="Times New Roman"/>
          <w:sz w:val="24"/>
          <w:szCs w:val="24"/>
        </w:rPr>
        <w:t xml:space="preserve"> plant material while the least amount was reveled in the ethanol ext extract (5.08±0.02</w:t>
      </w:r>
      <w:r w:rsidRPr="0078079E">
        <w:rPr>
          <w:rFonts w:ascii="Times New Roman" w:eastAsia="Times New Roman" w:hAnsi="Times New Roman" w:cs="Times New Roman"/>
          <w:kern w:val="0"/>
          <w:sz w:val="24"/>
          <w:szCs w:val="24"/>
          <w14:ligatures w14:val="none"/>
        </w:rPr>
        <w:t xml:space="preserve"> mg/g</w:t>
      </w:r>
      <w:r w:rsidRPr="0078079E">
        <w:rPr>
          <w:rFonts w:ascii="Times New Roman" w:hAnsi="Times New Roman" w:cs="Times New Roman"/>
          <w:sz w:val="24"/>
          <w:szCs w:val="24"/>
        </w:rPr>
        <w:t xml:space="preserve"> sample). While, in a similar study conducted by Anupama and Sunilkumar, (2019), alkaloid content was reported to be higher in the aril than in the leaf extract of </w:t>
      </w:r>
      <w:r w:rsidRPr="0078079E">
        <w:rPr>
          <w:rFonts w:ascii="Times New Roman" w:hAnsi="Times New Roman" w:cs="Times New Roman"/>
          <w:i/>
          <w:iCs/>
          <w:sz w:val="24"/>
          <w:szCs w:val="24"/>
        </w:rPr>
        <w:t>Blighia sapida</w:t>
      </w:r>
      <w:r w:rsidRPr="0078079E">
        <w:rPr>
          <w:rFonts w:ascii="Times New Roman" w:hAnsi="Times New Roman" w:cs="Times New Roman"/>
          <w:sz w:val="24"/>
          <w:szCs w:val="24"/>
        </w:rPr>
        <w:t xml:space="preserve">. alkaloids are anti-analgesic, antispasmodic, and antibacterial agent and show potent activity against gastric ulcers. Regarding the total </w:t>
      </w:r>
      <w:r w:rsidRPr="0078079E">
        <w:rPr>
          <w:rFonts w:ascii="Times New Roman" w:hAnsi="Times New Roman" w:cs="Times New Roman"/>
          <w:i/>
          <w:iCs/>
          <w:sz w:val="24"/>
          <w:szCs w:val="24"/>
        </w:rPr>
        <w:t>saponnin</w:t>
      </w:r>
      <w:r w:rsidRPr="0078079E">
        <w:rPr>
          <w:rFonts w:ascii="Times New Roman" w:hAnsi="Times New Roman" w:cs="Times New Roman"/>
          <w:sz w:val="24"/>
          <w:szCs w:val="24"/>
        </w:rPr>
        <w:t xml:space="preserve"> content, results revealed maximum content in the ethyl acetate extract with 98.72±0.02</w:t>
      </w:r>
      <w:r w:rsidRPr="0078079E">
        <w:rPr>
          <w:rFonts w:ascii="Times New Roman" w:eastAsia="Times New Roman" w:hAnsi="Times New Roman" w:cs="Times New Roman"/>
          <w:kern w:val="0"/>
          <w:sz w:val="24"/>
          <w:szCs w:val="24"/>
          <w14:ligatures w14:val="none"/>
        </w:rPr>
        <w:t xml:space="preserve"> mg/g</w:t>
      </w:r>
      <w:r w:rsidRPr="0078079E">
        <w:rPr>
          <w:rFonts w:ascii="Times New Roman" w:hAnsi="Times New Roman" w:cs="Times New Roman"/>
          <w:sz w:val="24"/>
          <w:szCs w:val="24"/>
        </w:rPr>
        <w:t xml:space="preserve"> dried material and the ethanol extract with 68.72±0.03</w:t>
      </w:r>
      <w:r w:rsidRPr="0078079E">
        <w:rPr>
          <w:rFonts w:ascii="Times New Roman" w:eastAsia="Times New Roman" w:hAnsi="Times New Roman" w:cs="Times New Roman"/>
          <w:kern w:val="0"/>
          <w:sz w:val="24"/>
          <w:szCs w:val="24"/>
          <w14:ligatures w14:val="none"/>
        </w:rPr>
        <w:t xml:space="preserve"> mg/g</w:t>
      </w:r>
      <w:r w:rsidRPr="0078079E">
        <w:rPr>
          <w:rFonts w:ascii="Times New Roman" w:hAnsi="Times New Roman" w:cs="Times New Roman"/>
          <w:sz w:val="24"/>
          <w:szCs w:val="24"/>
        </w:rPr>
        <w:t xml:space="preserve"> dry weight. This finding is in agreement with the study conducted by </w:t>
      </w:r>
      <w:r w:rsidRPr="0078079E">
        <w:rPr>
          <w:rFonts w:ascii="Times New Roman" w:eastAsia="Times New Roman" w:hAnsi="Times New Roman" w:cs="Times New Roman"/>
          <w:kern w:val="0"/>
          <w:sz w:val="24"/>
          <w:szCs w:val="24"/>
          <w14:ligatures w14:val="none"/>
        </w:rPr>
        <w:t>Phillip et al. (2019)</w:t>
      </w:r>
      <w:r w:rsidRPr="0078079E">
        <w:rPr>
          <w:rFonts w:ascii="Times New Roman" w:hAnsi="Times New Roman" w:cs="Times New Roman"/>
          <w:sz w:val="24"/>
          <w:szCs w:val="24"/>
        </w:rPr>
        <w:t xml:space="preserve">. Saponnins display anti- inflammatory, </w:t>
      </w:r>
      <w:r w:rsidRPr="0078079E">
        <w:rPr>
          <w:rFonts w:ascii="Times New Roman" w:hAnsi="Times New Roman" w:cs="Times New Roman"/>
          <w:sz w:val="24"/>
          <w:szCs w:val="24"/>
        </w:rPr>
        <w:lastRenderedPageBreak/>
        <w:t xml:space="preserve">antimicrobial, anti-cancer, antidiabetic and anti-allegic activity properties and are used to treat cardiovascular health. The presence of saponnins in </w:t>
      </w:r>
      <w:r w:rsidRPr="0078079E">
        <w:rPr>
          <w:rFonts w:ascii="Times New Roman" w:hAnsi="Times New Roman" w:cs="Times New Roman"/>
          <w:i/>
          <w:iCs/>
          <w:sz w:val="24"/>
          <w:szCs w:val="24"/>
        </w:rPr>
        <w:t>Blighia sapida</w:t>
      </w:r>
      <w:r w:rsidRPr="0078079E">
        <w:rPr>
          <w:rFonts w:ascii="Times New Roman" w:hAnsi="Times New Roman" w:cs="Times New Roman"/>
          <w:sz w:val="24"/>
          <w:szCs w:val="24"/>
        </w:rPr>
        <w:t xml:space="preserve"> leaves shows that the plant may be used as a treatment against cancer. Inflammation and inflammatory tissues. Thus, the elevated amount of potentially bioactive compounds revealed in the current report possibly validate the worldwide use of </w:t>
      </w:r>
      <w:r w:rsidRPr="0078079E">
        <w:rPr>
          <w:rFonts w:ascii="Times New Roman" w:hAnsi="Times New Roman" w:cs="Times New Roman"/>
          <w:i/>
          <w:iCs/>
          <w:sz w:val="24"/>
          <w:szCs w:val="24"/>
        </w:rPr>
        <w:t>Blighia sapida</w:t>
      </w:r>
      <w:r w:rsidRPr="0078079E">
        <w:rPr>
          <w:rFonts w:ascii="Times New Roman" w:hAnsi="Times New Roman" w:cs="Times New Roman"/>
          <w:sz w:val="24"/>
          <w:szCs w:val="24"/>
        </w:rPr>
        <w:t xml:space="preserve"> in traditional medicine system due to its numerous medicinal properties such as anti-inflammatory, neuroprotective, antioxidant, anti-microbial, and anti-infertility among others.</w:t>
      </w:r>
    </w:p>
    <w:p w14:paraId="269BBF3F" w14:textId="77777777" w:rsidR="00A431CA" w:rsidRPr="0078079E" w:rsidRDefault="00A431CA" w:rsidP="00A028F1">
      <w:pPr>
        <w:spacing w:line="240" w:lineRule="auto"/>
        <w:jc w:val="both"/>
        <w:rPr>
          <w:rFonts w:ascii="Times New Roman" w:eastAsia="Times New Roman" w:hAnsi="Times New Roman" w:cs="Times New Roman"/>
          <w:kern w:val="0"/>
          <w:sz w:val="24"/>
          <w:szCs w:val="24"/>
          <w14:ligatures w14:val="none"/>
        </w:rPr>
      </w:pPr>
    </w:p>
    <w:p w14:paraId="40048A49" w14:textId="77777777" w:rsidR="00A431CA" w:rsidRPr="0078079E" w:rsidRDefault="00DB74BC" w:rsidP="00A028F1">
      <w:pPr>
        <w:spacing w:line="240" w:lineRule="auto"/>
        <w:jc w:val="both"/>
        <w:rPr>
          <w:rFonts w:ascii="Times New Roman" w:eastAsia="Times New Roman" w:hAnsi="Times New Roman" w:cs="Times New Roman"/>
          <w:b/>
          <w:bCs/>
          <w:kern w:val="0"/>
          <w:sz w:val="24"/>
          <w:szCs w:val="24"/>
          <w14:ligatures w14:val="none"/>
        </w:rPr>
      </w:pPr>
      <w:r w:rsidRPr="0078079E">
        <w:rPr>
          <w:rFonts w:ascii="Times New Roman" w:eastAsia="Times New Roman" w:hAnsi="Times New Roman" w:cs="Times New Roman"/>
          <w:kern w:val="0"/>
          <w:sz w:val="24"/>
          <w:szCs w:val="24"/>
          <w14:ligatures w14:val="none"/>
        </w:rPr>
        <w:t xml:space="preserve">Table 3: Quantitative result for phenols, tannin, flavonoids, alkaloids and saponin of </w:t>
      </w:r>
      <w:r w:rsidRPr="0078079E">
        <w:rPr>
          <w:rFonts w:ascii="Times New Roman" w:hAnsi="Times New Roman" w:cs="Times New Roman"/>
          <w:i/>
          <w:iCs/>
          <w:sz w:val="24"/>
          <w:szCs w:val="24"/>
        </w:rPr>
        <w:t>Blighia sapida</w:t>
      </w:r>
      <w:r w:rsidRPr="0078079E">
        <w:rPr>
          <w:rFonts w:ascii="Times New Roman" w:hAnsi="Times New Roman" w:cs="Times New Roman"/>
          <w:sz w:val="24"/>
          <w:szCs w:val="24"/>
        </w:rPr>
        <w:t xml:space="preserve"> leaves extracts </w:t>
      </w:r>
    </w:p>
    <w:tbl>
      <w:tblPr>
        <w:tblStyle w:val="ListTable6Colorful1"/>
        <w:tblW w:w="0" w:type="auto"/>
        <w:tblLook w:val="04A0" w:firstRow="1" w:lastRow="0" w:firstColumn="1" w:lastColumn="0" w:noHBand="0" w:noVBand="1"/>
      </w:tblPr>
      <w:tblGrid>
        <w:gridCol w:w="3005"/>
        <w:gridCol w:w="3005"/>
        <w:gridCol w:w="3006"/>
      </w:tblGrid>
      <w:tr w:rsidR="00A431CA" w:rsidRPr="0078079E" w14:paraId="0B1E0C05" w14:textId="77777777" w:rsidTr="00A431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0939E76B" w14:textId="77777777" w:rsidR="00A431CA" w:rsidRPr="0078079E" w:rsidRDefault="00DB74BC" w:rsidP="00A028F1">
            <w:pPr>
              <w:jc w:val="both"/>
              <w:rPr>
                <w:rFonts w:ascii="Times New Roman" w:eastAsia="Times New Roman" w:hAnsi="Times New Roman" w:cs="Times New Roman"/>
                <w:kern w:val="0"/>
                <w:sz w:val="24"/>
                <w:szCs w:val="24"/>
                <w14:ligatures w14:val="none"/>
              </w:rPr>
            </w:pPr>
            <w:r w:rsidRPr="0078079E">
              <w:rPr>
                <w:rFonts w:ascii="Times New Roman" w:eastAsia="Times New Roman" w:hAnsi="Times New Roman" w:cs="Times New Roman"/>
                <w:b w:val="0"/>
                <w:bCs w:val="0"/>
                <w:kern w:val="0"/>
                <w:sz w:val="24"/>
                <w:szCs w:val="24"/>
                <w14:ligatures w14:val="none"/>
              </w:rPr>
              <w:t>Phytochemicals</w:t>
            </w:r>
          </w:p>
        </w:tc>
        <w:tc>
          <w:tcPr>
            <w:tcW w:w="3005" w:type="dxa"/>
          </w:tcPr>
          <w:p w14:paraId="0D6F9FA2" w14:textId="77777777" w:rsidR="00A431CA" w:rsidRPr="0078079E" w:rsidRDefault="00DB74BC" w:rsidP="00A028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78079E">
              <w:rPr>
                <w:rFonts w:ascii="Times New Roman" w:eastAsia="Times New Roman" w:hAnsi="Times New Roman" w:cs="Times New Roman"/>
                <w:b w:val="0"/>
                <w:bCs w:val="0"/>
                <w:kern w:val="0"/>
                <w:sz w:val="24"/>
                <w:szCs w:val="24"/>
                <w14:ligatures w14:val="none"/>
              </w:rPr>
              <w:t>Ethyl acetate extract</w:t>
            </w:r>
          </w:p>
        </w:tc>
        <w:tc>
          <w:tcPr>
            <w:tcW w:w="3006" w:type="dxa"/>
          </w:tcPr>
          <w:p w14:paraId="0E4BC054" w14:textId="77777777" w:rsidR="00A431CA" w:rsidRPr="0078079E" w:rsidRDefault="00DB74BC" w:rsidP="00A028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78079E">
              <w:rPr>
                <w:rFonts w:ascii="Times New Roman" w:eastAsia="Times New Roman" w:hAnsi="Times New Roman" w:cs="Times New Roman"/>
                <w:b w:val="0"/>
                <w:bCs w:val="0"/>
                <w:kern w:val="0"/>
                <w:sz w:val="24"/>
                <w:szCs w:val="24"/>
                <w14:ligatures w14:val="none"/>
              </w:rPr>
              <w:t>Ethanol extract</w:t>
            </w:r>
          </w:p>
        </w:tc>
      </w:tr>
      <w:tr w:rsidR="00A431CA" w:rsidRPr="0078079E" w14:paraId="0B966008" w14:textId="77777777" w:rsidTr="00A431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shd w:val="clear" w:color="auto" w:fill="auto"/>
          </w:tcPr>
          <w:p w14:paraId="1ABFC375" w14:textId="77777777" w:rsidR="00A431CA" w:rsidRPr="0078079E" w:rsidRDefault="00DB74BC" w:rsidP="00A028F1">
            <w:pPr>
              <w:jc w:val="both"/>
              <w:rPr>
                <w:rFonts w:ascii="Times New Roman" w:eastAsia="Times New Roman" w:hAnsi="Times New Roman" w:cs="Times New Roman"/>
                <w:kern w:val="0"/>
                <w:sz w:val="24"/>
                <w:szCs w:val="24"/>
                <w14:ligatures w14:val="none"/>
              </w:rPr>
            </w:pPr>
            <w:r w:rsidRPr="0078079E">
              <w:rPr>
                <w:rFonts w:ascii="Times New Roman" w:eastAsia="Times New Roman" w:hAnsi="Times New Roman" w:cs="Times New Roman"/>
                <w:b w:val="0"/>
                <w:bCs w:val="0"/>
                <w:kern w:val="0"/>
                <w:sz w:val="24"/>
                <w:szCs w:val="24"/>
                <w14:ligatures w14:val="none"/>
              </w:rPr>
              <w:t>Phenols (GAE/mg/g)</w:t>
            </w:r>
          </w:p>
        </w:tc>
        <w:tc>
          <w:tcPr>
            <w:tcW w:w="3005" w:type="dxa"/>
            <w:shd w:val="clear" w:color="auto" w:fill="auto"/>
          </w:tcPr>
          <w:p w14:paraId="49BA165A"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78079E">
              <w:rPr>
                <w:rFonts w:ascii="Times New Roman" w:eastAsia="Times New Roman" w:hAnsi="Times New Roman" w:cs="Times New Roman"/>
                <w:kern w:val="0"/>
                <w:sz w:val="24"/>
                <w:szCs w:val="24"/>
                <w14:ligatures w14:val="none"/>
              </w:rPr>
              <w:t>37.70±0.03</w:t>
            </w:r>
          </w:p>
        </w:tc>
        <w:tc>
          <w:tcPr>
            <w:tcW w:w="3006" w:type="dxa"/>
            <w:shd w:val="clear" w:color="auto" w:fill="auto"/>
          </w:tcPr>
          <w:p w14:paraId="02F8530A"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78079E">
              <w:rPr>
                <w:rFonts w:ascii="Times New Roman" w:eastAsia="Times New Roman" w:hAnsi="Times New Roman" w:cs="Times New Roman"/>
                <w:kern w:val="0"/>
                <w:sz w:val="24"/>
                <w:szCs w:val="24"/>
                <w14:ligatures w14:val="none"/>
              </w:rPr>
              <w:t>36.46±0.02</w:t>
            </w:r>
          </w:p>
        </w:tc>
      </w:tr>
      <w:tr w:rsidR="00A431CA" w:rsidRPr="0078079E" w14:paraId="422024ED" w14:textId="77777777" w:rsidTr="00A431CA">
        <w:tc>
          <w:tcPr>
            <w:cnfStyle w:val="001000000000" w:firstRow="0" w:lastRow="0" w:firstColumn="1" w:lastColumn="0" w:oddVBand="0" w:evenVBand="0" w:oddHBand="0" w:evenHBand="0" w:firstRowFirstColumn="0" w:firstRowLastColumn="0" w:lastRowFirstColumn="0" w:lastRowLastColumn="0"/>
            <w:tcW w:w="3005" w:type="dxa"/>
          </w:tcPr>
          <w:p w14:paraId="22EECBA2" w14:textId="77777777" w:rsidR="00A431CA" w:rsidRPr="0078079E" w:rsidRDefault="00DB74BC" w:rsidP="00A028F1">
            <w:pPr>
              <w:jc w:val="both"/>
              <w:rPr>
                <w:rFonts w:ascii="Times New Roman" w:eastAsia="Times New Roman" w:hAnsi="Times New Roman" w:cs="Times New Roman"/>
                <w:kern w:val="0"/>
                <w:sz w:val="24"/>
                <w:szCs w:val="24"/>
                <w14:ligatures w14:val="none"/>
              </w:rPr>
            </w:pPr>
            <w:r w:rsidRPr="0078079E">
              <w:rPr>
                <w:rFonts w:ascii="Times New Roman" w:eastAsia="Times New Roman" w:hAnsi="Times New Roman" w:cs="Times New Roman"/>
                <w:b w:val="0"/>
                <w:bCs w:val="0"/>
                <w:kern w:val="0"/>
                <w:sz w:val="24"/>
                <w:szCs w:val="24"/>
                <w14:ligatures w14:val="none"/>
              </w:rPr>
              <w:t xml:space="preserve">Flavonoids (QE/mg/g) </w:t>
            </w:r>
          </w:p>
        </w:tc>
        <w:tc>
          <w:tcPr>
            <w:tcW w:w="3005" w:type="dxa"/>
          </w:tcPr>
          <w:p w14:paraId="3E06BD37" w14:textId="77777777" w:rsidR="00A431CA" w:rsidRPr="0078079E" w:rsidRDefault="00DB74BC" w:rsidP="00A028F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78079E">
              <w:rPr>
                <w:rFonts w:ascii="Times New Roman" w:eastAsia="Times New Roman" w:hAnsi="Times New Roman" w:cs="Times New Roman"/>
                <w:kern w:val="0"/>
                <w:sz w:val="24"/>
                <w:szCs w:val="24"/>
                <w14:ligatures w14:val="none"/>
              </w:rPr>
              <w:t>12.96±0.02</w:t>
            </w:r>
          </w:p>
        </w:tc>
        <w:tc>
          <w:tcPr>
            <w:tcW w:w="3006" w:type="dxa"/>
          </w:tcPr>
          <w:p w14:paraId="2395BA7D" w14:textId="77777777" w:rsidR="00A431CA" w:rsidRPr="0078079E" w:rsidRDefault="00DB74BC" w:rsidP="00A028F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78079E">
              <w:rPr>
                <w:rFonts w:ascii="Times New Roman" w:eastAsia="Times New Roman" w:hAnsi="Times New Roman" w:cs="Times New Roman"/>
                <w:kern w:val="0"/>
                <w:sz w:val="24"/>
                <w:szCs w:val="24"/>
                <w14:ligatures w14:val="none"/>
              </w:rPr>
              <w:t>5.96±0.02</w:t>
            </w:r>
          </w:p>
        </w:tc>
      </w:tr>
      <w:tr w:rsidR="00A431CA" w:rsidRPr="0078079E" w14:paraId="46E50582" w14:textId="77777777" w:rsidTr="00A431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shd w:val="clear" w:color="auto" w:fill="auto"/>
          </w:tcPr>
          <w:p w14:paraId="663577EE" w14:textId="77777777" w:rsidR="00A431CA" w:rsidRPr="0078079E" w:rsidRDefault="00DB74BC" w:rsidP="00A028F1">
            <w:pPr>
              <w:jc w:val="both"/>
              <w:rPr>
                <w:rFonts w:ascii="Times New Roman" w:eastAsia="Times New Roman" w:hAnsi="Times New Roman" w:cs="Times New Roman"/>
                <w:kern w:val="0"/>
                <w:sz w:val="24"/>
                <w:szCs w:val="24"/>
                <w14:ligatures w14:val="none"/>
              </w:rPr>
            </w:pPr>
            <w:r w:rsidRPr="0078079E">
              <w:rPr>
                <w:rFonts w:ascii="Times New Roman" w:eastAsia="Times New Roman" w:hAnsi="Times New Roman" w:cs="Times New Roman"/>
                <w:b w:val="0"/>
                <w:bCs w:val="0"/>
                <w:kern w:val="0"/>
                <w:sz w:val="24"/>
                <w:szCs w:val="24"/>
                <w14:ligatures w14:val="none"/>
              </w:rPr>
              <w:t>Tannins (TAE/mg/g)</w:t>
            </w:r>
          </w:p>
        </w:tc>
        <w:tc>
          <w:tcPr>
            <w:tcW w:w="3005" w:type="dxa"/>
            <w:shd w:val="clear" w:color="auto" w:fill="auto"/>
          </w:tcPr>
          <w:p w14:paraId="2C46CB84"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78079E">
              <w:rPr>
                <w:rFonts w:ascii="Times New Roman" w:eastAsia="Times New Roman" w:hAnsi="Times New Roman" w:cs="Times New Roman"/>
                <w:kern w:val="0"/>
                <w:sz w:val="24"/>
                <w:szCs w:val="24"/>
                <w14:ligatures w14:val="none"/>
              </w:rPr>
              <w:t>10.75±0.01</w:t>
            </w:r>
          </w:p>
        </w:tc>
        <w:tc>
          <w:tcPr>
            <w:tcW w:w="3006" w:type="dxa"/>
            <w:shd w:val="clear" w:color="auto" w:fill="auto"/>
          </w:tcPr>
          <w:p w14:paraId="32FA4991"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78079E">
              <w:rPr>
                <w:rFonts w:ascii="Times New Roman" w:eastAsia="Times New Roman" w:hAnsi="Times New Roman" w:cs="Times New Roman"/>
                <w:kern w:val="0"/>
                <w:sz w:val="24"/>
                <w:szCs w:val="24"/>
                <w14:ligatures w14:val="none"/>
              </w:rPr>
              <w:t>4.80±0.01</w:t>
            </w:r>
          </w:p>
        </w:tc>
      </w:tr>
      <w:tr w:rsidR="00A431CA" w:rsidRPr="0078079E" w14:paraId="17619FF2" w14:textId="77777777" w:rsidTr="00A431CA">
        <w:tc>
          <w:tcPr>
            <w:cnfStyle w:val="001000000000" w:firstRow="0" w:lastRow="0" w:firstColumn="1" w:lastColumn="0" w:oddVBand="0" w:evenVBand="0" w:oddHBand="0" w:evenHBand="0" w:firstRowFirstColumn="0" w:firstRowLastColumn="0" w:lastRowFirstColumn="0" w:lastRowLastColumn="0"/>
            <w:tcW w:w="3005" w:type="dxa"/>
          </w:tcPr>
          <w:p w14:paraId="5B113127" w14:textId="77777777" w:rsidR="00A431CA" w:rsidRPr="0078079E" w:rsidRDefault="00DB74BC" w:rsidP="00A028F1">
            <w:pPr>
              <w:jc w:val="both"/>
              <w:rPr>
                <w:rFonts w:ascii="Times New Roman" w:eastAsia="Times New Roman" w:hAnsi="Times New Roman" w:cs="Times New Roman"/>
                <w:kern w:val="0"/>
                <w:sz w:val="24"/>
                <w:szCs w:val="24"/>
                <w14:ligatures w14:val="none"/>
              </w:rPr>
            </w:pPr>
            <w:r w:rsidRPr="0078079E">
              <w:rPr>
                <w:rFonts w:ascii="Times New Roman" w:eastAsia="Times New Roman" w:hAnsi="Times New Roman" w:cs="Times New Roman"/>
                <w:b w:val="0"/>
                <w:bCs w:val="0"/>
                <w:kern w:val="0"/>
                <w:sz w:val="24"/>
                <w:szCs w:val="24"/>
                <w14:ligatures w14:val="none"/>
              </w:rPr>
              <w:t>Alkaloids (%)</w:t>
            </w:r>
          </w:p>
        </w:tc>
        <w:tc>
          <w:tcPr>
            <w:tcW w:w="3005" w:type="dxa"/>
          </w:tcPr>
          <w:p w14:paraId="3D9798B5" w14:textId="77777777" w:rsidR="00A431CA" w:rsidRPr="0078079E" w:rsidRDefault="00DB74BC" w:rsidP="00A028F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78079E">
              <w:rPr>
                <w:rFonts w:ascii="Times New Roman" w:eastAsia="Times New Roman" w:hAnsi="Times New Roman" w:cs="Times New Roman"/>
                <w:kern w:val="0"/>
                <w:sz w:val="24"/>
                <w:szCs w:val="24"/>
                <w14:ligatures w14:val="none"/>
              </w:rPr>
              <w:t>13.92±0.02</w:t>
            </w:r>
          </w:p>
        </w:tc>
        <w:tc>
          <w:tcPr>
            <w:tcW w:w="3006" w:type="dxa"/>
          </w:tcPr>
          <w:p w14:paraId="7BCA3509" w14:textId="77777777" w:rsidR="00A431CA" w:rsidRPr="0078079E" w:rsidRDefault="00DB74BC" w:rsidP="00A028F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78079E">
              <w:rPr>
                <w:rFonts w:ascii="Times New Roman" w:eastAsia="Times New Roman" w:hAnsi="Times New Roman" w:cs="Times New Roman"/>
                <w:kern w:val="0"/>
                <w:sz w:val="24"/>
                <w:szCs w:val="24"/>
                <w14:ligatures w14:val="none"/>
              </w:rPr>
              <w:t>5.08±0.02</w:t>
            </w:r>
          </w:p>
        </w:tc>
      </w:tr>
      <w:tr w:rsidR="00A431CA" w:rsidRPr="0078079E" w14:paraId="43A7846B" w14:textId="77777777" w:rsidTr="00A431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shd w:val="clear" w:color="auto" w:fill="auto"/>
          </w:tcPr>
          <w:p w14:paraId="1741BC31" w14:textId="77777777" w:rsidR="00A431CA" w:rsidRPr="0078079E" w:rsidRDefault="00DB74BC" w:rsidP="00A028F1">
            <w:pPr>
              <w:jc w:val="both"/>
              <w:rPr>
                <w:rFonts w:ascii="Times New Roman" w:eastAsia="Times New Roman" w:hAnsi="Times New Roman" w:cs="Times New Roman"/>
                <w:kern w:val="0"/>
                <w:sz w:val="24"/>
                <w:szCs w:val="24"/>
                <w14:ligatures w14:val="none"/>
              </w:rPr>
            </w:pPr>
            <w:r w:rsidRPr="0078079E">
              <w:rPr>
                <w:rFonts w:ascii="Times New Roman" w:eastAsia="Times New Roman" w:hAnsi="Times New Roman" w:cs="Times New Roman"/>
                <w:b w:val="0"/>
                <w:bCs w:val="0"/>
                <w:kern w:val="0"/>
                <w:sz w:val="24"/>
                <w:szCs w:val="24"/>
                <w14:ligatures w14:val="none"/>
              </w:rPr>
              <w:t>Saponins (%)</w:t>
            </w:r>
          </w:p>
        </w:tc>
        <w:tc>
          <w:tcPr>
            <w:tcW w:w="3005" w:type="dxa"/>
            <w:shd w:val="clear" w:color="auto" w:fill="auto"/>
          </w:tcPr>
          <w:p w14:paraId="4FDD5CE5"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78079E">
              <w:rPr>
                <w:rFonts w:ascii="Times New Roman" w:eastAsia="Times New Roman" w:hAnsi="Times New Roman" w:cs="Times New Roman"/>
                <w:kern w:val="0"/>
                <w:sz w:val="24"/>
                <w:szCs w:val="24"/>
                <w14:ligatures w14:val="none"/>
              </w:rPr>
              <w:t>9.87±0.02</w:t>
            </w:r>
          </w:p>
        </w:tc>
        <w:tc>
          <w:tcPr>
            <w:tcW w:w="3006" w:type="dxa"/>
            <w:shd w:val="clear" w:color="auto" w:fill="auto"/>
          </w:tcPr>
          <w:p w14:paraId="7A41A6C3"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78079E">
              <w:rPr>
                <w:rFonts w:ascii="Times New Roman" w:eastAsia="Times New Roman" w:hAnsi="Times New Roman" w:cs="Times New Roman"/>
                <w:kern w:val="0"/>
                <w:sz w:val="24"/>
                <w:szCs w:val="24"/>
                <w14:ligatures w14:val="none"/>
              </w:rPr>
              <w:t xml:space="preserve">6.87±0.03 </w:t>
            </w:r>
          </w:p>
        </w:tc>
      </w:tr>
    </w:tbl>
    <w:p w14:paraId="0C8FE733" w14:textId="77777777" w:rsidR="00A431CA" w:rsidRPr="0078079E" w:rsidRDefault="00DB74BC" w:rsidP="00A028F1">
      <w:pPr>
        <w:spacing w:line="240" w:lineRule="auto"/>
        <w:jc w:val="both"/>
        <w:rPr>
          <w:rFonts w:ascii="Times New Roman" w:eastAsia="Times New Roman" w:hAnsi="Times New Roman" w:cs="Times New Roman"/>
          <w:kern w:val="0"/>
          <w:sz w:val="24"/>
          <w:szCs w:val="24"/>
          <w14:ligatures w14:val="none"/>
        </w:rPr>
      </w:pPr>
      <w:r w:rsidRPr="0078079E">
        <w:rPr>
          <w:rFonts w:ascii="Times New Roman" w:eastAsia="Times New Roman" w:hAnsi="Times New Roman" w:cs="Times New Roman"/>
          <w:kern w:val="0"/>
          <w:sz w:val="24"/>
          <w:szCs w:val="24"/>
          <w14:ligatures w14:val="none"/>
        </w:rPr>
        <w:t>Data expressed as mean ±SD (n=3). GAE, TAE and QE are gallic acid, tannic acid and quercetin equivalent respectively.</w:t>
      </w:r>
    </w:p>
    <w:p w14:paraId="07A53957" w14:textId="77777777" w:rsidR="00A431CA" w:rsidRPr="0078079E" w:rsidRDefault="00A431CA" w:rsidP="00A028F1">
      <w:pPr>
        <w:spacing w:line="240" w:lineRule="auto"/>
        <w:jc w:val="both"/>
        <w:rPr>
          <w:rFonts w:ascii="Times New Roman" w:eastAsia="Times New Roman" w:hAnsi="Times New Roman" w:cs="Times New Roman"/>
          <w:kern w:val="0"/>
          <w:sz w:val="24"/>
          <w:szCs w:val="24"/>
          <w14:ligatures w14:val="none"/>
        </w:rPr>
      </w:pPr>
    </w:p>
    <w:p w14:paraId="68957FB7" w14:textId="77777777" w:rsidR="00A431CA" w:rsidRPr="0078079E" w:rsidRDefault="00A431CA" w:rsidP="00A028F1">
      <w:pPr>
        <w:spacing w:after="0" w:line="240" w:lineRule="auto"/>
        <w:jc w:val="both"/>
        <w:rPr>
          <w:rFonts w:ascii="Times New Roman" w:hAnsi="Times New Roman" w:cs="Times New Roman"/>
          <w:b/>
          <w:bCs/>
          <w:sz w:val="24"/>
          <w:szCs w:val="24"/>
        </w:rPr>
      </w:pPr>
    </w:p>
    <w:p w14:paraId="4A5189C3" w14:textId="77777777" w:rsidR="00A431CA" w:rsidRPr="0078079E" w:rsidRDefault="00A431CA" w:rsidP="00A028F1">
      <w:pPr>
        <w:spacing w:after="0" w:line="240" w:lineRule="auto"/>
        <w:jc w:val="both"/>
        <w:rPr>
          <w:rFonts w:ascii="Times New Roman" w:hAnsi="Times New Roman" w:cs="Times New Roman"/>
          <w:b/>
          <w:bCs/>
          <w:sz w:val="24"/>
          <w:szCs w:val="24"/>
        </w:rPr>
      </w:pPr>
    </w:p>
    <w:p w14:paraId="351EE877" w14:textId="77777777" w:rsidR="00A431CA" w:rsidRPr="0078079E" w:rsidRDefault="00DB74BC" w:rsidP="00A028F1">
      <w:pPr>
        <w:spacing w:after="0" w:line="240" w:lineRule="auto"/>
        <w:jc w:val="both"/>
        <w:rPr>
          <w:rFonts w:ascii="Times New Roman" w:hAnsi="Times New Roman" w:cs="Times New Roman"/>
          <w:b/>
          <w:bCs/>
          <w:sz w:val="24"/>
          <w:szCs w:val="24"/>
        </w:rPr>
      </w:pPr>
      <w:r w:rsidRPr="0078079E">
        <w:rPr>
          <w:rFonts w:ascii="Times New Roman" w:hAnsi="Times New Roman" w:cs="Times New Roman"/>
          <w:b/>
          <w:bCs/>
          <w:sz w:val="24"/>
          <w:szCs w:val="24"/>
        </w:rPr>
        <w:t>Antioxidant activity by DPPH assay</w:t>
      </w:r>
    </w:p>
    <w:p w14:paraId="7DC8E2E9" w14:textId="77777777" w:rsidR="00A431CA" w:rsidRPr="0078079E" w:rsidRDefault="00DB74BC" w:rsidP="00A028F1">
      <w:pPr>
        <w:spacing w:after="0" w:line="240" w:lineRule="auto"/>
        <w:jc w:val="both"/>
        <w:rPr>
          <w:rFonts w:ascii="Times New Roman" w:hAnsi="Times New Roman" w:cs="Times New Roman"/>
          <w:sz w:val="24"/>
          <w:szCs w:val="24"/>
        </w:rPr>
      </w:pPr>
      <w:r w:rsidRPr="0078079E">
        <w:rPr>
          <w:rFonts w:ascii="Times New Roman" w:hAnsi="Times New Roman" w:cs="Times New Roman"/>
          <w:sz w:val="24"/>
          <w:szCs w:val="24"/>
        </w:rPr>
        <w:t>In the DPPH free radical scavenging assay quercetin is used as the standard. It exhibited 85.72 % of inhibition at 10 mg/mL with IC</w:t>
      </w:r>
      <w:r w:rsidRPr="0078079E">
        <w:rPr>
          <w:rFonts w:ascii="Times New Roman" w:hAnsi="Times New Roman" w:cs="Times New Roman"/>
          <w:sz w:val="24"/>
          <w:szCs w:val="24"/>
          <w:vertAlign w:val="subscript"/>
        </w:rPr>
        <w:t>50</w:t>
      </w:r>
      <w:r w:rsidRPr="0078079E">
        <w:rPr>
          <w:rFonts w:ascii="Times New Roman" w:hAnsi="Times New Roman" w:cs="Times New Roman"/>
          <w:sz w:val="24"/>
          <w:szCs w:val="24"/>
        </w:rPr>
        <w:t xml:space="preserve"> value of 1.12 mg/mL. The IC</w:t>
      </w:r>
      <w:r w:rsidRPr="0078079E">
        <w:rPr>
          <w:rFonts w:ascii="Times New Roman" w:hAnsi="Times New Roman" w:cs="Times New Roman"/>
          <w:sz w:val="24"/>
          <w:szCs w:val="24"/>
          <w:vertAlign w:val="subscript"/>
        </w:rPr>
        <w:t>50</w:t>
      </w:r>
      <w:r w:rsidRPr="0078079E">
        <w:rPr>
          <w:rFonts w:ascii="Times New Roman" w:hAnsi="Times New Roman" w:cs="Times New Roman"/>
          <w:sz w:val="24"/>
          <w:szCs w:val="24"/>
        </w:rPr>
        <w:t xml:space="preserve"> value is the concentration at which free radical (DPPH) is inhibited to 50%. Thus, the lower the IC</w:t>
      </w:r>
      <w:r w:rsidRPr="0078079E">
        <w:rPr>
          <w:rFonts w:ascii="Times New Roman" w:hAnsi="Times New Roman" w:cs="Times New Roman"/>
          <w:sz w:val="24"/>
          <w:szCs w:val="24"/>
          <w:vertAlign w:val="subscript"/>
        </w:rPr>
        <w:t>50</w:t>
      </w:r>
      <w:r w:rsidRPr="0078079E">
        <w:rPr>
          <w:rFonts w:ascii="Times New Roman" w:hAnsi="Times New Roman" w:cs="Times New Roman"/>
          <w:sz w:val="24"/>
          <w:szCs w:val="24"/>
        </w:rPr>
        <w:t xml:space="preserve"> value, the higher will be the free radical inhibition activity. quercetin is used as a standard and the highest inhibition percentage is found at 10 mg/mL concentration (85.72 %). The IC</w:t>
      </w:r>
      <w:r w:rsidRPr="0078079E">
        <w:rPr>
          <w:rFonts w:ascii="Times New Roman" w:hAnsi="Times New Roman" w:cs="Times New Roman"/>
          <w:sz w:val="24"/>
          <w:szCs w:val="24"/>
          <w:vertAlign w:val="subscript"/>
        </w:rPr>
        <w:t>50</w:t>
      </w:r>
      <w:r w:rsidRPr="0078079E">
        <w:rPr>
          <w:rFonts w:ascii="Times New Roman" w:hAnsi="Times New Roman" w:cs="Times New Roman"/>
          <w:sz w:val="24"/>
          <w:szCs w:val="24"/>
        </w:rPr>
        <w:t xml:space="preserve"> value was found to be 1.12. The DPPH free radical scavenging activities of the two solvent extract of </w:t>
      </w:r>
      <w:r w:rsidRPr="0078079E">
        <w:rPr>
          <w:rFonts w:ascii="Times New Roman" w:eastAsia="Times New Roman" w:hAnsi="Times New Roman" w:cs="Times New Roman"/>
          <w:kern w:val="0"/>
          <w:sz w:val="24"/>
          <w:szCs w:val="24"/>
          <w14:ligatures w14:val="none"/>
        </w:rPr>
        <w:t xml:space="preserve">of </w:t>
      </w:r>
      <w:r w:rsidRPr="0078079E">
        <w:rPr>
          <w:rFonts w:ascii="Times New Roman" w:hAnsi="Times New Roman" w:cs="Times New Roman"/>
          <w:i/>
          <w:iCs/>
          <w:sz w:val="24"/>
          <w:szCs w:val="24"/>
        </w:rPr>
        <w:t xml:space="preserve">Blighia sapida </w:t>
      </w:r>
      <w:r w:rsidRPr="0078079E">
        <w:rPr>
          <w:rFonts w:ascii="Times New Roman" w:hAnsi="Times New Roman" w:cs="Times New Roman"/>
          <w:sz w:val="24"/>
          <w:szCs w:val="24"/>
        </w:rPr>
        <w:t>leave and the standard quercetin are presented in Figure (1a &amp;1b). The IC</w:t>
      </w:r>
      <w:r w:rsidRPr="0078079E">
        <w:rPr>
          <w:rFonts w:ascii="Times New Roman" w:hAnsi="Times New Roman" w:cs="Times New Roman"/>
          <w:sz w:val="24"/>
          <w:szCs w:val="24"/>
          <w:vertAlign w:val="subscript"/>
        </w:rPr>
        <w:t>50</w:t>
      </w:r>
      <w:r w:rsidRPr="0078079E">
        <w:rPr>
          <w:rFonts w:ascii="Times New Roman" w:hAnsi="Times New Roman" w:cs="Times New Roman"/>
          <w:sz w:val="24"/>
          <w:szCs w:val="24"/>
        </w:rPr>
        <w:t>values are also depicted in the table. In the present study, the ethyl acetate extract showed the highest free radical scavenging activity of 33.98±1.00 at 10 mg/mL with an IC</w:t>
      </w:r>
      <w:r w:rsidRPr="0078079E">
        <w:rPr>
          <w:rFonts w:ascii="Times New Roman" w:hAnsi="Times New Roman" w:cs="Times New Roman"/>
          <w:sz w:val="24"/>
          <w:szCs w:val="24"/>
          <w:vertAlign w:val="subscript"/>
        </w:rPr>
        <w:t>50</w:t>
      </w:r>
      <w:r w:rsidRPr="0078079E">
        <w:rPr>
          <w:rFonts w:ascii="Times New Roman" w:hAnsi="Times New Roman" w:cs="Times New Roman"/>
          <w:sz w:val="24"/>
          <w:szCs w:val="24"/>
        </w:rPr>
        <w:t xml:space="preserve"> value of 5.46 mg/mL followed by ethyl acetate extract. Similar results were reported by </w:t>
      </w:r>
      <w:r w:rsidRPr="0078079E">
        <w:rPr>
          <w:rFonts w:ascii="Times New Roman" w:eastAsia="Times New Roman" w:hAnsi="Times New Roman" w:cs="Times New Roman"/>
          <w:kern w:val="0"/>
          <w:sz w:val="24"/>
          <w:szCs w:val="24"/>
          <w14:ligatures w14:val="none"/>
        </w:rPr>
        <w:t xml:space="preserve">Adekola et al. (2022) </w:t>
      </w:r>
      <w:r w:rsidRPr="0078079E">
        <w:rPr>
          <w:rFonts w:ascii="Times New Roman" w:hAnsi="Times New Roman" w:cs="Times New Roman"/>
          <w:sz w:val="24"/>
          <w:szCs w:val="24"/>
        </w:rPr>
        <w:t>where the ethyl acetate extract of the stem bark (IC</w:t>
      </w:r>
      <w:r w:rsidRPr="0078079E">
        <w:rPr>
          <w:rFonts w:ascii="Times New Roman" w:hAnsi="Times New Roman" w:cs="Times New Roman"/>
          <w:sz w:val="24"/>
          <w:szCs w:val="24"/>
          <w:vertAlign w:val="subscript"/>
        </w:rPr>
        <w:t>50</w:t>
      </w:r>
      <w:r w:rsidRPr="0078079E">
        <w:rPr>
          <w:rFonts w:ascii="Times New Roman" w:hAnsi="Times New Roman" w:cs="Times New Roman"/>
          <w:sz w:val="24"/>
          <w:szCs w:val="24"/>
        </w:rPr>
        <w:t xml:space="preserve"> </w:t>
      </w:r>
      <w:r w:rsidRPr="0078079E">
        <w:rPr>
          <w:rFonts w:ascii="Times New Roman" w:hAnsi="Times New Roman" w:cs="Times New Roman"/>
          <w:color w:val="212121"/>
          <w:sz w:val="24"/>
          <w:szCs w:val="24"/>
          <w:shd w:val="clear" w:color="auto" w:fill="FFFFFF"/>
        </w:rPr>
        <w:t>0.09 </w:t>
      </w:r>
      <w:r w:rsidRPr="0078079E">
        <w:rPr>
          <w:rFonts w:ascii="Times New Roman" w:hAnsi="Times New Roman" w:cs="Times New Roman"/>
          <w:sz w:val="24"/>
          <w:szCs w:val="24"/>
        </w:rPr>
        <w:t xml:space="preserve">mg/mL) showed maximum activity than the ethanolic extract. </w:t>
      </w:r>
    </w:p>
    <w:p w14:paraId="1EB60200" w14:textId="77777777" w:rsidR="00A431CA" w:rsidRPr="0078079E" w:rsidRDefault="00A431CA" w:rsidP="00A028F1">
      <w:pPr>
        <w:spacing w:line="240" w:lineRule="auto"/>
        <w:jc w:val="both"/>
        <w:rPr>
          <w:rFonts w:ascii="Times New Roman" w:hAnsi="Times New Roman" w:cs="Times New Roman"/>
          <w:sz w:val="24"/>
          <w:szCs w:val="24"/>
        </w:rPr>
      </w:pPr>
    </w:p>
    <w:p w14:paraId="47778F7E" w14:textId="77777777" w:rsidR="00A431CA" w:rsidRPr="0078079E" w:rsidRDefault="00DB74BC" w:rsidP="00A028F1">
      <w:pPr>
        <w:spacing w:after="0" w:line="240" w:lineRule="auto"/>
        <w:jc w:val="center"/>
        <w:rPr>
          <w:rFonts w:ascii="Times New Roman" w:eastAsia="Times New Roman" w:hAnsi="Times New Roman" w:cs="Times New Roman"/>
          <w:color w:val="ED0000"/>
          <w:kern w:val="0"/>
          <w:sz w:val="24"/>
          <w:szCs w:val="24"/>
          <w14:ligatures w14:val="none"/>
        </w:rPr>
      </w:pPr>
      <w:r w:rsidRPr="0078079E">
        <w:rPr>
          <w:rFonts w:ascii="Times New Roman" w:hAnsi="Times New Roman" w:cs="Times New Roman"/>
          <w:noProof/>
          <w:sz w:val="24"/>
          <w:szCs w:val="24"/>
        </w:rPr>
        <w:lastRenderedPageBreak/>
        <w:drawing>
          <wp:inline distT="0" distB="0" distL="0" distR="0" wp14:anchorId="1954BBA6" wp14:editId="62AF8E78">
            <wp:extent cx="2904490" cy="2743200"/>
            <wp:effectExtent l="0" t="0" r="0" b="0"/>
            <wp:docPr id="102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cstate="print"/>
                    <a:srcRect/>
                    <a:stretch/>
                  </pic:blipFill>
                  <pic:spPr>
                    <a:xfrm>
                      <a:off x="0" y="0"/>
                      <a:ext cx="2904490" cy="2743200"/>
                    </a:xfrm>
                    <a:prstGeom prst="rect">
                      <a:avLst/>
                    </a:prstGeom>
                  </pic:spPr>
                </pic:pic>
              </a:graphicData>
            </a:graphic>
          </wp:inline>
        </w:drawing>
      </w:r>
      <w:r w:rsidRPr="0078079E">
        <w:rPr>
          <w:rFonts w:ascii="Times New Roman" w:hAnsi="Times New Roman" w:cs="Times New Roman"/>
          <w:noProof/>
          <w:sz w:val="24"/>
          <w:szCs w:val="24"/>
        </w:rPr>
        <w:drawing>
          <wp:inline distT="0" distB="0" distL="0" distR="0" wp14:anchorId="03F97028" wp14:editId="13506ADA">
            <wp:extent cx="2989713" cy="2674917"/>
            <wp:effectExtent l="0" t="0" r="1270" b="0"/>
            <wp:docPr id="102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srcRect/>
                    <a:stretch/>
                  </pic:blipFill>
                  <pic:spPr>
                    <a:xfrm>
                      <a:off x="0" y="0"/>
                      <a:ext cx="2989713" cy="2674917"/>
                    </a:xfrm>
                    <a:prstGeom prst="rect">
                      <a:avLst/>
                    </a:prstGeom>
                  </pic:spPr>
                </pic:pic>
              </a:graphicData>
            </a:graphic>
          </wp:inline>
        </w:drawing>
      </w:r>
      <w:r w:rsidRPr="0078079E">
        <w:rPr>
          <w:rFonts w:ascii="Times New Roman" w:eastAsia="Times New Roman" w:hAnsi="Times New Roman" w:cs="Times New Roman"/>
          <w:color w:val="ED0000"/>
          <w:kern w:val="0"/>
          <w:sz w:val="24"/>
          <w:szCs w:val="24"/>
          <w14:ligatures w14:val="none"/>
        </w:rPr>
        <w:t>a                                                        b</w:t>
      </w:r>
    </w:p>
    <w:p w14:paraId="50C8B847" w14:textId="77777777" w:rsidR="00A431CA" w:rsidRPr="0078079E" w:rsidRDefault="00DB74BC" w:rsidP="00A028F1">
      <w:pPr>
        <w:spacing w:after="0" w:line="240" w:lineRule="auto"/>
        <w:jc w:val="both"/>
        <w:rPr>
          <w:rFonts w:ascii="Times New Roman" w:hAnsi="Times New Roman" w:cs="Times New Roman"/>
          <w:sz w:val="24"/>
          <w:szCs w:val="24"/>
        </w:rPr>
      </w:pPr>
      <w:r w:rsidRPr="0078079E">
        <w:rPr>
          <w:rFonts w:ascii="Times New Roman" w:eastAsia="Times New Roman" w:hAnsi="Times New Roman" w:cs="Times New Roman"/>
          <w:kern w:val="0"/>
          <w:sz w:val="24"/>
          <w:szCs w:val="24"/>
          <w14:ligatures w14:val="none"/>
        </w:rPr>
        <w:t xml:space="preserve">Figure 1: Determination of (a) DPPH radical scavenging activity and (b) </w:t>
      </w:r>
      <w:r w:rsidRPr="0078079E">
        <w:rPr>
          <w:rFonts w:ascii="Times New Roman" w:hAnsi="Times New Roman" w:cs="Times New Roman"/>
          <w:sz w:val="24"/>
          <w:szCs w:val="24"/>
        </w:rPr>
        <w:t>IC</w:t>
      </w:r>
      <w:r w:rsidRPr="0078079E">
        <w:rPr>
          <w:rFonts w:ascii="Times New Roman" w:hAnsi="Times New Roman" w:cs="Times New Roman"/>
          <w:sz w:val="24"/>
          <w:szCs w:val="24"/>
          <w:vertAlign w:val="subscript"/>
        </w:rPr>
        <w:t xml:space="preserve">50 </w:t>
      </w:r>
      <w:r w:rsidRPr="0078079E">
        <w:rPr>
          <w:rFonts w:ascii="Times New Roman" w:hAnsi="Times New Roman" w:cs="Times New Roman"/>
          <w:sz w:val="24"/>
          <w:szCs w:val="24"/>
        </w:rPr>
        <w:t xml:space="preserve">of the extractive fractions and the standard. All experimental data are obtained in triplicate. Data are expressed as mean ± SD for all tested concentration.   </w:t>
      </w:r>
    </w:p>
    <w:p w14:paraId="3F525E06" w14:textId="77777777" w:rsidR="00A431CA" w:rsidRPr="0078079E" w:rsidRDefault="00A431CA" w:rsidP="00A028F1">
      <w:pPr>
        <w:spacing w:after="0" w:line="240" w:lineRule="auto"/>
        <w:jc w:val="both"/>
        <w:rPr>
          <w:rFonts w:ascii="Times New Roman" w:eastAsia="Times New Roman" w:hAnsi="Times New Roman" w:cs="Times New Roman"/>
          <w:kern w:val="0"/>
          <w:sz w:val="24"/>
          <w:szCs w:val="24"/>
          <w14:ligatures w14:val="none"/>
        </w:rPr>
      </w:pPr>
    </w:p>
    <w:p w14:paraId="55EDEB0A" w14:textId="77777777" w:rsidR="00A431CA" w:rsidRPr="0078079E" w:rsidRDefault="00A431CA" w:rsidP="00A028F1">
      <w:pPr>
        <w:spacing w:after="0" w:line="240" w:lineRule="auto"/>
        <w:jc w:val="center"/>
        <w:rPr>
          <w:rFonts w:ascii="Times New Roman" w:eastAsia="Times New Roman" w:hAnsi="Times New Roman" w:cs="Times New Roman"/>
          <w:color w:val="ED0000"/>
          <w:kern w:val="0"/>
          <w:sz w:val="24"/>
          <w:szCs w:val="24"/>
          <w14:ligatures w14:val="none"/>
        </w:rPr>
      </w:pPr>
    </w:p>
    <w:p w14:paraId="235EB6D3" w14:textId="77777777" w:rsidR="00A431CA" w:rsidRPr="0078079E" w:rsidRDefault="00DB74BC" w:rsidP="00A028F1">
      <w:pPr>
        <w:spacing w:after="0" w:line="240" w:lineRule="auto"/>
        <w:jc w:val="both"/>
        <w:rPr>
          <w:rFonts w:ascii="Times New Roman" w:hAnsi="Times New Roman" w:cs="Times New Roman"/>
          <w:b/>
          <w:bCs/>
          <w:sz w:val="24"/>
          <w:szCs w:val="24"/>
        </w:rPr>
      </w:pPr>
      <w:r w:rsidRPr="0078079E">
        <w:rPr>
          <w:rFonts w:ascii="Times New Roman" w:hAnsi="Times New Roman" w:cs="Times New Roman"/>
          <w:b/>
          <w:bCs/>
          <w:sz w:val="24"/>
          <w:szCs w:val="24"/>
        </w:rPr>
        <w:t>Antioxidant activity by FRAP assay</w:t>
      </w:r>
    </w:p>
    <w:p w14:paraId="03988E7A" w14:textId="77777777" w:rsidR="00A431CA" w:rsidRPr="0078079E" w:rsidRDefault="00DB74BC" w:rsidP="00A028F1">
      <w:pPr>
        <w:spacing w:line="240" w:lineRule="auto"/>
        <w:jc w:val="both"/>
        <w:rPr>
          <w:rFonts w:ascii="Times New Roman" w:hAnsi="Times New Roman" w:cs="Times New Roman"/>
          <w:sz w:val="24"/>
          <w:szCs w:val="24"/>
        </w:rPr>
      </w:pPr>
      <w:r w:rsidRPr="0078079E">
        <w:rPr>
          <w:rFonts w:ascii="Times New Roman" w:hAnsi="Times New Roman" w:cs="Times New Roman"/>
          <w:sz w:val="24"/>
          <w:szCs w:val="24"/>
        </w:rPr>
        <w:t>In this assay, the presence of electron donating compounds resulted in the reduction of Fe</w:t>
      </w:r>
      <w:r w:rsidRPr="0078079E">
        <w:rPr>
          <w:rFonts w:ascii="Times New Roman" w:hAnsi="Times New Roman" w:cs="Times New Roman"/>
          <w:sz w:val="24"/>
          <w:szCs w:val="24"/>
          <w:vertAlign w:val="superscript"/>
        </w:rPr>
        <w:t>3+</w:t>
      </w:r>
      <w:r w:rsidRPr="0078079E">
        <w:rPr>
          <w:rFonts w:ascii="Times New Roman" w:hAnsi="Times New Roman" w:cs="Times New Roman"/>
          <w:sz w:val="24"/>
          <w:szCs w:val="24"/>
        </w:rPr>
        <w:t xml:space="preserve"> (ferricyanide) into Fe</w:t>
      </w:r>
      <w:r w:rsidRPr="0078079E">
        <w:rPr>
          <w:rFonts w:ascii="Times New Roman" w:hAnsi="Times New Roman" w:cs="Times New Roman"/>
          <w:sz w:val="24"/>
          <w:szCs w:val="24"/>
          <w:vertAlign w:val="superscript"/>
        </w:rPr>
        <w:t>2+</w:t>
      </w:r>
      <w:r w:rsidRPr="0078079E">
        <w:rPr>
          <w:rFonts w:ascii="Times New Roman" w:hAnsi="Times New Roman" w:cs="Times New Roman"/>
          <w:sz w:val="24"/>
          <w:szCs w:val="24"/>
        </w:rPr>
        <w:t xml:space="preserve"> (ferrous). The results are shown in the Figure (2a &amp; 2b). The reducing potential of the extracts measured for the concentration up to 10 mg/mL showed a general increase in activity when the concentration was increased. Among the two tested extracts, the ethyl acetate extract possessed the highest reducing capacity of free radicals scavenging (53.77 ± 2.68), with absorbance at 593 nm. The extracts had better free radical reductive ability with increasing concentrations of the extract. </w:t>
      </w:r>
      <w:r w:rsidRPr="0078079E">
        <w:rPr>
          <w:rFonts w:ascii="Times New Roman" w:eastAsia="Times New Roman" w:hAnsi="Times New Roman" w:cs="Times New Roman"/>
          <w:kern w:val="0"/>
          <w:sz w:val="24"/>
          <w:szCs w:val="24"/>
          <w14:ligatures w14:val="none"/>
        </w:rPr>
        <w:t xml:space="preserve">Ojo et al. (2018) </w:t>
      </w:r>
      <w:r w:rsidRPr="0078079E">
        <w:rPr>
          <w:rFonts w:ascii="Times New Roman" w:hAnsi="Times New Roman" w:cs="Times New Roman"/>
          <w:sz w:val="24"/>
          <w:szCs w:val="24"/>
        </w:rPr>
        <w:t xml:space="preserve">reported the same behavior in </w:t>
      </w:r>
      <w:r w:rsidRPr="0078079E">
        <w:rPr>
          <w:rFonts w:ascii="Times New Roman" w:hAnsi="Times New Roman" w:cs="Times New Roman"/>
          <w:i/>
          <w:iCs/>
          <w:sz w:val="24"/>
          <w:szCs w:val="24"/>
        </w:rPr>
        <w:t>Blighia sapida</w:t>
      </w:r>
      <w:r w:rsidRPr="0078079E">
        <w:rPr>
          <w:rFonts w:ascii="Times New Roman" w:hAnsi="Times New Roman" w:cs="Times New Roman"/>
          <w:sz w:val="24"/>
          <w:szCs w:val="24"/>
        </w:rPr>
        <w:t xml:space="preserve"> extracts. This concentration-dependent activity pattern was also followed by ethanol extracts which behaved the best at 10 mg/mL but not as best as the ethyl acetate extract.</w:t>
      </w:r>
    </w:p>
    <w:p w14:paraId="0E9E9F49" w14:textId="77777777" w:rsidR="00A431CA" w:rsidRPr="0078079E" w:rsidRDefault="00DB74BC" w:rsidP="00A028F1">
      <w:pPr>
        <w:spacing w:line="240" w:lineRule="auto"/>
        <w:jc w:val="both"/>
        <w:rPr>
          <w:rFonts w:ascii="Times New Roman" w:hAnsi="Times New Roman" w:cs="Times New Roman"/>
          <w:sz w:val="24"/>
          <w:szCs w:val="24"/>
        </w:rPr>
      </w:pPr>
      <w:r w:rsidRPr="0078079E">
        <w:rPr>
          <w:rFonts w:ascii="Times New Roman" w:hAnsi="Times New Roman" w:cs="Times New Roman"/>
          <w:noProof/>
          <w:sz w:val="24"/>
          <w:szCs w:val="24"/>
        </w:rPr>
        <w:lastRenderedPageBreak/>
        <w:drawing>
          <wp:inline distT="0" distB="0" distL="0" distR="0" wp14:anchorId="0F1FE924" wp14:editId="563FC98B">
            <wp:extent cx="2976245" cy="2684834"/>
            <wp:effectExtent l="0" t="0" r="0" b="1270"/>
            <wp:docPr id="102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8" cstate="print"/>
                    <a:srcRect/>
                    <a:stretch/>
                  </pic:blipFill>
                  <pic:spPr>
                    <a:xfrm>
                      <a:off x="0" y="0"/>
                      <a:ext cx="2976245" cy="2684834"/>
                    </a:xfrm>
                    <a:prstGeom prst="rect">
                      <a:avLst/>
                    </a:prstGeom>
                  </pic:spPr>
                </pic:pic>
              </a:graphicData>
            </a:graphic>
          </wp:inline>
        </w:drawing>
      </w:r>
      <w:r w:rsidRPr="0078079E">
        <w:rPr>
          <w:rFonts w:ascii="Times New Roman" w:hAnsi="Times New Roman" w:cs="Times New Roman"/>
          <w:noProof/>
          <w:sz w:val="24"/>
          <w:szCs w:val="24"/>
        </w:rPr>
        <w:drawing>
          <wp:inline distT="0" distB="0" distL="0" distR="0" wp14:anchorId="6823AD90" wp14:editId="3BC665DF">
            <wp:extent cx="2898842" cy="2674335"/>
            <wp:effectExtent l="0" t="0" r="0" b="0"/>
            <wp:docPr id="102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1"/>
                    <pic:cNvPicPr/>
                  </pic:nvPicPr>
                  <pic:blipFill>
                    <a:blip r:embed="rId9" cstate="print"/>
                    <a:srcRect/>
                    <a:stretch/>
                  </pic:blipFill>
                  <pic:spPr>
                    <a:xfrm>
                      <a:off x="0" y="0"/>
                      <a:ext cx="2898842" cy="2674335"/>
                    </a:xfrm>
                    <a:prstGeom prst="rect">
                      <a:avLst/>
                    </a:prstGeom>
                  </pic:spPr>
                </pic:pic>
              </a:graphicData>
            </a:graphic>
          </wp:inline>
        </w:drawing>
      </w:r>
    </w:p>
    <w:p w14:paraId="76517980" w14:textId="77777777" w:rsidR="00A431CA" w:rsidRPr="0078079E" w:rsidRDefault="00DB74BC" w:rsidP="00A028F1">
      <w:pPr>
        <w:spacing w:after="0" w:line="240" w:lineRule="auto"/>
        <w:jc w:val="center"/>
        <w:rPr>
          <w:rFonts w:ascii="Times New Roman" w:eastAsia="Times New Roman" w:hAnsi="Times New Roman" w:cs="Times New Roman"/>
          <w:color w:val="ED0000"/>
          <w:kern w:val="0"/>
          <w:sz w:val="24"/>
          <w:szCs w:val="24"/>
          <w14:ligatures w14:val="none"/>
        </w:rPr>
      </w:pPr>
      <w:r w:rsidRPr="0078079E">
        <w:rPr>
          <w:rFonts w:ascii="Times New Roman" w:eastAsia="Times New Roman" w:hAnsi="Times New Roman" w:cs="Times New Roman"/>
          <w:color w:val="ED0000"/>
          <w:kern w:val="0"/>
          <w:sz w:val="24"/>
          <w:szCs w:val="24"/>
          <w14:ligatures w14:val="none"/>
        </w:rPr>
        <w:t>a                                                        b</w:t>
      </w:r>
    </w:p>
    <w:p w14:paraId="2EAF165E" w14:textId="77777777" w:rsidR="00A431CA" w:rsidRPr="0078079E" w:rsidRDefault="00DB74BC" w:rsidP="00A028F1">
      <w:pPr>
        <w:spacing w:after="0" w:line="240" w:lineRule="auto"/>
        <w:jc w:val="both"/>
        <w:rPr>
          <w:rFonts w:ascii="Times New Roman" w:eastAsia="Times New Roman" w:hAnsi="Times New Roman" w:cs="Times New Roman"/>
          <w:kern w:val="0"/>
          <w:sz w:val="24"/>
          <w:szCs w:val="24"/>
          <w14:ligatures w14:val="none"/>
        </w:rPr>
      </w:pPr>
      <w:r w:rsidRPr="0078079E">
        <w:rPr>
          <w:rFonts w:ascii="Times New Roman" w:eastAsia="Times New Roman" w:hAnsi="Times New Roman" w:cs="Times New Roman"/>
          <w:kern w:val="0"/>
          <w:sz w:val="24"/>
          <w:szCs w:val="24"/>
          <w14:ligatures w14:val="none"/>
        </w:rPr>
        <w:t xml:space="preserve">Figure 2: Determination of (a) FRAP radical scavenging activity and (b) </w:t>
      </w:r>
      <w:r w:rsidRPr="0078079E">
        <w:rPr>
          <w:rFonts w:ascii="Times New Roman" w:hAnsi="Times New Roman" w:cs="Times New Roman"/>
          <w:sz w:val="24"/>
          <w:szCs w:val="24"/>
        </w:rPr>
        <w:t>IC</w:t>
      </w:r>
      <w:r w:rsidRPr="0078079E">
        <w:rPr>
          <w:rFonts w:ascii="Times New Roman" w:hAnsi="Times New Roman" w:cs="Times New Roman"/>
          <w:sz w:val="24"/>
          <w:szCs w:val="24"/>
          <w:vertAlign w:val="subscript"/>
        </w:rPr>
        <w:t xml:space="preserve">50 </w:t>
      </w:r>
      <w:r w:rsidRPr="0078079E">
        <w:rPr>
          <w:rFonts w:ascii="Times New Roman" w:hAnsi="Times New Roman" w:cs="Times New Roman"/>
          <w:sz w:val="24"/>
          <w:szCs w:val="24"/>
        </w:rPr>
        <w:t xml:space="preserve">of the extractive fractions and the standard. All experimental data are obtained in triplicate. Data are expressed as mean ± SD for all tested concentration.   </w:t>
      </w:r>
    </w:p>
    <w:p w14:paraId="0DF9D929" w14:textId="77777777" w:rsidR="00A431CA" w:rsidRPr="0078079E" w:rsidRDefault="00A431CA" w:rsidP="00A028F1">
      <w:pPr>
        <w:spacing w:line="240" w:lineRule="auto"/>
        <w:jc w:val="both"/>
        <w:rPr>
          <w:rFonts w:ascii="Times New Roman" w:hAnsi="Times New Roman" w:cs="Times New Roman"/>
          <w:sz w:val="24"/>
          <w:szCs w:val="24"/>
        </w:rPr>
      </w:pPr>
    </w:p>
    <w:p w14:paraId="450CB889" w14:textId="77777777" w:rsidR="00A431CA" w:rsidRPr="0078079E" w:rsidRDefault="00A431CA" w:rsidP="00A028F1">
      <w:pPr>
        <w:spacing w:after="0" w:line="240" w:lineRule="auto"/>
        <w:jc w:val="both"/>
        <w:rPr>
          <w:rFonts w:ascii="Times New Roman" w:hAnsi="Times New Roman" w:cs="Times New Roman"/>
          <w:sz w:val="24"/>
          <w:szCs w:val="24"/>
        </w:rPr>
      </w:pPr>
    </w:p>
    <w:p w14:paraId="141033EB" w14:textId="77777777" w:rsidR="00A431CA" w:rsidRPr="0078079E" w:rsidRDefault="00DB74BC" w:rsidP="00A028F1">
      <w:pPr>
        <w:spacing w:after="0" w:line="240" w:lineRule="auto"/>
        <w:jc w:val="both"/>
        <w:rPr>
          <w:rFonts w:ascii="Times New Roman" w:hAnsi="Times New Roman" w:cs="Times New Roman"/>
          <w:b/>
          <w:bCs/>
          <w:sz w:val="24"/>
          <w:szCs w:val="24"/>
        </w:rPr>
      </w:pPr>
      <w:r w:rsidRPr="0078079E">
        <w:rPr>
          <w:rFonts w:ascii="Times New Roman" w:hAnsi="Times New Roman" w:cs="Times New Roman"/>
          <w:b/>
          <w:bCs/>
          <w:sz w:val="24"/>
          <w:szCs w:val="24"/>
        </w:rPr>
        <w:t>Alpha amylase assay (Antidiabetic)</w:t>
      </w:r>
    </w:p>
    <w:p w14:paraId="4CA4712C" w14:textId="77777777" w:rsidR="00A431CA" w:rsidRPr="0078079E" w:rsidRDefault="00DB74BC" w:rsidP="00A028F1">
      <w:pPr>
        <w:spacing w:after="0" w:line="240" w:lineRule="auto"/>
        <w:jc w:val="both"/>
        <w:rPr>
          <w:rFonts w:ascii="Times New Roman" w:hAnsi="Times New Roman" w:cs="Times New Roman"/>
          <w:sz w:val="24"/>
          <w:szCs w:val="24"/>
        </w:rPr>
      </w:pPr>
      <w:r w:rsidRPr="0078079E">
        <w:rPr>
          <w:rFonts w:ascii="Times New Roman" w:hAnsi="Times New Roman" w:cs="Times New Roman"/>
          <w:sz w:val="24"/>
          <w:szCs w:val="24"/>
        </w:rPr>
        <w:t xml:space="preserve">The different polar solvent extracts of </w:t>
      </w:r>
      <w:r w:rsidRPr="0078079E">
        <w:rPr>
          <w:rFonts w:ascii="Times New Roman" w:hAnsi="Times New Roman" w:cs="Times New Roman"/>
          <w:i/>
          <w:iCs/>
          <w:sz w:val="24"/>
          <w:szCs w:val="24"/>
        </w:rPr>
        <w:t>Blighia sapida</w:t>
      </w:r>
      <w:r w:rsidRPr="0078079E">
        <w:rPr>
          <w:rFonts w:ascii="Times New Roman" w:hAnsi="Times New Roman" w:cs="Times New Roman"/>
          <w:sz w:val="24"/>
          <w:szCs w:val="24"/>
        </w:rPr>
        <w:t xml:space="preserve"> leaves were investigated for their potential to inhibit α-amylase activity at three different concentrations (2.50, 5.00 and 10.00 mg/mL). The dose-response calibration curves for ethyl acetate and ethanol extracts of </w:t>
      </w:r>
      <w:r w:rsidRPr="0078079E">
        <w:rPr>
          <w:rFonts w:ascii="Times New Roman" w:hAnsi="Times New Roman" w:cs="Times New Roman"/>
          <w:i/>
          <w:iCs/>
          <w:sz w:val="24"/>
          <w:szCs w:val="24"/>
        </w:rPr>
        <w:t>Blighia sapida</w:t>
      </w:r>
      <w:r w:rsidRPr="0078079E">
        <w:rPr>
          <w:rFonts w:ascii="Times New Roman" w:hAnsi="Times New Roman" w:cs="Times New Roman"/>
          <w:sz w:val="24"/>
          <w:szCs w:val="24"/>
        </w:rPr>
        <w:t xml:space="preserve"> leaves were plotted individually. Percent α-amylase inhibition and IC</w:t>
      </w:r>
      <w:r w:rsidRPr="0078079E">
        <w:rPr>
          <w:rFonts w:ascii="Times New Roman" w:hAnsi="Times New Roman" w:cs="Times New Roman"/>
          <w:sz w:val="24"/>
          <w:szCs w:val="24"/>
          <w:vertAlign w:val="subscript"/>
        </w:rPr>
        <w:t>50</w:t>
      </w:r>
      <w:r w:rsidRPr="0078079E">
        <w:rPr>
          <w:rFonts w:ascii="Times New Roman" w:hAnsi="Times New Roman" w:cs="Times New Roman"/>
          <w:sz w:val="24"/>
          <w:szCs w:val="24"/>
        </w:rPr>
        <w:t xml:space="preserve"> values were determined from the dose–response calibration curves for each of extract Figures Figure (3a &amp; 3b). The IC</w:t>
      </w:r>
      <w:r w:rsidRPr="0078079E">
        <w:rPr>
          <w:rFonts w:ascii="Times New Roman" w:hAnsi="Times New Roman" w:cs="Times New Roman"/>
          <w:sz w:val="24"/>
          <w:szCs w:val="24"/>
          <w:vertAlign w:val="subscript"/>
        </w:rPr>
        <w:t>50</w:t>
      </w:r>
      <w:r w:rsidRPr="0078079E">
        <w:rPr>
          <w:rFonts w:ascii="Times New Roman" w:hAnsi="Times New Roman" w:cs="Times New Roman"/>
          <w:sz w:val="24"/>
          <w:szCs w:val="24"/>
        </w:rPr>
        <w:t xml:space="preserve"> value of the standard acarbose was 0.67 mg/mL. ethyl acetate extract of </w:t>
      </w:r>
      <w:r w:rsidRPr="0078079E">
        <w:rPr>
          <w:rFonts w:ascii="Times New Roman" w:hAnsi="Times New Roman" w:cs="Times New Roman"/>
          <w:i/>
          <w:iCs/>
          <w:sz w:val="24"/>
          <w:szCs w:val="24"/>
        </w:rPr>
        <w:t xml:space="preserve">Blighia sapida </w:t>
      </w:r>
      <w:r w:rsidRPr="0078079E">
        <w:rPr>
          <w:rFonts w:ascii="Times New Roman" w:hAnsi="Times New Roman" w:cs="Times New Roman"/>
          <w:sz w:val="24"/>
          <w:szCs w:val="24"/>
        </w:rPr>
        <w:t>leave showed highest alpha amylase inhibition activity with and IC</w:t>
      </w:r>
      <w:r w:rsidRPr="0078079E">
        <w:rPr>
          <w:rFonts w:ascii="Times New Roman" w:hAnsi="Times New Roman" w:cs="Times New Roman"/>
          <w:sz w:val="24"/>
          <w:szCs w:val="24"/>
          <w:vertAlign w:val="subscript"/>
        </w:rPr>
        <w:t xml:space="preserve">50 </w:t>
      </w:r>
      <w:r w:rsidRPr="0078079E">
        <w:rPr>
          <w:rFonts w:ascii="Times New Roman" w:hAnsi="Times New Roman" w:cs="Times New Roman"/>
          <w:sz w:val="24"/>
          <w:szCs w:val="24"/>
        </w:rPr>
        <w:t>value of 1.27 mg/mL. lowest alpha amylase inhibition property was shown by ethanolic extract (2.19 mg/mL). the results showed a dose-dependent increase in percentage inhibitoty activity of alpha amylase by the two extracts.</w:t>
      </w:r>
    </w:p>
    <w:p w14:paraId="5B9684AB" w14:textId="77777777" w:rsidR="00A431CA" w:rsidRPr="0078079E" w:rsidRDefault="00DB74BC" w:rsidP="00A028F1">
      <w:pPr>
        <w:spacing w:after="0" w:line="240" w:lineRule="auto"/>
        <w:jc w:val="both"/>
        <w:rPr>
          <w:rFonts w:ascii="Times New Roman" w:hAnsi="Times New Roman" w:cs="Times New Roman"/>
          <w:sz w:val="24"/>
          <w:szCs w:val="24"/>
        </w:rPr>
      </w:pPr>
      <w:r w:rsidRPr="0078079E">
        <w:rPr>
          <w:rFonts w:ascii="Times New Roman" w:hAnsi="Times New Roman" w:cs="Times New Roman"/>
          <w:sz w:val="24"/>
          <w:szCs w:val="24"/>
        </w:rPr>
        <w:t xml:space="preserve">The plants extract exhibiting antidiabetic properties are mainly due to the presence of phenols and flavonoids as the principal compounds such as phenolic acids, flavonoids, and tannins are mostly responsible for the antidiabetic activity of the plant, thereby, preventing the onset of many chronic diseases such as cancer, diabetes, cardiovascular problems and aging. Thus, in the present investigation, it was found that the ethanol extract of </w:t>
      </w:r>
      <w:r w:rsidRPr="0078079E">
        <w:rPr>
          <w:rFonts w:ascii="Times New Roman" w:hAnsi="Times New Roman" w:cs="Times New Roman"/>
          <w:i/>
          <w:iCs/>
          <w:sz w:val="24"/>
          <w:szCs w:val="24"/>
        </w:rPr>
        <w:t>Blighia sapida</w:t>
      </w:r>
      <w:r w:rsidRPr="0078079E">
        <w:rPr>
          <w:rFonts w:ascii="Times New Roman" w:hAnsi="Times New Roman" w:cs="Times New Roman"/>
          <w:sz w:val="24"/>
          <w:szCs w:val="24"/>
        </w:rPr>
        <w:t xml:space="preserve"> leaves displayed the highest antidiabetic potential which may be attributed to the presence of phenol, flavonoids, and tannins in the extract revealed in the study. </w:t>
      </w:r>
    </w:p>
    <w:p w14:paraId="386C6C3D" w14:textId="77777777" w:rsidR="00A431CA" w:rsidRPr="0078079E" w:rsidRDefault="00A431CA" w:rsidP="00A028F1">
      <w:pPr>
        <w:spacing w:after="0" w:line="240" w:lineRule="auto"/>
        <w:jc w:val="both"/>
        <w:rPr>
          <w:rFonts w:ascii="Times New Roman" w:hAnsi="Times New Roman" w:cs="Times New Roman"/>
          <w:sz w:val="24"/>
          <w:szCs w:val="24"/>
        </w:rPr>
      </w:pPr>
    </w:p>
    <w:p w14:paraId="32812B04" w14:textId="77777777" w:rsidR="00A431CA" w:rsidRPr="0078079E" w:rsidRDefault="00A431CA" w:rsidP="00A028F1">
      <w:pPr>
        <w:spacing w:after="0" w:line="240" w:lineRule="auto"/>
        <w:jc w:val="both"/>
        <w:rPr>
          <w:rFonts w:ascii="Times New Roman" w:hAnsi="Times New Roman" w:cs="Times New Roman"/>
          <w:sz w:val="24"/>
          <w:szCs w:val="24"/>
        </w:rPr>
      </w:pPr>
    </w:p>
    <w:p w14:paraId="205BFD8A" w14:textId="77777777" w:rsidR="00A431CA" w:rsidRPr="0078079E" w:rsidRDefault="00A431CA" w:rsidP="00A028F1">
      <w:pPr>
        <w:spacing w:after="0" w:line="240" w:lineRule="auto"/>
        <w:jc w:val="both"/>
        <w:rPr>
          <w:rFonts w:ascii="Times New Roman" w:hAnsi="Times New Roman" w:cs="Times New Roman"/>
          <w:sz w:val="24"/>
          <w:szCs w:val="24"/>
        </w:rPr>
      </w:pPr>
    </w:p>
    <w:p w14:paraId="041A5CBF" w14:textId="77777777" w:rsidR="00A431CA" w:rsidRPr="0078079E" w:rsidRDefault="00DB74BC" w:rsidP="00A028F1">
      <w:pPr>
        <w:spacing w:after="0" w:line="240" w:lineRule="auto"/>
        <w:jc w:val="both"/>
        <w:rPr>
          <w:rFonts w:ascii="Times New Roman" w:hAnsi="Times New Roman" w:cs="Times New Roman"/>
          <w:sz w:val="24"/>
          <w:szCs w:val="24"/>
        </w:rPr>
      </w:pPr>
      <w:r w:rsidRPr="0078079E">
        <w:rPr>
          <w:rFonts w:ascii="Times New Roman" w:hAnsi="Times New Roman" w:cs="Times New Roman"/>
          <w:noProof/>
          <w:sz w:val="24"/>
          <w:szCs w:val="24"/>
        </w:rPr>
        <w:lastRenderedPageBreak/>
        <w:drawing>
          <wp:inline distT="0" distB="0" distL="0" distR="0" wp14:anchorId="453EFFD1" wp14:editId="1CE8CCAB">
            <wp:extent cx="3014980" cy="2949619"/>
            <wp:effectExtent l="0" t="0" r="0" b="3175"/>
            <wp:docPr id="103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1"/>
                    <pic:cNvPicPr/>
                  </pic:nvPicPr>
                  <pic:blipFill>
                    <a:blip r:embed="rId10" cstate="print"/>
                    <a:srcRect/>
                    <a:stretch/>
                  </pic:blipFill>
                  <pic:spPr>
                    <a:xfrm>
                      <a:off x="0" y="0"/>
                      <a:ext cx="3014980" cy="2949619"/>
                    </a:xfrm>
                    <a:prstGeom prst="rect">
                      <a:avLst/>
                    </a:prstGeom>
                  </pic:spPr>
                </pic:pic>
              </a:graphicData>
            </a:graphic>
          </wp:inline>
        </w:drawing>
      </w:r>
      <w:r w:rsidRPr="0078079E">
        <w:rPr>
          <w:noProof/>
        </w:rPr>
        <w:t xml:space="preserve"> </w:t>
      </w:r>
      <w:r w:rsidRPr="0078079E">
        <w:rPr>
          <w:rFonts w:ascii="Times New Roman" w:hAnsi="Times New Roman" w:cs="Times New Roman"/>
          <w:noProof/>
          <w:sz w:val="24"/>
          <w:szCs w:val="24"/>
        </w:rPr>
        <w:drawing>
          <wp:inline distT="0" distB="0" distL="0" distR="0" wp14:anchorId="2A008A7F" wp14:editId="71CE03D3">
            <wp:extent cx="2897026" cy="2957209"/>
            <wp:effectExtent l="0" t="0" r="0" b="0"/>
            <wp:docPr id="103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1"/>
                    <pic:cNvPicPr/>
                  </pic:nvPicPr>
                  <pic:blipFill>
                    <a:blip r:embed="rId11" cstate="print"/>
                    <a:srcRect/>
                    <a:stretch/>
                  </pic:blipFill>
                  <pic:spPr>
                    <a:xfrm>
                      <a:off x="0" y="0"/>
                      <a:ext cx="2897026" cy="2957209"/>
                    </a:xfrm>
                    <a:prstGeom prst="rect">
                      <a:avLst/>
                    </a:prstGeom>
                  </pic:spPr>
                </pic:pic>
              </a:graphicData>
            </a:graphic>
          </wp:inline>
        </w:drawing>
      </w:r>
    </w:p>
    <w:p w14:paraId="0264B50D" w14:textId="77777777" w:rsidR="00A431CA" w:rsidRPr="0078079E" w:rsidRDefault="00DB74BC" w:rsidP="00A028F1">
      <w:pPr>
        <w:spacing w:after="0" w:line="240" w:lineRule="auto"/>
        <w:jc w:val="center"/>
        <w:rPr>
          <w:rFonts w:ascii="Times New Roman" w:eastAsia="Times New Roman" w:hAnsi="Times New Roman" w:cs="Times New Roman"/>
          <w:color w:val="ED0000"/>
          <w:kern w:val="0"/>
          <w:sz w:val="24"/>
          <w:szCs w:val="24"/>
          <w14:ligatures w14:val="none"/>
        </w:rPr>
      </w:pPr>
      <w:r w:rsidRPr="0078079E">
        <w:rPr>
          <w:rFonts w:ascii="Times New Roman" w:eastAsia="Times New Roman" w:hAnsi="Times New Roman" w:cs="Times New Roman"/>
          <w:color w:val="ED0000"/>
          <w:kern w:val="0"/>
          <w:sz w:val="24"/>
          <w:szCs w:val="24"/>
          <w14:ligatures w14:val="none"/>
        </w:rPr>
        <w:t>a                                                        b</w:t>
      </w:r>
    </w:p>
    <w:p w14:paraId="6C8266E5" w14:textId="77777777" w:rsidR="00A431CA" w:rsidRPr="0078079E" w:rsidRDefault="00DB74BC" w:rsidP="00A028F1">
      <w:pPr>
        <w:spacing w:after="0" w:line="240" w:lineRule="auto"/>
        <w:jc w:val="both"/>
        <w:rPr>
          <w:rFonts w:ascii="Times New Roman" w:eastAsia="Times New Roman" w:hAnsi="Times New Roman" w:cs="Times New Roman"/>
          <w:kern w:val="0"/>
          <w:sz w:val="24"/>
          <w:szCs w:val="24"/>
          <w14:ligatures w14:val="none"/>
        </w:rPr>
      </w:pPr>
      <w:r w:rsidRPr="0078079E">
        <w:rPr>
          <w:rFonts w:ascii="Times New Roman" w:eastAsia="Times New Roman" w:hAnsi="Times New Roman" w:cs="Times New Roman"/>
          <w:kern w:val="0"/>
          <w:sz w:val="24"/>
          <w:szCs w:val="24"/>
          <w14:ligatures w14:val="none"/>
        </w:rPr>
        <w:t xml:space="preserve">Figure 3: Determination of (a) Alpha-amylase scavenging activity and (b) </w:t>
      </w:r>
      <w:r w:rsidRPr="0078079E">
        <w:rPr>
          <w:rFonts w:ascii="Times New Roman" w:hAnsi="Times New Roman" w:cs="Times New Roman"/>
          <w:sz w:val="24"/>
          <w:szCs w:val="24"/>
        </w:rPr>
        <w:t>IC</w:t>
      </w:r>
      <w:r w:rsidRPr="0078079E">
        <w:rPr>
          <w:rFonts w:ascii="Times New Roman" w:hAnsi="Times New Roman" w:cs="Times New Roman"/>
          <w:sz w:val="24"/>
          <w:szCs w:val="24"/>
          <w:vertAlign w:val="subscript"/>
        </w:rPr>
        <w:t xml:space="preserve">50 </w:t>
      </w:r>
      <w:r w:rsidRPr="0078079E">
        <w:rPr>
          <w:rFonts w:ascii="Times New Roman" w:hAnsi="Times New Roman" w:cs="Times New Roman"/>
          <w:sz w:val="24"/>
          <w:szCs w:val="24"/>
        </w:rPr>
        <w:t xml:space="preserve">of the extractive fractions and the standard. All experimental data are obtained in triplicate. Data are expressed as mean ± SD for all tested concentration.   </w:t>
      </w:r>
    </w:p>
    <w:p w14:paraId="61B261B8" w14:textId="77777777" w:rsidR="00A431CA" w:rsidRPr="0078079E" w:rsidRDefault="00A431CA" w:rsidP="00A028F1">
      <w:pPr>
        <w:spacing w:after="0" w:line="240" w:lineRule="auto"/>
        <w:jc w:val="both"/>
        <w:rPr>
          <w:rFonts w:ascii="Times New Roman" w:hAnsi="Times New Roman" w:cs="Times New Roman"/>
          <w:sz w:val="24"/>
          <w:szCs w:val="24"/>
        </w:rPr>
      </w:pPr>
    </w:p>
    <w:p w14:paraId="135BAA6F" w14:textId="77777777" w:rsidR="00A431CA" w:rsidRPr="0078079E" w:rsidRDefault="00A431CA" w:rsidP="00A028F1">
      <w:pPr>
        <w:spacing w:after="0" w:line="240" w:lineRule="auto"/>
        <w:jc w:val="both"/>
        <w:rPr>
          <w:rFonts w:ascii="Times New Roman" w:hAnsi="Times New Roman" w:cs="Times New Roman"/>
          <w:sz w:val="24"/>
          <w:szCs w:val="24"/>
        </w:rPr>
      </w:pPr>
    </w:p>
    <w:p w14:paraId="3EA62EF4" w14:textId="77777777" w:rsidR="00A431CA" w:rsidRPr="0078079E" w:rsidRDefault="00DB74BC" w:rsidP="00A028F1">
      <w:pPr>
        <w:spacing w:after="0" w:line="240" w:lineRule="auto"/>
        <w:jc w:val="both"/>
        <w:rPr>
          <w:rFonts w:ascii="Times New Roman" w:hAnsi="Times New Roman" w:cs="Times New Roman"/>
          <w:b/>
          <w:bCs/>
          <w:sz w:val="24"/>
          <w:szCs w:val="24"/>
        </w:rPr>
      </w:pPr>
      <w:r w:rsidRPr="0078079E">
        <w:rPr>
          <w:rFonts w:ascii="Times New Roman" w:hAnsi="Times New Roman" w:cs="Times New Roman"/>
          <w:b/>
          <w:bCs/>
          <w:sz w:val="24"/>
          <w:szCs w:val="24"/>
        </w:rPr>
        <w:t xml:space="preserve">Antifungal studies </w:t>
      </w:r>
    </w:p>
    <w:p w14:paraId="08641D30" w14:textId="77777777" w:rsidR="00A431CA" w:rsidRPr="0078079E" w:rsidRDefault="00DB74BC" w:rsidP="00A028F1">
      <w:pPr>
        <w:spacing w:line="240" w:lineRule="auto"/>
        <w:contextualSpacing/>
        <w:jc w:val="both"/>
        <w:rPr>
          <w:rFonts w:ascii="Times New Roman" w:hAnsi="Times New Roman" w:cs="Times New Roman"/>
          <w:sz w:val="24"/>
          <w:szCs w:val="24"/>
        </w:rPr>
      </w:pPr>
      <w:r w:rsidRPr="0078079E">
        <w:rPr>
          <w:rFonts w:ascii="Times New Roman" w:hAnsi="Times New Roman" w:cs="Times New Roman"/>
          <w:sz w:val="24"/>
          <w:szCs w:val="24"/>
        </w:rPr>
        <w:t xml:space="preserve">The antifungal results Table 5 and Figure 4, obtained from the ethyl acetate and ethanol extracts of </w:t>
      </w:r>
      <w:r w:rsidRPr="0078079E">
        <w:rPr>
          <w:rFonts w:ascii="Times New Roman" w:hAnsi="Times New Roman" w:cs="Times New Roman"/>
          <w:i/>
          <w:iCs/>
          <w:sz w:val="24"/>
          <w:szCs w:val="24"/>
        </w:rPr>
        <w:t>B. sapida</w:t>
      </w:r>
      <w:r w:rsidRPr="0078079E">
        <w:rPr>
          <w:rFonts w:ascii="Times New Roman" w:hAnsi="Times New Roman" w:cs="Times New Roman"/>
          <w:sz w:val="24"/>
          <w:szCs w:val="24"/>
        </w:rPr>
        <w:t xml:space="preserve"> leaves against </w:t>
      </w:r>
      <w:r w:rsidRPr="0078079E">
        <w:rPr>
          <w:rFonts w:ascii="Times New Roman" w:hAnsi="Times New Roman" w:cs="Times New Roman"/>
          <w:i/>
          <w:iCs/>
          <w:sz w:val="24"/>
          <w:szCs w:val="24"/>
        </w:rPr>
        <w:t>Aspergillus niger, Aspergillus flavus, Penicillium atroventum</w:t>
      </w:r>
      <w:r w:rsidRPr="0078079E">
        <w:rPr>
          <w:rFonts w:ascii="Times New Roman" w:hAnsi="Times New Roman" w:cs="Times New Roman"/>
          <w:sz w:val="24"/>
          <w:szCs w:val="24"/>
        </w:rPr>
        <w:t xml:space="preserve">, and </w:t>
      </w:r>
      <w:r w:rsidRPr="0078079E">
        <w:rPr>
          <w:rFonts w:ascii="Times New Roman" w:hAnsi="Times New Roman" w:cs="Times New Roman"/>
          <w:i/>
          <w:iCs/>
          <w:sz w:val="24"/>
          <w:szCs w:val="24"/>
        </w:rPr>
        <w:t>Murcortic spp</w:t>
      </w:r>
      <w:r w:rsidRPr="0078079E">
        <w:rPr>
          <w:rFonts w:ascii="Times New Roman" w:hAnsi="Times New Roman" w:cs="Times New Roman"/>
          <w:sz w:val="24"/>
          <w:szCs w:val="24"/>
        </w:rPr>
        <w:t xml:space="preserve"> reveal interesting findings. The ethyl acetate extract exhibits percentage inhibition values of 89% against </w:t>
      </w:r>
      <w:r w:rsidRPr="0078079E">
        <w:rPr>
          <w:rFonts w:ascii="Times New Roman" w:hAnsi="Times New Roman" w:cs="Times New Roman"/>
          <w:i/>
          <w:iCs/>
          <w:sz w:val="24"/>
          <w:szCs w:val="24"/>
        </w:rPr>
        <w:t>Aspergillus niger</w:t>
      </w:r>
      <w:r w:rsidRPr="0078079E">
        <w:rPr>
          <w:rFonts w:ascii="Times New Roman" w:hAnsi="Times New Roman" w:cs="Times New Roman"/>
          <w:sz w:val="24"/>
          <w:szCs w:val="24"/>
        </w:rPr>
        <w:t xml:space="preserve">, 92% against </w:t>
      </w:r>
      <w:r w:rsidRPr="0078079E">
        <w:rPr>
          <w:rFonts w:ascii="Times New Roman" w:hAnsi="Times New Roman" w:cs="Times New Roman"/>
          <w:i/>
          <w:iCs/>
          <w:sz w:val="24"/>
          <w:szCs w:val="24"/>
        </w:rPr>
        <w:t xml:space="preserve">Aspergillus flavus, </w:t>
      </w:r>
      <w:r w:rsidRPr="0078079E">
        <w:rPr>
          <w:rFonts w:ascii="Times New Roman" w:hAnsi="Times New Roman" w:cs="Times New Roman"/>
          <w:sz w:val="24"/>
          <w:szCs w:val="24"/>
        </w:rPr>
        <w:t xml:space="preserve">and </w:t>
      </w:r>
      <w:r w:rsidRPr="0078079E">
        <w:rPr>
          <w:rFonts w:ascii="Times New Roman" w:hAnsi="Times New Roman" w:cs="Times New Roman"/>
          <w:i/>
          <w:iCs/>
          <w:sz w:val="24"/>
          <w:szCs w:val="24"/>
        </w:rPr>
        <w:t>Penicillium atroventum</w:t>
      </w:r>
      <w:r w:rsidRPr="0078079E">
        <w:rPr>
          <w:rFonts w:ascii="Times New Roman" w:hAnsi="Times New Roman" w:cs="Times New Roman"/>
          <w:sz w:val="24"/>
          <w:szCs w:val="24"/>
        </w:rPr>
        <w:t xml:space="preserve">, and 90% against </w:t>
      </w:r>
      <w:r w:rsidRPr="0078079E">
        <w:rPr>
          <w:rFonts w:ascii="Times New Roman" w:hAnsi="Times New Roman" w:cs="Times New Roman"/>
          <w:i/>
          <w:iCs/>
          <w:sz w:val="24"/>
          <w:szCs w:val="24"/>
        </w:rPr>
        <w:t>Murcortic spp</w:t>
      </w:r>
      <w:r w:rsidRPr="0078079E">
        <w:rPr>
          <w:rFonts w:ascii="Times New Roman" w:hAnsi="Times New Roman" w:cs="Times New Roman"/>
          <w:sz w:val="24"/>
          <w:szCs w:val="24"/>
        </w:rPr>
        <w:t xml:space="preserve">. Conversely, the ethanol extract displays percentage inhibition values of 92% against </w:t>
      </w:r>
      <w:r w:rsidRPr="0078079E">
        <w:rPr>
          <w:rFonts w:ascii="Times New Roman" w:hAnsi="Times New Roman" w:cs="Times New Roman"/>
          <w:i/>
          <w:iCs/>
          <w:sz w:val="24"/>
          <w:szCs w:val="24"/>
        </w:rPr>
        <w:t>Aspergillus niger</w:t>
      </w:r>
      <w:r w:rsidRPr="0078079E">
        <w:rPr>
          <w:rFonts w:ascii="Times New Roman" w:hAnsi="Times New Roman" w:cs="Times New Roman"/>
          <w:sz w:val="24"/>
          <w:szCs w:val="24"/>
        </w:rPr>
        <w:t xml:space="preserve">, 92% against </w:t>
      </w:r>
      <w:r w:rsidRPr="0078079E">
        <w:rPr>
          <w:rFonts w:ascii="Times New Roman" w:hAnsi="Times New Roman" w:cs="Times New Roman"/>
          <w:i/>
          <w:iCs/>
          <w:sz w:val="24"/>
          <w:szCs w:val="24"/>
        </w:rPr>
        <w:t>Aspergillus flavus</w:t>
      </w:r>
      <w:r w:rsidRPr="0078079E">
        <w:rPr>
          <w:rFonts w:ascii="Times New Roman" w:hAnsi="Times New Roman" w:cs="Times New Roman"/>
          <w:sz w:val="24"/>
          <w:szCs w:val="24"/>
        </w:rPr>
        <w:t xml:space="preserve">, 90% against </w:t>
      </w:r>
      <w:r w:rsidRPr="0078079E">
        <w:rPr>
          <w:rFonts w:ascii="Times New Roman" w:hAnsi="Times New Roman" w:cs="Times New Roman"/>
          <w:i/>
          <w:iCs/>
          <w:sz w:val="24"/>
          <w:szCs w:val="24"/>
        </w:rPr>
        <w:t>Penicillium atroventum</w:t>
      </w:r>
      <w:r w:rsidRPr="0078079E">
        <w:rPr>
          <w:rFonts w:ascii="Times New Roman" w:hAnsi="Times New Roman" w:cs="Times New Roman"/>
          <w:sz w:val="24"/>
          <w:szCs w:val="24"/>
        </w:rPr>
        <w:t xml:space="preserve">, but no inhibition against </w:t>
      </w:r>
      <w:r w:rsidRPr="0078079E">
        <w:rPr>
          <w:rFonts w:ascii="Times New Roman" w:hAnsi="Times New Roman" w:cs="Times New Roman"/>
          <w:i/>
          <w:iCs/>
          <w:sz w:val="24"/>
          <w:szCs w:val="24"/>
        </w:rPr>
        <w:t>Murcortic spp</w:t>
      </w:r>
      <w:r w:rsidRPr="0078079E">
        <w:rPr>
          <w:rFonts w:ascii="Times New Roman" w:hAnsi="Times New Roman" w:cs="Times New Roman"/>
          <w:sz w:val="24"/>
          <w:szCs w:val="24"/>
        </w:rPr>
        <w:t xml:space="preserve">. These results indicate that both extracts possess significant antifungal properties, particularly against </w:t>
      </w:r>
      <w:r w:rsidRPr="0078079E">
        <w:rPr>
          <w:rFonts w:ascii="Times New Roman" w:hAnsi="Times New Roman" w:cs="Times New Roman"/>
          <w:i/>
          <w:iCs/>
          <w:sz w:val="24"/>
          <w:szCs w:val="24"/>
        </w:rPr>
        <w:t>Aspergillus species</w:t>
      </w:r>
      <w:r w:rsidRPr="0078079E">
        <w:rPr>
          <w:rFonts w:ascii="Times New Roman" w:hAnsi="Times New Roman" w:cs="Times New Roman"/>
          <w:sz w:val="24"/>
          <w:szCs w:val="24"/>
        </w:rPr>
        <w:t xml:space="preserve"> and </w:t>
      </w:r>
      <w:r w:rsidRPr="0078079E">
        <w:rPr>
          <w:rFonts w:ascii="Times New Roman" w:hAnsi="Times New Roman" w:cs="Times New Roman"/>
          <w:i/>
          <w:iCs/>
          <w:sz w:val="24"/>
          <w:szCs w:val="24"/>
        </w:rPr>
        <w:t>Penicillium atroventum</w:t>
      </w:r>
      <w:r w:rsidRPr="0078079E">
        <w:rPr>
          <w:rFonts w:ascii="Times New Roman" w:hAnsi="Times New Roman" w:cs="Times New Roman"/>
          <w:sz w:val="24"/>
          <w:szCs w:val="24"/>
        </w:rPr>
        <w:t xml:space="preserve">. And not on </w:t>
      </w:r>
      <w:r w:rsidRPr="0078079E">
        <w:rPr>
          <w:rFonts w:ascii="Times New Roman" w:hAnsi="Times New Roman" w:cs="Times New Roman"/>
          <w:i/>
          <w:iCs/>
          <w:sz w:val="24"/>
          <w:szCs w:val="24"/>
        </w:rPr>
        <w:t>Aspergillus fumigatus</w:t>
      </w:r>
      <w:r w:rsidRPr="0078079E">
        <w:rPr>
          <w:rFonts w:ascii="Times New Roman" w:hAnsi="Times New Roman" w:cs="Times New Roman"/>
          <w:sz w:val="24"/>
          <w:szCs w:val="24"/>
        </w:rPr>
        <w:t xml:space="preserve">, </w:t>
      </w:r>
      <w:proofErr w:type="gramStart"/>
      <w:r w:rsidRPr="0078079E">
        <w:rPr>
          <w:rFonts w:ascii="Times New Roman" w:hAnsi="Times New Roman" w:cs="Times New Roman"/>
          <w:sz w:val="24"/>
          <w:szCs w:val="24"/>
        </w:rPr>
        <w:t>The</w:t>
      </w:r>
      <w:proofErr w:type="gramEnd"/>
      <w:r w:rsidRPr="0078079E">
        <w:rPr>
          <w:rFonts w:ascii="Times New Roman" w:hAnsi="Times New Roman" w:cs="Times New Roman"/>
          <w:sz w:val="24"/>
          <w:szCs w:val="24"/>
        </w:rPr>
        <w:t xml:space="preserve"> higher inhibition percentages observed with the ethanol extract against </w:t>
      </w:r>
      <w:r w:rsidRPr="0078079E">
        <w:rPr>
          <w:rFonts w:ascii="Times New Roman" w:hAnsi="Times New Roman" w:cs="Times New Roman"/>
          <w:i/>
          <w:iCs/>
          <w:sz w:val="24"/>
          <w:szCs w:val="24"/>
        </w:rPr>
        <w:t xml:space="preserve">Aspergillus niger, Aspergillus flavus, </w:t>
      </w:r>
      <w:r w:rsidRPr="0078079E">
        <w:rPr>
          <w:rFonts w:ascii="Times New Roman" w:hAnsi="Times New Roman" w:cs="Times New Roman"/>
          <w:sz w:val="24"/>
          <w:szCs w:val="24"/>
        </w:rPr>
        <w:t>and</w:t>
      </w:r>
      <w:r w:rsidRPr="0078079E">
        <w:rPr>
          <w:rFonts w:ascii="Times New Roman" w:hAnsi="Times New Roman" w:cs="Times New Roman"/>
          <w:i/>
          <w:iCs/>
          <w:sz w:val="24"/>
          <w:szCs w:val="24"/>
        </w:rPr>
        <w:t xml:space="preserve"> Penicillium atroventum</w:t>
      </w:r>
      <w:r w:rsidRPr="0078079E">
        <w:rPr>
          <w:rFonts w:ascii="Times New Roman" w:hAnsi="Times New Roman" w:cs="Times New Roman"/>
          <w:sz w:val="24"/>
          <w:szCs w:val="24"/>
        </w:rPr>
        <w:t xml:space="preserve"> suggest its efficacy in inhibiting the growth of these fungi. However, the lack of inhibition against </w:t>
      </w:r>
      <w:r w:rsidRPr="0078079E">
        <w:rPr>
          <w:rFonts w:ascii="Times New Roman" w:hAnsi="Times New Roman" w:cs="Times New Roman"/>
          <w:i/>
          <w:iCs/>
          <w:sz w:val="24"/>
          <w:szCs w:val="24"/>
        </w:rPr>
        <w:t>Murcortic spp</w:t>
      </w:r>
      <w:r w:rsidRPr="0078079E">
        <w:rPr>
          <w:rFonts w:ascii="Times New Roman" w:hAnsi="Times New Roman" w:cs="Times New Roman"/>
          <w:sz w:val="24"/>
          <w:szCs w:val="24"/>
        </w:rPr>
        <w:t xml:space="preserve"> with the ethanol extract suggests potential limitations in its effectiveness against this particular species. The differences in the antifungal activity between the two extracts could be attributed to variations in their chemical composition. Ethyl acetate and ethanol extracts may contain different bioactive compounds with varying solubility and efficacy against different fungal species. Additionally, the presence of specific secondary metabolites in each extract may contribute to their differential antifungal activity (Gizaw </w:t>
      </w:r>
      <w:r w:rsidRPr="0078079E">
        <w:rPr>
          <w:rFonts w:ascii="Times New Roman" w:hAnsi="Times New Roman" w:cs="Times New Roman"/>
          <w:i/>
          <w:iCs/>
          <w:sz w:val="24"/>
          <w:szCs w:val="24"/>
        </w:rPr>
        <w:t>et al.,</w:t>
      </w:r>
      <w:r w:rsidRPr="0078079E">
        <w:rPr>
          <w:rFonts w:ascii="Times New Roman" w:hAnsi="Times New Roman" w:cs="Times New Roman"/>
          <w:sz w:val="24"/>
          <w:szCs w:val="24"/>
        </w:rPr>
        <w:t xml:space="preserve"> 2022). </w:t>
      </w:r>
    </w:p>
    <w:p w14:paraId="03C0660D" w14:textId="77777777" w:rsidR="00A431CA" w:rsidRPr="0078079E" w:rsidRDefault="00A431CA" w:rsidP="00A028F1">
      <w:pPr>
        <w:spacing w:after="0" w:line="240" w:lineRule="auto"/>
        <w:jc w:val="both"/>
        <w:rPr>
          <w:rFonts w:ascii="Times New Roman" w:hAnsi="Times New Roman" w:cs="Times New Roman"/>
          <w:sz w:val="24"/>
          <w:szCs w:val="24"/>
        </w:rPr>
      </w:pPr>
    </w:p>
    <w:p w14:paraId="0717A943" w14:textId="77777777" w:rsidR="00A431CA" w:rsidRPr="0078079E" w:rsidRDefault="00A431CA" w:rsidP="00A028F1">
      <w:pPr>
        <w:spacing w:after="0" w:line="240" w:lineRule="auto"/>
        <w:contextualSpacing/>
        <w:jc w:val="both"/>
        <w:rPr>
          <w:rFonts w:ascii="Times New Roman" w:hAnsi="Times New Roman" w:cs="Times New Roman"/>
          <w:sz w:val="24"/>
          <w:szCs w:val="24"/>
        </w:rPr>
      </w:pPr>
    </w:p>
    <w:p w14:paraId="31C52D15" w14:textId="77777777" w:rsidR="00A431CA" w:rsidRPr="0078079E" w:rsidRDefault="00DB74BC" w:rsidP="00A028F1">
      <w:pPr>
        <w:spacing w:after="0" w:line="240" w:lineRule="auto"/>
        <w:contextualSpacing/>
        <w:jc w:val="both"/>
        <w:rPr>
          <w:rFonts w:ascii="Times New Roman" w:hAnsi="Times New Roman" w:cs="Times New Roman"/>
          <w:sz w:val="24"/>
          <w:szCs w:val="24"/>
        </w:rPr>
      </w:pPr>
      <w:r w:rsidRPr="0078079E">
        <w:rPr>
          <w:rFonts w:ascii="Times New Roman" w:hAnsi="Times New Roman" w:cs="Times New Roman"/>
          <w:sz w:val="24"/>
          <w:szCs w:val="24"/>
        </w:rPr>
        <w:t xml:space="preserve">Table 4: Antifungal activity study of leave extracts of </w:t>
      </w:r>
      <w:r w:rsidRPr="0078079E">
        <w:rPr>
          <w:rFonts w:ascii="Times New Roman" w:hAnsi="Times New Roman" w:cs="Times New Roman"/>
          <w:i/>
          <w:iCs/>
          <w:sz w:val="24"/>
          <w:szCs w:val="24"/>
        </w:rPr>
        <w:t xml:space="preserve">B. sapida </w:t>
      </w:r>
      <w:r w:rsidRPr="0078079E">
        <w:rPr>
          <w:rFonts w:ascii="Times New Roman" w:hAnsi="Times New Roman" w:cs="Times New Roman"/>
          <w:sz w:val="24"/>
          <w:szCs w:val="24"/>
        </w:rPr>
        <w:t>on clinical isolate.</w:t>
      </w:r>
      <w:bookmarkStart w:id="0" w:name="_Hlk158301375"/>
      <w:r w:rsidRPr="0078079E">
        <w:rPr>
          <w:rFonts w:ascii="Times New Roman" w:hAnsi="Times New Roman" w:cs="Times New Roman"/>
          <w:sz w:val="24"/>
          <w:szCs w:val="24"/>
        </w:rPr>
        <w:t xml:space="preserve"> </w:t>
      </w:r>
    </w:p>
    <w:bookmarkEnd w:id="0"/>
    <w:tbl>
      <w:tblPr>
        <w:tblStyle w:val="ListTable6Colorful1"/>
        <w:tblW w:w="0" w:type="auto"/>
        <w:shd w:val="clear" w:color="auto" w:fill="FFFFFF"/>
        <w:tblLook w:val="04A0" w:firstRow="1" w:lastRow="0" w:firstColumn="1" w:lastColumn="0" w:noHBand="0" w:noVBand="1"/>
      </w:tblPr>
      <w:tblGrid>
        <w:gridCol w:w="2520"/>
        <w:gridCol w:w="2880"/>
        <w:gridCol w:w="3150"/>
      </w:tblGrid>
      <w:tr w:rsidR="00A431CA" w:rsidRPr="0078079E" w14:paraId="14541D9D" w14:textId="77777777" w:rsidTr="00A431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Borders>
              <w:top w:val="single" w:sz="4" w:space="0" w:color="000000"/>
              <w:left w:val="nil"/>
              <w:right w:val="nil"/>
            </w:tcBorders>
            <w:shd w:val="clear" w:color="auto" w:fill="FFFFFF"/>
          </w:tcPr>
          <w:p w14:paraId="745F4BE1" w14:textId="77777777" w:rsidR="00A431CA" w:rsidRPr="0078079E" w:rsidRDefault="00A431CA" w:rsidP="00A028F1">
            <w:pPr>
              <w:contextualSpacing/>
              <w:jc w:val="both"/>
              <w:rPr>
                <w:rFonts w:ascii="Times New Roman" w:hAnsi="Times New Roman" w:cs="Times New Roman"/>
                <w:sz w:val="24"/>
                <w:szCs w:val="24"/>
              </w:rPr>
            </w:pPr>
          </w:p>
        </w:tc>
        <w:tc>
          <w:tcPr>
            <w:tcW w:w="6030" w:type="dxa"/>
            <w:gridSpan w:val="2"/>
            <w:tcBorders>
              <w:top w:val="single" w:sz="4" w:space="0" w:color="000000"/>
              <w:left w:val="nil"/>
              <w:right w:val="nil"/>
            </w:tcBorders>
            <w:shd w:val="clear" w:color="auto" w:fill="FFFFFF"/>
            <w:hideMark/>
          </w:tcPr>
          <w:p w14:paraId="06EEDAFF" w14:textId="77777777" w:rsidR="00A431CA" w:rsidRPr="0078079E" w:rsidRDefault="00DB74BC" w:rsidP="00A028F1">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b w:val="0"/>
                <w:bCs w:val="0"/>
                <w:sz w:val="24"/>
                <w:szCs w:val="24"/>
              </w:rPr>
              <w:t>Growth Inhibition (%)</w:t>
            </w:r>
          </w:p>
        </w:tc>
      </w:tr>
      <w:tr w:rsidR="00A431CA" w:rsidRPr="0078079E" w14:paraId="5F02A09F" w14:textId="77777777" w:rsidTr="00A431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Borders>
              <w:top w:val="nil"/>
              <w:left w:val="nil"/>
              <w:bottom w:val="nil"/>
              <w:right w:val="nil"/>
            </w:tcBorders>
            <w:shd w:val="clear" w:color="auto" w:fill="FFFFFF"/>
            <w:hideMark/>
          </w:tcPr>
          <w:p w14:paraId="7A00D39E" w14:textId="77777777" w:rsidR="00A431CA" w:rsidRPr="0078079E" w:rsidRDefault="00DB74BC" w:rsidP="00A028F1">
            <w:pPr>
              <w:contextualSpacing/>
              <w:jc w:val="both"/>
              <w:rPr>
                <w:rFonts w:ascii="Times New Roman" w:hAnsi="Times New Roman" w:cs="Times New Roman"/>
                <w:sz w:val="24"/>
                <w:szCs w:val="24"/>
              </w:rPr>
            </w:pPr>
            <w:r w:rsidRPr="0078079E">
              <w:rPr>
                <w:rFonts w:ascii="Times New Roman" w:hAnsi="Times New Roman" w:cs="Times New Roman"/>
                <w:b w:val="0"/>
                <w:bCs w:val="0"/>
                <w:sz w:val="24"/>
                <w:szCs w:val="24"/>
              </w:rPr>
              <w:t>Organisms</w:t>
            </w:r>
          </w:p>
        </w:tc>
        <w:tc>
          <w:tcPr>
            <w:tcW w:w="2880" w:type="dxa"/>
            <w:tcBorders>
              <w:top w:val="nil"/>
              <w:left w:val="nil"/>
              <w:bottom w:val="nil"/>
              <w:right w:val="nil"/>
            </w:tcBorders>
            <w:shd w:val="clear" w:color="auto" w:fill="FFFFFF"/>
            <w:hideMark/>
          </w:tcPr>
          <w:p w14:paraId="0CC34E76" w14:textId="77777777" w:rsidR="00A431CA" w:rsidRPr="0078079E" w:rsidRDefault="00DB74BC" w:rsidP="00A028F1">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Ethyl acetate extract</w:t>
            </w:r>
          </w:p>
        </w:tc>
        <w:tc>
          <w:tcPr>
            <w:tcW w:w="3150" w:type="dxa"/>
            <w:tcBorders>
              <w:top w:val="nil"/>
              <w:left w:val="nil"/>
              <w:bottom w:val="nil"/>
              <w:right w:val="nil"/>
            </w:tcBorders>
            <w:shd w:val="clear" w:color="auto" w:fill="FFFFFF"/>
            <w:hideMark/>
          </w:tcPr>
          <w:p w14:paraId="3BA5B44C" w14:textId="77777777" w:rsidR="00A431CA" w:rsidRPr="0078079E" w:rsidRDefault="00DB74BC" w:rsidP="00A028F1">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Ethanol extract</w:t>
            </w:r>
          </w:p>
        </w:tc>
      </w:tr>
      <w:tr w:rsidR="00A431CA" w:rsidRPr="0078079E" w14:paraId="27663888" w14:textId="77777777" w:rsidTr="00A431CA">
        <w:tc>
          <w:tcPr>
            <w:cnfStyle w:val="001000000000" w:firstRow="0" w:lastRow="0" w:firstColumn="1" w:lastColumn="0" w:oddVBand="0" w:evenVBand="0" w:oddHBand="0" w:evenHBand="0" w:firstRowFirstColumn="0" w:firstRowLastColumn="0" w:lastRowFirstColumn="0" w:lastRowLastColumn="0"/>
            <w:tcW w:w="2520" w:type="dxa"/>
            <w:tcBorders>
              <w:top w:val="nil"/>
              <w:left w:val="nil"/>
              <w:bottom w:val="nil"/>
              <w:right w:val="nil"/>
            </w:tcBorders>
            <w:shd w:val="clear" w:color="auto" w:fill="FFFFFF"/>
            <w:hideMark/>
          </w:tcPr>
          <w:p w14:paraId="02D8EBE0" w14:textId="77777777" w:rsidR="00A431CA" w:rsidRPr="0078079E" w:rsidRDefault="00DB74BC" w:rsidP="00A028F1">
            <w:pPr>
              <w:contextualSpacing/>
              <w:jc w:val="both"/>
              <w:rPr>
                <w:rFonts w:ascii="Times New Roman" w:hAnsi="Times New Roman" w:cs="Times New Roman"/>
                <w:i/>
                <w:iCs/>
                <w:sz w:val="24"/>
                <w:szCs w:val="24"/>
              </w:rPr>
            </w:pPr>
            <w:r w:rsidRPr="0078079E">
              <w:rPr>
                <w:rFonts w:ascii="Times New Roman" w:hAnsi="Times New Roman" w:cs="Times New Roman"/>
                <w:b w:val="0"/>
                <w:bCs w:val="0"/>
                <w:i/>
                <w:iCs/>
                <w:sz w:val="24"/>
                <w:szCs w:val="24"/>
              </w:rPr>
              <w:t>Aspergillus niger</w:t>
            </w:r>
          </w:p>
        </w:tc>
        <w:tc>
          <w:tcPr>
            <w:tcW w:w="2880" w:type="dxa"/>
            <w:tcBorders>
              <w:top w:val="nil"/>
              <w:left w:val="nil"/>
              <w:bottom w:val="nil"/>
              <w:right w:val="nil"/>
            </w:tcBorders>
            <w:shd w:val="clear" w:color="auto" w:fill="FFFFFF"/>
            <w:hideMark/>
          </w:tcPr>
          <w:p w14:paraId="56DDAA5E" w14:textId="77777777" w:rsidR="00A431CA" w:rsidRPr="0078079E" w:rsidRDefault="00DB74BC" w:rsidP="00A028F1">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89</w:t>
            </w:r>
          </w:p>
        </w:tc>
        <w:tc>
          <w:tcPr>
            <w:tcW w:w="3150" w:type="dxa"/>
            <w:tcBorders>
              <w:top w:val="nil"/>
              <w:left w:val="nil"/>
              <w:bottom w:val="nil"/>
              <w:right w:val="nil"/>
            </w:tcBorders>
            <w:shd w:val="clear" w:color="auto" w:fill="FFFFFF"/>
            <w:hideMark/>
          </w:tcPr>
          <w:p w14:paraId="10DDC89F" w14:textId="77777777" w:rsidR="00A431CA" w:rsidRPr="0078079E" w:rsidRDefault="00DB74BC" w:rsidP="00A028F1">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92</w:t>
            </w:r>
          </w:p>
        </w:tc>
      </w:tr>
      <w:tr w:rsidR="00A431CA" w:rsidRPr="0078079E" w14:paraId="5BCABC41" w14:textId="77777777" w:rsidTr="00A431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Borders>
              <w:top w:val="nil"/>
              <w:left w:val="nil"/>
              <w:bottom w:val="nil"/>
              <w:right w:val="nil"/>
            </w:tcBorders>
            <w:shd w:val="clear" w:color="auto" w:fill="FFFFFF"/>
            <w:hideMark/>
          </w:tcPr>
          <w:p w14:paraId="179378CC" w14:textId="77777777" w:rsidR="00A431CA" w:rsidRPr="0078079E" w:rsidRDefault="00DB74BC" w:rsidP="00A028F1">
            <w:pPr>
              <w:contextualSpacing/>
              <w:jc w:val="both"/>
              <w:rPr>
                <w:rFonts w:ascii="Times New Roman" w:hAnsi="Times New Roman" w:cs="Times New Roman"/>
                <w:i/>
                <w:iCs/>
                <w:sz w:val="24"/>
                <w:szCs w:val="24"/>
              </w:rPr>
            </w:pPr>
            <w:r w:rsidRPr="0078079E">
              <w:rPr>
                <w:rFonts w:ascii="Times New Roman" w:hAnsi="Times New Roman" w:cs="Times New Roman"/>
                <w:b w:val="0"/>
                <w:bCs w:val="0"/>
                <w:i/>
                <w:iCs/>
                <w:sz w:val="24"/>
                <w:szCs w:val="24"/>
              </w:rPr>
              <w:lastRenderedPageBreak/>
              <w:t>Aspergillus flavus</w:t>
            </w:r>
          </w:p>
        </w:tc>
        <w:tc>
          <w:tcPr>
            <w:tcW w:w="2880" w:type="dxa"/>
            <w:tcBorders>
              <w:top w:val="nil"/>
              <w:left w:val="nil"/>
              <w:bottom w:val="nil"/>
              <w:right w:val="nil"/>
            </w:tcBorders>
            <w:shd w:val="clear" w:color="auto" w:fill="FFFFFF"/>
            <w:hideMark/>
          </w:tcPr>
          <w:p w14:paraId="0F8DF737" w14:textId="77777777" w:rsidR="00A431CA" w:rsidRPr="0078079E" w:rsidRDefault="00DB74BC" w:rsidP="00A028F1">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92</w:t>
            </w:r>
          </w:p>
        </w:tc>
        <w:tc>
          <w:tcPr>
            <w:tcW w:w="3150" w:type="dxa"/>
            <w:tcBorders>
              <w:top w:val="nil"/>
              <w:left w:val="nil"/>
              <w:bottom w:val="nil"/>
              <w:right w:val="nil"/>
            </w:tcBorders>
            <w:shd w:val="clear" w:color="auto" w:fill="FFFFFF"/>
            <w:hideMark/>
          </w:tcPr>
          <w:p w14:paraId="5451A8EF" w14:textId="77777777" w:rsidR="00A431CA" w:rsidRPr="0078079E" w:rsidRDefault="00DB74BC" w:rsidP="00A028F1">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92</w:t>
            </w:r>
          </w:p>
        </w:tc>
      </w:tr>
      <w:tr w:rsidR="00A431CA" w:rsidRPr="0078079E" w14:paraId="095E40B9" w14:textId="77777777" w:rsidTr="00A431CA">
        <w:tc>
          <w:tcPr>
            <w:cnfStyle w:val="001000000000" w:firstRow="0" w:lastRow="0" w:firstColumn="1" w:lastColumn="0" w:oddVBand="0" w:evenVBand="0" w:oddHBand="0" w:evenHBand="0" w:firstRowFirstColumn="0" w:firstRowLastColumn="0" w:lastRowFirstColumn="0" w:lastRowLastColumn="0"/>
            <w:tcW w:w="2520" w:type="dxa"/>
            <w:tcBorders>
              <w:top w:val="nil"/>
              <w:left w:val="nil"/>
              <w:bottom w:val="nil"/>
              <w:right w:val="nil"/>
            </w:tcBorders>
            <w:shd w:val="clear" w:color="auto" w:fill="FFFFFF"/>
          </w:tcPr>
          <w:p w14:paraId="0BA4E4E1" w14:textId="77777777" w:rsidR="00A431CA" w:rsidRPr="0078079E" w:rsidRDefault="00DB74BC" w:rsidP="00A028F1">
            <w:pPr>
              <w:contextualSpacing/>
              <w:jc w:val="both"/>
              <w:rPr>
                <w:rFonts w:ascii="Times New Roman" w:hAnsi="Times New Roman" w:cs="Times New Roman"/>
                <w:i/>
                <w:iCs/>
                <w:sz w:val="24"/>
                <w:szCs w:val="24"/>
              </w:rPr>
            </w:pPr>
            <w:r w:rsidRPr="0078079E">
              <w:rPr>
                <w:rFonts w:ascii="Times New Roman" w:hAnsi="Times New Roman" w:cs="Times New Roman"/>
                <w:b w:val="0"/>
                <w:bCs w:val="0"/>
                <w:i/>
                <w:iCs/>
                <w:sz w:val="24"/>
                <w:szCs w:val="24"/>
              </w:rPr>
              <w:t>Aspergillus fumigatus</w:t>
            </w:r>
          </w:p>
        </w:tc>
        <w:tc>
          <w:tcPr>
            <w:tcW w:w="2880" w:type="dxa"/>
            <w:tcBorders>
              <w:top w:val="nil"/>
              <w:left w:val="nil"/>
              <w:bottom w:val="nil"/>
              <w:right w:val="nil"/>
            </w:tcBorders>
            <w:shd w:val="clear" w:color="auto" w:fill="FFFFFF"/>
          </w:tcPr>
          <w:p w14:paraId="4FED485B" w14:textId="77777777" w:rsidR="00A431CA" w:rsidRPr="0078079E" w:rsidRDefault="00DB74BC" w:rsidP="00A028F1">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0</w:t>
            </w:r>
          </w:p>
        </w:tc>
        <w:tc>
          <w:tcPr>
            <w:tcW w:w="3150" w:type="dxa"/>
            <w:tcBorders>
              <w:top w:val="nil"/>
              <w:left w:val="nil"/>
              <w:bottom w:val="nil"/>
              <w:right w:val="nil"/>
            </w:tcBorders>
            <w:shd w:val="clear" w:color="auto" w:fill="FFFFFF"/>
          </w:tcPr>
          <w:p w14:paraId="5CFDA2E0" w14:textId="77777777" w:rsidR="00A431CA" w:rsidRPr="0078079E" w:rsidRDefault="00DB74BC" w:rsidP="00A028F1">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0</w:t>
            </w:r>
          </w:p>
        </w:tc>
      </w:tr>
      <w:tr w:rsidR="00A431CA" w:rsidRPr="0078079E" w14:paraId="10D45756" w14:textId="77777777" w:rsidTr="00A431CA">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2520" w:type="dxa"/>
            <w:tcBorders>
              <w:top w:val="nil"/>
              <w:left w:val="nil"/>
              <w:bottom w:val="nil"/>
              <w:right w:val="nil"/>
            </w:tcBorders>
            <w:shd w:val="clear" w:color="auto" w:fill="FFFFFF"/>
            <w:hideMark/>
          </w:tcPr>
          <w:p w14:paraId="7FE5A869" w14:textId="77777777" w:rsidR="00A431CA" w:rsidRPr="0078079E" w:rsidRDefault="00DB74BC" w:rsidP="00A028F1">
            <w:pPr>
              <w:contextualSpacing/>
              <w:jc w:val="both"/>
              <w:rPr>
                <w:rFonts w:ascii="Times New Roman" w:hAnsi="Times New Roman" w:cs="Times New Roman"/>
                <w:i/>
                <w:iCs/>
                <w:sz w:val="24"/>
                <w:szCs w:val="24"/>
              </w:rPr>
            </w:pPr>
            <w:r w:rsidRPr="0078079E">
              <w:rPr>
                <w:rFonts w:ascii="Times New Roman" w:hAnsi="Times New Roman" w:cs="Times New Roman"/>
                <w:b w:val="0"/>
                <w:bCs w:val="0"/>
                <w:i/>
                <w:iCs/>
                <w:sz w:val="24"/>
                <w:szCs w:val="24"/>
              </w:rPr>
              <w:t>Penicillium atroventum</w:t>
            </w:r>
          </w:p>
        </w:tc>
        <w:tc>
          <w:tcPr>
            <w:tcW w:w="2880" w:type="dxa"/>
            <w:tcBorders>
              <w:top w:val="nil"/>
              <w:left w:val="nil"/>
              <w:bottom w:val="nil"/>
              <w:right w:val="nil"/>
            </w:tcBorders>
            <w:shd w:val="clear" w:color="auto" w:fill="FFFFFF"/>
            <w:hideMark/>
          </w:tcPr>
          <w:p w14:paraId="287AAE9F" w14:textId="77777777" w:rsidR="00A431CA" w:rsidRPr="0078079E" w:rsidRDefault="00DB74BC" w:rsidP="00A028F1">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92</w:t>
            </w:r>
          </w:p>
        </w:tc>
        <w:tc>
          <w:tcPr>
            <w:tcW w:w="3150" w:type="dxa"/>
            <w:tcBorders>
              <w:top w:val="nil"/>
              <w:left w:val="nil"/>
              <w:bottom w:val="nil"/>
              <w:right w:val="nil"/>
            </w:tcBorders>
            <w:shd w:val="clear" w:color="auto" w:fill="FFFFFF"/>
            <w:hideMark/>
          </w:tcPr>
          <w:p w14:paraId="0589C196" w14:textId="77777777" w:rsidR="00A431CA" w:rsidRPr="0078079E" w:rsidRDefault="00DB74BC" w:rsidP="00A028F1">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90</w:t>
            </w:r>
          </w:p>
        </w:tc>
      </w:tr>
      <w:tr w:rsidR="00A431CA" w:rsidRPr="0078079E" w14:paraId="287A1B0D" w14:textId="77777777" w:rsidTr="00A431CA">
        <w:tc>
          <w:tcPr>
            <w:cnfStyle w:val="001000000000" w:firstRow="0" w:lastRow="0" w:firstColumn="1" w:lastColumn="0" w:oddVBand="0" w:evenVBand="0" w:oddHBand="0" w:evenHBand="0" w:firstRowFirstColumn="0" w:firstRowLastColumn="0" w:lastRowFirstColumn="0" w:lastRowLastColumn="0"/>
            <w:tcW w:w="2520" w:type="dxa"/>
            <w:tcBorders>
              <w:top w:val="nil"/>
              <w:left w:val="nil"/>
              <w:bottom w:val="single" w:sz="4" w:space="0" w:color="000000"/>
              <w:right w:val="nil"/>
            </w:tcBorders>
            <w:shd w:val="clear" w:color="auto" w:fill="FFFFFF"/>
            <w:hideMark/>
          </w:tcPr>
          <w:p w14:paraId="3D27286D" w14:textId="77777777" w:rsidR="00A431CA" w:rsidRPr="0078079E" w:rsidRDefault="00DB74BC" w:rsidP="00A028F1">
            <w:pPr>
              <w:contextualSpacing/>
              <w:jc w:val="both"/>
              <w:rPr>
                <w:rFonts w:ascii="Times New Roman" w:hAnsi="Times New Roman" w:cs="Times New Roman"/>
                <w:i/>
                <w:iCs/>
                <w:sz w:val="24"/>
                <w:szCs w:val="24"/>
              </w:rPr>
            </w:pPr>
            <w:r w:rsidRPr="0078079E">
              <w:rPr>
                <w:rFonts w:ascii="Times New Roman" w:hAnsi="Times New Roman" w:cs="Times New Roman"/>
                <w:b w:val="0"/>
                <w:bCs w:val="0"/>
                <w:i/>
                <w:iCs/>
                <w:sz w:val="24"/>
                <w:szCs w:val="24"/>
              </w:rPr>
              <w:t>Murcortic spp</w:t>
            </w:r>
          </w:p>
        </w:tc>
        <w:tc>
          <w:tcPr>
            <w:tcW w:w="2880" w:type="dxa"/>
            <w:tcBorders>
              <w:top w:val="nil"/>
              <w:left w:val="nil"/>
              <w:bottom w:val="single" w:sz="4" w:space="0" w:color="000000"/>
              <w:right w:val="nil"/>
            </w:tcBorders>
            <w:shd w:val="clear" w:color="auto" w:fill="FFFFFF"/>
            <w:hideMark/>
          </w:tcPr>
          <w:p w14:paraId="2246C18E" w14:textId="77777777" w:rsidR="00A431CA" w:rsidRPr="0078079E" w:rsidRDefault="00DB74BC" w:rsidP="00A028F1">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90</w:t>
            </w:r>
          </w:p>
        </w:tc>
        <w:tc>
          <w:tcPr>
            <w:tcW w:w="3150" w:type="dxa"/>
            <w:tcBorders>
              <w:top w:val="nil"/>
              <w:left w:val="nil"/>
              <w:bottom w:val="single" w:sz="4" w:space="0" w:color="000000"/>
              <w:right w:val="nil"/>
            </w:tcBorders>
            <w:shd w:val="clear" w:color="auto" w:fill="FFFFFF"/>
            <w:hideMark/>
          </w:tcPr>
          <w:p w14:paraId="0F7C23E7" w14:textId="77777777" w:rsidR="00A431CA" w:rsidRPr="0078079E" w:rsidRDefault="00DB74BC" w:rsidP="00A028F1">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0</w:t>
            </w:r>
          </w:p>
        </w:tc>
      </w:tr>
    </w:tbl>
    <w:p w14:paraId="6F6C9C29" w14:textId="77777777" w:rsidR="00A431CA" w:rsidRPr="0078079E" w:rsidRDefault="00DB74BC" w:rsidP="00A028F1">
      <w:pPr>
        <w:spacing w:after="0" w:line="240" w:lineRule="auto"/>
        <w:contextualSpacing/>
        <w:rPr>
          <w:rFonts w:ascii="Times New Roman" w:hAnsi="Times New Roman" w:cs="Times New Roman"/>
          <w:sz w:val="24"/>
          <w:szCs w:val="24"/>
        </w:rPr>
      </w:pPr>
      <w:r w:rsidRPr="0078079E">
        <w:rPr>
          <w:rFonts w:ascii="Times New Roman" w:hAnsi="Times New Roman" w:cs="Times New Roman"/>
          <w:sz w:val="24"/>
          <w:szCs w:val="24"/>
        </w:rPr>
        <w:br w:type="textWrapping" w:clear="all"/>
      </w:r>
    </w:p>
    <w:p w14:paraId="34AFB3F3" w14:textId="77777777" w:rsidR="00A431CA" w:rsidRPr="0078079E" w:rsidRDefault="00DB74BC" w:rsidP="00A028F1">
      <w:pPr>
        <w:spacing w:after="0" w:line="240" w:lineRule="auto"/>
        <w:contextualSpacing/>
        <w:rPr>
          <w:rFonts w:ascii="Times New Roman" w:hAnsi="Times New Roman" w:cs="Times New Roman"/>
          <w:sz w:val="24"/>
          <w:szCs w:val="24"/>
        </w:rPr>
      </w:pPr>
      <w:r w:rsidRPr="0078079E">
        <w:rPr>
          <w:rFonts w:ascii="Times New Roman" w:hAnsi="Times New Roman" w:cs="Times New Roman"/>
          <w:noProof/>
          <w:sz w:val="24"/>
          <w:szCs w:val="24"/>
        </w:rPr>
        <w:drawing>
          <wp:inline distT="0" distB="0" distL="0" distR="0" wp14:anchorId="07759FC1" wp14:editId="467E6A62">
            <wp:extent cx="5807412" cy="1517015"/>
            <wp:effectExtent l="0" t="0" r="3175" b="6985"/>
            <wp:docPr id="103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1"/>
                    <pic:cNvPicPr/>
                  </pic:nvPicPr>
                  <pic:blipFill>
                    <a:blip r:embed="rId12" cstate="print"/>
                    <a:srcRect/>
                    <a:stretch/>
                  </pic:blipFill>
                  <pic:spPr>
                    <a:xfrm>
                      <a:off x="0" y="0"/>
                      <a:ext cx="5807412" cy="1517015"/>
                    </a:xfrm>
                    <a:prstGeom prst="rect">
                      <a:avLst/>
                    </a:prstGeom>
                  </pic:spPr>
                </pic:pic>
              </a:graphicData>
            </a:graphic>
          </wp:inline>
        </w:drawing>
      </w:r>
    </w:p>
    <w:p w14:paraId="53975036" w14:textId="77777777" w:rsidR="00A431CA" w:rsidRPr="0078079E" w:rsidRDefault="00DB74BC" w:rsidP="00A028F1">
      <w:pPr>
        <w:spacing w:after="0" w:line="240" w:lineRule="auto"/>
        <w:contextualSpacing/>
        <w:jc w:val="center"/>
        <w:rPr>
          <w:rFonts w:ascii="Times New Roman" w:hAnsi="Times New Roman" w:cs="Times New Roman"/>
          <w:color w:val="ED0000"/>
          <w:sz w:val="24"/>
          <w:szCs w:val="24"/>
        </w:rPr>
      </w:pPr>
      <w:r w:rsidRPr="0078079E">
        <w:rPr>
          <w:rFonts w:ascii="Times New Roman" w:hAnsi="Times New Roman" w:cs="Times New Roman"/>
          <w:color w:val="ED0000"/>
          <w:sz w:val="24"/>
          <w:szCs w:val="24"/>
        </w:rPr>
        <w:t>a</w:t>
      </w:r>
    </w:p>
    <w:p w14:paraId="6EED06C6" w14:textId="77777777" w:rsidR="00A431CA" w:rsidRPr="0078079E" w:rsidRDefault="00DB74BC" w:rsidP="00A028F1">
      <w:pPr>
        <w:spacing w:after="0" w:line="240" w:lineRule="auto"/>
        <w:jc w:val="both"/>
        <w:rPr>
          <w:rFonts w:ascii="Times New Roman" w:hAnsi="Times New Roman" w:cs="Times New Roman"/>
          <w:sz w:val="24"/>
          <w:szCs w:val="24"/>
        </w:rPr>
      </w:pPr>
      <w:r w:rsidRPr="0078079E">
        <w:rPr>
          <w:rFonts w:ascii="Times New Roman" w:hAnsi="Times New Roman" w:cs="Times New Roman"/>
          <w:noProof/>
          <w:sz w:val="24"/>
          <w:szCs w:val="24"/>
        </w:rPr>
        <w:drawing>
          <wp:inline distT="0" distB="0" distL="0" distR="0" wp14:anchorId="7AC3FF13" wp14:editId="4C1D7510">
            <wp:extent cx="5722857" cy="1459149"/>
            <wp:effectExtent l="0" t="0" r="0" b="8255"/>
            <wp:docPr id="103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1"/>
                    <pic:cNvPicPr/>
                  </pic:nvPicPr>
                  <pic:blipFill>
                    <a:blip r:embed="rId13" cstate="print"/>
                    <a:srcRect/>
                    <a:stretch/>
                  </pic:blipFill>
                  <pic:spPr>
                    <a:xfrm>
                      <a:off x="0" y="0"/>
                      <a:ext cx="5722857" cy="1459149"/>
                    </a:xfrm>
                    <a:prstGeom prst="rect">
                      <a:avLst/>
                    </a:prstGeom>
                  </pic:spPr>
                </pic:pic>
              </a:graphicData>
            </a:graphic>
          </wp:inline>
        </w:drawing>
      </w:r>
    </w:p>
    <w:p w14:paraId="1629CDFF" w14:textId="77777777" w:rsidR="00A431CA" w:rsidRPr="0078079E" w:rsidRDefault="00A431CA" w:rsidP="00A028F1">
      <w:pPr>
        <w:spacing w:after="0" w:line="240" w:lineRule="auto"/>
        <w:jc w:val="both"/>
        <w:rPr>
          <w:rFonts w:ascii="Times New Roman" w:hAnsi="Times New Roman" w:cs="Times New Roman"/>
          <w:sz w:val="24"/>
          <w:szCs w:val="24"/>
        </w:rPr>
      </w:pPr>
    </w:p>
    <w:p w14:paraId="5CD0710C" w14:textId="77777777" w:rsidR="00A431CA" w:rsidRPr="0078079E" w:rsidRDefault="00DB74BC" w:rsidP="00A028F1">
      <w:pPr>
        <w:spacing w:after="0" w:line="240" w:lineRule="auto"/>
        <w:contextualSpacing/>
        <w:jc w:val="center"/>
        <w:rPr>
          <w:rFonts w:ascii="Times New Roman" w:hAnsi="Times New Roman" w:cs="Times New Roman"/>
          <w:color w:val="ED0000"/>
          <w:sz w:val="24"/>
          <w:szCs w:val="24"/>
        </w:rPr>
      </w:pPr>
      <w:r w:rsidRPr="0078079E">
        <w:rPr>
          <w:rFonts w:ascii="Times New Roman" w:hAnsi="Times New Roman" w:cs="Times New Roman"/>
          <w:color w:val="ED0000"/>
          <w:sz w:val="24"/>
          <w:szCs w:val="24"/>
        </w:rPr>
        <w:t>b</w:t>
      </w:r>
    </w:p>
    <w:p w14:paraId="438DC927" w14:textId="77777777" w:rsidR="00A431CA" w:rsidRPr="0078079E" w:rsidRDefault="00A431CA" w:rsidP="00A028F1">
      <w:pPr>
        <w:spacing w:after="0" w:line="240" w:lineRule="auto"/>
        <w:jc w:val="both"/>
        <w:rPr>
          <w:rFonts w:ascii="Times New Roman" w:hAnsi="Times New Roman" w:cs="Times New Roman"/>
          <w:b/>
          <w:bCs/>
          <w:sz w:val="24"/>
          <w:szCs w:val="24"/>
        </w:rPr>
      </w:pPr>
    </w:p>
    <w:p w14:paraId="316AB74F" w14:textId="77777777" w:rsidR="00A431CA" w:rsidRPr="0078079E" w:rsidRDefault="00DB74BC" w:rsidP="00A028F1">
      <w:pPr>
        <w:spacing w:after="0" w:line="240" w:lineRule="auto"/>
        <w:jc w:val="center"/>
        <w:rPr>
          <w:rFonts w:ascii="Times New Roman" w:hAnsi="Times New Roman" w:cs="Times New Roman"/>
          <w:sz w:val="24"/>
          <w:szCs w:val="24"/>
        </w:rPr>
      </w:pPr>
      <w:r w:rsidRPr="0078079E">
        <w:rPr>
          <w:rFonts w:ascii="Times New Roman" w:hAnsi="Times New Roman" w:cs="Times New Roman"/>
          <w:sz w:val="24"/>
          <w:szCs w:val="24"/>
        </w:rPr>
        <w:t>Figure 4a and 4b: Zone of inhibition of extracts against selected fungi strains</w:t>
      </w:r>
    </w:p>
    <w:p w14:paraId="660718E1" w14:textId="77777777" w:rsidR="00A431CA" w:rsidRPr="0078079E" w:rsidRDefault="00A431CA" w:rsidP="00A028F1">
      <w:pPr>
        <w:spacing w:line="240" w:lineRule="auto"/>
        <w:jc w:val="both"/>
        <w:rPr>
          <w:rFonts w:ascii="Times New Roman" w:hAnsi="Times New Roman" w:cs="Times New Roman"/>
          <w:b/>
          <w:bCs/>
          <w:sz w:val="24"/>
          <w:szCs w:val="24"/>
        </w:rPr>
      </w:pPr>
    </w:p>
    <w:p w14:paraId="39525F02" w14:textId="77777777" w:rsidR="00A431CA" w:rsidRPr="0078079E" w:rsidRDefault="00DB74BC" w:rsidP="00A028F1">
      <w:pPr>
        <w:spacing w:line="240" w:lineRule="auto"/>
        <w:jc w:val="both"/>
        <w:rPr>
          <w:rFonts w:ascii="Times New Roman" w:hAnsi="Times New Roman" w:cs="Times New Roman"/>
          <w:b/>
          <w:bCs/>
          <w:sz w:val="24"/>
          <w:szCs w:val="24"/>
        </w:rPr>
      </w:pPr>
      <w:r w:rsidRPr="0078079E">
        <w:rPr>
          <w:rFonts w:ascii="Times New Roman" w:hAnsi="Times New Roman" w:cs="Times New Roman"/>
          <w:b/>
          <w:bCs/>
          <w:sz w:val="24"/>
          <w:szCs w:val="24"/>
        </w:rPr>
        <w:t xml:space="preserve">CONCLUSIONS </w:t>
      </w:r>
    </w:p>
    <w:p w14:paraId="28139F74" w14:textId="6D9C3A22" w:rsidR="00A431CA" w:rsidRDefault="00DB74BC" w:rsidP="00A028F1">
      <w:pPr>
        <w:spacing w:line="240" w:lineRule="auto"/>
        <w:jc w:val="both"/>
        <w:rPr>
          <w:rFonts w:ascii="Times New Roman" w:hAnsi="Times New Roman" w:cs="Times New Roman"/>
          <w:sz w:val="24"/>
          <w:szCs w:val="24"/>
        </w:rPr>
      </w:pPr>
      <w:r w:rsidRPr="0078079E">
        <w:rPr>
          <w:rFonts w:ascii="Times New Roman" w:hAnsi="Times New Roman" w:cs="Times New Roman"/>
          <w:sz w:val="24"/>
          <w:szCs w:val="24"/>
        </w:rPr>
        <w:t xml:space="preserve">The study demonstrates that the ethanolic extract of </w:t>
      </w:r>
      <w:r w:rsidRPr="0078079E">
        <w:rPr>
          <w:rFonts w:ascii="Times New Roman" w:eastAsia="Times New Roman" w:hAnsi="Times New Roman" w:cs="Times New Roman"/>
          <w:i/>
          <w:iCs/>
          <w:kern w:val="0"/>
          <w:sz w:val="24"/>
          <w:szCs w:val="24"/>
          <w14:ligatures w14:val="none"/>
        </w:rPr>
        <w:t xml:space="preserve">Blighia sapida </w:t>
      </w:r>
      <w:r w:rsidRPr="0078079E">
        <w:rPr>
          <w:rFonts w:ascii="Times New Roman" w:eastAsia="Times New Roman" w:hAnsi="Times New Roman" w:cs="Times New Roman"/>
          <w:kern w:val="0"/>
          <w:sz w:val="24"/>
          <w:szCs w:val="24"/>
          <w14:ligatures w14:val="none"/>
        </w:rPr>
        <w:t>leaves</w:t>
      </w:r>
      <w:r w:rsidRPr="0078079E">
        <w:rPr>
          <w:rFonts w:ascii="Times New Roman" w:eastAsia="Times New Roman" w:hAnsi="Times New Roman" w:cs="Times New Roman"/>
          <w:b/>
          <w:bCs/>
          <w:kern w:val="0"/>
          <w:sz w:val="24"/>
          <w:szCs w:val="24"/>
          <w14:ligatures w14:val="none"/>
        </w:rPr>
        <w:t xml:space="preserve"> </w:t>
      </w:r>
      <w:r w:rsidRPr="0078079E">
        <w:rPr>
          <w:rFonts w:ascii="Times New Roman" w:hAnsi="Times New Roman" w:cs="Times New Roman"/>
          <w:sz w:val="24"/>
          <w:szCs w:val="24"/>
        </w:rPr>
        <w:t>is the most effective in terms of extract yield, antioxidant activity, and antimicrobial properties compared to extracts obtained using ethyl acetate and hexane. The ethanolic extract exhibited the highest TPC and TFC, as well as the lowest IC</w:t>
      </w:r>
      <w:r w:rsidRPr="0078079E">
        <w:rPr>
          <w:rFonts w:ascii="Times New Roman" w:hAnsi="Times New Roman" w:cs="Times New Roman"/>
          <w:sz w:val="24"/>
          <w:szCs w:val="24"/>
          <w:vertAlign w:val="subscript"/>
        </w:rPr>
        <w:t>50</w:t>
      </w:r>
      <w:r w:rsidRPr="0078079E">
        <w:rPr>
          <w:rFonts w:ascii="Times New Roman" w:hAnsi="Times New Roman" w:cs="Times New Roman"/>
          <w:sz w:val="24"/>
          <w:szCs w:val="24"/>
        </w:rPr>
        <w:t xml:space="preserve"> value in the DPPH and FRAP radical scavenging assay, indicating strong antioxidant potential. Additionally, it was the only extract showing significant antimicrobial activity against Proteus vulgaris, Pseudomonas aeruginosa, and Staphylococcus aureus. These findings highlight the methanolic extract of Juglans regia kernels as a promising source of natural antioxidants and antimicrobial agents</w:t>
      </w:r>
      <w:r w:rsidR="00B04B71">
        <w:rPr>
          <w:rFonts w:ascii="Times New Roman" w:hAnsi="Times New Roman" w:cs="Times New Roman"/>
          <w:sz w:val="24"/>
          <w:szCs w:val="24"/>
        </w:rPr>
        <w:t>.</w:t>
      </w:r>
    </w:p>
    <w:p w14:paraId="2BE9C2BB" w14:textId="77777777" w:rsidR="001B41F8" w:rsidRDefault="001B41F8" w:rsidP="00A028F1">
      <w:pPr>
        <w:spacing w:line="240" w:lineRule="auto"/>
        <w:jc w:val="both"/>
        <w:rPr>
          <w:rFonts w:ascii="Times New Roman" w:hAnsi="Times New Roman" w:cs="Times New Roman"/>
          <w:sz w:val="24"/>
          <w:szCs w:val="24"/>
        </w:rPr>
      </w:pPr>
    </w:p>
    <w:p w14:paraId="3B24BDD6" w14:textId="77777777" w:rsidR="001B41F8" w:rsidRPr="001B41F8" w:rsidRDefault="001B41F8" w:rsidP="001B41F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B41F8">
        <w:rPr>
          <w:rFonts w:ascii="Times New Roman" w:eastAsia="Times New Roman" w:hAnsi="Times New Roman" w:cs="Times New Roman"/>
          <w:b/>
          <w:bCs/>
          <w:kern w:val="0"/>
          <w:sz w:val="27"/>
          <w:szCs w:val="27"/>
          <w14:ligatures w14:val="none"/>
        </w:rPr>
        <w:t>Limitation of the Study</w:t>
      </w:r>
    </w:p>
    <w:p w14:paraId="0B93A106" w14:textId="77777777" w:rsidR="001B41F8" w:rsidRPr="001B41F8" w:rsidRDefault="001B41F8" w:rsidP="001B41F8">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1B41F8">
        <w:rPr>
          <w:rFonts w:ascii="Times New Roman" w:eastAsia="Times New Roman" w:hAnsi="Times New Roman" w:cs="Times New Roman"/>
          <w:kern w:val="0"/>
          <w:sz w:val="24"/>
          <w:szCs w:val="24"/>
          <w:highlight w:val="yellow"/>
          <w14:ligatures w14:val="none"/>
        </w:rPr>
        <w:t xml:space="preserve">This study was limited to the evaluation of crude leaf extracts of </w:t>
      </w:r>
      <w:r w:rsidRPr="001B41F8">
        <w:rPr>
          <w:rFonts w:ascii="Times New Roman" w:eastAsia="Times New Roman" w:hAnsi="Times New Roman" w:cs="Times New Roman"/>
          <w:i/>
          <w:iCs/>
          <w:kern w:val="0"/>
          <w:sz w:val="24"/>
          <w:szCs w:val="24"/>
          <w:highlight w:val="yellow"/>
          <w14:ligatures w14:val="none"/>
        </w:rPr>
        <w:t xml:space="preserve">Blighia </w:t>
      </w:r>
      <w:proofErr w:type="spellStart"/>
      <w:r w:rsidRPr="001B41F8">
        <w:rPr>
          <w:rFonts w:ascii="Times New Roman" w:eastAsia="Times New Roman" w:hAnsi="Times New Roman" w:cs="Times New Roman"/>
          <w:i/>
          <w:iCs/>
          <w:kern w:val="0"/>
          <w:sz w:val="24"/>
          <w:szCs w:val="24"/>
          <w:highlight w:val="yellow"/>
          <w14:ligatures w14:val="none"/>
        </w:rPr>
        <w:t>sapida</w:t>
      </w:r>
      <w:proofErr w:type="spellEnd"/>
      <w:r w:rsidRPr="001B41F8">
        <w:rPr>
          <w:rFonts w:ascii="Times New Roman" w:eastAsia="Times New Roman" w:hAnsi="Times New Roman" w:cs="Times New Roman"/>
          <w:kern w:val="0"/>
          <w:sz w:val="24"/>
          <w:szCs w:val="24"/>
          <w:highlight w:val="yellow"/>
          <w14:ligatures w14:val="none"/>
        </w:rPr>
        <w:t xml:space="preserve"> obtained using selected solvents and focused primarily on in vitro phytochemical, antioxidant, α-amylase </w:t>
      </w:r>
      <w:r w:rsidRPr="001B41F8">
        <w:rPr>
          <w:rFonts w:ascii="Times New Roman" w:eastAsia="Times New Roman" w:hAnsi="Times New Roman" w:cs="Times New Roman"/>
          <w:kern w:val="0"/>
          <w:sz w:val="24"/>
          <w:szCs w:val="24"/>
          <w:highlight w:val="yellow"/>
          <w14:ligatures w14:val="none"/>
        </w:rPr>
        <w:lastRenderedPageBreak/>
        <w:t xml:space="preserve">inhibitory, and antimicrobial assessments. The bioactive compounds responsible for the observed activities were not isolated and characterized individually. Furthermore, the antimicrobial evaluation was conducted against a limited number of microbial strains, and in vivo studies were not performed to confirm the biological efficacy and safety of the extracts. Therefore, further studies involving compound isolation, mechanistic investigations, toxicity assessments, and in vivo validation are required to substantiate the therapeutic potential of </w:t>
      </w:r>
      <w:r w:rsidRPr="001B41F8">
        <w:rPr>
          <w:rFonts w:ascii="Times New Roman" w:eastAsia="Times New Roman" w:hAnsi="Times New Roman" w:cs="Times New Roman"/>
          <w:i/>
          <w:iCs/>
          <w:kern w:val="0"/>
          <w:sz w:val="24"/>
          <w:szCs w:val="24"/>
          <w:highlight w:val="yellow"/>
          <w14:ligatures w14:val="none"/>
        </w:rPr>
        <w:t xml:space="preserve">Blighia </w:t>
      </w:r>
      <w:proofErr w:type="spellStart"/>
      <w:r w:rsidRPr="001B41F8">
        <w:rPr>
          <w:rFonts w:ascii="Times New Roman" w:eastAsia="Times New Roman" w:hAnsi="Times New Roman" w:cs="Times New Roman"/>
          <w:i/>
          <w:iCs/>
          <w:kern w:val="0"/>
          <w:sz w:val="24"/>
          <w:szCs w:val="24"/>
          <w:highlight w:val="yellow"/>
          <w14:ligatures w14:val="none"/>
        </w:rPr>
        <w:t>sapida</w:t>
      </w:r>
      <w:proofErr w:type="spellEnd"/>
      <w:r w:rsidRPr="001B41F8">
        <w:rPr>
          <w:rFonts w:ascii="Times New Roman" w:eastAsia="Times New Roman" w:hAnsi="Times New Roman" w:cs="Times New Roman"/>
          <w:kern w:val="0"/>
          <w:sz w:val="24"/>
          <w:szCs w:val="24"/>
          <w:highlight w:val="yellow"/>
          <w14:ligatures w14:val="none"/>
        </w:rPr>
        <w:t xml:space="preserve"> leaves.</w:t>
      </w:r>
    </w:p>
    <w:p w14:paraId="25B15245" w14:textId="77777777" w:rsidR="00706E33" w:rsidRDefault="00706E33" w:rsidP="00A028F1">
      <w:pPr>
        <w:spacing w:line="240" w:lineRule="auto"/>
        <w:jc w:val="both"/>
        <w:rPr>
          <w:rFonts w:ascii="Times New Roman" w:hAnsi="Times New Roman" w:cs="Times New Roman"/>
          <w:sz w:val="24"/>
          <w:szCs w:val="24"/>
        </w:rPr>
      </w:pPr>
    </w:p>
    <w:p w14:paraId="4DE37F0B" w14:textId="77777777" w:rsidR="00706E33" w:rsidRPr="00005ED1" w:rsidRDefault="00706E33" w:rsidP="00706E33">
      <w:pPr>
        <w:pStyle w:val="NoSpacing"/>
        <w:rPr>
          <w:rFonts w:ascii="Arial" w:hAnsi="Arial" w:cs="Arial"/>
          <w:highlight w:val="yellow"/>
        </w:rPr>
      </w:pPr>
      <w:bookmarkStart w:id="1" w:name="_Hlk221624953"/>
      <w:r w:rsidRPr="00005ED1">
        <w:rPr>
          <w:rFonts w:ascii="Arial" w:hAnsi="Arial" w:cs="Arial"/>
          <w:highlight w:val="yellow"/>
        </w:rPr>
        <w:t>Disclaimer (Artificial intelligence)</w:t>
      </w:r>
    </w:p>
    <w:p w14:paraId="2B8D9DF7" w14:textId="77777777" w:rsidR="00706E33" w:rsidRPr="00005ED1" w:rsidRDefault="00706E33" w:rsidP="00706E33">
      <w:pPr>
        <w:pStyle w:val="NoSpacing"/>
        <w:rPr>
          <w:rFonts w:ascii="Arial" w:hAnsi="Arial" w:cs="Arial"/>
          <w:highlight w:val="yellow"/>
        </w:rPr>
      </w:pPr>
    </w:p>
    <w:p w14:paraId="72F1E5D1" w14:textId="77777777" w:rsidR="00706E33" w:rsidRDefault="00706E33" w:rsidP="00706E33">
      <w:pPr>
        <w:pStyle w:val="NoSpacing"/>
        <w:rPr>
          <w:rFonts w:ascii="Arial" w:hAnsi="Arial" w:cs="Arial"/>
          <w:highlight w:val="yellow"/>
        </w:rPr>
      </w:pPr>
      <w:r w:rsidRPr="00005ED1">
        <w:rPr>
          <w:rFonts w:ascii="Arial" w:hAnsi="Arial" w:cs="Arial"/>
          <w:highlight w:val="yellow"/>
        </w:rPr>
        <w:t xml:space="preserve">Author(s) hereby </w:t>
      </w:r>
      <w:proofErr w:type="gramStart"/>
      <w:r w:rsidRPr="00005ED1">
        <w:rPr>
          <w:rFonts w:ascii="Arial" w:hAnsi="Arial" w:cs="Arial"/>
          <w:highlight w:val="yellow"/>
        </w:rPr>
        <w:t>declare</w:t>
      </w:r>
      <w:proofErr w:type="gramEnd"/>
      <w:r w:rsidRPr="00005ED1">
        <w:rPr>
          <w:rFonts w:ascii="Arial" w:hAnsi="Arial" w:cs="Arial"/>
          <w:highlight w:val="yellow"/>
        </w:rPr>
        <w:t xml:space="preserve"> that NO generative AI technologies such as Large Language Models (ChatGPT, COPILOT, etc.) and text-to-image generators have been used during the writing or editing of this manuscript. </w:t>
      </w:r>
    </w:p>
    <w:bookmarkEnd w:id="1"/>
    <w:p w14:paraId="450A8201" w14:textId="77777777" w:rsidR="00706E33" w:rsidRDefault="00706E33" w:rsidP="00706E33">
      <w:pPr>
        <w:pStyle w:val="NoSpacing"/>
        <w:rPr>
          <w:rFonts w:ascii="Arial" w:hAnsi="Arial" w:cs="Arial"/>
          <w:highlight w:val="yellow"/>
        </w:rPr>
      </w:pPr>
    </w:p>
    <w:p w14:paraId="5F8DA11D" w14:textId="77777777" w:rsidR="00A431CA" w:rsidRPr="0078079E" w:rsidRDefault="00A431CA" w:rsidP="00A028F1">
      <w:pPr>
        <w:spacing w:line="240" w:lineRule="auto"/>
        <w:jc w:val="both"/>
        <w:rPr>
          <w:rFonts w:ascii="Times New Roman" w:hAnsi="Times New Roman" w:cs="Times New Roman"/>
          <w:b/>
          <w:bCs/>
          <w:sz w:val="24"/>
          <w:szCs w:val="24"/>
        </w:rPr>
      </w:pPr>
    </w:p>
    <w:p w14:paraId="576AC028" w14:textId="77777777" w:rsidR="00A431CA" w:rsidRPr="0078079E" w:rsidRDefault="00A431CA" w:rsidP="00A028F1">
      <w:pPr>
        <w:spacing w:line="240" w:lineRule="auto"/>
        <w:rPr>
          <w:rFonts w:ascii="Times New Roman" w:hAnsi="Times New Roman" w:cs="Times New Roman"/>
          <w:b/>
          <w:bCs/>
          <w:sz w:val="24"/>
          <w:szCs w:val="24"/>
        </w:rPr>
      </w:pPr>
    </w:p>
    <w:p w14:paraId="355AAA94" w14:textId="77777777" w:rsidR="00A431CA" w:rsidRPr="0078079E" w:rsidRDefault="00DB74BC" w:rsidP="00A028F1">
      <w:pPr>
        <w:spacing w:line="240" w:lineRule="auto"/>
        <w:jc w:val="center"/>
        <w:rPr>
          <w:rFonts w:ascii="Times New Roman" w:hAnsi="Times New Roman" w:cs="Times New Roman"/>
          <w:b/>
          <w:bCs/>
          <w:sz w:val="24"/>
          <w:szCs w:val="24"/>
        </w:rPr>
      </w:pPr>
      <w:r w:rsidRPr="0078079E">
        <w:rPr>
          <w:rFonts w:ascii="Times New Roman" w:hAnsi="Times New Roman" w:cs="Times New Roman"/>
          <w:b/>
          <w:bCs/>
          <w:sz w:val="24"/>
          <w:szCs w:val="24"/>
        </w:rPr>
        <w:t>REFERENCES</w:t>
      </w:r>
    </w:p>
    <w:p w14:paraId="724EC6C1" w14:textId="77777777" w:rsidR="00A431CA" w:rsidRPr="0078079E" w:rsidRDefault="00A431CA" w:rsidP="00A028F1">
      <w:pPr>
        <w:pStyle w:val="NormalWeb"/>
        <w:spacing w:before="0" w:beforeAutospacing="0" w:after="0" w:afterAutospacing="0"/>
        <w:jc w:val="both"/>
        <w:rPr>
          <w:color w:val="0563C1"/>
          <w:u w:val="single"/>
        </w:rPr>
      </w:pPr>
    </w:p>
    <w:p w14:paraId="532BD5E5" w14:textId="77777777" w:rsidR="00A431CA" w:rsidRPr="0078079E" w:rsidRDefault="00DB74BC" w:rsidP="00A028F1">
      <w:pPr>
        <w:pStyle w:val="NormalWeb"/>
        <w:spacing w:before="0" w:beforeAutospacing="0" w:after="0" w:afterAutospacing="0"/>
        <w:ind w:left="720" w:hanging="720"/>
        <w:jc w:val="both"/>
      </w:pPr>
      <w:r w:rsidRPr="0078079E">
        <w:t xml:space="preserve">Abba, Y. B., Salisu, A. G., &amp; Rukaiyat, M. S. (2018). Comparative yield and characterization of flavonoids from the stem back and root of Blighia sapida. </w:t>
      </w:r>
      <w:r w:rsidRPr="0078079E">
        <w:rPr>
          <w:i/>
          <w:iCs/>
        </w:rPr>
        <w:t>Bayero Journal of Pure and Applied Sciences</w:t>
      </w:r>
      <w:r w:rsidRPr="0078079E">
        <w:t xml:space="preserve">, </w:t>
      </w:r>
      <w:r w:rsidRPr="0078079E">
        <w:rPr>
          <w:i/>
          <w:iCs/>
        </w:rPr>
        <w:t>10</w:t>
      </w:r>
      <w:r w:rsidRPr="0078079E">
        <w:t xml:space="preserve">(1), 265. </w:t>
      </w:r>
      <w:hyperlink r:id="rId14" w:history="1">
        <w:r w:rsidRPr="0078079E">
          <w:rPr>
            <w:rStyle w:val="Hyperlink"/>
          </w:rPr>
          <w:t>https://doi.org/10.4314/bajopas.v10i1.53s</w:t>
        </w:r>
      </w:hyperlink>
    </w:p>
    <w:p w14:paraId="53B98EBA" w14:textId="77777777" w:rsidR="00A431CA" w:rsidRPr="0078079E" w:rsidRDefault="00A431CA" w:rsidP="00A028F1">
      <w:pPr>
        <w:pStyle w:val="NormalWeb"/>
        <w:spacing w:before="0" w:beforeAutospacing="0" w:after="0" w:afterAutospacing="0"/>
        <w:ind w:left="720" w:hanging="720"/>
        <w:jc w:val="both"/>
      </w:pPr>
    </w:p>
    <w:p w14:paraId="10A55BED" w14:textId="77777777" w:rsidR="00A431CA" w:rsidRPr="0078079E" w:rsidRDefault="00DB74BC" w:rsidP="00A028F1">
      <w:pPr>
        <w:pStyle w:val="NormalWeb"/>
        <w:spacing w:before="0" w:beforeAutospacing="0" w:after="0" w:afterAutospacing="0"/>
        <w:ind w:left="720" w:hanging="720"/>
        <w:jc w:val="both"/>
      </w:pPr>
      <w:r w:rsidRPr="0078079E">
        <w:t xml:space="preserve">Adekola, M. B., Areola, J. O., Fagbohun, O. F., Asaolu, F. T., Ogundepo, G. E., Fajobi, A. O., &amp; Babalola, O. O. (2022). In-vitro antioxidant and anti-inflammatory activities of ethanol stem-bark extract of Blighia sapida K.D. Koenig. </w:t>
      </w:r>
      <w:r w:rsidRPr="0078079E">
        <w:rPr>
          <w:i/>
          <w:iCs/>
        </w:rPr>
        <w:t>Journal of Pharmaceutical Analysis</w:t>
      </w:r>
      <w:r w:rsidRPr="0078079E">
        <w:t xml:space="preserve">, </w:t>
      </w:r>
      <w:r w:rsidRPr="0078079E">
        <w:rPr>
          <w:i/>
          <w:iCs/>
        </w:rPr>
        <w:t>12</w:t>
      </w:r>
      <w:r w:rsidRPr="0078079E">
        <w:t xml:space="preserve">(2), 350–354. </w:t>
      </w:r>
      <w:hyperlink r:id="rId15" w:history="1">
        <w:r w:rsidRPr="0078079E">
          <w:rPr>
            <w:rStyle w:val="Hyperlink"/>
          </w:rPr>
          <w:t>https://doi.org/10.1016/j.jpha.2021.04.002</w:t>
        </w:r>
      </w:hyperlink>
    </w:p>
    <w:p w14:paraId="32C44B38" w14:textId="77777777" w:rsidR="00A431CA" w:rsidRPr="0078079E" w:rsidRDefault="00A431CA" w:rsidP="00A028F1">
      <w:pPr>
        <w:pStyle w:val="NormalWeb"/>
        <w:spacing w:before="0" w:beforeAutospacing="0" w:after="0" w:afterAutospacing="0"/>
        <w:ind w:left="720" w:hanging="720"/>
        <w:jc w:val="both"/>
      </w:pPr>
    </w:p>
    <w:p w14:paraId="2F867F0F" w14:textId="77777777" w:rsidR="00A431CA" w:rsidRPr="0078079E" w:rsidRDefault="00DB74BC" w:rsidP="00A028F1">
      <w:pPr>
        <w:pStyle w:val="NormalWeb"/>
        <w:spacing w:before="0" w:beforeAutospacing="0" w:after="0" w:afterAutospacing="0"/>
        <w:ind w:left="720" w:hanging="720"/>
        <w:jc w:val="both"/>
        <w:rPr>
          <w:rStyle w:val="Hyperlink"/>
        </w:rPr>
      </w:pPr>
      <w:r w:rsidRPr="0078079E">
        <w:t xml:space="preserve">Adepoju, A. J., Esan, A. O., Olawoore, I. T., Ibikunle, G. J., &amp; Adepoju, V. O. (2024). Nauclea latifolia Stem Bark Extracts: Potentially Effective Source of Antibacterial, Antioxidant, Antidiabetic and Anti-Inflammatory Compounds. </w:t>
      </w:r>
      <w:r w:rsidRPr="0078079E">
        <w:rPr>
          <w:i/>
          <w:iCs/>
        </w:rPr>
        <w:t>Journal of Applied Science and Environmental Management</w:t>
      </w:r>
      <w:r w:rsidRPr="0078079E">
        <w:t xml:space="preserve">, </w:t>
      </w:r>
      <w:r w:rsidRPr="0078079E">
        <w:rPr>
          <w:i/>
          <w:iCs/>
        </w:rPr>
        <w:t>28</w:t>
      </w:r>
      <w:r w:rsidRPr="0078079E">
        <w:t xml:space="preserve">(1), 49–59. </w:t>
      </w:r>
      <w:hyperlink r:id="rId16" w:history="1">
        <w:r w:rsidRPr="0078079E">
          <w:rPr>
            <w:rStyle w:val="Hyperlink"/>
          </w:rPr>
          <w:t>https://doi.org/10.4314/jasem.v28i1.6</w:t>
        </w:r>
      </w:hyperlink>
    </w:p>
    <w:p w14:paraId="55C52283" w14:textId="77777777" w:rsidR="00A431CA" w:rsidRPr="0078079E" w:rsidRDefault="00A431CA" w:rsidP="00A028F1">
      <w:pPr>
        <w:pStyle w:val="NormalWeb"/>
        <w:spacing w:before="0" w:beforeAutospacing="0" w:after="0" w:afterAutospacing="0"/>
        <w:ind w:left="720" w:hanging="720"/>
        <w:jc w:val="both"/>
        <w:rPr>
          <w:rStyle w:val="url"/>
        </w:rPr>
      </w:pPr>
    </w:p>
    <w:p w14:paraId="06C9E10C" w14:textId="77777777" w:rsidR="00A431CA" w:rsidRPr="0078079E" w:rsidRDefault="00DB74BC" w:rsidP="00A028F1">
      <w:pPr>
        <w:pStyle w:val="NormalWeb"/>
        <w:spacing w:before="0" w:beforeAutospacing="0" w:after="0" w:afterAutospacing="0"/>
        <w:ind w:left="720" w:hanging="720"/>
        <w:jc w:val="both"/>
        <w:rPr>
          <w:rStyle w:val="Hyperlink"/>
        </w:rPr>
      </w:pPr>
      <w:r w:rsidRPr="0078079E">
        <w:t xml:space="preserve">Adeyeni, E. G., Ayodele, E. T., Olawoore, I. T., Adeyeni., R. A. (2024). Biosynthesis and Characterization of Silver Nano-Composites of Enantia chlorantha Extracts. </w:t>
      </w:r>
      <w:r w:rsidRPr="0078079E">
        <w:rPr>
          <w:i/>
          <w:iCs/>
        </w:rPr>
        <w:t>Journal of Applied Science and Environmental Management</w:t>
      </w:r>
      <w:r w:rsidRPr="0078079E">
        <w:t xml:space="preserve">, </w:t>
      </w:r>
      <w:r w:rsidRPr="0078079E">
        <w:rPr>
          <w:i/>
          <w:iCs/>
        </w:rPr>
        <w:t>28</w:t>
      </w:r>
      <w:r w:rsidRPr="0078079E">
        <w:t xml:space="preserve">(3), 803–813. </w:t>
      </w:r>
      <w:hyperlink r:id="rId17" w:history="1">
        <w:r w:rsidRPr="0078079E">
          <w:rPr>
            <w:rStyle w:val="Hyperlink"/>
          </w:rPr>
          <w:t>https://doi.org/10.4314/jasem.v28i3.22</w:t>
        </w:r>
      </w:hyperlink>
    </w:p>
    <w:p w14:paraId="09CB3A97" w14:textId="77777777" w:rsidR="00A431CA" w:rsidRPr="0078079E" w:rsidRDefault="00A431CA" w:rsidP="00A028F1">
      <w:pPr>
        <w:pStyle w:val="NormalWeb"/>
        <w:spacing w:before="0" w:beforeAutospacing="0" w:after="0" w:afterAutospacing="0"/>
        <w:ind w:left="720" w:hanging="720"/>
        <w:jc w:val="both"/>
      </w:pPr>
    </w:p>
    <w:p w14:paraId="5493734B" w14:textId="77777777" w:rsidR="00A431CA" w:rsidRPr="0078079E" w:rsidRDefault="00DB74BC" w:rsidP="00A028F1">
      <w:pPr>
        <w:pStyle w:val="NormalWeb"/>
        <w:spacing w:before="0" w:beforeAutospacing="0" w:after="0" w:afterAutospacing="0"/>
        <w:ind w:left="720" w:hanging="720"/>
        <w:jc w:val="both"/>
        <w:rPr>
          <w:rStyle w:val="Hyperlink"/>
        </w:rPr>
      </w:pPr>
      <w:r w:rsidRPr="0078079E">
        <w:t xml:space="preserve">Akinmoladun, A. C., Obuotor, E. M., &amp; Farombi, E. O. (2010). Evaluation of antioxidant and free radical scavenging capacities of some Nigerian indigenous medicinal plants. </w:t>
      </w:r>
      <w:r w:rsidRPr="0078079E">
        <w:rPr>
          <w:i/>
          <w:iCs/>
        </w:rPr>
        <w:t>Journal of Medicinal Food</w:t>
      </w:r>
      <w:r w:rsidRPr="0078079E">
        <w:t xml:space="preserve">, </w:t>
      </w:r>
      <w:r w:rsidRPr="0078079E">
        <w:rPr>
          <w:i/>
          <w:iCs/>
        </w:rPr>
        <w:t>13</w:t>
      </w:r>
      <w:r w:rsidRPr="0078079E">
        <w:t xml:space="preserve">(2), 444–451. </w:t>
      </w:r>
      <w:hyperlink r:id="rId18" w:history="1">
        <w:r w:rsidRPr="0078079E">
          <w:rPr>
            <w:rStyle w:val="Hyperlink"/>
          </w:rPr>
          <w:t>https://doi.org/10.1089/jmf.2008.0292</w:t>
        </w:r>
      </w:hyperlink>
    </w:p>
    <w:p w14:paraId="37BAE62E" w14:textId="77777777" w:rsidR="00A431CA" w:rsidRPr="0078079E" w:rsidRDefault="00A431CA" w:rsidP="00A028F1">
      <w:pPr>
        <w:pStyle w:val="NormalWeb"/>
        <w:spacing w:before="0" w:beforeAutospacing="0" w:after="0" w:afterAutospacing="0"/>
        <w:ind w:left="720" w:hanging="720"/>
        <w:jc w:val="both"/>
        <w:rPr>
          <w:rStyle w:val="url"/>
        </w:rPr>
      </w:pPr>
    </w:p>
    <w:p w14:paraId="181D35B3" w14:textId="77777777" w:rsidR="00A431CA" w:rsidRPr="0078079E" w:rsidRDefault="00DB74BC" w:rsidP="00A028F1">
      <w:pPr>
        <w:pStyle w:val="NormalWeb"/>
        <w:spacing w:before="0" w:beforeAutospacing="0" w:after="0" w:afterAutospacing="0"/>
        <w:ind w:left="720" w:hanging="720"/>
        <w:jc w:val="both"/>
        <w:rPr>
          <w:rStyle w:val="Hyperlink"/>
        </w:rPr>
      </w:pPr>
      <w:r w:rsidRPr="0078079E">
        <w:t xml:space="preserve">Aloko, S., Oluwasesan, B., &amp; Chukwuemeka, A. P. (2019). Blighia sapida K.D. Koenig: A review on its phytochemistry, pharmacological and nutritional properties. </w:t>
      </w:r>
      <w:r w:rsidRPr="0078079E">
        <w:rPr>
          <w:i/>
          <w:iCs/>
        </w:rPr>
        <w:t>Journal of Ethnopharmacology</w:t>
      </w:r>
      <w:r w:rsidRPr="0078079E">
        <w:t xml:space="preserve">, </w:t>
      </w:r>
      <w:r w:rsidRPr="0078079E">
        <w:rPr>
          <w:i/>
          <w:iCs/>
        </w:rPr>
        <w:t>235</w:t>
      </w:r>
      <w:r w:rsidRPr="0078079E">
        <w:t xml:space="preserve">, 446–459. </w:t>
      </w:r>
      <w:hyperlink r:id="rId19" w:history="1">
        <w:r w:rsidRPr="0078079E">
          <w:rPr>
            <w:rStyle w:val="Hyperlink"/>
          </w:rPr>
          <w:t>https://doi.org/10.1016/j.jep.2019.01.017</w:t>
        </w:r>
      </w:hyperlink>
    </w:p>
    <w:p w14:paraId="33A1D657" w14:textId="77777777" w:rsidR="00A431CA" w:rsidRPr="0078079E" w:rsidRDefault="00A431CA" w:rsidP="00A028F1">
      <w:pPr>
        <w:pStyle w:val="NormalWeb"/>
        <w:spacing w:before="0" w:beforeAutospacing="0" w:after="0" w:afterAutospacing="0"/>
        <w:jc w:val="both"/>
      </w:pPr>
    </w:p>
    <w:p w14:paraId="62A897ED" w14:textId="77777777" w:rsidR="00A431CA" w:rsidRPr="0078079E" w:rsidRDefault="00DB74BC" w:rsidP="00A028F1">
      <w:pPr>
        <w:pStyle w:val="NormalWeb"/>
        <w:spacing w:before="0" w:beforeAutospacing="0" w:after="0" w:afterAutospacing="0"/>
        <w:ind w:left="720" w:hanging="720"/>
        <w:jc w:val="both"/>
      </w:pPr>
      <w:r w:rsidRPr="0078079E">
        <w:lastRenderedPageBreak/>
        <w:t xml:space="preserve">Anupama, R., &amp; Sunilkumar, T. (2019). Phytochemical analysis and nutraceutical studies on aril of Blighia sapida K.D Koenig. </w:t>
      </w:r>
      <w:r w:rsidRPr="0078079E">
        <w:rPr>
          <w:i/>
          <w:iCs/>
        </w:rPr>
        <w:t>Journal of Pharmacognosy and Phytochemistry</w:t>
      </w:r>
      <w:r w:rsidRPr="0078079E">
        <w:t xml:space="preserve">, </w:t>
      </w:r>
      <w:r w:rsidRPr="0078079E">
        <w:rPr>
          <w:i/>
          <w:iCs/>
        </w:rPr>
        <w:t>8</w:t>
      </w:r>
      <w:r w:rsidRPr="0078079E">
        <w:t xml:space="preserve">(4), 34–40. </w:t>
      </w:r>
      <w:hyperlink r:id="rId20" w:history="1">
        <w:r w:rsidRPr="0078079E">
          <w:rPr>
            <w:rStyle w:val="Hyperlink"/>
          </w:rPr>
          <w:t>https://www.phytojournal.com/archives/2019/vol8issue4/PartA/8-1-596-997.pdf</w:t>
        </w:r>
      </w:hyperlink>
    </w:p>
    <w:p w14:paraId="78D95482" w14:textId="77777777" w:rsidR="00A431CA" w:rsidRPr="0078079E" w:rsidRDefault="00A431CA" w:rsidP="00A028F1">
      <w:pPr>
        <w:pStyle w:val="NormalWeb"/>
        <w:spacing w:before="0" w:beforeAutospacing="0" w:after="0" w:afterAutospacing="0"/>
        <w:ind w:left="720" w:hanging="720"/>
        <w:jc w:val="both"/>
      </w:pPr>
    </w:p>
    <w:p w14:paraId="448BF144" w14:textId="77777777" w:rsidR="00A431CA" w:rsidRPr="0078079E" w:rsidRDefault="00DB74BC" w:rsidP="00A028F1">
      <w:pPr>
        <w:pStyle w:val="NormalWeb"/>
        <w:spacing w:before="0" w:beforeAutospacing="0" w:after="0" w:afterAutospacing="0"/>
        <w:ind w:left="720" w:hanging="720"/>
        <w:jc w:val="both"/>
        <w:rPr>
          <w:rStyle w:val="url"/>
        </w:rPr>
      </w:pPr>
      <w:r w:rsidRPr="0078079E">
        <w:t xml:space="preserve">Boakye‐Yiadom, M., Kumadoh, D., Adase, E., &amp; Woode, E. (2021). Medicinal Plants with Prospective Benefits in the Management of Peptic Ulcer Diseases in Ghana. </w:t>
      </w:r>
      <w:r w:rsidRPr="0078079E">
        <w:rPr>
          <w:i/>
          <w:iCs/>
        </w:rPr>
        <w:t>BioMed Research International</w:t>
      </w:r>
      <w:r w:rsidRPr="0078079E">
        <w:t xml:space="preserve">, </w:t>
      </w:r>
      <w:r w:rsidRPr="0078079E">
        <w:rPr>
          <w:i/>
          <w:iCs/>
        </w:rPr>
        <w:t>2021</w:t>
      </w:r>
      <w:r w:rsidRPr="0078079E">
        <w:t xml:space="preserve">, 1–14. </w:t>
      </w:r>
      <w:hyperlink r:id="rId21" w:history="1">
        <w:r w:rsidRPr="0078079E">
          <w:rPr>
            <w:rStyle w:val="Hyperlink"/>
          </w:rPr>
          <w:t>https://doi.org/10.1155/2021/5574041</w:t>
        </w:r>
      </w:hyperlink>
    </w:p>
    <w:p w14:paraId="47B3A93A" w14:textId="77777777" w:rsidR="00A431CA" w:rsidRPr="0078079E" w:rsidRDefault="00DB74BC" w:rsidP="00A028F1">
      <w:pPr>
        <w:pStyle w:val="NormalWeb"/>
        <w:spacing w:before="0" w:beforeAutospacing="0" w:after="0" w:afterAutospacing="0"/>
        <w:ind w:left="720" w:hanging="720"/>
        <w:jc w:val="both"/>
        <w:rPr>
          <w:rStyle w:val="Hyperlink"/>
        </w:rPr>
      </w:pPr>
      <w:r w:rsidRPr="0078079E">
        <w:t xml:space="preserve">Bolouri, P., Salami, R., Kouhi, S., Kordi, M., Lajayer, B. A., Hadian, J., &amp; Astatkie, T. (2022). Applications of essential oils and plant extracts in different industries. </w:t>
      </w:r>
      <w:r w:rsidRPr="0078079E">
        <w:rPr>
          <w:i/>
          <w:iCs/>
        </w:rPr>
        <w:t>Molecules/Molecules Online/Molecules Annual</w:t>
      </w:r>
      <w:r w:rsidRPr="0078079E">
        <w:t xml:space="preserve">, </w:t>
      </w:r>
      <w:r w:rsidRPr="0078079E">
        <w:rPr>
          <w:i/>
          <w:iCs/>
        </w:rPr>
        <w:t>27</w:t>
      </w:r>
      <w:r w:rsidRPr="0078079E">
        <w:t xml:space="preserve">(24), 8999. </w:t>
      </w:r>
      <w:hyperlink r:id="rId22" w:history="1">
        <w:r w:rsidRPr="0078079E">
          <w:rPr>
            <w:rStyle w:val="Hyperlink"/>
          </w:rPr>
          <w:t>https://doi.org/10.3390/molecules27248999</w:t>
        </w:r>
      </w:hyperlink>
    </w:p>
    <w:p w14:paraId="526FE2A5" w14:textId="77777777" w:rsidR="00A431CA" w:rsidRPr="0078079E" w:rsidRDefault="00A431CA" w:rsidP="00A028F1">
      <w:pPr>
        <w:pStyle w:val="NormalWeb"/>
        <w:spacing w:before="0" w:beforeAutospacing="0" w:after="0" w:afterAutospacing="0"/>
        <w:ind w:left="720" w:hanging="720"/>
        <w:jc w:val="both"/>
        <w:rPr>
          <w:rStyle w:val="url"/>
        </w:rPr>
      </w:pPr>
    </w:p>
    <w:p w14:paraId="2956C635" w14:textId="77777777" w:rsidR="00A431CA" w:rsidRPr="0078079E" w:rsidRDefault="00DB74BC" w:rsidP="00A028F1">
      <w:pPr>
        <w:pStyle w:val="NormalWeb"/>
        <w:spacing w:before="0" w:beforeAutospacing="0" w:after="0" w:afterAutospacing="0"/>
        <w:ind w:left="720" w:hanging="720"/>
        <w:jc w:val="both"/>
        <w:rPr>
          <w:rStyle w:val="Hyperlink"/>
        </w:rPr>
      </w:pPr>
      <w:r w:rsidRPr="0078079E">
        <w:t xml:space="preserve">Chaachouay, N., &amp; Zidane, L. (2024c). Plant-Derived Natural Products: a source for drug discovery and development. </w:t>
      </w:r>
      <w:r w:rsidRPr="0078079E">
        <w:rPr>
          <w:i/>
          <w:iCs/>
        </w:rPr>
        <w:t>Drugs and Drug Candidates</w:t>
      </w:r>
      <w:r w:rsidRPr="0078079E">
        <w:t xml:space="preserve">, </w:t>
      </w:r>
      <w:r w:rsidRPr="0078079E">
        <w:rPr>
          <w:i/>
          <w:iCs/>
        </w:rPr>
        <w:t>3</w:t>
      </w:r>
      <w:r w:rsidRPr="0078079E">
        <w:t xml:space="preserve">(1), 184–207. </w:t>
      </w:r>
      <w:hyperlink r:id="rId23" w:history="1">
        <w:r w:rsidRPr="0078079E">
          <w:rPr>
            <w:rStyle w:val="Hyperlink"/>
          </w:rPr>
          <w:t>https://doi.org/10.3390/ddc3010011</w:t>
        </w:r>
      </w:hyperlink>
    </w:p>
    <w:p w14:paraId="00FEB92C" w14:textId="77777777" w:rsidR="00A431CA" w:rsidRPr="0078079E" w:rsidRDefault="00A431CA" w:rsidP="00A028F1">
      <w:pPr>
        <w:pStyle w:val="NormalWeb"/>
        <w:spacing w:before="0" w:beforeAutospacing="0" w:after="0" w:afterAutospacing="0"/>
        <w:ind w:left="720" w:hanging="720"/>
        <w:jc w:val="both"/>
        <w:rPr>
          <w:rStyle w:val="url"/>
        </w:rPr>
      </w:pPr>
    </w:p>
    <w:p w14:paraId="47127F43" w14:textId="77777777" w:rsidR="00A431CA" w:rsidRPr="0078079E" w:rsidRDefault="00DB74BC" w:rsidP="00A028F1">
      <w:pPr>
        <w:pStyle w:val="NormalWeb"/>
        <w:spacing w:before="0" w:beforeAutospacing="0" w:after="0" w:afterAutospacing="0"/>
        <w:ind w:left="720" w:hanging="720"/>
        <w:jc w:val="both"/>
        <w:rPr>
          <w:rStyle w:val="Hyperlink"/>
        </w:rPr>
      </w:pPr>
      <w:r w:rsidRPr="0078079E">
        <w:t xml:space="preserve">Dar, R. A., Shahnawaz, M., &amp; Qazi, P. H. (2017). General overview of medicinal plants: A review. </w:t>
      </w:r>
      <w:r w:rsidRPr="0078079E">
        <w:rPr>
          <w:i/>
          <w:iCs/>
        </w:rPr>
        <w:t>The Journal of Phytopharmacology</w:t>
      </w:r>
      <w:r w:rsidRPr="0078079E">
        <w:t xml:space="preserve">, </w:t>
      </w:r>
      <w:r w:rsidRPr="0078079E">
        <w:rPr>
          <w:i/>
          <w:iCs/>
        </w:rPr>
        <w:t>6</w:t>
      </w:r>
      <w:r w:rsidRPr="0078079E">
        <w:t xml:space="preserve">(6), 349–351. </w:t>
      </w:r>
      <w:hyperlink r:id="rId24" w:history="1">
        <w:r w:rsidRPr="0078079E">
          <w:rPr>
            <w:rStyle w:val="Hyperlink"/>
          </w:rPr>
          <w:t>https://doi.org/10.31254/phyto.2017.6608</w:t>
        </w:r>
      </w:hyperlink>
    </w:p>
    <w:p w14:paraId="2BA9029C" w14:textId="77777777" w:rsidR="00A431CA" w:rsidRPr="0078079E" w:rsidRDefault="00A431CA" w:rsidP="00A028F1">
      <w:pPr>
        <w:pStyle w:val="NormalWeb"/>
        <w:spacing w:before="0" w:beforeAutospacing="0" w:after="0" w:afterAutospacing="0"/>
        <w:ind w:left="720" w:hanging="720"/>
        <w:jc w:val="both"/>
        <w:rPr>
          <w:rStyle w:val="Hyperlink"/>
        </w:rPr>
      </w:pPr>
    </w:p>
    <w:p w14:paraId="0DD5F4BD" w14:textId="77777777" w:rsidR="00A431CA" w:rsidRPr="0078079E" w:rsidRDefault="00DB74BC" w:rsidP="00A028F1">
      <w:pPr>
        <w:pStyle w:val="NormalWeb"/>
        <w:spacing w:before="0" w:beforeAutospacing="0" w:after="0" w:afterAutospacing="0"/>
        <w:ind w:left="720" w:hanging="720"/>
        <w:jc w:val="both"/>
        <w:rPr>
          <w:rStyle w:val="Hyperlink"/>
        </w:rPr>
      </w:pPr>
      <w:r w:rsidRPr="0078079E">
        <w:t xml:space="preserve">Dar, R. A., Shahnawaz, M., Ahanger, M. A., &amp; Majid, I. A. (2023). Exploring the Diverse Bioactive Compounds from Medicinal Plants: A Review. </w:t>
      </w:r>
      <w:r w:rsidRPr="0078079E">
        <w:rPr>
          <w:i/>
          <w:iCs/>
        </w:rPr>
        <w:t>The Journal of Phytopharmacology</w:t>
      </w:r>
      <w:r w:rsidRPr="0078079E">
        <w:t xml:space="preserve">, </w:t>
      </w:r>
      <w:r w:rsidRPr="0078079E">
        <w:rPr>
          <w:i/>
          <w:iCs/>
        </w:rPr>
        <w:t>12</w:t>
      </w:r>
      <w:r w:rsidRPr="0078079E">
        <w:t xml:space="preserve">(3), 189–195. </w:t>
      </w:r>
      <w:hyperlink r:id="rId25" w:history="1">
        <w:r w:rsidRPr="0078079E">
          <w:rPr>
            <w:rStyle w:val="Hyperlink"/>
          </w:rPr>
          <w:t>https://doi.org/10.31254/phyto.2023.12307</w:t>
        </w:r>
      </w:hyperlink>
    </w:p>
    <w:p w14:paraId="641AB6DF" w14:textId="77777777" w:rsidR="00A431CA" w:rsidRPr="0078079E" w:rsidRDefault="00A431CA" w:rsidP="00A028F1">
      <w:pPr>
        <w:pStyle w:val="NormalWeb"/>
        <w:spacing w:before="0" w:beforeAutospacing="0" w:after="0" w:afterAutospacing="0"/>
        <w:ind w:left="720" w:hanging="720"/>
        <w:jc w:val="both"/>
        <w:rPr>
          <w:rStyle w:val="url"/>
        </w:rPr>
      </w:pPr>
    </w:p>
    <w:p w14:paraId="6FE67C66" w14:textId="77777777" w:rsidR="00A431CA" w:rsidRPr="0078079E" w:rsidRDefault="00DB74BC" w:rsidP="00A028F1">
      <w:pPr>
        <w:pStyle w:val="NormalWeb"/>
        <w:spacing w:before="0" w:beforeAutospacing="0" w:after="0" w:afterAutospacing="0"/>
        <w:ind w:left="720" w:hanging="720"/>
        <w:jc w:val="both"/>
        <w:rPr>
          <w:rStyle w:val="Hyperlink"/>
        </w:rPr>
      </w:pPr>
      <w:r w:rsidRPr="0078079E">
        <w:t xml:space="preserve">Dermane, A., Tayama, W., Kpoyizoun, P. K., Kola, P., Metowogo, K., &amp; Eklu-Gadegbeku, K. (2024). Evaluation of the antioxidant and anti-inflammatory properties of the hydroethanolic extract of the leaves of Blighia sapida KD Koenig. </w:t>
      </w:r>
      <w:r w:rsidRPr="0078079E">
        <w:rPr>
          <w:i/>
          <w:iCs/>
        </w:rPr>
        <w:t>International Journal of Biological and Chemical Sciences</w:t>
      </w:r>
      <w:r w:rsidRPr="0078079E">
        <w:t xml:space="preserve">, </w:t>
      </w:r>
      <w:r w:rsidRPr="0078079E">
        <w:rPr>
          <w:i/>
          <w:iCs/>
        </w:rPr>
        <w:t>18</w:t>
      </w:r>
      <w:r w:rsidRPr="0078079E">
        <w:t xml:space="preserve">(1), 10–19. </w:t>
      </w:r>
      <w:hyperlink r:id="rId26" w:history="1">
        <w:r w:rsidRPr="0078079E">
          <w:rPr>
            <w:rStyle w:val="Hyperlink"/>
          </w:rPr>
          <w:t>https://doi.org/10.4314/ijbcs.v18i1.2</w:t>
        </w:r>
      </w:hyperlink>
    </w:p>
    <w:p w14:paraId="783F4AC4" w14:textId="77777777" w:rsidR="00A431CA" w:rsidRPr="0078079E" w:rsidRDefault="00A431CA" w:rsidP="00A028F1">
      <w:pPr>
        <w:pStyle w:val="NormalWeb"/>
        <w:spacing w:before="0" w:beforeAutospacing="0" w:after="0" w:afterAutospacing="0"/>
        <w:ind w:left="720" w:hanging="720"/>
        <w:jc w:val="both"/>
      </w:pPr>
    </w:p>
    <w:p w14:paraId="2F2428D5" w14:textId="77777777" w:rsidR="00A431CA" w:rsidRPr="0078079E" w:rsidRDefault="00DB74BC" w:rsidP="00A028F1">
      <w:pPr>
        <w:pStyle w:val="NormalWeb"/>
        <w:spacing w:before="0" w:beforeAutospacing="0" w:after="0" w:afterAutospacing="0"/>
        <w:ind w:left="720" w:hanging="720"/>
        <w:jc w:val="both"/>
        <w:rPr>
          <w:color w:val="0563C1"/>
          <w:u w:val="single"/>
        </w:rPr>
      </w:pPr>
      <w:r w:rsidRPr="0078079E">
        <w:t xml:space="preserve">Dossou, V. M. (2014). Ackee (Blighia sapida) Fruit Arils: Nutritional, Phytochemicals and Antioxidant Properties. </w:t>
      </w:r>
      <w:r w:rsidRPr="0078079E">
        <w:rPr>
          <w:i/>
          <w:iCs/>
        </w:rPr>
        <w:t>International Journal of Nutrition and Food Sciences</w:t>
      </w:r>
      <w:r w:rsidRPr="0078079E">
        <w:t xml:space="preserve">, </w:t>
      </w:r>
      <w:r w:rsidRPr="0078079E">
        <w:rPr>
          <w:i/>
          <w:iCs/>
        </w:rPr>
        <w:t>3</w:t>
      </w:r>
      <w:r w:rsidRPr="0078079E">
        <w:t xml:space="preserve">(6), 534. </w:t>
      </w:r>
      <w:hyperlink r:id="rId27" w:history="1">
        <w:r w:rsidRPr="0078079E">
          <w:rPr>
            <w:rStyle w:val="Hyperlink"/>
          </w:rPr>
          <w:t>https://doi.org/10.11648/j.ijnfs.20140306.17</w:t>
        </w:r>
      </w:hyperlink>
    </w:p>
    <w:p w14:paraId="193F2EF3" w14:textId="77777777" w:rsidR="00A431CA" w:rsidRPr="0078079E" w:rsidRDefault="00A431CA" w:rsidP="00A028F1">
      <w:pPr>
        <w:pStyle w:val="NormalWeb"/>
        <w:spacing w:before="0" w:beforeAutospacing="0" w:after="0" w:afterAutospacing="0"/>
        <w:ind w:left="720" w:hanging="720"/>
        <w:jc w:val="both"/>
      </w:pPr>
    </w:p>
    <w:p w14:paraId="27F8E344" w14:textId="77777777" w:rsidR="00A431CA" w:rsidRPr="0078079E" w:rsidRDefault="00DB74BC" w:rsidP="00A028F1">
      <w:pPr>
        <w:pStyle w:val="NormalWeb"/>
        <w:spacing w:before="0" w:beforeAutospacing="0" w:after="0" w:afterAutospacing="0"/>
        <w:ind w:left="720" w:hanging="720"/>
        <w:jc w:val="both"/>
        <w:rPr>
          <w:rStyle w:val="Hyperlink"/>
        </w:rPr>
      </w:pPr>
      <w:r w:rsidRPr="0078079E">
        <w:t xml:space="preserve">Ibraheem, O., Oyewole, T. A., Adedara, A. O., Abolaji, A. O., Ogundipe, O. M., Akinyelu, J., Eze, C. T., Albogami, S., Alotaibi, S. S., Adeyemı, O. S., Batiha, G. E., Alorabi, M., &amp; De Waard, M. (2022). Ackee (Blighia sapida K.D. Koenig) Leaves and Arils Methanolic Extracts Ameliorate CdCl2-Induced Oxidative Stress Biomarkers in Drosophila melanogaster. </w:t>
      </w:r>
      <w:r w:rsidRPr="0078079E">
        <w:rPr>
          <w:i/>
          <w:iCs/>
        </w:rPr>
        <w:t>Oxidative Medicine and Cellular Longevity</w:t>
      </w:r>
      <w:r w:rsidRPr="0078079E">
        <w:t xml:space="preserve">, </w:t>
      </w:r>
      <w:r w:rsidRPr="0078079E">
        <w:rPr>
          <w:i/>
          <w:iCs/>
        </w:rPr>
        <w:t>2022</w:t>
      </w:r>
      <w:r w:rsidRPr="0078079E">
        <w:t xml:space="preserve">, 1–20. </w:t>
      </w:r>
      <w:hyperlink r:id="rId28" w:history="1">
        <w:r w:rsidRPr="0078079E">
          <w:rPr>
            <w:rStyle w:val="Hyperlink"/>
          </w:rPr>
          <w:t>https://doi.org/10.1155/2022/3235031</w:t>
        </w:r>
      </w:hyperlink>
    </w:p>
    <w:p w14:paraId="12336A05" w14:textId="77777777" w:rsidR="00A431CA" w:rsidRPr="0078079E" w:rsidRDefault="00A431CA" w:rsidP="00A028F1">
      <w:pPr>
        <w:pStyle w:val="NormalWeb"/>
        <w:spacing w:before="0" w:beforeAutospacing="0" w:after="0" w:afterAutospacing="0"/>
        <w:ind w:left="720" w:hanging="720"/>
        <w:jc w:val="both"/>
        <w:rPr>
          <w:rStyle w:val="url"/>
        </w:rPr>
      </w:pPr>
    </w:p>
    <w:p w14:paraId="5976EBC6" w14:textId="77777777" w:rsidR="00A431CA" w:rsidRPr="0078079E" w:rsidRDefault="00DB74BC" w:rsidP="00A028F1">
      <w:pPr>
        <w:pStyle w:val="NormalWeb"/>
        <w:spacing w:before="0" w:beforeAutospacing="0" w:after="0" w:afterAutospacing="0"/>
        <w:ind w:left="720" w:hanging="720"/>
        <w:jc w:val="both"/>
        <w:rPr>
          <w:rStyle w:val="Hyperlink"/>
        </w:rPr>
      </w:pPr>
      <w:r w:rsidRPr="0078079E">
        <w:t xml:space="preserve">Kiehlbauch, J. A., Hannett, G. E., Salfinger, M., Archinal, W. A., Monserrat, C., &amp; Carlyn, C. J. (2000). Use of the National Committee for Clinical Laboratory Standards Guidelines for disk Diffusion Susceptibility testing in New York State laboratories. </w:t>
      </w:r>
      <w:r w:rsidRPr="0078079E">
        <w:rPr>
          <w:i/>
          <w:iCs/>
        </w:rPr>
        <w:t>Journal of Clinical Microbiology</w:t>
      </w:r>
      <w:r w:rsidRPr="0078079E">
        <w:t xml:space="preserve">, </w:t>
      </w:r>
      <w:r w:rsidRPr="0078079E">
        <w:rPr>
          <w:i/>
          <w:iCs/>
        </w:rPr>
        <w:t>38</w:t>
      </w:r>
      <w:r w:rsidRPr="0078079E">
        <w:t xml:space="preserve">(9), 3341–3348. </w:t>
      </w:r>
      <w:hyperlink r:id="rId29" w:history="1">
        <w:r w:rsidRPr="0078079E">
          <w:rPr>
            <w:rStyle w:val="Hyperlink"/>
          </w:rPr>
          <w:t>https://doi.org/10.1128/jcm.38.9.3341-3348.2000</w:t>
        </w:r>
      </w:hyperlink>
    </w:p>
    <w:p w14:paraId="42400058" w14:textId="77777777" w:rsidR="00A431CA" w:rsidRPr="0078079E" w:rsidRDefault="00A431CA" w:rsidP="00A028F1">
      <w:pPr>
        <w:pStyle w:val="NormalWeb"/>
        <w:spacing w:before="0" w:beforeAutospacing="0" w:after="0" w:afterAutospacing="0"/>
        <w:ind w:left="720" w:hanging="720"/>
        <w:jc w:val="both"/>
        <w:rPr>
          <w:rStyle w:val="url"/>
        </w:rPr>
      </w:pPr>
    </w:p>
    <w:p w14:paraId="2C59FBA6" w14:textId="77777777" w:rsidR="00A431CA" w:rsidRPr="0078079E" w:rsidRDefault="00DB74BC" w:rsidP="00A028F1">
      <w:pPr>
        <w:pStyle w:val="NormalWeb"/>
        <w:spacing w:before="0" w:beforeAutospacing="0" w:after="0" w:afterAutospacing="0"/>
        <w:ind w:left="720" w:hanging="720"/>
        <w:jc w:val="both"/>
        <w:rPr>
          <w:rStyle w:val="Hyperlink"/>
        </w:rPr>
      </w:pPr>
      <w:r w:rsidRPr="0078079E">
        <w:lastRenderedPageBreak/>
        <w:t xml:space="preserve">Krutmuang, P., Rajula, J., Pittarate, S., Chatima, C., &amp; Thungrabeab, M. (2022). The inhibitory action of plant extracts on the mycelial growth of Ascosphaera apis, the causative agent of chalkbrood disease in Honey bee. </w:t>
      </w:r>
      <w:r w:rsidRPr="0078079E">
        <w:rPr>
          <w:i/>
          <w:iCs/>
        </w:rPr>
        <w:t>Toxicology Reports</w:t>
      </w:r>
      <w:r w:rsidRPr="0078079E">
        <w:t xml:space="preserve">, </w:t>
      </w:r>
      <w:r w:rsidRPr="0078079E">
        <w:rPr>
          <w:i/>
          <w:iCs/>
        </w:rPr>
        <w:t>9</w:t>
      </w:r>
      <w:r w:rsidRPr="0078079E">
        <w:t xml:space="preserve">, 713–719. </w:t>
      </w:r>
      <w:hyperlink r:id="rId30" w:history="1">
        <w:r w:rsidRPr="0078079E">
          <w:rPr>
            <w:rStyle w:val="Hyperlink"/>
          </w:rPr>
          <w:t>https://doi.org/10.1016/j.toxrep.2022.03.036</w:t>
        </w:r>
      </w:hyperlink>
    </w:p>
    <w:p w14:paraId="1317D451" w14:textId="77777777" w:rsidR="00A431CA" w:rsidRPr="0078079E" w:rsidRDefault="00A431CA" w:rsidP="00A028F1">
      <w:pPr>
        <w:pStyle w:val="NormalWeb"/>
        <w:spacing w:before="0" w:beforeAutospacing="0" w:after="0" w:afterAutospacing="0"/>
        <w:ind w:left="720" w:hanging="720"/>
        <w:jc w:val="both"/>
        <w:rPr>
          <w:rStyle w:val="url"/>
        </w:rPr>
      </w:pPr>
    </w:p>
    <w:p w14:paraId="1438E612" w14:textId="77777777" w:rsidR="00A431CA" w:rsidRPr="0078079E" w:rsidRDefault="00DB74BC" w:rsidP="00A028F1">
      <w:pPr>
        <w:pStyle w:val="NormalWeb"/>
        <w:spacing w:before="0" w:beforeAutospacing="0" w:after="0" w:afterAutospacing="0"/>
        <w:ind w:left="720" w:hanging="720"/>
        <w:jc w:val="both"/>
        <w:rPr>
          <w:rStyle w:val="Hyperlink"/>
        </w:rPr>
      </w:pPr>
      <w:r w:rsidRPr="0078079E">
        <w:t xml:space="preserve">Nasim, N., Sandeep, I. S., &amp; Mohanty, S. (2022). Plant-derived natural products for drug discovery: current approaches and prospects. </w:t>
      </w:r>
      <w:r w:rsidRPr="0078079E">
        <w:rPr>
          <w:i/>
          <w:iCs/>
        </w:rPr>
        <w:t>Nucleus/the Nucleus</w:t>
      </w:r>
      <w:r w:rsidRPr="0078079E">
        <w:t xml:space="preserve">, </w:t>
      </w:r>
      <w:r w:rsidRPr="0078079E">
        <w:rPr>
          <w:i/>
          <w:iCs/>
        </w:rPr>
        <w:t>65</w:t>
      </w:r>
      <w:r w:rsidRPr="0078079E">
        <w:t xml:space="preserve">(3), 399–411. </w:t>
      </w:r>
      <w:hyperlink r:id="rId31" w:history="1">
        <w:r w:rsidRPr="0078079E">
          <w:rPr>
            <w:rStyle w:val="Hyperlink"/>
          </w:rPr>
          <w:t>https://doi.org/10.1007/s13237-022-00405-3</w:t>
        </w:r>
      </w:hyperlink>
    </w:p>
    <w:p w14:paraId="65DEEE51" w14:textId="77777777" w:rsidR="00A431CA" w:rsidRPr="0078079E" w:rsidRDefault="00A431CA" w:rsidP="00A028F1">
      <w:pPr>
        <w:pStyle w:val="NormalWeb"/>
        <w:spacing w:before="0" w:beforeAutospacing="0" w:after="0" w:afterAutospacing="0"/>
        <w:ind w:left="720" w:hanging="720"/>
        <w:jc w:val="both"/>
        <w:rPr>
          <w:rStyle w:val="url"/>
        </w:rPr>
      </w:pPr>
    </w:p>
    <w:p w14:paraId="346998F4" w14:textId="77777777" w:rsidR="00A431CA" w:rsidRPr="0078079E" w:rsidRDefault="00DB74BC" w:rsidP="00A028F1">
      <w:pPr>
        <w:pStyle w:val="NormalWeb"/>
        <w:spacing w:before="0" w:beforeAutospacing="0" w:after="0" w:afterAutospacing="0"/>
        <w:ind w:left="720" w:hanging="720"/>
        <w:jc w:val="both"/>
      </w:pPr>
      <w:r w:rsidRPr="0078079E">
        <w:t xml:space="preserve">Ojo, O. A., Ajiboye, B. O., Ojo, A. B., Oyinloye, B. E., Imiere, O. D., &amp; Adeyonu, O. (2017). Ameliorative potential of Blighia sapida K.D. Koenig bark against pancreatic β-cell dysfunction in alloxan-induced diabetic rats. </w:t>
      </w:r>
      <w:r w:rsidRPr="0078079E">
        <w:rPr>
          <w:i/>
          <w:iCs/>
        </w:rPr>
        <w:t>Journal of Complementary and Integrative Medicine</w:t>
      </w:r>
      <w:r w:rsidRPr="0078079E">
        <w:t xml:space="preserve">, </w:t>
      </w:r>
      <w:r w:rsidRPr="0078079E">
        <w:rPr>
          <w:i/>
          <w:iCs/>
        </w:rPr>
        <w:t>14</w:t>
      </w:r>
      <w:r w:rsidRPr="0078079E">
        <w:t xml:space="preserve">(3). </w:t>
      </w:r>
      <w:hyperlink r:id="rId32" w:history="1">
        <w:r w:rsidRPr="0078079E">
          <w:rPr>
            <w:rStyle w:val="Hyperlink"/>
          </w:rPr>
          <w:t>https://doi.org/10.1515/jcim-2016-0145</w:t>
        </w:r>
      </w:hyperlink>
    </w:p>
    <w:p w14:paraId="521DA853" w14:textId="77777777" w:rsidR="00A431CA" w:rsidRPr="0078079E" w:rsidRDefault="00A431CA" w:rsidP="00A028F1">
      <w:pPr>
        <w:pStyle w:val="NormalWeb"/>
        <w:spacing w:before="0" w:beforeAutospacing="0" w:after="0" w:afterAutospacing="0"/>
        <w:ind w:left="720" w:hanging="720"/>
        <w:jc w:val="both"/>
      </w:pPr>
    </w:p>
    <w:p w14:paraId="56CF5044" w14:textId="77777777" w:rsidR="00A431CA" w:rsidRPr="0078079E" w:rsidRDefault="00DB74BC" w:rsidP="00A028F1">
      <w:pPr>
        <w:pStyle w:val="NormalWeb"/>
        <w:spacing w:before="0" w:beforeAutospacing="0" w:after="0" w:afterAutospacing="0"/>
        <w:ind w:left="720" w:hanging="720"/>
        <w:jc w:val="both"/>
      </w:pPr>
      <w:r w:rsidRPr="0078079E">
        <w:t xml:space="preserve">Oloyede, H. O. B., Ajiboye, T. O., Komolafe, Y. O., &amp; Salau, A. K. (2013). Polyphenolic extract of Blighia sapida arilli prevents N-nitrosodiethylamine-mediated oxidative onslaught on microsomal protein, lipid and DNA. </w:t>
      </w:r>
      <w:r w:rsidRPr="0078079E">
        <w:rPr>
          <w:i/>
          <w:iCs/>
        </w:rPr>
        <w:t>Food Bioscience</w:t>
      </w:r>
      <w:r w:rsidRPr="0078079E">
        <w:t xml:space="preserve">, </w:t>
      </w:r>
      <w:r w:rsidRPr="0078079E">
        <w:rPr>
          <w:i/>
          <w:iCs/>
        </w:rPr>
        <w:t>1</w:t>
      </w:r>
      <w:r w:rsidRPr="0078079E">
        <w:t xml:space="preserve">, 48–56. </w:t>
      </w:r>
      <w:hyperlink r:id="rId33" w:history="1">
        <w:r w:rsidRPr="0078079E">
          <w:rPr>
            <w:rStyle w:val="Hyperlink"/>
          </w:rPr>
          <w:t>https://doi.org/10.1016/j.fbio.2013.03.003</w:t>
        </w:r>
      </w:hyperlink>
    </w:p>
    <w:p w14:paraId="6A4731EB" w14:textId="77777777" w:rsidR="00A431CA" w:rsidRPr="0078079E" w:rsidRDefault="00A431CA" w:rsidP="00A028F1">
      <w:pPr>
        <w:pStyle w:val="NormalWeb"/>
        <w:spacing w:before="0" w:beforeAutospacing="0" w:after="0" w:afterAutospacing="0"/>
        <w:ind w:left="720" w:hanging="720"/>
        <w:jc w:val="both"/>
      </w:pPr>
    </w:p>
    <w:p w14:paraId="4852EFD1" w14:textId="77777777" w:rsidR="00A431CA" w:rsidRPr="0078079E" w:rsidRDefault="00DB74BC" w:rsidP="00A028F1">
      <w:pPr>
        <w:pStyle w:val="NormalWeb"/>
        <w:spacing w:before="0" w:beforeAutospacing="0" w:after="0" w:afterAutospacing="0"/>
        <w:ind w:left="720" w:hanging="720"/>
        <w:jc w:val="both"/>
        <w:rPr>
          <w:rStyle w:val="Hyperlink"/>
        </w:rPr>
      </w:pPr>
      <w:r w:rsidRPr="0078079E">
        <w:t xml:space="preserve">Oloyede, O. B., Ajiboye, T. O., Abdussalam, A., &amp; Adeleye, A. O. (2014). Blighia sapida leaves halt elevated blood glucose, dyslipidemia and oxidative stress in alloxan-induced diabetic rats. </w:t>
      </w:r>
      <w:r w:rsidRPr="0078079E">
        <w:rPr>
          <w:i/>
          <w:iCs/>
        </w:rPr>
        <w:t>Journal of Ethnopharmacology</w:t>
      </w:r>
      <w:r w:rsidRPr="0078079E">
        <w:t xml:space="preserve">, </w:t>
      </w:r>
      <w:r w:rsidRPr="0078079E">
        <w:rPr>
          <w:i/>
          <w:iCs/>
        </w:rPr>
        <w:t>157</w:t>
      </w:r>
      <w:r w:rsidRPr="0078079E">
        <w:t xml:space="preserve">, 309–319. </w:t>
      </w:r>
      <w:hyperlink r:id="rId34" w:history="1">
        <w:r w:rsidRPr="0078079E">
          <w:rPr>
            <w:rStyle w:val="Hyperlink"/>
          </w:rPr>
          <w:t>https://doi.org/10.1016/j.jep.2014.08.022</w:t>
        </w:r>
      </w:hyperlink>
    </w:p>
    <w:p w14:paraId="30C710E6" w14:textId="77777777" w:rsidR="00A431CA" w:rsidRPr="0078079E" w:rsidRDefault="00A431CA" w:rsidP="00A028F1">
      <w:pPr>
        <w:pStyle w:val="NormalWeb"/>
        <w:spacing w:before="0" w:beforeAutospacing="0" w:after="0" w:afterAutospacing="0"/>
        <w:ind w:left="720" w:hanging="720"/>
        <w:jc w:val="both"/>
        <w:rPr>
          <w:rStyle w:val="url"/>
        </w:rPr>
      </w:pPr>
    </w:p>
    <w:p w14:paraId="5FE01794" w14:textId="77777777" w:rsidR="00A431CA" w:rsidRPr="0078079E" w:rsidRDefault="00DB74BC" w:rsidP="00A028F1">
      <w:pPr>
        <w:pStyle w:val="NormalWeb"/>
        <w:spacing w:before="0" w:beforeAutospacing="0" w:after="0" w:afterAutospacing="0"/>
        <w:ind w:left="720" w:hanging="720"/>
        <w:jc w:val="both"/>
        <w:rPr>
          <w:rStyle w:val="Hyperlink"/>
        </w:rPr>
      </w:pPr>
      <w:r w:rsidRPr="0078079E">
        <w:t xml:space="preserve">Paul, T. J., Taylor, T. A., &amp; Santosh, A. B. R. (2020). The potential of saponin from Jamaica’s Blighia sapida (ackee) as a substitute for sodium lauryl sulphate in toothpaste. </w:t>
      </w:r>
      <w:r w:rsidRPr="0078079E">
        <w:rPr>
          <w:i/>
          <w:iCs/>
        </w:rPr>
        <w:t>Medical Hypotheses</w:t>
      </w:r>
      <w:r w:rsidRPr="0078079E">
        <w:t xml:space="preserve">, </w:t>
      </w:r>
      <w:r w:rsidRPr="0078079E">
        <w:rPr>
          <w:i/>
          <w:iCs/>
        </w:rPr>
        <w:t>137</w:t>
      </w:r>
      <w:r w:rsidRPr="0078079E">
        <w:t xml:space="preserve">, 109555. </w:t>
      </w:r>
      <w:hyperlink r:id="rId35" w:history="1">
        <w:r w:rsidRPr="0078079E">
          <w:rPr>
            <w:rStyle w:val="Hyperlink"/>
          </w:rPr>
          <w:t>https://doi.org/10.1016/j.mehy.2020.109555</w:t>
        </w:r>
      </w:hyperlink>
    </w:p>
    <w:p w14:paraId="32F5624E" w14:textId="77777777" w:rsidR="00A431CA" w:rsidRPr="0078079E" w:rsidRDefault="00A431CA" w:rsidP="00A028F1">
      <w:pPr>
        <w:pStyle w:val="NormalWeb"/>
        <w:spacing w:before="0" w:beforeAutospacing="0" w:after="0" w:afterAutospacing="0"/>
        <w:ind w:left="720" w:hanging="720"/>
        <w:jc w:val="both"/>
        <w:rPr>
          <w:rStyle w:val="url"/>
        </w:rPr>
      </w:pPr>
    </w:p>
    <w:p w14:paraId="0AC92680" w14:textId="77777777" w:rsidR="00A431CA" w:rsidRPr="0078079E" w:rsidRDefault="00A431CA" w:rsidP="00A028F1">
      <w:pPr>
        <w:pStyle w:val="NormalWeb"/>
        <w:spacing w:before="0" w:beforeAutospacing="0" w:after="0" w:afterAutospacing="0"/>
        <w:ind w:left="720" w:hanging="720"/>
        <w:jc w:val="both"/>
      </w:pPr>
    </w:p>
    <w:p w14:paraId="61D6C002" w14:textId="77777777" w:rsidR="00A431CA" w:rsidRPr="0078079E" w:rsidRDefault="00DB74BC" w:rsidP="00A028F1">
      <w:pPr>
        <w:pStyle w:val="NormalWeb"/>
        <w:spacing w:before="0" w:beforeAutospacing="0" w:after="0" w:afterAutospacing="0"/>
        <w:ind w:left="720" w:hanging="720"/>
        <w:jc w:val="both"/>
        <w:rPr>
          <w:rStyle w:val="Hyperlink"/>
        </w:rPr>
      </w:pPr>
      <w:r w:rsidRPr="0078079E">
        <w:t xml:space="preserve">Phillip O. A., Adebayo S. D., &amp; Waheed A.O. (2019). Phytochemical screening and in vitro antioxidant activity of hydro-ethanolic extract of Blighia sapida stem bark. </w:t>
      </w:r>
      <w:r w:rsidRPr="0078079E">
        <w:rPr>
          <w:i/>
          <w:iCs/>
        </w:rPr>
        <w:t>Journal of Biology, Agriculture and Health care, 9</w:t>
      </w:r>
      <w:r w:rsidRPr="0078079E">
        <w:t xml:space="preserve">(16). </w:t>
      </w:r>
      <w:hyperlink r:id="rId36" w:history="1">
        <w:r w:rsidRPr="0078079E">
          <w:rPr>
            <w:rStyle w:val="Hyperlink"/>
          </w:rPr>
          <w:t>https://doi.10.7176/JBAH</w:t>
        </w:r>
      </w:hyperlink>
    </w:p>
    <w:p w14:paraId="0690FFD2" w14:textId="77777777" w:rsidR="00A431CA" w:rsidRPr="0078079E" w:rsidRDefault="00A431CA" w:rsidP="00A028F1">
      <w:pPr>
        <w:pStyle w:val="NormalWeb"/>
        <w:spacing w:before="0" w:beforeAutospacing="0" w:after="0" w:afterAutospacing="0"/>
        <w:ind w:left="720" w:hanging="720"/>
        <w:jc w:val="both"/>
        <w:rPr>
          <w:rStyle w:val="Hyperlink"/>
        </w:rPr>
      </w:pPr>
    </w:p>
    <w:p w14:paraId="03B2CEC5" w14:textId="77777777" w:rsidR="00A431CA" w:rsidRPr="0078079E" w:rsidRDefault="00DB74BC" w:rsidP="00A028F1">
      <w:pPr>
        <w:pStyle w:val="NormalWeb"/>
        <w:spacing w:before="0" w:beforeAutospacing="0" w:after="0" w:afterAutospacing="0"/>
        <w:ind w:left="720" w:hanging="720"/>
        <w:jc w:val="both"/>
      </w:pPr>
      <w:r w:rsidRPr="0078079E">
        <w:t xml:space="preserve">Pinar, O., &amp; Rodríguez-Couto, S. (2024). Biologically active secondary metabolites from white-rot fungi. </w:t>
      </w:r>
      <w:r w:rsidRPr="0078079E">
        <w:rPr>
          <w:i/>
          <w:iCs/>
        </w:rPr>
        <w:t>Frontiers in Chemistry</w:t>
      </w:r>
      <w:r w:rsidRPr="0078079E">
        <w:t xml:space="preserve">, </w:t>
      </w:r>
      <w:r w:rsidRPr="0078079E">
        <w:rPr>
          <w:i/>
          <w:iCs/>
        </w:rPr>
        <w:t>12</w:t>
      </w:r>
      <w:r w:rsidRPr="0078079E">
        <w:t xml:space="preserve">. </w:t>
      </w:r>
      <w:hyperlink r:id="rId37" w:history="1">
        <w:r w:rsidRPr="0078079E">
          <w:rPr>
            <w:rStyle w:val="Hyperlink"/>
          </w:rPr>
          <w:t>https://doi.org/10.3389/fchem.2024.1363354</w:t>
        </w:r>
      </w:hyperlink>
    </w:p>
    <w:p w14:paraId="7DB306DF" w14:textId="77777777" w:rsidR="00A431CA" w:rsidRPr="0078079E" w:rsidRDefault="00A431CA" w:rsidP="00A028F1">
      <w:pPr>
        <w:pStyle w:val="NormalWeb"/>
        <w:spacing w:before="0" w:beforeAutospacing="0" w:after="0" w:afterAutospacing="0"/>
        <w:ind w:left="720" w:hanging="720"/>
        <w:jc w:val="both"/>
        <w:rPr>
          <w:rStyle w:val="url"/>
          <w:color w:val="0563C1"/>
          <w:u w:val="single"/>
        </w:rPr>
      </w:pPr>
    </w:p>
    <w:p w14:paraId="581B98C3" w14:textId="77777777" w:rsidR="00A431CA" w:rsidRPr="0078079E" w:rsidRDefault="00DB74BC" w:rsidP="00A028F1">
      <w:pPr>
        <w:pStyle w:val="NormalWeb"/>
        <w:spacing w:before="0" w:beforeAutospacing="0" w:after="0" w:afterAutospacing="0"/>
        <w:ind w:left="720" w:hanging="720"/>
        <w:jc w:val="both"/>
        <w:rPr>
          <w:rStyle w:val="Hyperlink"/>
        </w:rPr>
      </w:pPr>
      <w:r w:rsidRPr="0078079E">
        <w:t xml:space="preserve">Shraim, A., Ahmed, T., Rahman, M., &amp; Hijji, Y. M. (2021b). Determination of total flavonoid content by aluminum chloride assay: A critical evaluation. </w:t>
      </w:r>
      <w:r w:rsidRPr="0078079E">
        <w:rPr>
          <w:i/>
          <w:iCs/>
        </w:rPr>
        <w:t>Lebensmittel-Wissenschaft + Technologie/Food Science &amp; Technology</w:t>
      </w:r>
      <w:r w:rsidRPr="0078079E">
        <w:t xml:space="preserve">, </w:t>
      </w:r>
      <w:r w:rsidRPr="0078079E">
        <w:rPr>
          <w:i/>
          <w:iCs/>
        </w:rPr>
        <w:t>150</w:t>
      </w:r>
      <w:r w:rsidRPr="0078079E">
        <w:t xml:space="preserve">, 111932. </w:t>
      </w:r>
      <w:hyperlink r:id="rId38" w:history="1">
        <w:r w:rsidRPr="0078079E">
          <w:rPr>
            <w:rStyle w:val="Hyperlink"/>
          </w:rPr>
          <w:t>https://doi.org/10.1016/j.lwt.2021.111932</w:t>
        </w:r>
      </w:hyperlink>
    </w:p>
    <w:p w14:paraId="35C06581" w14:textId="77777777" w:rsidR="00A431CA" w:rsidRPr="0078079E" w:rsidRDefault="00A431CA" w:rsidP="00A028F1">
      <w:pPr>
        <w:pStyle w:val="NormalWeb"/>
        <w:spacing w:before="0" w:beforeAutospacing="0" w:after="0" w:afterAutospacing="0"/>
        <w:ind w:left="720" w:hanging="720"/>
        <w:jc w:val="both"/>
        <w:rPr>
          <w:rStyle w:val="url"/>
        </w:rPr>
      </w:pPr>
    </w:p>
    <w:p w14:paraId="3102D896" w14:textId="77777777" w:rsidR="00A431CA" w:rsidRPr="0078079E" w:rsidRDefault="00DB74BC" w:rsidP="00A028F1">
      <w:pPr>
        <w:pStyle w:val="NormalWeb"/>
        <w:spacing w:before="0" w:beforeAutospacing="0" w:after="0" w:afterAutospacing="0"/>
        <w:ind w:left="720" w:hanging="720"/>
        <w:jc w:val="both"/>
        <w:rPr>
          <w:rStyle w:val="Hyperlink"/>
        </w:rPr>
      </w:pPr>
      <w:r w:rsidRPr="0078079E">
        <w:t xml:space="preserve">Siddiqui, N., Rauf, A., Latif, A., &amp; Mahmood, Z. (2017). Spectrophotometric determination of the total phenolic content, spectral and fluorescence study of the herbal Unani drug Gul-e-Zoofa </w:t>
      </w:r>
      <w:proofErr w:type="gramStart"/>
      <w:r w:rsidRPr="0078079E">
        <w:t>( Nepeta</w:t>
      </w:r>
      <w:proofErr w:type="gramEnd"/>
      <w:r w:rsidRPr="0078079E">
        <w:t xml:space="preserve"> bracteata Benth). </w:t>
      </w:r>
      <w:r w:rsidRPr="0078079E">
        <w:rPr>
          <w:i/>
          <w:iCs/>
        </w:rPr>
        <w:t>Journal of Taibah University Medical Sciences</w:t>
      </w:r>
      <w:r w:rsidRPr="0078079E">
        <w:t xml:space="preserve">, </w:t>
      </w:r>
      <w:r w:rsidRPr="0078079E">
        <w:rPr>
          <w:i/>
          <w:iCs/>
        </w:rPr>
        <w:t>12</w:t>
      </w:r>
      <w:r w:rsidRPr="0078079E">
        <w:t xml:space="preserve">(4), 360–363. </w:t>
      </w:r>
      <w:hyperlink r:id="rId39" w:history="1">
        <w:r w:rsidRPr="0078079E">
          <w:rPr>
            <w:rStyle w:val="Hyperlink"/>
          </w:rPr>
          <w:t>https://doi.org/10.1016/j.jtumed.2016.11.006</w:t>
        </w:r>
      </w:hyperlink>
    </w:p>
    <w:p w14:paraId="553BBA59" w14:textId="77777777" w:rsidR="00A431CA" w:rsidRPr="0078079E" w:rsidRDefault="00A431CA" w:rsidP="00A028F1">
      <w:pPr>
        <w:pStyle w:val="NormalWeb"/>
        <w:spacing w:before="0" w:beforeAutospacing="0" w:after="0" w:afterAutospacing="0"/>
        <w:ind w:left="720" w:hanging="720"/>
        <w:jc w:val="both"/>
        <w:rPr>
          <w:rStyle w:val="url"/>
        </w:rPr>
      </w:pPr>
    </w:p>
    <w:p w14:paraId="6F68C996" w14:textId="77777777" w:rsidR="00A431CA" w:rsidRPr="0078079E" w:rsidRDefault="00DB74BC" w:rsidP="00A028F1">
      <w:pPr>
        <w:pStyle w:val="NormalWeb"/>
        <w:spacing w:before="0" w:beforeAutospacing="0" w:after="0" w:afterAutospacing="0"/>
        <w:ind w:left="720" w:hanging="720"/>
        <w:jc w:val="both"/>
      </w:pPr>
      <w:r w:rsidRPr="0078079E">
        <w:lastRenderedPageBreak/>
        <w:t xml:space="preserve">Synytsya, A., Monkai, J., Bleha, R., Macurkova, A., Ruml, T., Ahn, J., &amp; Chukeatirote, E. (2017). Antimicrobial activity of crude extracts prepared from fungal mycelia. </w:t>
      </w:r>
      <w:r w:rsidRPr="0078079E">
        <w:rPr>
          <w:i/>
          <w:iCs/>
        </w:rPr>
        <w:t>Asian Pacific Journal of Tropical Biomedicine</w:t>
      </w:r>
      <w:r w:rsidRPr="0078079E">
        <w:t xml:space="preserve">, </w:t>
      </w:r>
      <w:r w:rsidRPr="0078079E">
        <w:rPr>
          <w:i/>
          <w:iCs/>
        </w:rPr>
        <w:t>7</w:t>
      </w:r>
      <w:r w:rsidRPr="0078079E">
        <w:t xml:space="preserve">(3), 257–261. </w:t>
      </w:r>
      <w:hyperlink r:id="rId40" w:history="1">
        <w:r w:rsidRPr="0078079E">
          <w:rPr>
            <w:rStyle w:val="Hyperlink"/>
          </w:rPr>
          <w:t>https://doi.org/10.1016/j.apjtb.2016.12.011</w:t>
        </w:r>
      </w:hyperlink>
    </w:p>
    <w:p w14:paraId="220A76DB" w14:textId="77777777" w:rsidR="00A431CA" w:rsidRPr="0078079E" w:rsidRDefault="00A431CA" w:rsidP="00A028F1">
      <w:pPr>
        <w:pStyle w:val="NormalWeb"/>
        <w:spacing w:before="0" w:beforeAutospacing="0" w:after="0" w:afterAutospacing="0"/>
        <w:ind w:left="720" w:hanging="720"/>
        <w:jc w:val="both"/>
        <w:rPr>
          <w:color w:val="0563C1"/>
          <w:u w:val="single"/>
        </w:rPr>
      </w:pPr>
    </w:p>
    <w:p w14:paraId="067E70AD" w14:textId="77777777" w:rsidR="00A431CA" w:rsidRPr="0078079E" w:rsidRDefault="00DB74BC" w:rsidP="00A028F1">
      <w:pPr>
        <w:pStyle w:val="NormalWeb"/>
        <w:spacing w:before="0" w:beforeAutospacing="0" w:after="0" w:afterAutospacing="0"/>
        <w:ind w:left="720" w:hanging="720"/>
        <w:jc w:val="both"/>
        <w:rPr>
          <w:rStyle w:val="Hyperlink"/>
        </w:rPr>
      </w:pPr>
      <w:r w:rsidRPr="0078079E">
        <w:t xml:space="preserve">Tomasina, F., Carabio, C., Celano, L., &amp; Thomson, L. (2012). Analysis of two methods to evaluate antioxidants. </w:t>
      </w:r>
      <w:r w:rsidRPr="0078079E">
        <w:rPr>
          <w:i/>
          <w:iCs/>
        </w:rPr>
        <w:t>Biochemistry and Molecular Biology Education</w:t>
      </w:r>
      <w:r w:rsidRPr="0078079E">
        <w:t xml:space="preserve">, </w:t>
      </w:r>
      <w:r w:rsidRPr="0078079E">
        <w:rPr>
          <w:i/>
          <w:iCs/>
        </w:rPr>
        <w:t>40</w:t>
      </w:r>
      <w:r w:rsidRPr="0078079E">
        <w:t xml:space="preserve">(4), 266–270. </w:t>
      </w:r>
      <w:hyperlink r:id="rId41" w:history="1">
        <w:r w:rsidRPr="0078079E">
          <w:rPr>
            <w:rStyle w:val="Hyperlink"/>
          </w:rPr>
          <w:t>https://doi.org/10.1002/bmb.20617</w:t>
        </w:r>
      </w:hyperlink>
    </w:p>
    <w:p w14:paraId="3BB54A68" w14:textId="77777777" w:rsidR="00A431CA" w:rsidRPr="0078079E" w:rsidRDefault="00A431CA" w:rsidP="00A028F1">
      <w:pPr>
        <w:pStyle w:val="NormalWeb"/>
        <w:spacing w:before="0" w:beforeAutospacing="0" w:after="0" w:afterAutospacing="0"/>
        <w:ind w:left="720" w:hanging="720"/>
        <w:jc w:val="both"/>
        <w:rPr>
          <w:rStyle w:val="url"/>
        </w:rPr>
      </w:pPr>
    </w:p>
    <w:p w14:paraId="34F43C0B" w14:textId="77777777" w:rsidR="00A431CA" w:rsidRPr="0078079E" w:rsidRDefault="00DB74BC" w:rsidP="00A028F1">
      <w:pPr>
        <w:pStyle w:val="NormalWeb"/>
        <w:spacing w:before="0" w:beforeAutospacing="0" w:after="0" w:afterAutospacing="0"/>
        <w:ind w:left="720" w:hanging="720"/>
        <w:jc w:val="both"/>
        <w:rPr>
          <w:rStyle w:val="Hyperlink"/>
        </w:rPr>
      </w:pPr>
      <w:r w:rsidRPr="0078079E">
        <w:t xml:space="preserve">Ugboko, H. U., Nwinyi, O. C., Oranusi, S. U., Fatoki, T. H., &amp; Omonhinmin, C. A. (2020a). Antimicrobial importance of medicinal plants in Nigeria. </w:t>
      </w:r>
      <w:r w:rsidRPr="0078079E">
        <w:rPr>
          <w:rFonts w:ascii="Calibri" w:hAnsi="Calibri" w:cs="Calibri"/>
          <w:i/>
          <w:iCs/>
        </w:rPr>
        <w:t></w:t>
      </w:r>
      <w:r w:rsidRPr="0078079E">
        <w:rPr>
          <w:i/>
          <w:iCs/>
        </w:rPr>
        <w:t xml:space="preserve">the </w:t>
      </w:r>
      <w:r w:rsidRPr="0078079E">
        <w:rPr>
          <w:rFonts w:ascii="Calibri" w:hAnsi="Calibri" w:cs="Calibri"/>
          <w:i/>
          <w:iCs/>
        </w:rPr>
        <w:t></w:t>
      </w:r>
      <w:r w:rsidRPr="0078079E">
        <w:rPr>
          <w:i/>
          <w:iCs/>
        </w:rPr>
        <w:t>Scientific World Journal/TheScientificWorldjournal</w:t>
      </w:r>
      <w:r w:rsidRPr="0078079E">
        <w:t xml:space="preserve">, </w:t>
      </w:r>
      <w:r w:rsidRPr="0078079E">
        <w:rPr>
          <w:i/>
          <w:iCs/>
        </w:rPr>
        <w:t>2020</w:t>
      </w:r>
      <w:r w:rsidRPr="0078079E">
        <w:t xml:space="preserve">, 1–10. </w:t>
      </w:r>
      <w:hyperlink r:id="rId42" w:history="1">
        <w:r w:rsidRPr="0078079E">
          <w:rPr>
            <w:rStyle w:val="Hyperlink"/>
          </w:rPr>
          <w:t>https://doi.org/10.1155/2020/7059323</w:t>
        </w:r>
      </w:hyperlink>
    </w:p>
    <w:p w14:paraId="18B037AF" w14:textId="77777777" w:rsidR="00A431CA" w:rsidRPr="0078079E" w:rsidRDefault="00A431CA" w:rsidP="00A028F1">
      <w:pPr>
        <w:pStyle w:val="NormalWeb"/>
        <w:spacing w:before="0" w:beforeAutospacing="0" w:after="0" w:afterAutospacing="0"/>
        <w:ind w:left="720" w:hanging="720"/>
        <w:jc w:val="both"/>
        <w:rPr>
          <w:rStyle w:val="url"/>
        </w:rPr>
      </w:pPr>
    </w:p>
    <w:p w14:paraId="3B54E534" w14:textId="77777777" w:rsidR="00A431CA" w:rsidRPr="0078079E" w:rsidRDefault="00DB74BC" w:rsidP="00A028F1">
      <w:pPr>
        <w:pStyle w:val="NormalWeb"/>
        <w:spacing w:before="0" w:beforeAutospacing="0" w:after="0" w:afterAutospacing="0"/>
        <w:ind w:left="720" w:hanging="720"/>
        <w:jc w:val="both"/>
        <w:rPr>
          <w:rStyle w:val="Hyperlink"/>
        </w:rPr>
      </w:pPr>
      <w:r w:rsidRPr="0078079E">
        <w:t xml:space="preserve">Van Tan, P. (2018). The Determination of Total Alkaloid, Polyphenol, Flavonoid and Saponin Contents of Pogang gan (Curcuma sp.). </w:t>
      </w:r>
      <w:r w:rsidRPr="0078079E">
        <w:rPr>
          <w:i/>
          <w:iCs/>
        </w:rPr>
        <w:t>International Journal of Biology/Internationa Journal of Biology</w:t>
      </w:r>
      <w:r w:rsidRPr="0078079E">
        <w:t xml:space="preserve">, </w:t>
      </w:r>
      <w:r w:rsidRPr="0078079E">
        <w:rPr>
          <w:i/>
          <w:iCs/>
        </w:rPr>
        <w:t>10</w:t>
      </w:r>
      <w:r w:rsidRPr="0078079E">
        <w:t xml:space="preserve">(4), 42. </w:t>
      </w:r>
      <w:hyperlink r:id="rId43" w:history="1">
        <w:r w:rsidRPr="0078079E">
          <w:rPr>
            <w:rStyle w:val="Hyperlink"/>
          </w:rPr>
          <w:t>https://doi.org/10.5539/ijb.v10n4p42</w:t>
        </w:r>
      </w:hyperlink>
    </w:p>
    <w:p w14:paraId="42E9D14F" w14:textId="77777777" w:rsidR="00A431CA" w:rsidRPr="0078079E" w:rsidRDefault="00A431CA" w:rsidP="00A028F1">
      <w:pPr>
        <w:pStyle w:val="NormalWeb"/>
        <w:spacing w:before="0" w:beforeAutospacing="0" w:after="0" w:afterAutospacing="0"/>
        <w:ind w:left="720" w:hanging="720"/>
        <w:jc w:val="both"/>
        <w:rPr>
          <w:rStyle w:val="url"/>
        </w:rPr>
      </w:pPr>
    </w:p>
    <w:p w14:paraId="1F0FA03D" w14:textId="77777777" w:rsidR="00A431CA" w:rsidRDefault="00DB74BC" w:rsidP="00A028F1">
      <w:pPr>
        <w:pStyle w:val="NormalWeb"/>
        <w:spacing w:before="0" w:beforeAutospacing="0" w:after="0" w:afterAutospacing="0"/>
        <w:ind w:left="720" w:hanging="720"/>
        <w:jc w:val="both"/>
      </w:pPr>
      <w:r w:rsidRPr="0078079E">
        <w:t xml:space="preserve">Wray, D., Goldson-Barnaby, A., &amp; Bailey, D. (2020). ACKEE (Blighia Sapida KD Koenig) - A review of its economic importance, bioactive components, associated health benefits and commercial applications. </w:t>
      </w:r>
      <w:r w:rsidRPr="0078079E">
        <w:rPr>
          <w:i/>
          <w:iCs/>
        </w:rPr>
        <w:t>International Journal of Fruit Science</w:t>
      </w:r>
      <w:r w:rsidRPr="0078079E">
        <w:t xml:space="preserve">, </w:t>
      </w:r>
      <w:r w:rsidRPr="0078079E">
        <w:rPr>
          <w:i/>
          <w:iCs/>
        </w:rPr>
        <w:t>20</w:t>
      </w:r>
      <w:r w:rsidRPr="0078079E">
        <w:t xml:space="preserve">(sup2), S910–S924. </w:t>
      </w:r>
      <w:hyperlink r:id="rId44" w:history="1">
        <w:r w:rsidRPr="0078079E">
          <w:rPr>
            <w:rStyle w:val="Hyperlink"/>
          </w:rPr>
          <w:t>https://doi.org/10.1080/15538362.2020.1772941</w:t>
        </w:r>
      </w:hyperlink>
    </w:p>
    <w:p w14:paraId="32F46377" w14:textId="5CB28D22" w:rsidR="00543952" w:rsidRDefault="00543952" w:rsidP="00A028F1">
      <w:pPr>
        <w:pStyle w:val="NormalWeb"/>
        <w:spacing w:before="0" w:beforeAutospacing="0" w:after="0" w:afterAutospacing="0"/>
        <w:ind w:left="720" w:hanging="720"/>
        <w:jc w:val="both"/>
      </w:pPr>
      <w:r w:rsidRPr="00543952">
        <w:rPr>
          <w:highlight w:val="yellow"/>
        </w:rPr>
        <w:t xml:space="preserve">Ibraheem, O., </w:t>
      </w:r>
      <w:proofErr w:type="spellStart"/>
      <w:r w:rsidRPr="00543952">
        <w:rPr>
          <w:highlight w:val="yellow"/>
        </w:rPr>
        <w:t>Oyeniran</w:t>
      </w:r>
      <w:proofErr w:type="spellEnd"/>
      <w:r w:rsidRPr="00543952">
        <w:rPr>
          <w:highlight w:val="yellow"/>
        </w:rPr>
        <w:t>, O.H., Ogundipe, O.M., et al. (2024). Photo-physical characterizations and evaluation of in-vitro antioxidant, anti-inflammatory and antidiabetic potentials of green synthesized ackee (</w:t>
      </w:r>
      <w:r w:rsidRPr="00543952">
        <w:rPr>
          <w:rStyle w:val="Emphasis"/>
          <w:highlight w:val="yellow"/>
        </w:rPr>
        <w:t xml:space="preserve">Blighia </w:t>
      </w:r>
      <w:proofErr w:type="spellStart"/>
      <w:r w:rsidRPr="00543952">
        <w:rPr>
          <w:rStyle w:val="Emphasis"/>
          <w:highlight w:val="yellow"/>
        </w:rPr>
        <w:t>sapida</w:t>
      </w:r>
      <w:proofErr w:type="spellEnd"/>
      <w:r w:rsidRPr="00543952">
        <w:rPr>
          <w:highlight w:val="yellow"/>
        </w:rPr>
        <w:t xml:space="preserve">) selenium nanoparticles. </w:t>
      </w:r>
      <w:r w:rsidRPr="00543952">
        <w:rPr>
          <w:rStyle w:val="Emphasis"/>
          <w:highlight w:val="yellow"/>
        </w:rPr>
        <w:t>BMC Complementary Medicine and Therapies</w:t>
      </w:r>
      <w:r w:rsidRPr="00543952">
        <w:rPr>
          <w:highlight w:val="yellow"/>
        </w:rPr>
        <w:t xml:space="preserve">, 24, 392. </w:t>
      </w:r>
      <w:hyperlink r:id="rId45" w:tgtFrame="_new" w:history="1">
        <w:r w:rsidRPr="00543952">
          <w:rPr>
            <w:rStyle w:val="Hyperlink"/>
            <w:highlight w:val="yellow"/>
          </w:rPr>
          <w:t>https://doi.org/10.1186/s12906-024-04694-w</w:t>
        </w:r>
      </w:hyperlink>
    </w:p>
    <w:p w14:paraId="4B0F678D" w14:textId="037EC5AC" w:rsidR="00B84D90" w:rsidRDefault="00B84D90" w:rsidP="00A028F1">
      <w:pPr>
        <w:pStyle w:val="NormalWeb"/>
        <w:spacing w:before="0" w:beforeAutospacing="0" w:after="0" w:afterAutospacing="0"/>
        <w:ind w:left="720" w:hanging="720"/>
        <w:jc w:val="both"/>
      </w:pPr>
      <w:r w:rsidRPr="000B5EEC">
        <w:rPr>
          <w:highlight w:val="yellow"/>
        </w:rPr>
        <w:t xml:space="preserve">Yendze, A.W.B., </w:t>
      </w:r>
      <w:proofErr w:type="spellStart"/>
      <w:r w:rsidRPr="000B5EEC">
        <w:rPr>
          <w:highlight w:val="yellow"/>
        </w:rPr>
        <w:t>Mpude</w:t>
      </w:r>
      <w:proofErr w:type="spellEnd"/>
      <w:r w:rsidRPr="000B5EEC">
        <w:rPr>
          <w:highlight w:val="yellow"/>
        </w:rPr>
        <w:t xml:space="preserve">, L., Cadet, E., et al. (2024). Antibacterial and antibiotic-potentiation activities of methanol extracts from </w:t>
      </w:r>
      <w:r w:rsidRPr="000B5EEC">
        <w:rPr>
          <w:rStyle w:val="Emphasis"/>
          <w:highlight w:val="yellow"/>
        </w:rPr>
        <w:t xml:space="preserve">Blighia </w:t>
      </w:r>
      <w:proofErr w:type="spellStart"/>
      <w:r w:rsidRPr="000B5EEC">
        <w:rPr>
          <w:rStyle w:val="Emphasis"/>
          <w:highlight w:val="yellow"/>
        </w:rPr>
        <w:t>sapida</w:t>
      </w:r>
      <w:proofErr w:type="spellEnd"/>
      <w:r w:rsidRPr="000B5EEC">
        <w:rPr>
          <w:highlight w:val="yellow"/>
        </w:rPr>
        <w:t xml:space="preserve"> K.D. Koenig (</w:t>
      </w:r>
      <w:proofErr w:type="spellStart"/>
      <w:r w:rsidRPr="000B5EEC">
        <w:rPr>
          <w:highlight w:val="yellow"/>
        </w:rPr>
        <w:t>Sapindaceae</w:t>
      </w:r>
      <w:proofErr w:type="spellEnd"/>
      <w:r w:rsidRPr="000B5EEC">
        <w:rPr>
          <w:highlight w:val="yellow"/>
        </w:rPr>
        <w:t xml:space="preserve">) against Gram-negative multidrug-resistant bacteria overexpressing efflux pumps. </w:t>
      </w:r>
      <w:r w:rsidRPr="000B5EEC">
        <w:rPr>
          <w:rStyle w:val="Emphasis"/>
          <w:highlight w:val="yellow"/>
        </w:rPr>
        <w:t>Investigational Medicinal Chemistry and Pharmacology</w:t>
      </w:r>
      <w:r w:rsidRPr="000B5EEC">
        <w:rPr>
          <w:highlight w:val="yellow"/>
        </w:rPr>
        <w:t xml:space="preserve">, 7(3), 99. </w:t>
      </w:r>
      <w:hyperlink r:id="rId46" w:history="1">
        <w:r w:rsidRPr="000B5EEC">
          <w:rPr>
            <w:rStyle w:val="Hyperlink"/>
            <w:highlight w:val="yellow"/>
          </w:rPr>
          <w:t>https://dx.doi.org/10.31183/imcp.2024.00099</w:t>
        </w:r>
      </w:hyperlink>
      <w:r>
        <w:t xml:space="preserve"> </w:t>
      </w:r>
    </w:p>
    <w:p w14:paraId="5CBF1998" w14:textId="77777777" w:rsidR="000D068F" w:rsidRDefault="000D068F" w:rsidP="000D068F">
      <w:pPr>
        <w:rPr>
          <w:sz w:val="20"/>
          <w:szCs w:val="20"/>
          <w:lang w:val="en-GB"/>
        </w:rPr>
      </w:pPr>
      <w:r w:rsidRPr="00C6701F">
        <w:rPr>
          <w:sz w:val="20"/>
          <w:szCs w:val="20"/>
          <w:highlight w:val="yellow"/>
          <w:lang w:val="en-GB"/>
        </w:rPr>
        <w:t xml:space="preserve">Olayinka, J. N., </w:t>
      </w:r>
      <w:proofErr w:type="spellStart"/>
      <w:r w:rsidRPr="00C6701F">
        <w:rPr>
          <w:sz w:val="20"/>
          <w:szCs w:val="20"/>
          <w:highlight w:val="yellow"/>
          <w:lang w:val="en-GB"/>
        </w:rPr>
        <w:t>Ozolua</w:t>
      </w:r>
      <w:proofErr w:type="spellEnd"/>
      <w:r w:rsidRPr="00C6701F">
        <w:rPr>
          <w:sz w:val="20"/>
          <w:szCs w:val="20"/>
          <w:highlight w:val="yellow"/>
          <w:lang w:val="en-GB"/>
        </w:rPr>
        <w:t xml:space="preserve">, R. I., &amp; </w:t>
      </w:r>
      <w:proofErr w:type="spellStart"/>
      <w:r w:rsidRPr="00C6701F">
        <w:rPr>
          <w:sz w:val="20"/>
          <w:szCs w:val="20"/>
          <w:highlight w:val="yellow"/>
          <w:lang w:val="en-GB"/>
        </w:rPr>
        <w:t>Akhigbemen</w:t>
      </w:r>
      <w:proofErr w:type="spellEnd"/>
      <w:r w:rsidRPr="00C6701F">
        <w:rPr>
          <w:sz w:val="20"/>
          <w:szCs w:val="20"/>
          <w:highlight w:val="yellow"/>
          <w:lang w:val="en-GB"/>
        </w:rPr>
        <w:t xml:space="preserve">, A. M. (2021). Phytochemical screening of aqueous leaf extract of Blighia </w:t>
      </w:r>
      <w:proofErr w:type="spellStart"/>
      <w:r w:rsidRPr="00C6701F">
        <w:rPr>
          <w:sz w:val="20"/>
          <w:szCs w:val="20"/>
          <w:highlight w:val="yellow"/>
          <w:lang w:val="en-GB"/>
        </w:rPr>
        <w:t>sapida</w:t>
      </w:r>
      <w:proofErr w:type="spellEnd"/>
      <w:r w:rsidRPr="00C6701F">
        <w:rPr>
          <w:sz w:val="20"/>
          <w:szCs w:val="20"/>
          <w:highlight w:val="yellow"/>
          <w:lang w:val="en-GB"/>
        </w:rPr>
        <w:t xml:space="preserve"> KD Koenig (</w:t>
      </w:r>
      <w:proofErr w:type="spellStart"/>
      <w:r w:rsidRPr="00C6701F">
        <w:rPr>
          <w:sz w:val="20"/>
          <w:szCs w:val="20"/>
          <w:highlight w:val="yellow"/>
          <w:lang w:val="en-GB"/>
        </w:rPr>
        <w:t>Sapindaceae</w:t>
      </w:r>
      <w:proofErr w:type="spellEnd"/>
      <w:r w:rsidRPr="00C6701F">
        <w:rPr>
          <w:sz w:val="20"/>
          <w:szCs w:val="20"/>
          <w:highlight w:val="yellow"/>
          <w:lang w:val="en-GB"/>
        </w:rPr>
        <w:t>) and its analgesic property in mice. Journal of ethnopharmacology, 273, 113977.</w:t>
      </w:r>
    </w:p>
    <w:p w14:paraId="7EDF6F55" w14:textId="060343AD" w:rsidR="000D068F" w:rsidRDefault="000D068F" w:rsidP="00A028F1">
      <w:pPr>
        <w:pStyle w:val="NormalWeb"/>
        <w:spacing w:before="0" w:beforeAutospacing="0" w:after="0" w:afterAutospacing="0"/>
        <w:ind w:left="720" w:hanging="720"/>
        <w:jc w:val="both"/>
      </w:pPr>
      <w:r>
        <w:t xml:space="preserve"> </w:t>
      </w:r>
    </w:p>
    <w:p w14:paraId="1425E12E" w14:textId="77777777" w:rsidR="002A2E36" w:rsidRDefault="002A2E36" w:rsidP="00A028F1">
      <w:pPr>
        <w:pStyle w:val="NormalWeb"/>
        <w:spacing w:before="0" w:beforeAutospacing="0" w:after="0" w:afterAutospacing="0"/>
        <w:ind w:left="720" w:hanging="720"/>
        <w:jc w:val="both"/>
      </w:pPr>
    </w:p>
    <w:p w14:paraId="23C6BD26" w14:textId="2659498F" w:rsidR="008F23EA" w:rsidRDefault="008F23EA" w:rsidP="00A028F1">
      <w:pPr>
        <w:pStyle w:val="NormalWeb"/>
        <w:spacing w:before="0" w:beforeAutospacing="0" w:after="0" w:afterAutospacing="0"/>
        <w:ind w:left="720" w:hanging="720"/>
        <w:jc w:val="both"/>
        <w:rPr>
          <w:rStyle w:val="url"/>
        </w:rPr>
      </w:pPr>
    </w:p>
    <w:p w14:paraId="35830426" w14:textId="77777777" w:rsidR="00A431CA" w:rsidRDefault="00A431CA" w:rsidP="00A028F1">
      <w:pPr>
        <w:pStyle w:val="NormalWeb"/>
        <w:spacing w:before="0" w:beforeAutospacing="0" w:after="0" w:afterAutospacing="0"/>
        <w:ind w:left="720" w:hanging="720"/>
        <w:jc w:val="both"/>
        <w:rPr>
          <w:rStyle w:val="url"/>
        </w:rPr>
      </w:pPr>
    </w:p>
    <w:p w14:paraId="7E430449" w14:textId="77777777" w:rsidR="00A431CA" w:rsidRDefault="00A431CA" w:rsidP="00A028F1">
      <w:pPr>
        <w:pStyle w:val="NormalWeb"/>
        <w:spacing w:before="0" w:beforeAutospacing="0" w:after="0" w:afterAutospacing="0"/>
        <w:ind w:left="720" w:hanging="720"/>
        <w:jc w:val="both"/>
      </w:pPr>
    </w:p>
    <w:p w14:paraId="6C086698" w14:textId="77777777" w:rsidR="00A431CA" w:rsidRDefault="00A431CA" w:rsidP="00A028F1">
      <w:pPr>
        <w:spacing w:line="240" w:lineRule="auto"/>
        <w:jc w:val="both"/>
        <w:rPr>
          <w:rFonts w:ascii="Times New Roman" w:hAnsi="Times New Roman" w:cs="Times New Roman"/>
          <w:sz w:val="24"/>
          <w:szCs w:val="24"/>
        </w:rPr>
      </w:pPr>
    </w:p>
    <w:sectPr w:rsidR="00A431CA">
      <w:headerReference w:type="even" r:id="rId47"/>
      <w:headerReference w:type="default" r:id="rId48"/>
      <w:footerReference w:type="even" r:id="rId49"/>
      <w:footerReference w:type="default" r:id="rId50"/>
      <w:headerReference w:type="first" r:id="rId51"/>
      <w:footerReference w:type="first" r:id="rId5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923BA" w14:textId="77777777" w:rsidR="001500DD" w:rsidRDefault="001500DD" w:rsidP="003465DC">
      <w:pPr>
        <w:spacing w:after="0" w:line="240" w:lineRule="auto"/>
      </w:pPr>
      <w:r>
        <w:separator/>
      </w:r>
    </w:p>
  </w:endnote>
  <w:endnote w:type="continuationSeparator" w:id="0">
    <w:p w14:paraId="6B356750" w14:textId="77777777" w:rsidR="001500DD" w:rsidRDefault="001500DD" w:rsidP="00346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D1484" w14:textId="77777777" w:rsidR="003465DC" w:rsidRDefault="003465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7CAAC" w14:textId="77777777" w:rsidR="003465DC" w:rsidRDefault="003465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95A3A" w14:textId="77777777" w:rsidR="003465DC" w:rsidRDefault="003465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7ACC5" w14:textId="77777777" w:rsidR="001500DD" w:rsidRDefault="001500DD" w:rsidP="003465DC">
      <w:pPr>
        <w:spacing w:after="0" w:line="240" w:lineRule="auto"/>
      </w:pPr>
      <w:r>
        <w:separator/>
      </w:r>
    </w:p>
  </w:footnote>
  <w:footnote w:type="continuationSeparator" w:id="0">
    <w:p w14:paraId="49E111FD" w14:textId="77777777" w:rsidR="001500DD" w:rsidRDefault="001500DD" w:rsidP="003465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460F1" w14:textId="56A61891" w:rsidR="003465DC" w:rsidRDefault="00000000">
    <w:pPr>
      <w:pStyle w:val="Header"/>
    </w:pPr>
    <w:r>
      <w:rPr>
        <w:noProof/>
      </w:rPr>
      <w:pict w14:anchorId="7F395C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076532" o:spid="_x0000_s1026" type="#_x0000_t136" style="position:absolute;margin-left:0;margin-top:0;width:555.05pt;height:104.6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8F97F" w14:textId="67873B13" w:rsidR="003465DC" w:rsidRDefault="00000000">
    <w:pPr>
      <w:pStyle w:val="Header"/>
    </w:pPr>
    <w:r>
      <w:rPr>
        <w:noProof/>
      </w:rPr>
      <w:pict w14:anchorId="53F48B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076533" o:spid="_x0000_s1027" type="#_x0000_t136" style="position:absolute;margin-left:0;margin-top:0;width:555.05pt;height:104.6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66672" w14:textId="16C05298" w:rsidR="003465DC" w:rsidRDefault="00000000">
    <w:pPr>
      <w:pStyle w:val="Header"/>
    </w:pPr>
    <w:r>
      <w:rPr>
        <w:noProof/>
      </w:rPr>
      <w:pict w14:anchorId="04499A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076531" o:spid="_x0000_s1025" type="#_x0000_t136" style="position:absolute;margin-left:0;margin-top:0;width:555.05pt;height:104.6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M2MbM0tTSwMDcxM7BQ0lEKTi0uzszPAykwrgUARRKeYSwAAAA="/>
  </w:docVars>
  <w:rsids>
    <w:rsidRoot w:val="00A431CA"/>
    <w:rsid w:val="00012E59"/>
    <w:rsid w:val="00044331"/>
    <w:rsid w:val="000655C5"/>
    <w:rsid w:val="000A46B1"/>
    <w:rsid w:val="000B5EEC"/>
    <w:rsid w:val="000D068F"/>
    <w:rsid w:val="000E6A56"/>
    <w:rsid w:val="00101CDF"/>
    <w:rsid w:val="001500DD"/>
    <w:rsid w:val="001B41F8"/>
    <w:rsid w:val="0021062B"/>
    <w:rsid w:val="002A2E36"/>
    <w:rsid w:val="003465DC"/>
    <w:rsid w:val="003E0B0F"/>
    <w:rsid w:val="003F4242"/>
    <w:rsid w:val="00426213"/>
    <w:rsid w:val="004628AF"/>
    <w:rsid w:val="00476387"/>
    <w:rsid w:val="004D0656"/>
    <w:rsid w:val="004D1D9A"/>
    <w:rsid w:val="00516EE6"/>
    <w:rsid w:val="00524B19"/>
    <w:rsid w:val="00543952"/>
    <w:rsid w:val="00661FDD"/>
    <w:rsid w:val="006A71AE"/>
    <w:rsid w:val="006B1899"/>
    <w:rsid w:val="00702626"/>
    <w:rsid w:val="00706E33"/>
    <w:rsid w:val="00741A0C"/>
    <w:rsid w:val="0076402A"/>
    <w:rsid w:val="0078079E"/>
    <w:rsid w:val="007F05C8"/>
    <w:rsid w:val="008765E4"/>
    <w:rsid w:val="00880EE5"/>
    <w:rsid w:val="008C397B"/>
    <w:rsid w:val="008D113A"/>
    <w:rsid w:val="008E2219"/>
    <w:rsid w:val="008F23EA"/>
    <w:rsid w:val="009D2F22"/>
    <w:rsid w:val="00A028F1"/>
    <w:rsid w:val="00A431CA"/>
    <w:rsid w:val="00A63D7F"/>
    <w:rsid w:val="00A874F6"/>
    <w:rsid w:val="00AB2D8D"/>
    <w:rsid w:val="00AB5D08"/>
    <w:rsid w:val="00AE71D6"/>
    <w:rsid w:val="00B04B71"/>
    <w:rsid w:val="00B339E9"/>
    <w:rsid w:val="00B84D90"/>
    <w:rsid w:val="00B93B76"/>
    <w:rsid w:val="00BE5D05"/>
    <w:rsid w:val="00C6701F"/>
    <w:rsid w:val="00CA1601"/>
    <w:rsid w:val="00DB74BC"/>
    <w:rsid w:val="00E07C1B"/>
    <w:rsid w:val="00E14BD9"/>
    <w:rsid w:val="00F374F4"/>
    <w:rsid w:val="00FC5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2B955"/>
  <w15:docId w15:val="{554FF6A7-10F1-47DB-B082-6337D1A0F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1B41F8"/>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563C1"/>
      <w:u w:val="single"/>
    </w:rPr>
  </w:style>
  <w:style w:type="character" w:customStyle="1" w:styleId="selectable-text">
    <w:name w:val="selectable-text"/>
    <w:basedOn w:val="DefaultParagraphFont"/>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url">
    <w:name w:val="url"/>
    <w:basedOn w:val="DefaultParagraphFont"/>
  </w:style>
  <w:style w:type="table" w:customStyle="1" w:styleId="ListTable6Colorful1">
    <w:name w:val="List Table 6 Colorful1"/>
    <w:basedOn w:val="TableNormal"/>
    <w:uiPriority w:val="51"/>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rPr>
      <w:color w:val="605E5C"/>
      <w:shd w:val="clear" w:color="auto" w:fill="E1DFDD"/>
    </w:rPr>
  </w:style>
  <w:style w:type="character" w:styleId="UnresolvedMention">
    <w:name w:val="Unresolved Mention"/>
    <w:basedOn w:val="DefaultParagraphFont"/>
    <w:uiPriority w:val="99"/>
    <w:semiHidden/>
    <w:unhideWhenUsed/>
    <w:rsid w:val="00012E59"/>
    <w:rPr>
      <w:color w:val="605E5C"/>
      <w:shd w:val="clear" w:color="auto" w:fill="E1DFDD"/>
    </w:rPr>
  </w:style>
  <w:style w:type="paragraph" w:styleId="Header">
    <w:name w:val="header"/>
    <w:basedOn w:val="Normal"/>
    <w:link w:val="HeaderChar"/>
    <w:uiPriority w:val="99"/>
    <w:unhideWhenUsed/>
    <w:rsid w:val="003465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65DC"/>
  </w:style>
  <w:style w:type="paragraph" w:styleId="Footer">
    <w:name w:val="footer"/>
    <w:basedOn w:val="Normal"/>
    <w:link w:val="FooterChar"/>
    <w:uiPriority w:val="99"/>
    <w:unhideWhenUsed/>
    <w:rsid w:val="003465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65DC"/>
  </w:style>
  <w:style w:type="paragraph" w:styleId="NoSpacing">
    <w:name w:val="No Spacing"/>
    <w:uiPriority w:val="1"/>
    <w:qFormat/>
    <w:rsid w:val="00706E33"/>
    <w:pPr>
      <w:spacing w:after="0" w:line="240" w:lineRule="auto"/>
    </w:pPr>
    <w:rPr>
      <w:rFonts w:asciiTheme="minorHAnsi" w:eastAsiaTheme="minorHAnsi" w:hAnsiTheme="minorHAnsi" w:cstheme="minorBidi"/>
      <w:kern w:val="0"/>
      <w:lang w:val="en-GB"/>
      <w14:ligatures w14:val="none"/>
    </w:rPr>
  </w:style>
  <w:style w:type="character" w:styleId="Emphasis">
    <w:name w:val="Emphasis"/>
    <w:basedOn w:val="DefaultParagraphFont"/>
    <w:uiPriority w:val="20"/>
    <w:qFormat/>
    <w:rsid w:val="00A63D7F"/>
    <w:rPr>
      <w:i/>
      <w:iCs/>
    </w:rPr>
  </w:style>
  <w:style w:type="character" w:styleId="Strong">
    <w:name w:val="Strong"/>
    <w:basedOn w:val="DefaultParagraphFont"/>
    <w:uiPriority w:val="22"/>
    <w:qFormat/>
    <w:rsid w:val="00F374F4"/>
    <w:rPr>
      <w:b/>
      <w:bCs/>
    </w:rPr>
  </w:style>
  <w:style w:type="character" w:customStyle="1" w:styleId="Heading3Char">
    <w:name w:val="Heading 3 Char"/>
    <w:basedOn w:val="DefaultParagraphFont"/>
    <w:link w:val="Heading3"/>
    <w:uiPriority w:val="9"/>
    <w:rsid w:val="001B41F8"/>
    <w:rPr>
      <w:rFonts w:ascii="Times New Roman" w:eastAsia="Times New Roman" w:hAnsi="Times New Roman" w:cs="Times New Roman"/>
      <w:b/>
      <w:bCs/>
      <w:kern w:val="0"/>
      <w:sz w:val="27"/>
      <w:szCs w:val="27"/>
      <w14:ligatures w14:val="none"/>
    </w:rPr>
  </w:style>
  <w:style w:type="paragraph" w:styleId="Revision">
    <w:name w:val="Revision"/>
    <w:hidden/>
    <w:uiPriority w:val="99"/>
    <w:semiHidden/>
    <w:rsid w:val="000E6A56"/>
    <w:pPr>
      <w:spacing w:after="0" w:line="240" w:lineRule="auto"/>
    </w:pPr>
  </w:style>
  <w:style w:type="paragraph" w:customStyle="1" w:styleId="isselectedend">
    <w:name w:val="isselectedend"/>
    <w:basedOn w:val="Normal"/>
    <w:rsid w:val="00AB2D8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hyperlink" Target="https://doi.org/10.1089/jmf.2008.0292" TargetMode="External"/><Relationship Id="rId26" Type="http://schemas.openxmlformats.org/officeDocument/2006/relationships/hyperlink" Target="https://doi.org/10.4314/ijbcs.v18i1.2" TargetMode="External"/><Relationship Id="rId39" Type="http://schemas.openxmlformats.org/officeDocument/2006/relationships/hyperlink" Target="https://doi.org/10.1016/j.jtumed.2016.11.006" TargetMode="External"/><Relationship Id="rId21" Type="http://schemas.openxmlformats.org/officeDocument/2006/relationships/hyperlink" Target="https://doi.org/10.1155/2021/5574041" TargetMode="External"/><Relationship Id="rId34" Type="http://schemas.openxmlformats.org/officeDocument/2006/relationships/hyperlink" Target="https://doi.org/10.1016/j.jep.2014.08.022" TargetMode="External"/><Relationship Id="rId42" Type="http://schemas.openxmlformats.org/officeDocument/2006/relationships/hyperlink" Target="https://doi.org/10.1155/2020/7059323" TargetMode="Externa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hyperlink" Target="https://doi.org/10.4314/jasem.v28i1.6" TargetMode="External"/><Relationship Id="rId29" Type="http://schemas.openxmlformats.org/officeDocument/2006/relationships/hyperlink" Target="https://doi.org/10.1128/jcm.38.9.3341-3348.2000" TargetMode="External"/><Relationship Id="rId11" Type="http://schemas.openxmlformats.org/officeDocument/2006/relationships/image" Target="media/image6.png"/><Relationship Id="rId24" Type="http://schemas.openxmlformats.org/officeDocument/2006/relationships/hyperlink" Target="https://doi.org/10.31254/phyto.2017.6608" TargetMode="External"/><Relationship Id="rId32" Type="http://schemas.openxmlformats.org/officeDocument/2006/relationships/hyperlink" Target="https://doi.org/10.1515/jcim-2016-0145" TargetMode="External"/><Relationship Id="rId37" Type="http://schemas.openxmlformats.org/officeDocument/2006/relationships/hyperlink" Target="https://doi.org/10.3389/fchem.2024.1363354" TargetMode="External"/><Relationship Id="rId40" Type="http://schemas.openxmlformats.org/officeDocument/2006/relationships/hyperlink" Target="https://doi.org/10.1016/j.apjtb.2016.12.011" TargetMode="External"/><Relationship Id="rId45" Type="http://schemas.openxmlformats.org/officeDocument/2006/relationships/hyperlink" Target="https://doi.org/10.1186/s12906-024-04694-w" TargetMode="External"/><Relationship Id="rId53"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19" Type="http://schemas.openxmlformats.org/officeDocument/2006/relationships/hyperlink" Target="https://doi.org/10.1016/j.jep.2019.01.017" TargetMode="External"/><Relationship Id="rId31" Type="http://schemas.openxmlformats.org/officeDocument/2006/relationships/hyperlink" Target="https://doi.org/10.1007/s13237-022-00405-3" TargetMode="External"/><Relationship Id="rId44" Type="http://schemas.openxmlformats.org/officeDocument/2006/relationships/hyperlink" Target="https://doi.org/10.1080/15538362.2020.1772941" TargetMode="External"/><Relationship Id="rId52"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yperlink" Target="https://doi.org/10.4314/bajopas.v10i1.53s" TargetMode="External"/><Relationship Id="rId22" Type="http://schemas.openxmlformats.org/officeDocument/2006/relationships/hyperlink" Target="https://doi.org/10.3390/molecules27248999" TargetMode="External"/><Relationship Id="rId27" Type="http://schemas.openxmlformats.org/officeDocument/2006/relationships/hyperlink" Target="https://doi.org/10.11648/j.ijnfs.20140306.17" TargetMode="External"/><Relationship Id="rId30" Type="http://schemas.openxmlformats.org/officeDocument/2006/relationships/hyperlink" Target="https://doi.org/10.1016/j.toxrep.2022.03.036" TargetMode="External"/><Relationship Id="rId35" Type="http://schemas.openxmlformats.org/officeDocument/2006/relationships/hyperlink" Target="https://doi.org/10.1016/j.mehy.2020.109555" TargetMode="External"/><Relationship Id="rId43" Type="http://schemas.openxmlformats.org/officeDocument/2006/relationships/hyperlink" Target="https://doi.org/10.5539/ijb.v10n4p42" TargetMode="External"/><Relationship Id="rId48" Type="http://schemas.openxmlformats.org/officeDocument/2006/relationships/header" Target="header2.xml"/><Relationship Id="rId8" Type="http://schemas.openxmlformats.org/officeDocument/2006/relationships/image" Target="media/image3.png"/><Relationship Id="rId51" Type="http://schemas.openxmlformats.org/officeDocument/2006/relationships/header" Target="header3.xml"/><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hyperlink" Target="https://doi.org/10.4314/jasem.v28i3.226" TargetMode="External"/><Relationship Id="rId25" Type="http://schemas.openxmlformats.org/officeDocument/2006/relationships/hyperlink" Target="https://doi.org/10.31254/phyto.2023.12307" TargetMode="External"/><Relationship Id="rId33" Type="http://schemas.openxmlformats.org/officeDocument/2006/relationships/hyperlink" Target="https://doi.org/10.1016/j.fbio.2013.03.003" TargetMode="External"/><Relationship Id="rId38" Type="http://schemas.openxmlformats.org/officeDocument/2006/relationships/hyperlink" Target="https://doi.org/10.1016/j.lwt.2021.111932" TargetMode="External"/><Relationship Id="rId46" Type="http://schemas.openxmlformats.org/officeDocument/2006/relationships/hyperlink" Target="https://dx.doi.org/10.31183/imcp.2024.00099" TargetMode="External"/><Relationship Id="rId20" Type="http://schemas.openxmlformats.org/officeDocument/2006/relationships/hyperlink" Target="https://www.phytojournal.com/archives/2019/vol8issue4/PartA/8-1-596-997.pdf" TargetMode="External"/><Relationship Id="rId41" Type="http://schemas.openxmlformats.org/officeDocument/2006/relationships/hyperlink" Target="https://doi.org/10.1002/bmb.20617"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https://doi.org/10.1016/j.jpha.2021.04.002" TargetMode="External"/><Relationship Id="rId23" Type="http://schemas.openxmlformats.org/officeDocument/2006/relationships/hyperlink" Target="https://doi.org/10.3390/ddc3010011" TargetMode="External"/><Relationship Id="rId28" Type="http://schemas.openxmlformats.org/officeDocument/2006/relationships/hyperlink" Target="https://doi.org/10.1155/2022/3235031" TargetMode="External"/><Relationship Id="rId36" Type="http://schemas.openxmlformats.org/officeDocument/2006/relationships/hyperlink" Target="https://doi.10.7176/JBAHorg/10.11648/j.ijnfs.20140306.17"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16</Pages>
  <Words>6366</Words>
  <Characters>36291</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SDI 1020</cp:lastModifiedBy>
  <cp:revision>44</cp:revision>
  <cp:lastPrinted>2024-08-26T10:33:00Z</cp:lastPrinted>
  <dcterms:created xsi:type="dcterms:W3CDTF">2026-05-30T21:00:00Z</dcterms:created>
  <dcterms:modified xsi:type="dcterms:W3CDTF">2026-06-19T13:19:00Z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bac40b902562496884c7ca53e9db689f</vt:lpwstr>
  </property>
</Properties>
</file>