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049FC" w14:textId="77777777" w:rsidR="004F3F76" w:rsidRPr="00014750" w:rsidRDefault="004F3F76" w:rsidP="00E463C5">
      <w:pPr>
        <w:spacing w:after="120" w:line="360" w:lineRule="auto"/>
        <w:jc w:val="both"/>
        <w:outlineLvl w:val="0"/>
        <w:rPr>
          <w:rFonts w:ascii="Times New Roman" w:hAnsi="Times New Roman"/>
          <w:b/>
          <w:bCs/>
          <w:kern w:val="36"/>
          <w:sz w:val="24"/>
          <w:szCs w:val="24"/>
          <w:lang w:bidi="hi-IN"/>
        </w:rPr>
      </w:pPr>
      <w:r w:rsidRPr="00014750">
        <w:rPr>
          <w:rFonts w:ascii="Times New Roman" w:hAnsi="Times New Roman"/>
          <w:b/>
          <w:bCs/>
          <w:kern w:val="36"/>
          <w:sz w:val="24"/>
          <w:szCs w:val="24"/>
          <w:lang w:bidi="hi-IN"/>
        </w:rPr>
        <w:t xml:space="preserve">Morphological, Taxonomic and </w:t>
      </w:r>
      <w:r w:rsidR="00E463C5" w:rsidRPr="00014750">
        <w:rPr>
          <w:rFonts w:ascii="Times New Roman" w:hAnsi="Times New Roman"/>
          <w:b/>
          <w:bCs/>
          <w:kern w:val="36"/>
          <w:sz w:val="24"/>
          <w:szCs w:val="24"/>
          <w:lang w:bidi="hi-IN"/>
        </w:rPr>
        <w:t>Soil</w:t>
      </w:r>
      <w:r w:rsidRPr="00014750">
        <w:rPr>
          <w:rFonts w:ascii="Times New Roman" w:hAnsi="Times New Roman"/>
          <w:b/>
          <w:bCs/>
          <w:kern w:val="36"/>
          <w:sz w:val="24"/>
          <w:szCs w:val="24"/>
          <w:lang w:bidi="hi-IN"/>
        </w:rPr>
        <w:t xml:space="preserve"> Suitability Evaluation for Sustainable Crop Production Using GIS and Remote Sensing in </w:t>
      </w:r>
      <w:proofErr w:type="spellStart"/>
      <w:r w:rsidR="000B1216" w:rsidRPr="00014750">
        <w:rPr>
          <w:rFonts w:ascii="Times New Roman" w:hAnsi="Times New Roman"/>
          <w:b/>
          <w:bCs/>
          <w:kern w:val="36"/>
          <w:sz w:val="24"/>
          <w:szCs w:val="24"/>
          <w:lang w:bidi="hi-IN"/>
        </w:rPr>
        <w:t>Gudvella</w:t>
      </w:r>
      <w:r w:rsidRPr="00014750">
        <w:rPr>
          <w:rFonts w:ascii="Times New Roman" w:hAnsi="Times New Roman"/>
          <w:b/>
          <w:bCs/>
          <w:kern w:val="36"/>
          <w:sz w:val="24"/>
          <w:szCs w:val="24"/>
          <w:lang w:bidi="hi-IN"/>
        </w:rPr>
        <w:t>Block</w:t>
      </w:r>
      <w:proofErr w:type="spellEnd"/>
      <w:r w:rsidRPr="00014750">
        <w:rPr>
          <w:rFonts w:ascii="Times New Roman" w:hAnsi="Times New Roman"/>
          <w:b/>
          <w:bCs/>
          <w:kern w:val="36"/>
          <w:sz w:val="24"/>
          <w:szCs w:val="24"/>
          <w:lang w:bidi="hi-IN"/>
        </w:rPr>
        <w:t xml:space="preserve">, </w:t>
      </w:r>
      <w:proofErr w:type="spellStart"/>
      <w:r w:rsidRPr="00014750">
        <w:rPr>
          <w:rFonts w:ascii="Times New Roman" w:hAnsi="Times New Roman"/>
          <w:b/>
          <w:bCs/>
          <w:kern w:val="36"/>
          <w:sz w:val="24"/>
          <w:szCs w:val="24"/>
          <w:lang w:bidi="hi-IN"/>
        </w:rPr>
        <w:t>Balangir</w:t>
      </w:r>
      <w:proofErr w:type="spellEnd"/>
      <w:r w:rsidRPr="00014750">
        <w:rPr>
          <w:rFonts w:ascii="Times New Roman" w:hAnsi="Times New Roman"/>
          <w:b/>
          <w:bCs/>
          <w:kern w:val="36"/>
          <w:sz w:val="24"/>
          <w:szCs w:val="24"/>
          <w:lang w:bidi="hi-IN"/>
        </w:rPr>
        <w:t xml:space="preserve"> District, Odisha State, India</w:t>
      </w:r>
    </w:p>
    <w:p w14:paraId="3BF33438" w14:textId="77777777" w:rsidR="0060071D" w:rsidRDefault="0060071D" w:rsidP="00E62221">
      <w:pPr>
        <w:spacing w:after="0" w:line="360" w:lineRule="auto"/>
        <w:outlineLvl w:val="0"/>
        <w:rPr>
          <w:rFonts w:ascii="Times New Roman" w:hAnsi="Times New Roman" w:cs="Times New Roman"/>
          <w:b/>
          <w:bCs/>
          <w:sz w:val="24"/>
          <w:szCs w:val="24"/>
          <w:lang w:bidi="hi-IN"/>
        </w:rPr>
      </w:pPr>
    </w:p>
    <w:p w14:paraId="7C2722EE" w14:textId="77777777" w:rsidR="004F3F76" w:rsidRPr="00014750" w:rsidRDefault="004F3F76" w:rsidP="00E62221">
      <w:pPr>
        <w:spacing w:after="0" w:line="360" w:lineRule="auto"/>
        <w:outlineLvl w:val="0"/>
        <w:rPr>
          <w:rFonts w:ascii="Times New Roman" w:hAnsi="Times New Roman" w:cs="Times New Roman"/>
          <w:b/>
          <w:bCs/>
          <w:sz w:val="24"/>
          <w:szCs w:val="24"/>
          <w:lang w:bidi="hi-IN"/>
        </w:rPr>
      </w:pPr>
      <w:r w:rsidRPr="00014750">
        <w:rPr>
          <w:rFonts w:ascii="Times New Roman" w:hAnsi="Times New Roman" w:cs="Times New Roman"/>
          <w:b/>
          <w:bCs/>
          <w:sz w:val="24"/>
          <w:szCs w:val="24"/>
          <w:lang w:bidi="hi-IN"/>
        </w:rPr>
        <w:t>Abstract</w:t>
      </w:r>
    </w:p>
    <w:p w14:paraId="0473F575" w14:textId="77777777" w:rsidR="00EC660A" w:rsidRPr="00014750" w:rsidRDefault="00EC660A" w:rsidP="00E62221">
      <w:pPr>
        <w:spacing w:after="0" w:line="360" w:lineRule="auto"/>
        <w:jc w:val="both"/>
        <w:outlineLvl w:val="0"/>
        <w:rPr>
          <w:rFonts w:ascii="Times New Roman" w:hAnsi="Times New Roman" w:cs="Times New Roman"/>
          <w:sz w:val="24"/>
          <w:szCs w:val="24"/>
          <w:lang w:bidi="hi-IN"/>
        </w:rPr>
      </w:pPr>
      <w:r>
        <w:rPr>
          <w:rFonts w:ascii="Times New Roman" w:hAnsi="Times New Roman" w:cs="Times New Roman"/>
          <w:sz w:val="24"/>
          <w:szCs w:val="24"/>
          <w:lang w:bidi="hi-IN"/>
        </w:rPr>
        <w:t>A comprehensive soil-landscape assessment was undertaken to characteri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e the morphological, physicochemical and taxonomic properties of soils and to evaluate their suitability for major crops using a GIS-based approach. The study area exhibited considerable physiographic heterogeneity, comprising upper and lower pedi-plains, depressions, hillside slopes, foothill slopes, hillocks and stream-bank positions. Twenty-five representative pedons were examined for morphological and physicochemical characteristics and classified according to Soil Taxonomy. Soil depth varied from 14 to 125 cm, while textures ranged from loamy-skeletal to fine. Soil reaction ranged from strongly acidic to slightly alkaline (pH 4.97-7.85), whereas electrical conductivity (0.01-0.08 dS m</w:t>
      </w:r>
      <w:r>
        <w:rPr>
          <w:rFonts w:ascii="Times New Roman" w:hAnsi="Times New Roman" w:cs="Times New Roman"/>
          <w:sz w:val="24"/>
          <w:szCs w:val="24"/>
          <w:vertAlign w:val="superscript"/>
          <w:lang w:bidi="hi-IN"/>
        </w:rPr>
        <w:t>-1</w:t>
      </w:r>
      <w:r>
        <w:rPr>
          <w:rFonts w:ascii="Times New Roman" w:hAnsi="Times New Roman" w:cs="Times New Roman"/>
          <w:sz w:val="24"/>
          <w:szCs w:val="24"/>
          <w:lang w:bidi="hi-IN"/>
        </w:rPr>
        <w:t>) and exchangeable sodium percentage (0.56-8.35%) indicated negligible salinity and sodicity constraints. Organic carbon was generally low (0.05-0.50%), while CEC (3.85-37.69 cmol(p⁺) kg</w:t>
      </w:r>
      <w:r>
        <w:rPr>
          <w:rFonts w:ascii="Times New Roman" w:hAnsi="Times New Roman" w:cs="Times New Roman"/>
          <w:sz w:val="24"/>
          <w:szCs w:val="24"/>
          <w:vertAlign w:val="superscript"/>
          <w:lang w:bidi="hi-IN"/>
        </w:rPr>
        <w:t>-1</w:t>
      </w:r>
      <w:r>
        <w:rPr>
          <w:rFonts w:ascii="Times New Roman" w:hAnsi="Times New Roman" w:cs="Times New Roman"/>
          <w:sz w:val="24"/>
          <w:szCs w:val="24"/>
          <w:lang w:bidi="hi-IN"/>
        </w:rPr>
        <w:t xml:space="preserve">) and base saturation (21.04-72.90%) varied substantially among pedons. The soils were classified mainly as Entisols, Inceptisols and Alfisols, with Aquic, Lithic, Vertic and related intergrades reflecting contrasting soil-forming environments. Crop suitability assessment revealed marked differences among land-use types. Paddy had 68.3% of the area within </w:t>
      </w:r>
      <w:r>
        <w:rPr>
          <w:rFonts w:ascii="Times New Roman" w:hAnsi="Times New Roman" w:cs="Times New Roman"/>
          <w:sz w:val="24"/>
          <w:szCs w:val="24"/>
          <w:highlight w:val="yellow"/>
          <w:lang w:bidi="hi-IN"/>
        </w:rPr>
        <w:t xml:space="preserve">the </w:t>
      </w:r>
      <w:r>
        <w:rPr>
          <w:rFonts w:ascii="Times New Roman" w:hAnsi="Times New Roman" w:cs="Times New Roman"/>
          <w:sz w:val="24"/>
          <w:szCs w:val="24"/>
          <w:lang w:bidi="hi-IN"/>
        </w:rPr>
        <w:t xml:space="preserve">S1-S3 classes, whereas maize, potato and sugarcane each occupied approximately 86% within S2-S3. Cotton, mustard and sunflower were predominantly marginally suitable, with substantial areas classified as N1. Approximately 4% of the area was permanently unsuitable (N2). The results demonstrate that soil suitability is controlled by the interaction of soil properties and landscape processes. </w:t>
      </w:r>
      <w:r>
        <w:rPr>
          <w:rFonts w:ascii="Times New Roman" w:hAnsi="Times New Roman" w:cs="Times New Roman"/>
          <w:sz w:val="24"/>
          <w:szCs w:val="24"/>
          <w:highlight w:val="yellow"/>
          <w:lang w:bidi="hi-IN"/>
        </w:rPr>
        <w:t>The i</w:t>
      </w:r>
      <w:r>
        <w:rPr>
          <w:rFonts w:ascii="Times New Roman" w:hAnsi="Times New Roman" w:cs="Times New Roman"/>
          <w:sz w:val="24"/>
          <w:szCs w:val="24"/>
          <w:lang w:bidi="hi-IN"/>
        </w:rPr>
        <w:t>ntegration of soil survey, taxonomy and GIS-based suitability evaluation provides a robust basis for crop-specific land-use planning, soil and water conservation and sustainable agricultural intensification.</w:t>
      </w:r>
    </w:p>
    <w:p w14:paraId="48F1D46E" w14:textId="77777777" w:rsidR="003D0D78" w:rsidRDefault="004F3F76" w:rsidP="003D0D78">
      <w:pPr>
        <w:spacing w:after="0" w:line="360" w:lineRule="auto"/>
        <w:jc w:val="both"/>
        <w:rPr>
          <w:rFonts w:ascii="Times New Roman" w:hAnsi="Times New Roman" w:cs="Times New Roman"/>
          <w:b/>
          <w:bCs/>
          <w:sz w:val="24"/>
          <w:szCs w:val="24"/>
          <w:lang w:bidi="hi-IN"/>
        </w:rPr>
      </w:pPr>
      <w:r w:rsidRPr="00014750">
        <w:rPr>
          <w:rFonts w:ascii="Times New Roman" w:hAnsi="Times New Roman" w:cs="Times New Roman"/>
          <w:b/>
          <w:bCs/>
          <w:i/>
          <w:iCs/>
          <w:sz w:val="24"/>
          <w:szCs w:val="24"/>
          <w:lang w:bidi="hi-IN"/>
        </w:rPr>
        <w:t>Keywords:</w:t>
      </w:r>
      <w:r w:rsidR="003D0D78">
        <w:rPr>
          <w:rFonts w:ascii="Times New Roman" w:hAnsi="Times New Roman" w:cs="Times New Roman"/>
          <w:b/>
          <w:bCs/>
          <w:i/>
          <w:iCs/>
          <w:sz w:val="24"/>
          <w:szCs w:val="24"/>
          <w:lang w:bidi="hi-IN"/>
        </w:rPr>
        <w:t xml:space="preserve"> </w:t>
      </w:r>
      <w:r w:rsidR="003D0D78" w:rsidRPr="003D0D78">
        <w:rPr>
          <w:rFonts w:ascii="Times New Roman" w:hAnsi="Times New Roman" w:cs="Times New Roman"/>
          <w:sz w:val="24"/>
          <w:szCs w:val="24"/>
          <w:lang w:bidi="hi-IN"/>
        </w:rPr>
        <w:t xml:space="preserve">Soil–landscape relationship; soil morphology; soil taxonomy; land suitability; geographic information system; remote sensing; crop suitability; </w:t>
      </w:r>
      <w:proofErr w:type="spellStart"/>
      <w:r w:rsidR="003D0D78" w:rsidRPr="003D0D78">
        <w:rPr>
          <w:rFonts w:ascii="Times New Roman" w:hAnsi="Times New Roman" w:cs="Times New Roman"/>
          <w:sz w:val="24"/>
          <w:szCs w:val="24"/>
          <w:lang w:bidi="hi-IN"/>
        </w:rPr>
        <w:t>pedon</w:t>
      </w:r>
      <w:proofErr w:type="spellEnd"/>
      <w:r w:rsidR="003D0D78" w:rsidRPr="003D0D78">
        <w:rPr>
          <w:rFonts w:ascii="Times New Roman" w:hAnsi="Times New Roman" w:cs="Times New Roman"/>
          <w:sz w:val="24"/>
          <w:szCs w:val="24"/>
          <w:lang w:bidi="hi-IN"/>
        </w:rPr>
        <w:t xml:space="preserve"> </w:t>
      </w:r>
      <w:proofErr w:type="spellStart"/>
      <w:r w:rsidR="003D0D78" w:rsidRPr="003D0D78">
        <w:rPr>
          <w:rFonts w:ascii="Times New Roman" w:hAnsi="Times New Roman" w:cs="Times New Roman"/>
          <w:sz w:val="24"/>
          <w:szCs w:val="24"/>
          <w:lang w:bidi="hi-IN"/>
        </w:rPr>
        <w:t>characterisation</w:t>
      </w:r>
      <w:proofErr w:type="spellEnd"/>
      <w:r w:rsidR="003D0D78" w:rsidRPr="003D0D78">
        <w:rPr>
          <w:rFonts w:ascii="Times New Roman" w:hAnsi="Times New Roman" w:cs="Times New Roman"/>
          <w:sz w:val="24"/>
          <w:szCs w:val="24"/>
          <w:lang w:bidi="hi-IN"/>
        </w:rPr>
        <w:t>; sustainable crop production; soil-site evaluation.</w:t>
      </w:r>
      <w:r w:rsidR="003D0D78" w:rsidRPr="003D0D78">
        <w:rPr>
          <w:rFonts w:ascii="Times New Roman" w:hAnsi="Times New Roman" w:cs="Times New Roman"/>
          <w:b/>
          <w:bCs/>
          <w:sz w:val="24"/>
          <w:szCs w:val="24"/>
          <w:lang w:bidi="hi-IN"/>
        </w:rPr>
        <w:t xml:space="preserve"> </w:t>
      </w:r>
    </w:p>
    <w:p w14:paraId="575DC08B" w14:textId="0FB5B51D" w:rsidR="004F3F76" w:rsidRPr="00014750" w:rsidRDefault="00E62221" w:rsidP="003D0D78">
      <w:pPr>
        <w:spacing w:after="0" w:line="360" w:lineRule="auto"/>
        <w:jc w:val="both"/>
        <w:rPr>
          <w:rFonts w:ascii="Times New Roman" w:hAnsi="Times New Roman" w:cs="Times New Roman"/>
          <w:b/>
          <w:bCs/>
          <w:kern w:val="36"/>
          <w:sz w:val="24"/>
          <w:szCs w:val="24"/>
          <w:lang w:bidi="hi-IN"/>
        </w:rPr>
      </w:pPr>
      <w:r w:rsidRPr="00014750">
        <w:rPr>
          <w:rFonts w:ascii="Times New Roman" w:hAnsi="Times New Roman" w:cs="Times New Roman"/>
          <w:b/>
          <w:bCs/>
          <w:kern w:val="36"/>
          <w:sz w:val="24"/>
          <w:szCs w:val="24"/>
          <w:lang w:bidi="hi-IN"/>
        </w:rPr>
        <w:t>Introduction</w:t>
      </w:r>
    </w:p>
    <w:p w14:paraId="42B089E9" w14:textId="77777777"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lastRenderedPageBreak/>
        <w:t xml:space="preserve">India is predominantly an agrarian country, where agriculture and allied activities play a vital role in ensuring food and nutritional security, supporting rural livelihoods and contributing to the national economy. </w:t>
      </w:r>
      <w:r>
        <w:rPr>
          <w:rFonts w:ascii="Times New Roman" w:hAnsi="Times New Roman" w:cs="Times New Roman"/>
          <w:sz w:val="24"/>
          <w:szCs w:val="24"/>
          <w:highlight w:val="yellow"/>
          <w:lang w:bidi="hi-IN"/>
        </w:rPr>
        <w:t>T</w:t>
      </w:r>
      <w:r>
        <w:rPr>
          <w:rFonts w:ascii="Times New Roman" w:hAnsi="Times New Roman" w:cs="Times New Roman"/>
          <w:sz w:val="24"/>
          <w:szCs w:val="24"/>
          <w:lang w:bidi="hi-IN"/>
        </w:rPr>
        <w:t xml:space="preserve">o </w:t>
      </w:r>
      <w:r>
        <w:rPr>
          <w:rFonts w:ascii="Times New Roman" w:hAnsi="Times New Roman" w:cs="Times New Roman"/>
          <w:sz w:val="24"/>
          <w:szCs w:val="24"/>
          <w:highlight w:val="yellow"/>
          <w:lang w:bidi="hi-IN"/>
        </w:rPr>
        <w:t>p</w:t>
      </w:r>
      <w:r>
        <w:rPr>
          <w:rFonts w:ascii="Times New Roman" w:hAnsi="Times New Roman" w:cs="Times New Roman"/>
          <w:sz w:val="24"/>
          <w:szCs w:val="24"/>
          <w:lang w:bidi="hi-IN"/>
        </w:rPr>
        <w:t>ro</w:t>
      </w:r>
      <w:r>
        <w:rPr>
          <w:rFonts w:ascii="Times New Roman" w:hAnsi="Times New Roman" w:cs="Times New Roman"/>
          <w:sz w:val="24"/>
          <w:szCs w:val="24"/>
          <w:highlight w:val="yellow"/>
          <w:lang w:bidi="hi-IN"/>
        </w:rPr>
        <w:t>duce</w:t>
      </w:r>
      <w:r>
        <w:rPr>
          <w:rFonts w:ascii="Times New Roman" w:hAnsi="Times New Roman" w:cs="Times New Roman"/>
          <w:sz w:val="24"/>
          <w:szCs w:val="24"/>
          <w:lang w:bidi="hi-IN"/>
        </w:rPr>
        <w:t xml:space="preserve"> food</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crops and agricultural products in </w:t>
      </w:r>
      <w:r>
        <w:rPr>
          <w:rFonts w:ascii="Times New Roman" w:hAnsi="Times New Roman" w:cs="Times New Roman"/>
          <w:sz w:val="24"/>
          <w:szCs w:val="24"/>
          <w:highlight w:val="yellow"/>
          <w:lang w:bidi="hi-IN"/>
        </w:rPr>
        <w:t>suffici</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nt</w:t>
      </w:r>
      <w:r>
        <w:rPr>
          <w:rFonts w:ascii="Times New Roman" w:hAnsi="Times New Roman" w:cs="Times New Roman"/>
          <w:sz w:val="24"/>
          <w:szCs w:val="24"/>
          <w:lang w:bidi="hi-IN"/>
        </w:rPr>
        <w:t xml:space="preserve"> quantities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the growing </w:t>
      </w:r>
      <w:r>
        <w:rPr>
          <w:rFonts w:ascii="Times New Roman" w:hAnsi="Times New Roman" w:cs="Times New Roman"/>
          <w:sz w:val="24"/>
          <w:szCs w:val="24"/>
          <w:highlight w:val="yellow"/>
          <w:lang w:bidi="hi-IN"/>
        </w:rPr>
        <w:t>popu</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at</w:t>
      </w:r>
      <w:r>
        <w:rPr>
          <w:rFonts w:ascii="Times New Roman" w:hAnsi="Times New Roman" w:cs="Times New Roman"/>
          <w:sz w:val="24"/>
          <w:szCs w:val="24"/>
          <w:lang w:bidi="hi-IN"/>
        </w:rPr>
        <w:t xml:space="preserve">ion, intensive farming and </w:t>
      </w:r>
      <w:r>
        <w:rPr>
          <w:rFonts w:ascii="Times New Roman" w:hAnsi="Times New Roman" w:cs="Times New Roman"/>
          <w:sz w:val="24"/>
          <w:szCs w:val="24"/>
          <w:highlight w:val="yellow"/>
          <w:lang w:bidi="hi-IN"/>
        </w:rPr>
        <w:t xml:space="preserve">crop </w:t>
      </w:r>
      <w:r>
        <w:rPr>
          <w:rFonts w:ascii="Times New Roman" w:hAnsi="Times New Roman" w:cs="Times New Roman"/>
          <w:sz w:val="24"/>
          <w:szCs w:val="24"/>
          <w:lang w:bidi="hi-IN"/>
        </w:rPr>
        <w:t>rotation are essential.</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The suitability of a specific land category </w:t>
      </w:r>
      <w:r>
        <w:rPr>
          <w:rFonts w:ascii="Times New Roman" w:hAnsi="Times New Roman" w:cs="Times New Roman"/>
          <w:sz w:val="24"/>
          <w:szCs w:val="24"/>
          <w:highlight w:val="yellow"/>
          <w:lang w:bidi="hi-IN"/>
        </w:rPr>
        <w:t>for</w:t>
      </w:r>
      <w:r>
        <w:rPr>
          <w:rFonts w:ascii="Times New Roman" w:hAnsi="Times New Roman" w:cs="Times New Roman"/>
          <w:sz w:val="24"/>
          <w:szCs w:val="24"/>
          <w:lang w:bidi="hi-IN"/>
        </w:rPr>
        <w:t xml:space="preserve"> a given type of use is known as land appropriateness (Jamil </w:t>
      </w:r>
      <w:r>
        <w:rPr>
          <w:rFonts w:ascii="Times New Roman" w:hAnsi="Times New Roman" w:cs="Times New Roman"/>
          <w:i/>
          <w:sz w:val="24"/>
          <w:szCs w:val="24"/>
          <w:lang w:bidi="hi-IN"/>
        </w:rPr>
        <w:t>et al.,</w:t>
      </w:r>
      <w:r>
        <w:rPr>
          <w:rFonts w:ascii="Times New Roman" w:hAnsi="Times New Roman" w:cs="Times New Roman"/>
          <w:i/>
          <w:sz w:val="24"/>
          <w:szCs w:val="24"/>
          <w:highlight w:val="yellow"/>
          <w:lang w:bidi="hi-IN"/>
        </w:rPr>
        <w:t xml:space="preserve"> </w:t>
      </w:r>
      <w:r>
        <w:rPr>
          <w:rFonts w:ascii="Times New Roman" w:hAnsi="Times New Roman" w:cs="Times New Roman"/>
          <w:sz w:val="24"/>
          <w:szCs w:val="24"/>
          <w:lang w:bidi="hi-IN"/>
        </w:rPr>
        <w:t>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Land suitability analysis (LSA) is a method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ass</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ssi</w:t>
      </w:r>
      <w:r>
        <w:rPr>
          <w:rFonts w:ascii="Times New Roman" w:hAnsi="Times New Roman" w:cs="Times New Roman"/>
          <w:sz w:val="24"/>
          <w:szCs w:val="24"/>
          <w:lang w:bidi="hi-IN"/>
        </w:rPr>
        <w:t>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inherent and potential capabilities (Bandyopadhyay</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2009) and suitability for different objectives (FAO</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1976).</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It support</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decision-making during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planning (Roy </w:t>
      </w:r>
      <w:r>
        <w:rPr>
          <w:rFonts w:ascii="Times New Roman" w:hAnsi="Times New Roman" w:cs="Times New Roman"/>
          <w:sz w:val="24"/>
          <w:szCs w:val="24"/>
          <w:highlight w:val="yellow"/>
          <w:lang w:bidi="hi-IN"/>
        </w:rPr>
        <w:t>&amp;</w:t>
      </w:r>
      <w:r>
        <w:rPr>
          <w:rFonts w:ascii="Times New Roman" w:hAnsi="Times New Roman" w:cs="Times New Roman"/>
          <w:sz w:val="24"/>
          <w:szCs w:val="24"/>
          <w:lang w:bidi="hi-IN"/>
        </w:rPr>
        <w:t xml:space="preserve"> Saha</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Additionally, larger areas</w:t>
      </w:r>
      <w:r>
        <w:rPr>
          <w:rFonts w:ascii="Times New Roman" w:hAnsi="Times New Roman" w:cs="Times New Roman"/>
          <w:sz w:val="24"/>
          <w:szCs w:val="24"/>
          <w:highlight w:val="yellow"/>
          <w:lang w:bidi="hi-IN"/>
        </w:rPr>
        <w:t xml:space="preserve"> are needed</w:t>
      </w:r>
      <w:r>
        <w:rPr>
          <w:rFonts w:ascii="Times New Roman" w:hAnsi="Times New Roman" w:cs="Times New Roman"/>
          <w:sz w:val="24"/>
          <w:szCs w:val="24"/>
          <w:lang w:bidi="hi-IN"/>
        </w:rPr>
        <w:t xml:space="preserve"> to accommodate </w:t>
      </w:r>
      <w:r>
        <w:rPr>
          <w:rFonts w:ascii="Times New Roman" w:hAnsi="Times New Roman" w:cs="Times New Roman"/>
          <w:sz w:val="24"/>
          <w:szCs w:val="24"/>
          <w:highlight w:val="yellow"/>
          <w:lang w:bidi="hi-IN"/>
        </w:rPr>
        <w:t>essen</w:t>
      </w:r>
      <w:r>
        <w:rPr>
          <w:rFonts w:ascii="Times New Roman" w:hAnsi="Times New Roman" w:cs="Times New Roman"/>
          <w:sz w:val="24"/>
          <w:szCs w:val="24"/>
          <w:lang w:bidi="hi-IN"/>
        </w:rPr>
        <w:t>t</w:t>
      </w:r>
      <w:r>
        <w:rPr>
          <w:rFonts w:ascii="Times New Roman" w:hAnsi="Times New Roman" w:cs="Times New Roman"/>
          <w:sz w:val="24"/>
          <w:szCs w:val="24"/>
          <w:highlight w:val="yellow"/>
          <w:lang w:bidi="hi-IN"/>
        </w:rPr>
        <w:t>ial</w:t>
      </w:r>
      <w:r>
        <w:rPr>
          <w:rFonts w:ascii="Times New Roman" w:hAnsi="Times New Roman" w:cs="Times New Roman"/>
          <w:sz w:val="24"/>
          <w:szCs w:val="24"/>
          <w:lang w:bidi="hi-IN"/>
        </w:rPr>
        <w:t xml:space="preserve"> provision</w:t>
      </w:r>
      <w:r>
        <w:rPr>
          <w:rFonts w:ascii="Times New Roman" w:hAnsi="Times New Roman" w:cs="Times New Roman"/>
          <w:sz w:val="24"/>
          <w:szCs w:val="24"/>
          <w:highlight w:val="yellow"/>
          <w:lang w:bidi="hi-IN"/>
        </w:rPr>
        <w:t>s because</w:t>
      </w:r>
      <w:r>
        <w:rPr>
          <w:rFonts w:ascii="Times New Roman" w:hAnsi="Times New Roman" w:cs="Times New Roman"/>
          <w:sz w:val="24"/>
          <w:szCs w:val="24"/>
          <w:lang w:bidi="hi-IN"/>
        </w:rPr>
        <w:t xml:space="preserve"> of rapid population growth and migration, especially in metropolises. </w:t>
      </w:r>
      <w:r>
        <w:rPr>
          <w:rFonts w:ascii="Times New Roman" w:hAnsi="Times New Roman" w:cs="Times New Roman"/>
          <w:sz w:val="24"/>
          <w:szCs w:val="24"/>
          <w:highlight w:val="yellow"/>
          <w:lang w:bidi="hi-IN"/>
        </w:rPr>
        <w:t>As a result, n</w:t>
      </w:r>
      <w:r>
        <w:rPr>
          <w:rFonts w:ascii="Times New Roman" w:hAnsi="Times New Roman" w:cs="Times New Roman"/>
          <w:sz w:val="24"/>
          <w:szCs w:val="24"/>
          <w:lang w:bidi="hi-IN"/>
        </w:rPr>
        <w:t>atural resources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including forests, meadows, wetlands and agricultural fields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are converted into settlements or industrial zones, and these a</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a</w:t>
      </w:r>
      <w:r>
        <w:rPr>
          <w:rFonts w:ascii="Times New Roman" w:hAnsi="Times New Roman" w:cs="Times New Roman"/>
          <w:sz w:val="24"/>
          <w:szCs w:val="24"/>
          <w:lang w:bidi="hi-IN"/>
        </w:rPr>
        <w:t xml:space="preserve">s are exploited in ways that are </w:t>
      </w:r>
      <w:r>
        <w:rPr>
          <w:rFonts w:ascii="Times New Roman" w:hAnsi="Times New Roman" w:cs="Times New Roman"/>
          <w:sz w:val="24"/>
          <w:szCs w:val="24"/>
          <w:highlight w:val="yellow"/>
          <w:lang w:bidi="hi-IN"/>
        </w:rPr>
        <w:t>dis</w:t>
      </w:r>
      <w:r>
        <w:rPr>
          <w:rFonts w:ascii="Times New Roman" w:hAnsi="Times New Roman" w:cs="Times New Roman"/>
          <w:sz w:val="24"/>
          <w:szCs w:val="24"/>
          <w:lang w:bidi="hi-IN"/>
        </w:rPr>
        <w:t>proportion</w:t>
      </w:r>
      <w:r>
        <w:rPr>
          <w:rFonts w:ascii="Times New Roman" w:hAnsi="Times New Roman" w:cs="Times New Roman"/>
          <w:sz w:val="24"/>
          <w:szCs w:val="24"/>
          <w:highlight w:val="yellow"/>
          <w:lang w:bidi="hi-IN"/>
        </w:rPr>
        <w:t>ate</w:t>
      </w:r>
      <w:r>
        <w:rPr>
          <w:rFonts w:ascii="Times New Roman" w:hAnsi="Times New Roman" w:cs="Times New Roman"/>
          <w:sz w:val="24"/>
          <w:szCs w:val="24"/>
          <w:lang w:bidi="hi-IN"/>
        </w:rPr>
        <w:t xml:space="preserve"> to their potential. Designing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plans that </w:t>
      </w:r>
      <w:r>
        <w:rPr>
          <w:rFonts w:ascii="Times New Roman" w:hAnsi="Times New Roman" w:cs="Times New Roman"/>
          <w:sz w:val="24"/>
          <w:szCs w:val="24"/>
          <w:highlight w:val="yellow"/>
          <w:lang w:bidi="hi-IN"/>
        </w:rPr>
        <w:t>en</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b</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 xml:space="preserve"> the trans</w:t>
      </w:r>
      <w:r>
        <w:rPr>
          <w:rFonts w:ascii="Times New Roman" w:hAnsi="Times New Roman" w:cs="Times New Roman"/>
          <w:sz w:val="24"/>
          <w:szCs w:val="24"/>
          <w:highlight w:val="yellow"/>
          <w:lang w:bidi="hi-IN"/>
        </w:rPr>
        <w:t>fer</w:t>
      </w:r>
      <w:r>
        <w:rPr>
          <w:rFonts w:ascii="Times New Roman" w:hAnsi="Times New Roman" w:cs="Times New Roman"/>
          <w:sz w:val="24"/>
          <w:szCs w:val="24"/>
          <w:lang w:bidi="hi-IN"/>
        </w:rPr>
        <w:t xml:space="preserve"> of natural resources to future generations</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w</w:t>
      </w:r>
      <w:r>
        <w:rPr>
          <w:rFonts w:ascii="Times New Roman" w:hAnsi="Times New Roman" w:cs="Times New Roman"/>
          <w:sz w:val="24"/>
          <w:szCs w:val="24"/>
          <w:highlight w:val="yellow"/>
          <w:lang w:bidi="hi-IN"/>
        </w:rPr>
        <w:t>hil</w:t>
      </w:r>
      <w:r>
        <w:rPr>
          <w:rFonts w:ascii="Times New Roman" w:hAnsi="Times New Roman" w:cs="Times New Roman"/>
          <w:sz w:val="24"/>
          <w:szCs w:val="24"/>
          <w:lang w:bidi="hi-IN"/>
        </w:rPr>
        <w:t xml:space="preserve">e </w:t>
      </w:r>
      <w:r>
        <w:rPr>
          <w:rFonts w:ascii="Times New Roman" w:hAnsi="Times New Roman" w:cs="Times New Roman"/>
          <w:sz w:val="24"/>
          <w:szCs w:val="24"/>
          <w:highlight w:val="yellow"/>
          <w:lang w:bidi="hi-IN"/>
        </w:rPr>
        <w:t>en</w:t>
      </w:r>
      <w:r>
        <w:rPr>
          <w:rFonts w:ascii="Times New Roman" w:hAnsi="Times New Roman" w:cs="Times New Roman"/>
          <w:sz w:val="24"/>
          <w:szCs w:val="24"/>
          <w:lang w:bidi="hi-IN"/>
        </w:rPr>
        <w:t>s</w:t>
      </w:r>
      <w:r>
        <w:rPr>
          <w:rFonts w:ascii="Times New Roman" w:hAnsi="Times New Roman" w:cs="Times New Roman"/>
          <w:sz w:val="24"/>
          <w:szCs w:val="24"/>
          <w:highlight w:val="yellow"/>
          <w:lang w:bidi="hi-IN"/>
        </w:rPr>
        <w:t>uring</w:t>
      </w:r>
      <w:r>
        <w:rPr>
          <w:rFonts w:ascii="Times New Roman" w:hAnsi="Times New Roman" w:cs="Times New Roman"/>
          <w:sz w:val="24"/>
          <w:szCs w:val="24"/>
          <w:lang w:bidi="hi-IN"/>
        </w:rPr>
        <w:t xml:space="preserve"> the</w:t>
      </w:r>
      <w:r>
        <w:rPr>
          <w:rFonts w:ascii="Times New Roman" w:hAnsi="Times New Roman" w:cs="Times New Roman"/>
          <w:sz w:val="24"/>
          <w:szCs w:val="24"/>
          <w:highlight w:val="yellow"/>
          <w:lang w:bidi="hi-IN"/>
        </w:rPr>
        <w:t>ir</w:t>
      </w:r>
      <w:r>
        <w:rPr>
          <w:rFonts w:ascii="Times New Roman" w:hAnsi="Times New Roman" w:cs="Times New Roman"/>
          <w:sz w:val="24"/>
          <w:szCs w:val="24"/>
          <w:lang w:bidi="hi-IN"/>
        </w:rPr>
        <w:t xml:space="preserve"> managed and sustainable </w:t>
      </w:r>
      <w:r>
        <w:rPr>
          <w:rFonts w:ascii="Times New Roman" w:hAnsi="Times New Roman" w:cs="Times New Roman"/>
          <w:sz w:val="24"/>
          <w:szCs w:val="24"/>
          <w:highlight w:val="yellow"/>
          <w:lang w:bidi="hi-IN"/>
        </w:rPr>
        <w:t>u</w:t>
      </w:r>
      <w:r>
        <w:rPr>
          <w:rFonts w:ascii="Times New Roman" w:hAnsi="Times New Roman" w:cs="Times New Roman"/>
          <w:sz w:val="24"/>
          <w:szCs w:val="24"/>
          <w:lang w:bidi="hi-IN"/>
        </w:rPr>
        <w:t>se in ways appropriate to their capability</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is crucial (Akinci</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2013).</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The agricultur</w:t>
      </w:r>
      <w:r>
        <w:rPr>
          <w:rFonts w:ascii="Times New Roman" w:hAnsi="Times New Roman" w:cs="Times New Roman"/>
          <w:sz w:val="24"/>
          <w:szCs w:val="24"/>
          <w:highlight w:val="yellow"/>
          <w:lang w:bidi="hi-IN"/>
        </w:rPr>
        <w:t>al s</w:t>
      </w:r>
      <w:r>
        <w:rPr>
          <w:rFonts w:ascii="Times New Roman" w:hAnsi="Times New Roman" w:cs="Times New Roman"/>
          <w:sz w:val="24"/>
          <w:szCs w:val="24"/>
          <w:lang w:bidi="hi-IN"/>
        </w:rPr>
        <w:t>e</w:t>
      </w:r>
      <w:r>
        <w:rPr>
          <w:rFonts w:ascii="Times New Roman" w:hAnsi="Times New Roman" w:cs="Times New Roman"/>
          <w:sz w:val="24"/>
          <w:szCs w:val="24"/>
          <w:highlight w:val="yellow"/>
          <w:lang w:bidi="hi-IN"/>
        </w:rPr>
        <w:t>c</w:t>
      </w:r>
      <w:r>
        <w:rPr>
          <w:rFonts w:ascii="Times New Roman" w:hAnsi="Times New Roman" w:cs="Times New Roman"/>
          <w:sz w:val="24"/>
          <w:szCs w:val="24"/>
          <w:lang w:bidi="hi-IN"/>
        </w:rPr>
        <w:t>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requires</w:t>
      </w:r>
      <w:r>
        <w:rPr>
          <w:rFonts w:ascii="Times New Roman" w:hAnsi="Times New Roman" w:cs="Times New Roman"/>
          <w:sz w:val="24"/>
          <w:szCs w:val="24"/>
          <w:lang w:bidi="hi-IN"/>
        </w:rPr>
        <w:t xml:space="preserve"> urgent attention because the nation</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s overall population is growing ra</w:t>
      </w:r>
      <w:r>
        <w:rPr>
          <w:rFonts w:ascii="Times New Roman" w:hAnsi="Times New Roman" w:cs="Times New Roman"/>
          <w:sz w:val="24"/>
          <w:szCs w:val="24"/>
          <w:highlight w:val="yellow"/>
          <w:lang w:bidi="hi-IN"/>
        </w:rPr>
        <w:t>pidly</w:t>
      </w:r>
      <w:r>
        <w:rPr>
          <w:rFonts w:ascii="Times New Roman" w:hAnsi="Times New Roman" w:cs="Times New Roman"/>
          <w:sz w:val="24"/>
          <w:szCs w:val="24"/>
          <w:lang w:bidi="hi-IN"/>
        </w:rPr>
        <w:t xml:space="preserve"> while its resources are becoming increasingly scarce.</w:t>
      </w:r>
    </w:p>
    <w:p w14:paraId="09A77B53" w14:textId="77777777"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The nation has s</w:t>
      </w:r>
      <w:r>
        <w:rPr>
          <w:rFonts w:ascii="Times New Roman" w:hAnsi="Times New Roman" w:cs="Times New Roman"/>
          <w:sz w:val="24"/>
          <w:szCs w:val="24"/>
          <w:highlight w:val="yellow"/>
          <w:lang w:bidi="hi-IN"/>
        </w:rPr>
        <w:t>ubst</w:t>
      </w:r>
      <w:r>
        <w:rPr>
          <w:rFonts w:ascii="Times New Roman" w:hAnsi="Times New Roman" w:cs="Times New Roman"/>
          <w:sz w:val="24"/>
          <w:szCs w:val="24"/>
          <w:lang w:bidi="hi-IN"/>
        </w:rPr>
        <w:t>ant</w:t>
      </w:r>
      <w:r>
        <w:rPr>
          <w:rFonts w:ascii="Times New Roman" w:hAnsi="Times New Roman" w:cs="Times New Roman"/>
          <w:sz w:val="24"/>
          <w:szCs w:val="24"/>
          <w:highlight w:val="yellow"/>
          <w:lang w:bidi="hi-IN"/>
        </w:rPr>
        <w:t>ial</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potenti</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 to </w:t>
      </w:r>
      <w:r>
        <w:rPr>
          <w:rFonts w:ascii="Times New Roman" w:hAnsi="Times New Roman" w:cs="Times New Roman"/>
          <w:sz w:val="24"/>
          <w:szCs w:val="24"/>
          <w:highlight w:val="yellow"/>
          <w:lang w:bidi="hi-IN"/>
        </w:rPr>
        <w:t>gr</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w</w:t>
      </w:r>
      <w:r>
        <w:rPr>
          <w:rFonts w:ascii="Times New Roman" w:hAnsi="Times New Roman" w:cs="Times New Roman"/>
          <w:sz w:val="24"/>
          <w:szCs w:val="24"/>
          <w:lang w:bidi="hi-IN"/>
        </w:rPr>
        <w:t xml:space="preserve"> a range of crops because of</w:t>
      </w:r>
      <w:r>
        <w:rPr>
          <w:rFonts w:ascii="Times New Roman" w:hAnsi="Times New Roman" w:cs="Times New Roman"/>
          <w:sz w:val="24"/>
          <w:szCs w:val="24"/>
          <w:highlight w:val="yellow"/>
          <w:lang w:bidi="hi-IN"/>
        </w:rPr>
        <w:t xml:space="preserve"> its</w:t>
      </w:r>
      <w:r>
        <w:rPr>
          <w:rFonts w:ascii="Times New Roman" w:hAnsi="Times New Roman" w:cs="Times New Roman"/>
          <w:sz w:val="24"/>
          <w:szCs w:val="24"/>
          <w:lang w:bidi="hi-IN"/>
        </w:rPr>
        <w:t xml:space="preserve"> agro-ecological heterogeneity.</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Expanding the </w:t>
      </w:r>
      <w:r>
        <w:rPr>
          <w:rFonts w:ascii="Times New Roman" w:hAnsi="Times New Roman" w:cs="Times New Roman"/>
          <w:sz w:val="24"/>
          <w:szCs w:val="24"/>
          <w:highlight w:val="yellow"/>
          <w:lang w:bidi="hi-IN"/>
        </w:rPr>
        <w:t>cultiv</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ted</w:t>
      </w:r>
      <w:r>
        <w:rPr>
          <w:rFonts w:ascii="Times New Roman" w:hAnsi="Times New Roman" w:cs="Times New Roman"/>
          <w:sz w:val="24"/>
          <w:szCs w:val="24"/>
          <w:lang w:bidi="hi-IN"/>
        </w:rPr>
        <w:t xml:space="preserve"> area is not possible </w:t>
      </w:r>
      <w:r>
        <w:rPr>
          <w:rFonts w:ascii="Times New Roman" w:hAnsi="Times New Roman" w:cs="Times New Roman"/>
          <w:sz w:val="24"/>
          <w:szCs w:val="24"/>
          <w:highlight w:val="yellow"/>
          <w:lang w:bidi="hi-IN"/>
        </w:rPr>
        <w:t>u</w:t>
      </w:r>
      <w:r>
        <w:rPr>
          <w:rFonts w:ascii="Times New Roman" w:hAnsi="Times New Roman" w:cs="Times New Roman"/>
          <w:sz w:val="24"/>
          <w:szCs w:val="24"/>
          <w:lang w:bidi="hi-IN"/>
        </w:rPr>
        <w:t>n</w:t>
      </w:r>
      <w:r>
        <w:rPr>
          <w:rFonts w:ascii="Times New Roman" w:hAnsi="Times New Roman" w:cs="Times New Roman"/>
          <w:sz w:val="24"/>
          <w:szCs w:val="24"/>
          <w:highlight w:val="yellow"/>
          <w:lang w:bidi="hi-IN"/>
        </w:rPr>
        <w:t>der</w:t>
      </w:r>
      <w:r>
        <w:rPr>
          <w:rFonts w:ascii="Times New Roman" w:hAnsi="Times New Roman" w:cs="Times New Roman"/>
          <w:sz w:val="24"/>
          <w:szCs w:val="24"/>
          <w:lang w:bidi="hi-IN"/>
        </w:rPr>
        <w:t xml:space="preserve"> the current situation </w:t>
      </w:r>
      <w:r>
        <w:rPr>
          <w:rFonts w:ascii="Times New Roman" w:hAnsi="Times New Roman" w:cs="Times New Roman"/>
          <w:sz w:val="24"/>
          <w:szCs w:val="24"/>
          <w:highlight w:val="yellow"/>
          <w:lang w:bidi="hi-IN"/>
        </w:rPr>
        <w:t>becau</w:t>
      </w:r>
      <w:r>
        <w:rPr>
          <w:rFonts w:ascii="Times New Roman" w:hAnsi="Times New Roman" w:cs="Times New Roman"/>
          <w:sz w:val="24"/>
          <w:szCs w:val="24"/>
          <w:lang w:bidi="hi-IN"/>
        </w:rPr>
        <w:t xml:space="preserve">se land is a </w:t>
      </w:r>
      <w:r>
        <w:rPr>
          <w:rFonts w:ascii="Times New Roman" w:hAnsi="Times New Roman" w:cs="Times New Roman"/>
          <w:sz w:val="24"/>
          <w:szCs w:val="24"/>
          <w:highlight w:val="yellow"/>
          <w:lang w:bidi="hi-IN"/>
        </w:rPr>
        <w:t>limi</w:t>
      </w:r>
      <w:r>
        <w:rPr>
          <w:rFonts w:ascii="Times New Roman" w:hAnsi="Times New Roman" w:cs="Times New Roman"/>
          <w:sz w:val="24"/>
          <w:szCs w:val="24"/>
          <w:lang w:bidi="hi-IN"/>
        </w:rPr>
        <w:t xml:space="preserve">ting factor. </w:t>
      </w:r>
      <w:r>
        <w:rPr>
          <w:rFonts w:ascii="Times New Roman" w:hAnsi="Times New Roman" w:cs="Times New Roman"/>
          <w:sz w:val="24"/>
          <w:szCs w:val="24"/>
          <w:highlight w:val="yellow"/>
          <w:lang w:bidi="hi-IN"/>
        </w:rPr>
        <w:t>Theref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re,</w:t>
      </w:r>
      <w:r>
        <w:rPr>
          <w:rFonts w:ascii="Times New Roman" w:hAnsi="Times New Roman" w:cs="Times New Roman"/>
          <w:sz w:val="24"/>
          <w:szCs w:val="24"/>
          <w:lang w:bidi="hi-IN"/>
        </w:rPr>
        <w:t xml:space="preserve"> it is important to identify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suitability classes to maximi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 cereal output </w:t>
      </w:r>
      <w:r>
        <w:rPr>
          <w:rFonts w:ascii="Times New Roman" w:hAnsi="Times New Roman" w:cs="Times New Roman"/>
          <w:sz w:val="24"/>
          <w:szCs w:val="24"/>
          <w:highlight w:val="yellow"/>
          <w:lang w:bidi="hi-IN"/>
        </w:rPr>
        <w:t>fr</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m</w:t>
      </w:r>
      <w:r>
        <w:rPr>
          <w:rFonts w:ascii="Times New Roman" w:hAnsi="Times New Roman" w:cs="Times New Roman"/>
          <w:sz w:val="24"/>
          <w:szCs w:val="24"/>
          <w:lang w:bidi="hi-IN"/>
        </w:rPr>
        <w:t xml:space="preserve"> the available</w:t>
      </w:r>
      <w:r>
        <w:rPr>
          <w:rFonts w:ascii="Times New Roman" w:hAnsi="Times New Roman" w:cs="Times New Roman"/>
          <w:sz w:val="24"/>
          <w:szCs w:val="24"/>
          <w:highlight w:val="yellow"/>
          <w:lang w:bidi="hi-IN"/>
        </w:rPr>
        <w:t xml:space="preserve"> land</w:t>
      </w:r>
      <w:r>
        <w:rPr>
          <w:rFonts w:ascii="Times New Roman" w:hAnsi="Times New Roman" w:cs="Times New Roman"/>
          <w:sz w:val="24"/>
          <w:szCs w:val="24"/>
          <w:lang w:bidi="hi-IN"/>
        </w:rPr>
        <w:t xml:space="preserve">. The </w:t>
      </w:r>
      <w:r>
        <w:rPr>
          <w:rFonts w:ascii="Times New Roman" w:hAnsi="Times New Roman" w:cs="Times New Roman"/>
          <w:sz w:val="24"/>
          <w:szCs w:val="24"/>
          <w:highlight w:val="yellow"/>
          <w:lang w:bidi="hi-IN"/>
        </w:rPr>
        <w:t>m</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t</w:t>
      </w:r>
      <w:r>
        <w:rPr>
          <w:rFonts w:ascii="Times New Roman" w:hAnsi="Times New Roman" w:cs="Times New Roman"/>
          <w:sz w:val="24"/>
          <w:szCs w:val="24"/>
          <w:highlight w:val="yellow"/>
          <w:lang w:bidi="hi-IN"/>
        </w:rPr>
        <w:t xml:space="preserve"> su</w:t>
      </w:r>
      <w:r>
        <w:rPr>
          <w:rFonts w:ascii="Times New Roman" w:hAnsi="Times New Roman" w:cs="Times New Roman"/>
          <w:sz w:val="24"/>
          <w:szCs w:val="24"/>
          <w:lang w:bidi="hi-IN"/>
        </w:rPr>
        <w:t>i</w:t>
      </w:r>
      <w:r>
        <w:rPr>
          <w:rFonts w:ascii="Times New Roman" w:hAnsi="Times New Roman" w:cs="Times New Roman"/>
          <w:sz w:val="24"/>
          <w:szCs w:val="24"/>
          <w:highlight w:val="yellow"/>
          <w:lang w:bidi="hi-IN"/>
        </w:rPr>
        <w:t>table</w:t>
      </w:r>
      <w:r>
        <w:rPr>
          <w:rFonts w:ascii="Times New Roman" w:hAnsi="Times New Roman" w:cs="Times New Roman"/>
          <w:sz w:val="24"/>
          <w:szCs w:val="24"/>
          <w:lang w:bidi="hi-IN"/>
        </w:rPr>
        <w:t xml:space="preserve"> locations for crops must be used for cultivation. Consequently, land-suitability analysis is needed for </w:t>
      </w:r>
      <w:r>
        <w:rPr>
          <w:rFonts w:ascii="Times New Roman" w:hAnsi="Times New Roman" w:cs="Times New Roman"/>
          <w:sz w:val="24"/>
          <w:szCs w:val="24"/>
          <w:highlight w:val="yellow"/>
          <w:lang w:bidi="hi-IN"/>
        </w:rPr>
        <w:t xml:space="preserve">sustainable </w:t>
      </w:r>
      <w:r>
        <w:rPr>
          <w:rFonts w:ascii="Times New Roman" w:hAnsi="Times New Roman" w:cs="Times New Roman"/>
          <w:sz w:val="24"/>
          <w:szCs w:val="24"/>
          <w:lang w:bidi="hi-IN"/>
        </w:rPr>
        <w:t xml:space="preserve">agricultural production (Sharma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2018).</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Soil information is a vital component of agricultural planning, as it directly influences land-use suitability and sustainable resource management. Land suitability evaluation is the systematic process of assessing the suitability or capability of a given area of land for a specific use. It involves evaluatin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and classif</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in</w:t>
      </w:r>
      <w:r>
        <w:rPr>
          <w:rFonts w:ascii="Times New Roman" w:hAnsi="Times New Roman" w:cs="Times New Roman"/>
          <w:sz w:val="24"/>
          <w:szCs w:val="24"/>
          <w:highlight w:val="yellow"/>
          <w:lang w:bidi="hi-IN"/>
        </w:rPr>
        <w:t>g</w:t>
      </w:r>
      <w:r>
        <w:rPr>
          <w:rFonts w:ascii="Times New Roman" w:hAnsi="Times New Roman" w:cs="Times New Roman"/>
          <w:sz w:val="24"/>
          <w:szCs w:val="24"/>
          <w:lang w:bidi="hi-IN"/>
        </w:rPr>
        <w:t xml:space="preserve"> defined areas of land according to their suitability for particular agricultural uses based on soil, climate, topography and other relevant land characteristics (Swamy</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i/>
          <w:sz w:val="24"/>
          <w:szCs w:val="24"/>
          <w:highlight w:val="yellow"/>
          <w:lang w:bidi="hi-IN"/>
        </w:rPr>
        <w:t xml:space="preserve"> </w:t>
      </w:r>
      <w:r>
        <w:rPr>
          <w:rFonts w:ascii="Times New Roman" w:hAnsi="Times New Roman" w:cs="Times New Roman"/>
          <w:sz w:val="24"/>
          <w:szCs w:val="24"/>
          <w:lang w:bidi="hi-IN"/>
        </w:rPr>
        <w:t>2017). Crop suitability analysis plays an important role in identifying and 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ing areas suitable for better crop growth and higher yield</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without deteriorating natural resources. Thus, land suitability evaluation is considered a</w:t>
      </w:r>
      <w:r>
        <w:rPr>
          <w:rFonts w:ascii="Times New Roman" w:hAnsi="Times New Roman" w:cs="Times New Roman"/>
          <w:sz w:val="24"/>
          <w:szCs w:val="24"/>
          <w:highlight w:val="yellow"/>
          <w:lang w:bidi="hi-IN"/>
        </w:rPr>
        <w:t>n</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i</w:t>
      </w:r>
      <w:r>
        <w:rPr>
          <w:rFonts w:ascii="Times New Roman" w:hAnsi="Times New Roman" w:cs="Times New Roman"/>
          <w:sz w:val="24"/>
          <w:szCs w:val="24"/>
          <w:lang w:bidi="hi-IN"/>
        </w:rPr>
        <w:t>m</w:t>
      </w:r>
      <w:r>
        <w:rPr>
          <w:rFonts w:ascii="Times New Roman" w:hAnsi="Times New Roman" w:cs="Times New Roman"/>
          <w:sz w:val="24"/>
          <w:szCs w:val="24"/>
          <w:highlight w:val="yellow"/>
          <w:lang w:bidi="hi-IN"/>
        </w:rPr>
        <w:t>p</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tant tool because of its usefulness </w:t>
      </w:r>
      <w:r>
        <w:rPr>
          <w:rFonts w:ascii="Times New Roman" w:hAnsi="Times New Roman" w:cs="Times New Roman"/>
          <w:sz w:val="24"/>
          <w:szCs w:val="24"/>
          <w:highlight w:val="yellow"/>
          <w:lang w:bidi="hi-IN"/>
        </w:rPr>
        <w:t>in</w:t>
      </w:r>
      <w:r>
        <w:rPr>
          <w:rFonts w:ascii="Times New Roman" w:hAnsi="Times New Roman" w:cs="Times New Roman"/>
          <w:sz w:val="24"/>
          <w:szCs w:val="24"/>
          <w:lang w:bidi="hi-IN"/>
        </w:rPr>
        <w:t xml:space="preserve"> predict</w:t>
      </w:r>
      <w:r>
        <w:rPr>
          <w:rFonts w:ascii="Times New Roman" w:hAnsi="Times New Roman" w:cs="Times New Roman"/>
          <w:sz w:val="24"/>
          <w:szCs w:val="24"/>
          <w:highlight w:val="yellow"/>
          <w:lang w:bidi="hi-IN"/>
        </w:rPr>
        <w:t>ing</w:t>
      </w:r>
      <w:r>
        <w:rPr>
          <w:rFonts w:ascii="Times New Roman" w:hAnsi="Times New Roman" w:cs="Times New Roman"/>
          <w:sz w:val="24"/>
          <w:szCs w:val="24"/>
          <w:lang w:bidi="hi-IN"/>
        </w:rPr>
        <w:t xml:space="preserve"> land potential for land</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use planning (Sys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1991). </w:t>
      </w:r>
      <w:r>
        <w:rPr>
          <w:rFonts w:ascii="Times New Roman" w:hAnsi="Times New Roman" w:cs="Times New Roman"/>
          <w:sz w:val="24"/>
          <w:szCs w:val="24"/>
          <w:highlight w:val="yellow"/>
          <w:lang w:bidi="hi-IN"/>
        </w:rPr>
        <w:t>C</w:t>
      </w:r>
      <w:r>
        <w:rPr>
          <w:rFonts w:ascii="Times New Roman" w:hAnsi="Times New Roman" w:cs="Times New Roman"/>
          <w:sz w:val="24"/>
          <w:szCs w:val="24"/>
          <w:lang w:bidi="hi-IN"/>
        </w:rPr>
        <w:t xml:space="preserve">rop choices </w:t>
      </w:r>
      <w:r>
        <w:rPr>
          <w:rFonts w:ascii="Times New Roman" w:hAnsi="Times New Roman" w:cs="Times New Roman"/>
          <w:sz w:val="24"/>
          <w:szCs w:val="24"/>
          <w:highlight w:val="yellow"/>
          <w:lang w:bidi="hi-IN"/>
        </w:rPr>
        <w:t>sho</w:t>
      </w:r>
      <w:r>
        <w:rPr>
          <w:rFonts w:ascii="Times New Roman" w:hAnsi="Times New Roman" w:cs="Times New Roman"/>
          <w:sz w:val="24"/>
          <w:szCs w:val="24"/>
          <w:lang w:bidi="hi-IN"/>
        </w:rPr>
        <w:t>u</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d be based on soil suitability evaluation to </w:t>
      </w:r>
      <w:r>
        <w:rPr>
          <w:rFonts w:ascii="Times New Roman" w:hAnsi="Times New Roman" w:cs="Times New Roman"/>
          <w:sz w:val="24"/>
          <w:szCs w:val="24"/>
          <w:highlight w:val="yellow"/>
          <w:lang w:bidi="hi-IN"/>
        </w:rPr>
        <w:t>ach</w:t>
      </w:r>
      <w:r>
        <w:rPr>
          <w:rFonts w:ascii="Times New Roman" w:hAnsi="Times New Roman" w:cs="Times New Roman"/>
          <w:sz w:val="24"/>
          <w:szCs w:val="24"/>
          <w:lang w:bidi="hi-IN"/>
        </w:rPr>
        <w:t>ie</w:t>
      </w:r>
      <w:r>
        <w:rPr>
          <w:rFonts w:ascii="Times New Roman" w:hAnsi="Times New Roman" w:cs="Times New Roman"/>
          <w:sz w:val="24"/>
          <w:szCs w:val="24"/>
          <w:highlight w:val="yellow"/>
          <w:lang w:bidi="hi-IN"/>
        </w:rPr>
        <w:t>ve</w:t>
      </w:r>
      <w:r>
        <w:rPr>
          <w:rFonts w:ascii="Times New Roman" w:hAnsi="Times New Roman" w:cs="Times New Roman"/>
          <w:sz w:val="24"/>
          <w:szCs w:val="24"/>
          <w:lang w:bidi="hi-IN"/>
        </w:rPr>
        <w:t xml:space="preserve"> maximum profit </w:t>
      </w:r>
      <w:r>
        <w:rPr>
          <w:rFonts w:ascii="Times New Roman" w:hAnsi="Times New Roman" w:cs="Times New Roman"/>
          <w:sz w:val="24"/>
          <w:szCs w:val="24"/>
          <w:lang w:bidi="hi-IN"/>
        </w:rPr>
        <w:lastRenderedPageBreak/>
        <w:t xml:space="preserve">and ecological sustainability (Khan </w:t>
      </w:r>
      <w:r>
        <w:rPr>
          <w:rFonts w:ascii="Times New Roman" w:hAnsi="Times New Roman" w:cs="Times New Roman"/>
          <w:sz w:val="24"/>
          <w:szCs w:val="24"/>
          <w:highlight w:val="yellow"/>
          <w:lang w:bidi="hi-IN"/>
        </w:rPr>
        <w:t>&amp;</w:t>
      </w:r>
      <w:r>
        <w:rPr>
          <w:rFonts w:ascii="Times New Roman" w:hAnsi="Times New Roman" w:cs="Times New Roman"/>
          <w:sz w:val="24"/>
          <w:szCs w:val="24"/>
          <w:lang w:bidi="hi-IN"/>
        </w:rPr>
        <w:t xml:space="preserve"> Khan, 2014).</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Geospatial techniques can be utilised </w:t>
      </w:r>
      <w:r>
        <w:rPr>
          <w:rFonts w:ascii="Times New Roman" w:hAnsi="Times New Roman" w:cs="Times New Roman"/>
          <w:sz w:val="24"/>
          <w:szCs w:val="24"/>
          <w:highlight w:val="yellow"/>
          <w:lang w:bidi="hi-IN"/>
        </w:rPr>
        <w:t>t</w:t>
      </w:r>
      <w:r>
        <w:rPr>
          <w:rFonts w:ascii="Times New Roman" w:hAnsi="Times New Roman" w:cs="Times New Roman"/>
          <w:sz w:val="24"/>
          <w:szCs w:val="24"/>
          <w:lang w:bidi="hi-IN"/>
        </w:rPr>
        <w:t>o identif</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 xml:space="preserve"> suitable sites for agricultural land</w:t>
      </w:r>
      <w:r>
        <w:rPr>
          <w:rFonts w:ascii="Times New Roman" w:hAnsi="Times New Roman" w:cs="Times New Roman"/>
          <w:sz w:val="24"/>
          <w:szCs w:val="24"/>
          <w:highlight w:val="yellow"/>
          <w:lang w:bidi="hi-IN"/>
        </w:rPr>
        <w:t xml:space="preserve"> ba</w:t>
      </w:r>
      <w:r>
        <w:rPr>
          <w:rFonts w:ascii="Times New Roman" w:hAnsi="Times New Roman" w:cs="Times New Roman"/>
          <w:sz w:val="24"/>
          <w:szCs w:val="24"/>
          <w:lang w:bidi="hi-IN"/>
        </w:rPr>
        <w:t>s</w:t>
      </w:r>
      <w:r>
        <w:rPr>
          <w:rFonts w:ascii="Times New Roman" w:hAnsi="Times New Roman" w:cs="Times New Roman"/>
          <w:sz w:val="24"/>
          <w:szCs w:val="24"/>
          <w:highlight w:val="yellow"/>
          <w:lang w:bidi="hi-IN"/>
        </w:rPr>
        <w:t xml:space="preserve">ed </w:t>
      </w:r>
      <w:r>
        <w:rPr>
          <w:rFonts w:ascii="Times New Roman" w:hAnsi="Times New Roman" w:cs="Times New Roman"/>
          <w:sz w:val="24"/>
          <w:szCs w:val="24"/>
          <w:lang w:bidi="hi-IN"/>
        </w:rPr>
        <w:t xml:space="preserve">on criteria </w:t>
      </w:r>
      <w:r>
        <w:rPr>
          <w:rFonts w:ascii="Times New Roman" w:hAnsi="Times New Roman" w:cs="Times New Roman"/>
          <w:sz w:val="24"/>
          <w:szCs w:val="24"/>
          <w:highlight w:val="yellow"/>
          <w:lang w:bidi="hi-IN"/>
        </w:rPr>
        <w:t>such as</w:t>
      </w:r>
      <w:r>
        <w:rPr>
          <w:rFonts w:ascii="Times New Roman" w:hAnsi="Times New Roman" w:cs="Times New Roman"/>
          <w:sz w:val="24"/>
          <w:szCs w:val="24"/>
          <w:lang w:bidi="hi-IN"/>
        </w:rPr>
        <w:t xml:space="preserve"> geology, topography, soil characteristics, drainage and</w:t>
      </w:r>
      <w:r>
        <w:rPr>
          <w:rFonts w:ascii="Times New Roman" w:hAnsi="Times New Roman" w:cs="Times New Roman"/>
          <w:sz w:val="24"/>
          <w:szCs w:val="24"/>
          <w:highlight w:val="yellow"/>
          <w:lang w:bidi="hi-IN"/>
        </w:rPr>
        <w:t xml:space="preserve"> the</w:t>
      </w:r>
      <w:r>
        <w:rPr>
          <w:rFonts w:ascii="Times New Roman" w:hAnsi="Times New Roman" w:cs="Times New Roman"/>
          <w:sz w:val="24"/>
          <w:szCs w:val="24"/>
          <w:lang w:bidi="hi-IN"/>
        </w:rPr>
        <w:t xml:space="preserve"> transport pattern of the study area (Pramanik, 2016). Land resources are limited and must be 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ed sustainabl</w:t>
      </w:r>
      <w:r>
        <w:rPr>
          <w:rFonts w:ascii="Times New Roman" w:hAnsi="Times New Roman" w:cs="Times New Roman"/>
          <w:sz w:val="24"/>
          <w:szCs w:val="24"/>
          <w:highlight w:val="yellow"/>
          <w:lang w:bidi="hi-IN"/>
        </w:rPr>
        <w:t>y</w:t>
      </w:r>
      <w:r>
        <w:rPr>
          <w:rFonts w:ascii="Times New Roman" w:hAnsi="Times New Roman" w:cs="Times New Roman"/>
          <w:sz w:val="24"/>
          <w:szCs w:val="24"/>
          <w:lang w:bidi="hi-IN"/>
        </w:rPr>
        <w:t xml:space="preserve"> for the survival and prosperity of humanity. </w:t>
      </w:r>
      <w:r>
        <w:rPr>
          <w:rFonts w:ascii="Times New Roman" w:hAnsi="Times New Roman" w:cs="Times New Roman"/>
          <w:sz w:val="24"/>
          <w:szCs w:val="24"/>
          <w:highlight w:val="yellow"/>
          <w:lang w:bidi="hi-IN"/>
        </w:rPr>
        <w:t>D</w:t>
      </w:r>
      <w:r>
        <w:rPr>
          <w:rFonts w:ascii="Times New Roman" w:hAnsi="Times New Roman" w:cs="Times New Roman"/>
          <w:sz w:val="24"/>
          <w:szCs w:val="24"/>
          <w:lang w:bidi="hi-IN"/>
        </w:rPr>
        <w:t>eveloping countries fac</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 xml:space="preserve"> the major challenge of producing food, fuel and fodder to fulfil the demand</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of</w:t>
      </w:r>
      <w:r>
        <w:rPr>
          <w:rFonts w:ascii="Times New Roman" w:hAnsi="Times New Roman" w:cs="Times New Roman"/>
          <w:sz w:val="24"/>
          <w:szCs w:val="24"/>
          <w:highlight w:val="yellow"/>
          <w:lang w:bidi="hi-IN"/>
        </w:rPr>
        <w:t xml:space="preserve"> an</w:t>
      </w:r>
      <w:r>
        <w:rPr>
          <w:rFonts w:ascii="Times New Roman" w:hAnsi="Times New Roman" w:cs="Times New Roman"/>
          <w:sz w:val="24"/>
          <w:szCs w:val="24"/>
          <w:lang w:bidi="hi-IN"/>
        </w:rPr>
        <w:t xml:space="preserve"> ever-increasing population. It is also </w:t>
      </w:r>
      <w:r>
        <w:rPr>
          <w:rFonts w:ascii="Times New Roman" w:hAnsi="Times New Roman" w:cs="Times New Roman"/>
          <w:sz w:val="24"/>
          <w:szCs w:val="24"/>
          <w:highlight w:val="yellow"/>
          <w:lang w:bidi="hi-IN"/>
        </w:rPr>
        <w:t>essenti</w:t>
      </w:r>
      <w:r>
        <w:rPr>
          <w:rFonts w:ascii="Times New Roman" w:hAnsi="Times New Roman" w:cs="Times New Roman"/>
          <w:sz w:val="24"/>
          <w:szCs w:val="24"/>
          <w:lang w:bidi="hi-IN"/>
        </w:rPr>
        <w:t>a</w:t>
      </w:r>
      <w:r>
        <w:rPr>
          <w:rFonts w:ascii="Times New Roman" w:hAnsi="Times New Roman" w:cs="Times New Roman"/>
          <w:sz w:val="24"/>
          <w:szCs w:val="24"/>
          <w:highlight w:val="yellow"/>
          <w:lang w:bidi="hi-IN"/>
        </w:rPr>
        <w:t>l</w:t>
      </w:r>
      <w:r>
        <w:rPr>
          <w:rFonts w:ascii="Times New Roman" w:hAnsi="Times New Roman" w:cs="Times New Roman"/>
          <w:sz w:val="24"/>
          <w:szCs w:val="24"/>
          <w:lang w:bidi="hi-IN"/>
        </w:rPr>
        <w:t xml:space="preserve"> to ensure that the fertility of land resources is </w:t>
      </w:r>
      <w:r>
        <w:rPr>
          <w:rFonts w:ascii="Times New Roman" w:hAnsi="Times New Roman" w:cs="Times New Roman"/>
          <w:sz w:val="24"/>
          <w:szCs w:val="24"/>
          <w:highlight w:val="yellow"/>
          <w:lang w:bidi="hi-IN"/>
        </w:rPr>
        <w:t xml:space="preserve">appropriately </w:t>
      </w:r>
      <w:r>
        <w:rPr>
          <w:rFonts w:ascii="Times New Roman" w:hAnsi="Times New Roman" w:cs="Times New Roman"/>
          <w:sz w:val="24"/>
          <w:szCs w:val="24"/>
          <w:lang w:bidi="hi-IN"/>
        </w:rPr>
        <w:t>utili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ed </w:t>
      </w:r>
      <w:r>
        <w:rPr>
          <w:rFonts w:ascii="Times New Roman" w:hAnsi="Times New Roman" w:cs="Times New Roman"/>
          <w:sz w:val="24"/>
          <w:szCs w:val="24"/>
          <w:highlight w:val="yellow"/>
          <w:lang w:bidi="hi-IN"/>
        </w:rPr>
        <w:t>for crop</w:t>
      </w:r>
      <w:r>
        <w:rPr>
          <w:rFonts w:ascii="Times New Roman" w:hAnsi="Times New Roman" w:cs="Times New Roman"/>
          <w:sz w:val="24"/>
          <w:szCs w:val="24"/>
          <w:lang w:bidi="hi-IN"/>
        </w:rPr>
        <w:t xml:space="preserve"> cultivati</w:t>
      </w:r>
      <w:r>
        <w:rPr>
          <w:rFonts w:ascii="Times New Roman" w:hAnsi="Times New Roman" w:cs="Times New Roman"/>
          <w:sz w:val="24"/>
          <w:szCs w:val="24"/>
          <w:highlight w:val="yellow"/>
          <w:lang w:bidi="hi-IN"/>
        </w:rPr>
        <w:t>o</w:t>
      </w:r>
      <w:r>
        <w:rPr>
          <w:rFonts w:ascii="Times New Roman" w:hAnsi="Times New Roman" w:cs="Times New Roman"/>
          <w:sz w:val="24"/>
          <w:szCs w:val="24"/>
          <w:lang w:bidi="hi-IN"/>
        </w:rPr>
        <w:t>n. Land potential must be evaluated so that it can be u</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ed for </w:t>
      </w:r>
      <w:r>
        <w:rPr>
          <w:rFonts w:ascii="Times New Roman" w:hAnsi="Times New Roman" w:cs="Times New Roman"/>
          <w:sz w:val="24"/>
          <w:szCs w:val="24"/>
          <w:highlight w:val="yellow"/>
          <w:lang w:bidi="hi-IN"/>
        </w:rPr>
        <w:t>a</w:t>
      </w:r>
      <w:r>
        <w:rPr>
          <w:rFonts w:ascii="Times New Roman" w:hAnsi="Times New Roman" w:cs="Times New Roman"/>
          <w:sz w:val="24"/>
          <w:szCs w:val="24"/>
          <w:lang w:bidi="hi-IN"/>
        </w:rPr>
        <w:t xml:space="preserve"> specific purpose. Land potentiality assessment has been defined by FAO (1976) as ‘the analysis of land performance when used for a specified purpose, involving the execution and interpretation of surveys and studies of land forms, soils, vegetation, climate and other characteristics of land in order to identify and make a comparison of promising kinds of land use in terms of suitability to the objectives of the evaluation.</w:t>
      </w:r>
      <w:r>
        <w:rPr>
          <w:rFonts w:ascii="Times New Roman" w:hAnsi="Times New Roman" w:cs="Times New Roman"/>
          <w:sz w:val="24"/>
          <w:szCs w:val="24"/>
          <w:highlight w:val="yellow"/>
          <w:lang w:bidi="hi-IN"/>
        </w:rPr>
        <w:t>’</w:t>
      </w:r>
    </w:p>
    <w:p w14:paraId="7932E428"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 xml:space="preserve">Recent studies have demonstrated that integrating soil physicochemical information with GIS-based multi-criteria assessment can provide spatially explicit evaluations of agricultural land suitability across watershed settings (Abate &amp; Anteneh, 2024; Sathiyamurthi </w:t>
      </w:r>
      <w:r>
        <w:rPr>
          <w:b/>
          <w:i/>
          <w:highlight w:val="yellow"/>
        </w:rPr>
        <w:t>et al.</w:t>
      </w:r>
      <w:r>
        <w:rPr>
          <w:b/>
          <w:highlight w:val="yellow"/>
        </w:rPr>
        <w:t xml:space="preserve">, 2024). At broader spatial scales in India, remote sensing and GIS have also been combined with soil, terrain and climatic variables to delineate crop-specific suitability classes (Sawant </w:t>
      </w:r>
      <w:r>
        <w:rPr>
          <w:b/>
          <w:i/>
          <w:highlight w:val="yellow"/>
        </w:rPr>
        <w:t>et al.</w:t>
      </w:r>
      <w:r>
        <w:rPr>
          <w:b/>
          <w:highlight w:val="yellow"/>
        </w:rPr>
        <w:t xml:space="preserve">, 2025). Micro-watershed studies likewise show that soil-site properties and geospatial mapping can support suitability classification for cereal and oilseed crops, while soil-property matching can identify limiting factors relevant to crop-specific land evaluation (Surya </w:t>
      </w:r>
      <w:r>
        <w:rPr>
          <w:b/>
          <w:i/>
          <w:highlight w:val="yellow"/>
        </w:rPr>
        <w:t>et al.</w:t>
      </w:r>
      <w:r>
        <w:rPr>
          <w:b/>
          <w:highlight w:val="yellow"/>
        </w:rPr>
        <w:t xml:space="preserve">, 2025; Putriyono </w:t>
      </w:r>
      <w:r>
        <w:rPr>
          <w:b/>
          <w:i/>
          <w:highlight w:val="yellow"/>
        </w:rPr>
        <w:t>et al.</w:t>
      </w:r>
      <w:r>
        <w:rPr>
          <w:b/>
          <w:highlight w:val="yellow"/>
        </w:rPr>
        <w:t>, 2026).</w:t>
      </w:r>
    </w:p>
    <w:p w14:paraId="3067DDE6" w14:textId="77777777" w:rsidR="004F3F76" w:rsidRPr="00014750" w:rsidRDefault="004F3F76" w:rsidP="00E62221">
      <w:pPr>
        <w:spacing w:after="0" w:line="360" w:lineRule="auto"/>
        <w:jc w:val="both"/>
        <w:rPr>
          <w:rFonts w:ascii="Times New Roman" w:hAnsi="Times New Roman" w:cs="Times New Roman"/>
          <w:sz w:val="24"/>
          <w:szCs w:val="24"/>
          <w:lang w:bidi="hi-IN"/>
        </w:rPr>
      </w:pPr>
      <w:r>
        <w:rPr>
          <w:rFonts w:ascii="Times New Roman" w:hAnsi="Times New Roman" w:cs="Times New Roman"/>
          <w:sz w:val="24"/>
          <w:szCs w:val="24"/>
          <w:lang w:bidi="hi-IN"/>
        </w:rPr>
        <w:t>Characteri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ation and classification of soils are important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understand</w:t>
      </w:r>
      <w:r>
        <w:rPr>
          <w:rFonts w:ascii="Times New Roman" w:hAnsi="Times New Roman" w:cs="Times New Roman"/>
          <w:sz w:val="24"/>
          <w:szCs w:val="24"/>
          <w:highlight w:val="yellow"/>
          <w:lang w:bidi="hi-IN"/>
        </w:rPr>
        <w:t>ing</w:t>
      </w:r>
      <w:r>
        <w:rPr>
          <w:rFonts w:ascii="Times New Roman" w:hAnsi="Times New Roman" w:cs="Times New Roman"/>
          <w:sz w:val="24"/>
          <w:szCs w:val="24"/>
          <w:lang w:bidi="hi-IN"/>
        </w:rPr>
        <w:t xml:space="preserve"> the nature of soil resources (</w:t>
      </w:r>
      <w:r>
        <w:rPr>
          <w:rFonts w:ascii="Times New Roman" w:hAnsi="Times New Roman" w:cs="Times New Roman"/>
          <w:sz w:val="24"/>
          <w:szCs w:val="24"/>
        </w:rPr>
        <w:t>Sahoo</w:t>
      </w:r>
      <w:r>
        <w:rPr>
          <w:rFonts w:ascii="Times New Roman" w:hAnsi="Times New Roman" w:cs="Times New Roman"/>
          <w:sz w:val="24"/>
          <w:szCs w:val="24"/>
          <w:highlight w:val="yellow"/>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2019; Indumon</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2026</w:t>
      </w:r>
      <w:r>
        <w:rPr>
          <w:rFonts w:ascii="Times New Roman" w:hAnsi="Times New Roman" w:cs="Times New Roman"/>
          <w:sz w:val="24"/>
          <w:szCs w:val="24"/>
          <w:highlight w:val="green"/>
          <w:lang w:bidi="hi-IN"/>
        </w:rPr>
        <w:t>;</w:t>
      </w:r>
      <w:r>
        <w:rPr>
          <w:rFonts w:ascii="Times New Roman" w:hAnsi="Times New Roman" w:cs="Times New Roman"/>
          <w:sz w:val="24"/>
          <w:szCs w:val="24"/>
          <w:lang w:bidi="hi-IN"/>
        </w:rPr>
        <w:t xml:space="preserve"> Kumawat</w:t>
      </w:r>
      <w:r>
        <w:rPr>
          <w:rFonts w:ascii="Times New Roman" w:hAnsi="Times New Roman" w:cs="Times New Roman"/>
          <w:sz w:val="24"/>
          <w:szCs w:val="24"/>
          <w:highlight w:val="yellow"/>
          <w:lang w:bidi="hi-IN"/>
        </w:rPr>
        <w:t xml:space="preserve">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2026). Soil classification, on the other hand, helps to organi</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e </w:t>
      </w:r>
      <w:r>
        <w:rPr>
          <w:rFonts w:ascii="Times New Roman" w:hAnsi="Times New Roman" w:cs="Times New Roman"/>
          <w:b/>
          <w:i/>
          <w:color w:val="FF0000"/>
          <w:sz w:val="24"/>
          <w:szCs w:val="24"/>
          <w:lang w:bidi="hi-IN"/>
        </w:rPr>
        <w:t>e</w:t>
      </w:r>
      <w:r>
        <w:rPr>
          <w:rFonts w:ascii="Times New Roman" w:hAnsi="Times New Roman" w:cs="Times New Roman"/>
          <w:b/>
          <w:i/>
          <w:color w:val="FF0000"/>
          <w:sz w:val="24"/>
          <w:szCs w:val="24"/>
          <w:highlight w:val="yellow"/>
          <w:lang w:bidi="hi-IN"/>
        </w:rPr>
        <w:t>xi</w:t>
      </w:r>
      <w:r>
        <w:rPr>
          <w:rFonts w:ascii="Times New Roman" w:hAnsi="Times New Roman" w:cs="Times New Roman"/>
          <w:b/>
          <w:i/>
          <w:color w:val="FF0000"/>
          <w:sz w:val="24"/>
          <w:szCs w:val="24"/>
          <w:lang w:bidi="hi-IN"/>
        </w:rPr>
        <w:t>stin</w:t>
      </w:r>
      <w:r>
        <w:rPr>
          <w:rFonts w:ascii="Times New Roman" w:hAnsi="Times New Roman" w:cs="Times New Roman"/>
          <w:b/>
          <w:i/>
          <w:color w:val="FF0000"/>
          <w:sz w:val="24"/>
          <w:szCs w:val="24"/>
          <w:highlight w:val="yellow"/>
          <w:lang w:bidi="hi-IN"/>
        </w:rPr>
        <w:t>g</w:t>
      </w:r>
      <w:r>
        <w:rPr>
          <w:rFonts w:ascii="Times New Roman" w:hAnsi="Times New Roman" w:cs="Times New Roman"/>
          <w:sz w:val="24"/>
          <w:szCs w:val="24"/>
          <w:lang w:bidi="hi-IN"/>
        </w:rPr>
        <w:t xml:space="preserve"> knowledge, facilitates the transfer of experience and technology from one place to another and e</w:t>
      </w:r>
      <w:r>
        <w:rPr>
          <w:rFonts w:ascii="Times New Roman" w:hAnsi="Times New Roman" w:cs="Times New Roman"/>
          <w:sz w:val="24"/>
          <w:szCs w:val="24"/>
          <w:highlight w:val="yellow"/>
          <w:lang w:bidi="hi-IN"/>
        </w:rPr>
        <w:t>nab</w:t>
      </w:r>
      <w:r>
        <w:rPr>
          <w:rFonts w:ascii="Times New Roman" w:hAnsi="Times New Roman" w:cs="Times New Roman"/>
          <w:sz w:val="24"/>
          <w:szCs w:val="24"/>
          <w:lang w:bidi="hi-IN"/>
        </w:rPr>
        <w:t>l</w:t>
      </w:r>
      <w:r>
        <w:rPr>
          <w:rFonts w:ascii="Times New Roman" w:hAnsi="Times New Roman" w:cs="Times New Roman"/>
          <w:sz w:val="24"/>
          <w:szCs w:val="24"/>
          <w:highlight w:val="yellow"/>
          <w:lang w:bidi="hi-IN"/>
        </w:rPr>
        <w:t>e</w:t>
      </w:r>
      <w:r>
        <w:rPr>
          <w:rFonts w:ascii="Times New Roman" w:hAnsi="Times New Roman" w:cs="Times New Roman"/>
          <w:sz w:val="24"/>
          <w:szCs w:val="24"/>
          <w:lang w:bidi="hi-IN"/>
        </w:rPr>
        <w:t>s compar</w:t>
      </w:r>
      <w:r>
        <w:rPr>
          <w:rFonts w:ascii="Times New Roman" w:hAnsi="Times New Roman" w:cs="Times New Roman"/>
          <w:sz w:val="24"/>
          <w:szCs w:val="24"/>
          <w:highlight w:val="yellow"/>
          <w:lang w:bidi="hi-IN"/>
        </w:rPr>
        <w:t>ison of</w:t>
      </w:r>
      <w:r>
        <w:rPr>
          <w:rFonts w:ascii="Times New Roman" w:hAnsi="Times New Roman" w:cs="Times New Roman"/>
          <w:sz w:val="24"/>
          <w:szCs w:val="24"/>
          <w:lang w:bidi="hi-IN"/>
        </w:rPr>
        <w:t xml:space="preserve"> soil properties (Bhattacharyya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2024).</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integration of </w:t>
      </w:r>
      <w:r>
        <w:rPr>
          <w:rFonts w:ascii="Times New Roman" w:hAnsi="Times New Roman" w:cs="Times New Roman"/>
          <w:sz w:val="24"/>
          <w:szCs w:val="24"/>
          <w:highlight w:val="yellow"/>
          <w:lang w:eastAsia="en-IN"/>
        </w:rPr>
        <w:t>r</w:t>
      </w:r>
      <w:r>
        <w:rPr>
          <w:rFonts w:ascii="Times New Roman" w:hAnsi="Times New Roman" w:cs="Times New Roman"/>
          <w:sz w:val="24"/>
          <w:szCs w:val="24"/>
          <w:lang w:eastAsia="en-IN"/>
        </w:rPr>
        <w:t xml:space="preserve">emote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ensing and Geographic Information System (RS &amp; GIS) techniques has improved the accuracy and efficiency of soil resource mapping and spatial analysis in heterogeneous landscapes (Reddy </w:t>
      </w:r>
      <w:r>
        <w:rPr>
          <w:rFonts w:ascii="Times New Roman" w:hAnsi="Times New Roman" w:cs="Times New Roman"/>
          <w:i/>
          <w:sz w:val="24"/>
          <w:szCs w:val="24"/>
          <w:lang w:eastAsia="en-IN"/>
        </w:rPr>
        <w:t>et al.,</w:t>
      </w:r>
      <w:r>
        <w:rPr>
          <w:rFonts w:ascii="Times New Roman" w:hAnsi="Times New Roman" w:cs="Times New Roman"/>
          <w:sz w:val="24"/>
          <w:szCs w:val="24"/>
          <w:lang w:eastAsia="en-IN"/>
        </w:rPr>
        <w:t xml:space="preserve"> 2015).</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bidi="hi-IN"/>
        </w:rPr>
        <w:t>Considering this,</w:t>
      </w:r>
      <w:r>
        <w:rPr>
          <w:rFonts w:ascii="Times New Roman" w:hAnsi="Times New Roman" w:cs="Times New Roman"/>
          <w:sz w:val="24"/>
          <w:szCs w:val="24"/>
          <w:highlight w:val="yellow"/>
          <w:lang w:bidi="hi-IN"/>
        </w:rPr>
        <w:t xml:space="preserve"> the</w:t>
      </w:r>
      <w:r>
        <w:rPr>
          <w:rFonts w:ascii="Times New Roman" w:hAnsi="Times New Roman" w:cs="Times New Roman"/>
          <w:sz w:val="24"/>
          <w:szCs w:val="24"/>
          <w:lang w:bidi="hi-IN"/>
        </w:rPr>
        <w:t xml:space="preserve"> soil-site requirement</w:t>
      </w:r>
      <w:r>
        <w:rPr>
          <w:rFonts w:ascii="Times New Roman" w:hAnsi="Times New Roman" w:cs="Times New Roman"/>
          <w:sz w:val="24"/>
          <w:szCs w:val="24"/>
          <w:highlight w:val="yellow"/>
          <w:lang w:bidi="hi-IN"/>
        </w:rPr>
        <w:t>s</w:t>
      </w:r>
      <w:r>
        <w:rPr>
          <w:rFonts w:ascii="Times New Roman" w:hAnsi="Times New Roman" w:cs="Times New Roman"/>
          <w:sz w:val="24"/>
          <w:szCs w:val="24"/>
          <w:lang w:bidi="hi-IN"/>
        </w:rPr>
        <w:t xml:space="preserve"> </w:t>
      </w:r>
      <w:r>
        <w:rPr>
          <w:rFonts w:ascii="Times New Roman" w:hAnsi="Times New Roman" w:cs="Times New Roman"/>
          <w:sz w:val="24"/>
          <w:szCs w:val="24"/>
          <w:highlight w:val="yellow"/>
          <w:lang w:bidi="hi-IN"/>
        </w:rPr>
        <w:t>f</w:t>
      </w:r>
      <w:r>
        <w:rPr>
          <w:rFonts w:ascii="Times New Roman" w:hAnsi="Times New Roman" w:cs="Times New Roman"/>
          <w:sz w:val="24"/>
          <w:szCs w:val="24"/>
          <w:lang w:bidi="hi-IN"/>
        </w:rPr>
        <w:t>o</w:t>
      </w:r>
      <w:r>
        <w:rPr>
          <w:rFonts w:ascii="Times New Roman" w:hAnsi="Times New Roman" w:cs="Times New Roman"/>
          <w:sz w:val="24"/>
          <w:szCs w:val="24"/>
          <w:highlight w:val="yellow"/>
          <w:lang w:bidi="hi-IN"/>
        </w:rPr>
        <w:t>r</w:t>
      </w:r>
      <w:r>
        <w:rPr>
          <w:rFonts w:ascii="Times New Roman" w:hAnsi="Times New Roman" w:cs="Times New Roman"/>
          <w:sz w:val="24"/>
          <w:szCs w:val="24"/>
          <w:lang w:bidi="hi-IN"/>
        </w:rPr>
        <w:t xml:space="preserve"> sustainable crop production </w:t>
      </w:r>
      <w:r>
        <w:rPr>
          <w:rFonts w:ascii="Times New Roman" w:hAnsi="Times New Roman" w:cs="Times New Roman"/>
          <w:sz w:val="24"/>
          <w:szCs w:val="24"/>
          <w:highlight w:val="yellow"/>
          <w:lang w:bidi="hi-IN"/>
        </w:rPr>
        <w:t>in</w:t>
      </w:r>
      <w:r>
        <w:rPr>
          <w:rFonts w:ascii="Times New Roman" w:hAnsi="Times New Roman" w:cs="Times New Roman"/>
          <w:sz w:val="24"/>
          <w:szCs w:val="24"/>
          <w:lang w:bidi="hi-IN"/>
        </w:rPr>
        <w:t xml:space="preserve"> the region w</w:t>
      </w:r>
      <w:r>
        <w:rPr>
          <w:rFonts w:ascii="Times New Roman" w:hAnsi="Times New Roman" w:cs="Times New Roman"/>
          <w:sz w:val="24"/>
          <w:szCs w:val="24"/>
          <w:highlight w:val="yellow"/>
          <w:lang w:bidi="hi-IN"/>
        </w:rPr>
        <w:t>ere</w:t>
      </w:r>
      <w:r>
        <w:rPr>
          <w:rFonts w:ascii="Times New Roman" w:hAnsi="Times New Roman" w:cs="Times New Roman"/>
          <w:sz w:val="24"/>
          <w:szCs w:val="24"/>
          <w:lang w:bidi="hi-IN"/>
        </w:rPr>
        <w:t xml:space="preserve"> developed </w:t>
      </w:r>
      <w:r>
        <w:rPr>
          <w:rFonts w:ascii="Times New Roman" w:hAnsi="Times New Roman" w:cs="Times New Roman"/>
          <w:sz w:val="24"/>
          <w:szCs w:val="24"/>
          <w:highlight w:val="yellow"/>
          <w:lang w:bidi="hi-IN"/>
        </w:rPr>
        <w:t xml:space="preserve">by </w:t>
      </w:r>
      <w:r>
        <w:rPr>
          <w:rFonts w:ascii="Times New Roman" w:hAnsi="Times New Roman" w:cs="Times New Roman"/>
          <w:sz w:val="24"/>
          <w:szCs w:val="24"/>
          <w:lang w:bidi="hi-IN"/>
        </w:rPr>
        <w:t>taking into account the available literature</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field</w:t>
      </w:r>
      <w:r>
        <w:rPr>
          <w:rFonts w:ascii="Times New Roman" w:hAnsi="Times New Roman" w:cs="Times New Roman"/>
          <w:sz w:val="24"/>
          <w:szCs w:val="24"/>
          <w:highlight w:val="yellow"/>
          <w:lang w:bidi="hi-IN"/>
        </w:rPr>
        <w:t xml:space="preserve"> observations</w:t>
      </w:r>
      <w:r>
        <w:rPr>
          <w:rFonts w:ascii="Times New Roman" w:hAnsi="Times New Roman" w:cs="Times New Roman"/>
          <w:sz w:val="24"/>
          <w:szCs w:val="24"/>
          <w:lang w:bidi="hi-IN"/>
        </w:rPr>
        <w:t xml:space="preserve"> and local experience</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as suggested by Naidu </w:t>
      </w:r>
      <w:r>
        <w:rPr>
          <w:rFonts w:ascii="Times New Roman" w:hAnsi="Times New Roman" w:cs="Times New Roman"/>
          <w:i/>
          <w:sz w:val="24"/>
          <w:szCs w:val="24"/>
          <w:lang w:bidi="hi-IN"/>
        </w:rPr>
        <w:t>et al.</w:t>
      </w:r>
      <w:r>
        <w:rPr>
          <w:rFonts w:ascii="Times New Roman" w:hAnsi="Times New Roman" w:cs="Times New Roman"/>
          <w:sz w:val="24"/>
          <w:szCs w:val="24"/>
          <w:lang w:bidi="hi-IN"/>
        </w:rPr>
        <w:t xml:space="preserve"> (2006).</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 xml:space="preserve">Thus, in view of the above, the study was carried out in </w:t>
      </w:r>
      <w:r>
        <w:rPr>
          <w:rFonts w:ascii="Times New Roman" w:hAnsi="Times New Roman" w:cs="Times New Roman"/>
          <w:bCs/>
          <w:kern w:val="36"/>
          <w:sz w:val="24"/>
          <w:szCs w:val="24"/>
          <w:lang w:bidi="hi-IN"/>
        </w:rPr>
        <w:t>Gudvella</w:t>
      </w:r>
      <w:r>
        <w:rPr>
          <w:rFonts w:ascii="Times New Roman" w:hAnsi="Times New Roman" w:cs="Times New Roman"/>
          <w:bCs/>
          <w:kern w:val="36"/>
          <w:sz w:val="24"/>
          <w:szCs w:val="24"/>
          <w:highlight w:val="yellow"/>
          <w:lang w:bidi="hi-IN"/>
        </w:rPr>
        <w:t xml:space="preserve"> </w:t>
      </w:r>
      <w:r>
        <w:rPr>
          <w:rFonts w:ascii="Times New Roman" w:hAnsi="Times New Roman" w:cs="Times New Roman"/>
          <w:sz w:val="24"/>
          <w:szCs w:val="24"/>
          <w:lang w:bidi="hi-IN"/>
        </w:rPr>
        <w:t xml:space="preserve">Block, Balangir </w:t>
      </w:r>
      <w:r>
        <w:rPr>
          <w:rFonts w:ascii="Times New Roman" w:hAnsi="Times New Roman" w:cs="Times New Roman"/>
          <w:sz w:val="24"/>
          <w:szCs w:val="24"/>
          <w:lang w:bidi="hi-IN"/>
        </w:rPr>
        <w:lastRenderedPageBreak/>
        <w:t>District, Odisha State, India</w:t>
      </w:r>
      <w:r>
        <w:rPr>
          <w:rFonts w:ascii="Times New Roman" w:hAnsi="Times New Roman" w:cs="Times New Roman"/>
          <w:sz w:val="24"/>
          <w:szCs w:val="24"/>
          <w:highlight w:val="yellow"/>
          <w:lang w:bidi="hi-IN"/>
        </w:rPr>
        <w:t>,</w:t>
      </w:r>
      <w:r>
        <w:rPr>
          <w:rFonts w:ascii="Times New Roman" w:hAnsi="Times New Roman" w:cs="Times New Roman"/>
          <w:sz w:val="24"/>
          <w:szCs w:val="24"/>
          <w:lang w:bidi="hi-IN"/>
        </w:rPr>
        <w:t xml:space="preserve"> to evaluate soil-site suitability for sustainable crop production in order to achieve optimum production.</w:t>
      </w:r>
    </w:p>
    <w:p w14:paraId="1BB894B4"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Research gap: Within the scope of this study, the key gap is the absence of a unified, block-level evaluation that links detailed soil characterisation and taxonomic classification with GIS-based crop-specific suitability assessment for Gudvella Block.</w:t>
      </w:r>
    </w:p>
    <w:p w14:paraId="132D7032" w14:textId="77777777" w:rsidR="002E5F2A" w:rsidRDefault="00000000">
      <w:pPr>
        <w:spacing w:after="0" w:line="360" w:lineRule="auto"/>
        <w:ind w:left="284" w:hanging="284"/>
        <w:outlineLvl w:val="0"/>
        <w:rPr>
          <w:rFonts w:ascii="Times New Roman" w:hAnsi="Times New Roman" w:cs="Times New Roman"/>
          <w:b/>
          <w:bCs/>
          <w:kern w:val="36"/>
          <w:sz w:val="24"/>
          <w:szCs w:val="24"/>
          <w:lang w:bidi="hi-IN"/>
        </w:rPr>
      </w:pPr>
      <w:r>
        <w:rPr>
          <w:b/>
          <w:highlight w:val="yellow"/>
        </w:rPr>
        <w:t>Objective</w:t>
      </w:r>
    </w:p>
    <w:p w14:paraId="5135E77C" w14:textId="77777777" w:rsidR="002E5F2A" w:rsidRDefault="00000000">
      <w:pPr>
        <w:spacing w:after="0" w:line="360" w:lineRule="auto"/>
        <w:jc w:val="both"/>
        <w:rPr>
          <w:rFonts w:ascii="Times New Roman" w:hAnsi="Times New Roman" w:cs="Times New Roman"/>
          <w:sz w:val="24"/>
          <w:szCs w:val="24"/>
          <w:lang w:bidi="hi-IN"/>
        </w:rPr>
      </w:pPr>
      <w:r>
        <w:rPr>
          <w:b/>
          <w:highlight w:val="yellow"/>
        </w:rPr>
        <w:t>The objective of this study was to evaluate soil-site suitability for sustainable crop production in Gudvella Block, Balangir District, Odisha State, India, through integrated soil characterisation, classification and GIS/remote-sensing-supported spatial analysis.</w:t>
      </w:r>
    </w:p>
    <w:p w14:paraId="1BFE582A" w14:textId="77777777" w:rsidR="004F3F76" w:rsidRPr="00014750" w:rsidRDefault="00E62221" w:rsidP="00E62221">
      <w:pPr>
        <w:numPr>
          <w:ilvl w:val="0"/>
          <w:numId w:val="1"/>
        </w:numPr>
        <w:spacing w:after="0" w:line="360" w:lineRule="auto"/>
        <w:ind w:left="284" w:hanging="284"/>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Materials and methods</w:t>
      </w:r>
    </w:p>
    <w:p w14:paraId="07890E1D"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2.1 Location and climate  </w:t>
      </w:r>
    </w:p>
    <w:p w14:paraId="2FEF339F" w14:textId="77777777" w:rsidR="00000212" w:rsidRPr="00014750" w:rsidRDefault="004F3F76"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study was carried out in </w:t>
      </w:r>
      <w:r>
        <w:rPr>
          <w:rFonts w:ascii="Times New Roman" w:hAnsi="Times New Roman" w:cs="Times New Roman"/>
          <w:sz w:val="24"/>
          <w:szCs w:val="24"/>
          <w:lang w:bidi="hi-IN"/>
        </w:rPr>
        <w:t>Gudvella</w:t>
      </w:r>
      <w:r>
        <w:rPr>
          <w:rFonts w:ascii="Times New Roman" w:hAnsi="Times New Roman" w:cs="Times New Roman"/>
          <w:sz w:val="24"/>
          <w:szCs w:val="24"/>
          <w:highlight w:val="yellow"/>
          <w:lang w:bidi="hi-IN"/>
        </w:rPr>
        <w:t xml:space="preserve"> </w:t>
      </w:r>
      <w:r>
        <w:rPr>
          <w:rFonts w:ascii="Times New Roman" w:hAnsi="Times New Roman" w:cs="Times New Roman"/>
          <w:sz w:val="24"/>
          <w:szCs w:val="24"/>
          <w:lang w:bidi="hi-IN"/>
        </w:rPr>
        <w:t>Block, Balangir District, Odisha State</w:t>
      </w:r>
      <w:r>
        <w:rPr>
          <w:rFonts w:ascii="Times New Roman" w:hAnsi="Times New Roman" w:cs="Times New Roman"/>
          <w:sz w:val="24"/>
          <w:szCs w:val="24"/>
          <w:lang w:eastAsia="en-IN"/>
        </w:rPr>
        <w:t>, situated between 20°21′0″ and 20°32′21″ N latitudes and 83°24′46″ and 83°39′58″ E longitudes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1). The study area falls within SOI topographical sheets Nos. 64P/6, 64P/7, 64P/10 and 64P/11 at a scale of 1:50,000.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survey area receives an average annual rainfall of 1446.7 mm, predominantly during the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outh-</w:t>
      </w:r>
      <w:r>
        <w:rPr>
          <w:rFonts w:ascii="Times New Roman" w:hAnsi="Times New Roman" w:cs="Times New Roman"/>
          <w:sz w:val="24"/>
          <w:szCs w:val="24"/>
          <w:highlight w:val="yellow"/>
          <w:lang w:eastAsia="en-IN"/>
        </w:rPr>
        <w:t>w</w:t>
      </w:r>
      <w:r>
        <w:rPr>
          <w:rFonts w:ascii="Times New Roman" w:hAnsi="Times New Roman" w:cs="Times New Roman"/>
          <w:sz w:val="24"/>
          <w:szCs w:val="24"/>
          <w:lang w:eastAsia="en-IN"/>
        </w:rPr>
        <w:t>est monsoon (June–October), with ~90% concentrated in June–August and peaking in July (Fig. 2). Rainfall is erratic</w:t>
      </w:r>
      <w:r>
        <w:rPr>
          <w:rFonts w:ascii="Times New Roman" w:hAnsi="Times New Roman" w:cs="Times New Roman"/>
          <w:sz w:val="24"/>
          <w:szCs w:val="24"/>
          <w:highlight w:val="yellow"/>
          <w:lang w:eastAsia="en-IN"/>
        </w:rPr>
        <w:t xml:space="preserve"> and is</w:t>
      </w:r>
      <w:r>
        <w:rPr>
          <w:rFonts w:ascii="Times New Roman" w:hAnsi="Times New Roman" w:cs="Times New Roman"/>
          <w:sz w:val="24"/>
          <w:szCs w:val="24"/>
          <w:lang w:eastAsia="en-IN"/>
        </w:rPr>
        <w:t xml:space="preserve"> often followed by dry spells that limit </w:t>
      </w:r>
      <w:r>
        <w:rPr>
          <w:rFonts w:ascii="Times New Roman" w:hAnsi="Times New Roman" w:cs="Times New Roman"/>
          <w:i/>
          <w:iCs/>
          <w:sz w:val="24"/>
          <w:szCs w:val="24"/>
          <w:lang w:eastAsia="en-IN"/>
        </w:rPr>
        <w:t>Kharif</w:t>
      </w:r>
      <w:r>
        <w:rPr>
          <w:rFonts w:ascii="Times New Roman" w:hAnsi="Times New Roman" w:cs="Times New Roman"/>
          <w:sz w:val="24"/>
          <w:szCs w:val="24"/>
          <w:lang w:eastAsia="en-IN"/>
        </w:rPr>
        <w:t xml:space="preserve"> crop growth. The climate is sub-humid</w:t>
      </w:r>
      <w:r>
        <w:rPr>
          <w:rFonts w:ascii="Times New Roman" w:hAnsi="Times New Roman" w:cs="Times New Roman"/>
          <w:sz w:val="24"/>
          <w:szCs w:val="24"/>
          <w:highlight w:val="yellow"/>
          <w:lang w:eastAsia="en-IN"/>
        </w:rPr>
        <w:t xml:space="preserve"> and</w:t>
      </w:r>
      <w:r>
        <w:rPr>
          <w:rFonts w:ascii="Times New Roman" w:hAnsi="Times New Roman" w:cs="Times New Roman"/>
          <w:sz w:val="24"/>
          <w:szCs w:val="24"/>
          <w:lang w:eastAsia="en-IN"/>
        </w:rPr>
        <w:t xml:space="preserve"> subtropical</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with three seasons: summer, rainy and winter. Temperatures rise from late March, reaching maxima in May, with h</w:t>
      </w:r>
      <w:r>
        <w:rPr>
          <w:rFonts w:ascii="Times New Roman" w:hAnsi="Times New Roman" w:cs="Times New Roman"/>
          <w:sz w:val="24"/>
          <w:szCs w:val="24"/>
          <w:highlight w:val="yellow"/>
          <w:lang w:eastAsia="en-IN"/>
        </w:rPr>
        <w:t>ea</w:t>
      </w:r>
      <w:r>
        <w:rPr>
          <w:rFonts w:ascii="Times New Roman" w:hAnsi="Times New Roman" w:cs="Times New Roman"/>
          <w:sz w:val="24"/>
          <w:szCs w:val="24"/>
          <w:lang w:eastAsia="en-IN"/>
        </w:rPr>
        <w:t xml:space="preserve">t waves prevailing </w:t>
      </w:r>
      <w:r>
        <w:rPr>
          <w:rFonts w:ascii="Times New Roman" w:hAnsi="Times New Roman" w:cs="Times New Roman"/>
          <w:sz w:val="24"/>
          <w:szCs w:val="24"/>
          <w:highlight w:val="yellow"/>
          <w:lang w:eastAsia="en-IN"/>
        </w:rPr>
        <w:t xml:space="preserve">from </w:t>
      </w:r>
      <w:r>
        <w:rPr>
          <w:rFonts w:ascii="Times New Roman" w:hAnsi="Times New Roman" w:cs="Times New Roman"/>
          <w:sz w:val="24"/>
          <w:szCs w:val="24"/>
          <w:lang w:eastAsia="en-IN"/>
        </w:rPr>
        <w:t>April</w:t>
      </w:r>
      <w:r>
        <w:rPr>
          <w:rFonts w:ascii="Times New Roman" w:hAnsi="Times New Roman" w:cs="Times New Roman"/>
          <w:sz w:val="24"/>
          <w:szCs w:val="24"/>
          <w:highlight w:val="yellow"/>
          <w:lang w:eastAsia="en-IN"/>
        </w:rPr>
        <w:t xml:space="preserve"> to </w:t>
      </w:r>
      <w:r>
        <w:rPr>
          <w:rFonts w:ascii="Times New Roman" w:hAnsi="Times New Roman" w:cs="Times New Roman"/>
          <w:sz w:val="24"/>
          <w:szCs w:val="24"/>
          <w:lang w:eastAsia="en-IN"/>
        </w:rPr>
        <w:t>June, while winters are fairly cold. The mean maximum and minimum temperatures are 33.1°C and 20.5°C, respectively;</w:t>
      </w:r>
      <w:r>
        <w:rPr>
          <w:rFonts w:ascii="Times New Roman" w:hAnsi="Times New Roman" w:cs="Times New Roman"/>
          <w:sz w:val="24"/>
          <w:szCs w:val="24"/>
          <w:highlight w:val="yellow"/>
          <w:lang w:eastAsia="en-IN"/>
        </w:rPr>
        <w:t xml:space="preserve"> the</w:t>
      </w:r>
      <w:r>
        <w:rPr>
          <w:rFonts w:ascii="Times New Roman" w:hAnsi="Times New Roman" w:cs="Times New Roman"/>
          <w:sz w:val="24"/>
          <w:szCs w:val="24"/>
          <w:lang w:eastAsia="en-IN"/>
        </w:rPr>
        <w:t xml:space="preserve"> seasonal means are 32.9°C (summer) and 13.7°C (winter), with a mean annual air temperature of 26.8°C. The summer–winter difference of 19.2°C indicates a ‘</w:t>
      </w:r>
      <w:r>
        <w:rPr>
          <w:rFonts w:ascii="Times New Roman" w:hAnsi="Times New Roman" w:cs="Times New Roman"/>
          <w:i/>
          <w:sz w:val="24"/>
          <w:szCs w:val="24"/>
          <w:lang w:eastAsia="en-IN"/>
        </w:rPr>
        <w:t>Hyperthermic</w:t>
      </w:r>
      <w:r>
        <w:rPr>
          <w:rFonts w:ascii="Times New Roman" w:hAnsi="Times New Roman" w:cs="Times New Roman"/>
          <w:sz w:val="24"/>
          <w:szCs w:val="24"/>
          <w:lang w:eastAsia="en-IN"/>
        </w:rPr>
        <w:t>’ soil temperature regime, while the soil moisture regime is ‘</w:t>
      </w:r>
      <w:r>
        <w:rPr>
          <w:rFonts w:ascii="Times New Roman" w:hAnsi="Times New Roman" w:cs="Times New Roman"/>
          <w:i/>
          <w:sz w:val="24"/>
          <w:szCs w:val="24"/>
          <w:lang w:eastAsia="en-IN"/>
        </w:rPr>
        <w:t>Ustic</w:t>
      </w:r>
      <w:r>
        <w:rPr>
          <w:rFonts w:ascii="Times New Roman" w:hAnsi="Times New Roman" w:cs="Times New Roman"/>
          <w:sz w:val="24"/>
          <w:szCs w:val="24"/>
          <w:lang w:eastAsia="en-IN"/>
        </w:rPr>
        <w:t>’ (‘</w:t>
      </w:r>
      <w:r>
        <w:rPr>
          <w:rFonts w:ascii="Times New Roman" w:hAnsi="Times New Roman" w:cs="Times New Roman"/>
          <w:i/>
          <w:sz w:val="24"/>
          <w:szCs w:val="24"/>
          <w:lang w:eastAsia="en-IN"/>
        </w:rPr>
        <w:t>Aquic</w:t>
      </w:r>
      <w:r>
        <w:rPr>
          <w:rFonts w:ascii="Times New Roman" w:hAnsi="Times New Roman" w:cs="Times New Roman"/>
          <w:sz w:val="24"/>
          <w:szCs w:val="24"/>
          <w:lang w:eastAsia="en-IN"/>
        </w:rPr>
        <w:t xml:space="preserve">’ in depressional landscape areas), reflecting the prevailing sub-humid, subtropical climate (Soil </w:t>
      </w:r>
      <w:r>
        <w:rPr>
          <w:rFonts w:ascii="Times New Roman" w:hAnsi="Times New Roman" w:cs="Times New Roman"/>
          <w:sz w:val="24"/>
          <w:szCs w:val="24"/>
          <w:highlight w:val="yellow"/>
          <w:lang w:eastAsia="en-IN"/>
        </w:rPr>
        <w:t>Survey St</w:t>
      </w:r>
      <w:r>
        <w:rPr>
          <w:rFonts w:ascii="Times New Roman" w:hAnsi="Times New Roman" w:cs="Times New Roman"/>
          <w:sz w:val="24"/>
          <w:szCs w:val="24"/>
          <w:lang w:eastAsia="en-IN"/>
        </w:rPr>
        <w:t>a</w:t>
      </w:r>
      <w:r>
        <w:rPr>
          <w:rFonts w:ascii="Times New Roman" w:hAnsi="Times New Roman" w:cs="Times New Roman"/>
          <w:sz w:val="24"/>
          <w:szCs w:val="24"/>
          <w:highlight w:val="yellow"/>
          <w:lang w:eastAsia="en-IN"/>
        </w:rPr>
        <w:t>ff, 2014</w:t>
      </w:r>
      <w:r>
        <w:rPr>
          <w:rFonts w:ascii="Times New Roman" w:hAnsi="Times New Roman" w:cs="Times New Roman"/>
          <w:sz w:val="24"/>
          <w:szCs w:val="24"/>
          <w:lang w:eastAsia="en-IN"/>
        </w:rPr>
        <w:t>).</w:t>
      </w:r>
    </w:p>
    <w:p w14:paraId="069C2060" w14:textId="77777777" w:rsidR="00C43786" w:rsidRPr="00014750" w:rsidRDefault="00C43786" w:rsidP="00E62221">
      <w:pPr>
        <w:spacing w:after="0" w:line="360" w:lineRule="auto"/>
        <w:jc w:val="both"/>
        <w:rPr>
          <w:rFonts w:ascii="Times New Roman" w:hAnsi="Times New Roman" w:cs="Times New Roman"/>
          <w:sz w:val="24"/>
          <w:szCs w:val="24"/>
          <w:lang w:val="en-IN" w:eastAsia="en-IN"/>
        </w:rPr>
      </w:pPr>
      <w:r>
        <w:rPr>
          <w:rFonts w:ascii="Times New Roman" w:hAnsi="Times New Roman" w:cs="Times New Roman"/>
          <w:sz w:val="24"/>
          <w:szCs w:val="24"/>
          <w:lang w:eastAsia="en-IN"/>
        </w:rPr>
        <w:t>Twenty-five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pedons w</w:t>
      </w:r>
      <w:r>
        <w:rPr>
          <w:rFonts w:ascii="Times New Roman" w:hAnsi="Times New Roman" w:cs="Times New Roman"/>
          <w:sz w:val="24"/>
          <w:szCs w:val="24"/>
          <w:highlight w:val="yellow"/>
          <w:lang w:eastAsia="en-IN"/>
        </w:rPr>
        <w:t>ere identified in t</w:t>
      </w:r>
      <w:r>
        <w:rPr>
          <w:rFonts w:ascii="Times New Roman" w:hAnsi="Times New Roman" w:cs="Times New Roman"/>
          <w:sz w:val="24"/>
          <w:szCs w:val="24"/>
          <w:lang w:eastAsia="en-IN"/>
        </w:rPr>
        <w:t>h</w:t>
      </w:r>
      <w:r>
        <w:rPr>
          <w:rFonts w:ascii="Times New Roman" w:hAnsi="Times New Roman" w:cs="Times New Roman"/>
          <w:sz w:val="24"/>
          <w:szCs w:val="24"/>
          <w:highlight w:val="yellow"/>
          <w:lang w:eastAsia="en-IN"/>
        </w:rPr>
        <w:t>e study</w:t>
      </w:r>
      <w:r>
        <w:rPr>
          <w:rFonts w:ascii="Times New Roman" w:hAnsi="Times New Roman" w:cs="Times New Roman"/>
          <w:sz w:val="24"/>
          <w:szCs w:val="24"/>
          <w:lang w:eastAsia="en-IN"/>
        </w:rPr>
        <w:t xml:space="preserve"> are</w:t>
      </w:r>
      <w:r>
        <w:rPr>
          <w:rFonts w:ascii="Times New Roman" w:hAnsi="Times New Roman" w:cs="Times New Roman"/>
          <w:sz w:val="24"/>
          <w:szCs w:val="24"/>
          <w:highlight w:val="yellow"/>
          <w:lang w:eastAsia="en-IN"/>
        </w:rPr>
        <w:t>a:</w:t>
      </w:r>
      <w:r>
        <w:rPr>
          <w:rFonts w:ascii="Times New Roman" w:hAnsi="Times New Roman" w:cs="Times New Roman"/>
          <w:sz w:val="24"/>
          <w:szCs w:val="24"/>
          <w:lang w:eastAsia="en-IN"/>
        </w:rPr>
        <w:t xml:space="preserve"> </w:t>
      </w:r>
      <w:r>
        <w:rPr>
          <w:rFonts w:ascii="Times New Roman" w:hAnsi="Times New Roman" w:cs="Times New Roman"/>
          <w:sz w:val="24"/>
          <w:szCs w:val="24"/>
          <w:lang w:val="en-IN" w:eastAsia="en-IN"/>
        </w:rPr>
        <w:t>P1 (Baghala), P2 (</w:t>
      </w:r>
      <w:r>
        <w:rPr>
          <w:rFonts w:ascii="Times New Roman" w:hAnsi="Times New Roman" w:cs="Times New Roman"/>
          <w:sz w:val="24"/>
          <w:szCs w:val="24"/>
        </w:rPr>
        <w:t>Balangir</w:t>
      </w:r>
      <w:r>
        <w:rPr>
          <w:rFonts w:ascii="Times New Roman" w:hAnsi="Times New Roman" w:cs="Times New Roman"/>
          <w:sz w:val="24"/>
          <w:szCs w:val="24"/>
          <w:lang w:val="en-IN" w:eastAsia="en-IN"/>
        </w:rPr>
        <w:t>), P3 (</w:t>
      </w:r>
      <w:r>
        <w:rPr>
          <w:rFonts w:ascii="Times New Roman" w:hAnsi="Times New Roman" w:cs="Times New Roman"/>
          <w:sz w:val="24"/>
          <w:szCs w:val="24"/>
        </w:rPr>
        <w:t>Bandopala</w:t>
      </w:r>
      <w:r>
        <w:rPr>
          <w:rFonts w:ascii="Times New Roman" w:hAnsi="Times New Roman" w:cs="Times New Roman"/>
          <w:sz w:val="24"/>
          <w:szCs w:val="24"/>
          <w:lang w:val="en-IN" w:eastAsia="en-IN"/>
        </w:rPr>
        <w:t>), P4 (</w:t>
      </w:r>
      <w:r>
        <w:rPr>
          <w:rFonts w:ascii="Times New Roman" w:hAnsi="Times New Roman" w:cs="Times New Roman"/>
          <w:sz w:val="24"/>
          <w:szCs w:val="24"/>
        </w:rPr>
        <w:t>Bangomunda</w:t>
      </w:r>
      <w:r>
        <w:rPr>
          <w:rFonts w:ascii="Times New Roman" w:hAnsi="Times New Roman" w:cs="Times New Roman"/>
          <w:sz w:val="24"/>
          <w:szCs w:val="24"/>
          <w:lang w:val="en-IN" w:eastAsia="en-IN"/>
        </w:rPr>
        <w:t>), P5 (</w:t>
      </w:r>
      <w:r>
        <w:rPr>
          <w:rFonts w:ascii="Times New Roman" w:hAnsi="Times New Roman" w:cs="Times New Roman"/>
          <w:sz w:val="24"/>
          <w:szCs w:val="24"/>
        </w:rPr>
        <w:t>Barkani</w:t>
      </w:r>
      <w:r>
        <w:rPr>
          <w:rFonts w:ascii="Times New Roman" w:hAnsi="Times New Roman" w:cs="Times New Roman"/>
          <w:sz w:val="24"/>
          <w:szCs w:val="24"/>
          <w:lang w:val="en-IN" w:eastAsia="en-IN"/>
        </w:rPr>
        <w:t>), P6 (</w:t>
      </w:r>
      <w:r>
        <w:rPr>
          <w:rFonts w:ascii="Times New Roman" w:hAnsi="Times New Roman" w:cs="Times New Roman"/>
          <w:sz w:val="24"/>
          <w:szCs w:val="24"/>
        </w:rPr>
        <w:t>Chandanbhati</w:t>
      </w:r>
      <w:r>
        <w:rPr>
          <w:rFonts w:ascii="Times New Roman" w:hAnsi="Times New Roman" w:cs="Times New Roman"/>
          <w:sz w:val="24"/>
          <w:szCs w:val="24"/>
          <w:lang w:val="en-IN" w:eastAsia="en-IN"/>
        </w:rPr>
        <w:t>), P7 (</w:t>
      </w:r>
      <w:r>
        <w:rPr>
          <w:rFonts w:ascii="Times New Roman" w:hAnsi="Times New Roman" w:cs="Times New Roman"/>
          <w:sz w:val="24"/>
          <w:szCs w:val="24"/>
        </w:rPr>
        <w:t>Dhanmadher</w:t>
      </w:r>
      <w:r>
        <w:rPr>
          <w:rFonts w:ascii="Times New Roman" w:hAnsi="Times New Roman" w:cs="Times New Roman"/>
          <w:sz w:val="24"/>
          <w:szCs w:val="24"/>
          <w:lang w:val="en-IN" w:eastAsia="en-IN"/>
        </w:rPr>
        <w:t>), P8 (</w:t>
      </w:r>
      <w:r>
        <w:rPr>
          <w:rFonts w:ascii="Times New Roman" w:hAnsi="Times New Roman" w:cs="Times New Roman"/>
          <w:sz w:val="24"/>
          <w:szCs w:val="24"/>
        </w:rPr>
        <w:t>Dhumamara</w:t>
      </w:r>
      <w:r>
        <w:rPr>
          <w:rFonts w:ascii="Times New Roman" w:hAnsi="Times New Roman" w:cs="Times New Roman"/>
          <w:sz w:val="24"/>
          <w:szCs w:val="24"/>
          <w:lang w:val="en-IN" w:eastAsia="en-IN"/>
        </w:rPr>
        <w:t>), P9 (</w:t>
      </w:r>
      <w:r>
        <w:rPr>
          <w:rFonts w:ascii="Times New Roman" w:hAnsi="Times New Roman" w:cs="Times New Roman"/>
          <w:sz w:val="24"/>
          <w:szCs w:val="24"/>
        </w:rPr>
        <w:t>Dumermunda</w:t>
      </w:r>
      <w:r>
        <w:rPr>
          <w:rFonts w:ascii="Times New Roman" w:hAnsi="Times New Roman" w:cs="Times New Roman"/>
          <w:sz w:val="24"/>
          <w:szCs w:val="24"/>
          <w:lang w:val="en-IN" w:eastAsia="en-IN"/>
        </w:rPr>
        <w:t>), P10 (</w:t>
      </w:r>
      <w:r>
        <w:rPr>
          <w:rFonts w:ascii="Times New Roman" w:hAnsi="Times New Roman" w:cs="Times New Roman"/>
          <w:sz w:val="24"/>
          <w:szCs w:val="24"/>
        </w:rPr>
        <w:t>Dungibahal</w:t>
      </w:r>
      <w:r>
        <w:rPr>
          <w:rFonts w:ascii="Times New Roman" w:hAnsi="Times New Roman" w:cs="Times New Roman"/>
          <w:sz w:val="24"/>
          <w:szCs w:val="24"/>
          <w:lang w:val="en-IN" w:eastAsia="en-IN"/>
        </w:rPr>
        <w:t>), P11 (</w:t>
      </w:r>
      <w:r>
        <w:rPr>
          <w:rFonts w:ascii="Times New Roman" w:hAnsi="Times New Roman" w:cs="Times New Roman"/>
          <w:sz w:val="24"/>
          <w:szCs w:val="24"/>
        </w:rPr>
        <w:t>Gudvella</w:t>
      </w:r>
      <w:r>
        <w:rPr>
          <w:rFonts w:ascii="Times New Roman" w:hAnsi="Times New Roman" w:cs="Times New Roman"/>
          <w:sz w:val="24"/>
          <w:szCs w:val="24"/>
          <w:lang w:val="en-IN" w:eastAsia="en-IN"/>
        </w:rPr>
        <w:t>), P12 (</w:t>
      </w:r>
      <w:r>
        <w:rPr>
          <w:rFonts w:ascii="Times New Roman" w:hAnsi="Times New Roman" w:cs="Times New Roman"/>
          <w:sz w:val="24"/>
          <w:szCs w:val="24"/>
        </w:rPr>
        <w:t>Jogisarda</w:t>
      </w:r>
      <w:r>
        <w:rPr>
          <w:rFonts w:ascii="Times New Roman" w:hAnsi="Times New Roman" w:cs="Times New Roman"/>
          <w:sz w:val="24"/>
          <w:szCs w:val="24"/>
          <w:lang w:val="en-IN" w:eastAsia="en-IN"/>
        </w:rPr>
        <w:t>), P13 (</w:t>
      </w:r>
      <w:r>
        <w:rPr>
          <w:rFonts w:ascii="Times New Roman" w:hAnsi="Times New Roman" w:cs="Times New Roman"/>
          <w:sz w:val="24"/>
          <w:szCs w:val="24"/>
        </w:rPr>
        <w:t>Karlakani</w:t>
      </w:r>
      <w:r>
        <w:rPr>
          <w:rFonts w:ascii="Times New Roman" w:hAnsi="Times New Roman" w:cs="Times New Roman"/>
          <w:sz w:val="24"/>
          <w:szCs w:val="24"/>
          <w:lang w:val="en-IN" w:eastAsia="en-IN"/>
        </w:rPr>
        <w:t>), P14 (</w:t>
      </w:r>
      <w:r>
        <w:rPr>
          <w:rFonts w:ascii="Times New Roman" w:hAnsi="Times New Roman" w:cs="Times New Roman"/>
          <w:sz w:val="24"/>
          <w:szCs w:val="24"/>
        </w:rPr>
        <w:t>Kodgaon</w:t>
      </w:r>
      <w:r>
        <w:rPr>
          <w:rFonts w:ascii="Times New Roman" w:hAnsi="Times New Roman" w:cs="Times New Roman"/>
          <w:sz w:val="24"/>
          <w:szCs w:val="24"/>
          <w:lang w:val="en-IN" w:eastAsia="en-IN"/>
        </w:rPr>
        <w:t>), P15 (</w:t>
      </w:r>
      <w:r>
        <w:rPr>
          <w:rFonts w:ascii="Times New Roman" w:hAnsi="Times New Roman" w:cs="Times New Roman"/>
          <w:sz w:val="24"/>
          <w:szCs w:val="24"/>
        </w:rPr>
        <w:t>Koksila</w:t>
      </w:r>
      <w:r>
        <w:rPr>
          <w:rFonts w:ascii="Times New Roman" w:hAnsi="Times New Roman" w:cs="Times New Roman"/>
          <w:sz w:val="24"/>
          <w:szCs w:val="24"/>
          <w:lang w:val="en-IN" w:eastAsia="en-IN"/>
        </w:rPr>
        <w:t>),</w:t>
      </w:r>
      <w:r>
        <w:rPr>
          <w:rFonts w:ascii="Times New Roman" w:hAnsi="Times New Roman" w:cs="Times New Roman"/>
          <w:sz w:val="24"/>
          <w:szCs w:val="24"/>
          <w:highlight w:val="yellow"/>
          <w:lang w:val="en-IN" w:eastAsia="en-IN"/>
        </w:rPr>
        <w:t xml:space="preserve"> </w:t>
      </w:r>
      <w:r>
        <w:rPr>
          <w:rFonts w:ascii="Times New Roman" w:hAnsi="Times New Roman" w:cs="Times New Roman"/>
          <w:sz w:val="24"/>
          <w:szCs w:val="24"/>
          <w:lang w:val="en-IN" w:eastAsia="en-IN"/>
        </w:rPr>
        <w:t>P16 (</w:t>
      </w:r>
      <w:r>
        <w:rPr>
          <w:rFonts w:ascii="Times New Roman" w:hAnsi="Times New Roman" w:cs="Times New Roman"/>
          <w:sz w:val="24"/>
          <w:szCs w:val="24"/>
        </w:rPr>
        <w:t>Kurli</w:t>
      </w:r>
      <w:r>
        <w:rPr>
          <w:rFonts w:ascii="Times New Roman" w:hAnsi="Times New Roman" w:cs="Times New Roman"/>
          <w:sz w:val="24"/>
          <w:szCs w:val="24"/>
          <w:lang w:val="en-IN" w:eastAsia="en-IN"/>
        </w:rPr>
        <w:t>), P17 (</w:t>
      </w:r>
      <w:r>
        <w:rPr>
          <w:rFonts w:ascii="Times New Roman" w:hAnsi="Times New Roman" w:cs="Times New Roman"/>
          <w:sz w:val="24"/>
          <w:szCs w:val="24"/>
        </w:rPr>
        <w:t>Patnagarh</w:t>
      </w:r>
      <w:r>
        <w:rPr>
          <w:rFonts w:ascii="Times New Roman" w:hAnsi="Times New Roman" w:cs="Times New Roman"/>
          <w:sz w:val="24"/>
          <w:szCs w:val="24"/>
          <w:lang w:val="en-IN" w:eastAsia="en-IN"/>
        </w:rPr>
        <w:t>), P18 (</w:t>
      </w:r>
      <w:r>
        <w:rPr>
          <w:rFonts w:ascii="Times New Roman" w:hAnsi="Times New Roman" w:cs="Times New Roman"/>
          <w:sz w:val="24"/>
          <w:szCs w:val="24"/>
        </w:rPr>
        <w:t>Purvabhari</w:t>
      </w:r>
      <w:r>
        <w:rPr>
          <w:rFonts w:ascii="Times New Roman" w:hAnsi="Times New Roman" w:cs="Times New Roman"/>
          <w:sz w:val="24"/>
          <w:szCs w:val="24"/>
          <w:lang w:val="en-IN" w:eastAsia="en-IN"/>
        </w:rPr>
        <w:t>), P19 (</w:t>
      </w:r>
      <w:r>
        <w:rPr>
          <w:rFonts w:ascii="Times New Roman" w:hAnsi="Times New Roman" w:cs="Times New Roman"/>
          <w:sz w:val="24"/>
          <w:szCs w:val="24"/>
        </w:rPr>
        <w:t>Rajkhel</w:t>
      </w:r>
      <w:r>
        <w:rPr>
          <w:rFonts w:ascii="Times New Roman" w:hAnsi="Times New Roman" w:cs="Times New Roman"/>
          <w:sz w:val="24"/>
          <w:szCs w:val="24"/>
          <w:lang w:val="en-IN" w:eastAsia="en-IN"/>
        </w:rPr>
        <w:t>), P20 (</w:t>
      </w:r>
      <w:r>
        <w:rPr>
          <w:rFonts w:ascii="Times New Roman" w:hAnsi="Times New Roman" w:cs="Times New Roman"/>
          <w:sz w:val="24"/>
          <w:szCs w:val="24"/>
        </w:rPr>
        <w:t>Sarasbahal</w:t>
      </w:r>
      <w:r>
        <w:rPr>
          <w:rFonts w:ascii="Times New Roman" w:hAnsi="Times New Roman" w:cs="Times New Roman"/>
          <w:sz w:val="24"/>
          <w:szCs w:val="24"/>
          <w:lang w:val="en-IN" w:eastAsia="en-IN"/>
        </w:rPr>
        <w:t>), P21 (</w:t>
      </w:r>
      <w:r>
        <w:rPr>
          <w:rFonts w:ascii="Times New Roman" w:hAnsi="Times New Roman" w:cs="Times New Roman"/>
          <w:sz w:val="24"/>
          <w:szCs w:val="24"/>
        </w:rPr>
        <w:t>Sindurbahal</w:t>
      </w:r>
      <w:r>
        <w:rPr>
          <w:rFonts w:ascii="Times New Roman" w:hAnsi="Times New Roman" w:cs="Times New Roman"/>
          <w:sz w:val="24"/>
          <w:szCs w:val="24"/>
          <w:lang w:val="en-IN" w:eastAsia="en-IN"/>
        </w:rPr>
        <w:t>), P22 (</w:t>
      </w:r>
      <w:r>
        <w:rPr>
          <w:rFonts w:ascii="Times New Roman" w:hAnsi="Times New Roman" w:cs="Times New Roman"/>
          <w:sz w:val="24"/>
          <w:szCs w:val="24"/>
        </w:rPr>
        <w:t>Sinkhaman</w:t>
      </w:r>
      <w:r>
        <w:rPr>
          <w:rFonts w:ascii="Times New Roman" w:hAnsi="Times New Roman" w:cs="Times New Roman"/>
          <w:sz w:val="24"/>
          <w:szCs w:val="24"/>
          <w:lang w:val="en-IN" w:eastAsia="en-IN"/>
        </w:rPr>
        <w:t>), P23 (</w:t>
      </w:r>
      <w:r>
        <w:rPr>
          <w:rFonts w:ascii="Times New Roman" w:hAnsi="Times New Roman" w:cs="Times New Roman"/>
          <w:sz w:val="24"/>
          <w:szCs w:val="24"/>
        </w:rPr>
        <w:t>Sokarbandhi</w:t>
      </w:r>
      <w:r>
        <w:rPr>
          <w:rFonts w:ascii="Times New Roman" w:hAnsi="Times New Roman" w:cs="Times New Roman"/>
          <w:sz w:val="24"/>
          <w:szCs w:val="24"/>
          <w:lang w:val="en-IN" w:eastAsia="en-IN"/>
        </w:rPr>
        <w:t xml:space="preserve">), P24 </w:t>
      </w:r>
      <w:r>
        <w:rPr>
          <w:rFonts w:ascii="Times New Roman" w:hAnsi="Times New Roman" w:cs="Times New Roman"/>
          <w:sz w:val="24"/>
          <w:szCs w:val="24"/>
          <w:lang w:val="en-IN" w:eastAsia="en-IN"/>
        </w:rPr>
        <w:lastRenderedPageBreak/>
        <w:t>(Suktel) and P25 (</w:t>
      </w:r>
      <w:r>
        <w:rPr>
          <w:rFonts w:ascii="Times New Roman" w:hAnsi="Times New Roman" w:cs="Times New Roman"/>
          <w:sz w:val="24"/>
          <w:szCs w:val="24"/>
        </w:rPr>
        <w:t>Tusura</w:t>
      </w:r>
      <w:r>
        <w:rPr>
          <w:rFonts w:ascii="Times New Roman" w:hAnsi="Times New Roman" w:cs="Times New Roman"/>
          <w:sz w:val="24"/>
          <w:szCs w:val="24"/>
          <w:lang w:val="en-IN" w:eastAsia="en-IN"/>
        </w:rPr>
        <w:t>). These pedons were morphologically characteri</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ed in the field and subsequently classified according to the </w:t>
      </w:r>
      <w:r>
        <w:rPr>
          <w:rFonts w:ascii="Times New Roman" w:hAnsi="Times New Roman" w:cs="Times New Roman"/>
          <w:bCs/>
          <w:sz w:val="24"/>
          <w:szCs w:val="24"/>
          <w:lang w:val="en-IN" w:eastAsia="en-IN"/>
        </w:rPr>
        <w:t>Keys to Soil Taxonomy</w:t>
      </w:r>
      <w:r>
        <w:rPr>
          <w:rFonts w:ascii="Times New Roman" w:hAnsi="Times New Roman" w:cs="Times New Roman"/>
          <w:bCs/>
          <w:sz w:val="24"/>
          <w:szCs w:val="24"/>
          <w:highlight w:val="yellow"/>
          <w:lang w:val="en-IN" w:eastAsia="en-IN"/>
        </w:rPr>
        <w:t xml:space="preserve"> </w:t>
      </w:r>
      <w:r>
        <w:rPr>
          <w:rFonts w:ascii="Times New Roman" w:hAnsi="Times New Roman" w:cs="Times New Roman"/>
          <w:sz w:val="24"/>
          <w:szCs w:val="24"/>
          <w:lang w:val="en-IN" w:eastAsia="en-IN"/>
        </w:rPr>
        <w:t>(Soil Survey Staff, 2014).</w:t>
      </w:r>
    </w:p>
    <w:p w14:paraId="2E92AC89"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Pr>
          <w:rFonts w:ascii="Times New Roman" w:hAnsi="Times New Roman" w:cs="Times New Roman"/>
          <w:b/>
          <w:sz w:val="24"/>
          <w:szCs w:val="24"/>
          <w:lang w:eastAsia="en-IN"/>
        </w:rPr>
        <w:t>2.2 Geology and vegetation</w:t>
      </w:r>
    </w:p>
    <w:p w14:paraId="4BF1DD4F" w14:textId="77777777" w:rsidR="004F3F76" w:rsidRPr="00014750" w:rsidRDefault="002071BE"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The study area is underlain predominantly by granite–gneiss formations, with locali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alluvial deposits in depressional landscapes. Physiographically, the terrain is diverse, comprising hillside slopes, foothill slopes, hillocks, upper and lower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 xml:space="preserve">edi-plains and depressions. Slope gradients vary markedly, ranging from very gentle (1–3%) to very steep (33–50%), reflecting a complex geomorphic setting. The spatial variability in parent material and physiographic setting has exerted a strong influence on soil genesis, drainage conditions and the distribution of soil properties across the landscape. The natural vegetation of the study area is dominated by </w:t>
      </w:r>
      <w:r>
        <w:rPr>
          <w:rFonts w:ascii="Times New Roman" w:hAnsi="Times New Roman" w:cs="Times New Roman"/>
          <w:i/>
          <w:sz w:val="24"/>
          <w:szCs w:val="24"/>
        </w:rPr>
        <w:t>Terminalia orjuna, Acacia arabica, Terminalia bellirica, Phoenix acaulis, Aegle marmelos, Zizyphus</w:t>
      </w:r>
      <w:r>
        <w:rPr>
          <w:rFonts w:ascii="Times New Roman" w:hAnsi="Times New Roman" w:cs="Times New Roman"/>
          <w:i/>
          <w:sz w:val="24"/>
          <w:szCs w:val="24"/>
          <w:highlight w:val="yellow"/>
        </w:rPr>
        <w:t xml:space="preserve"> </w:t>
      </w:r>
      <w:r>
        <w:rPr>
          <w:rFonts w:ascii="Times New Roman" w:hAnsi="Times New Roman" w:cs="Times New Roman"/>
          <w:i/>
          <w:sz w:val="24"/>
          <w:szCs w:val="24"/>
        </w:rPr>
        <w:t>jujube, Acacia catechu</w:t>
      </w:r>
      <w:r>
        <w:rPr>
          <w:rFonts w:ascii="Times New Roman" w:hAnsi="Times New Roman" w:cs="Times New Roman"/>
          <w:i/>
          <w:sz w:val="24"/>
          <w:szCs w:val="24"/>
          <w:lang w:eastAsia="en-IN"/>
        </w:rPr>
        <w:t xml:space="preserve"> and Azadirachta</w:t>
      </w:r>
      <w:r>
        <w:rPr>
          <w:rFonts w:ascii="Times New Roman" w:hAnsi="Times New Roman" w:cs="Times New Roman"/>
          <w:i/>
          <w:sz w:val="24"/>
          <w:szCs w:val="24"/>
          <w:highlight w:val="yellow"/>
          <w:lang w:eastAsia="en-IN"/>
        </w:rPr>
        <w:t xml:space="preserve"> </w:t>
      </w:r>
      <w:r>
        <w:rPr>
          <w:rFonts w:ascii="Times New Roman" w:hAnsi="Times New Roman" w:cs="Times New Roman"/>
          <w:i/>
          <w:sz w:val="24"/>
          <w:szCs w:val="24"/>
          <w:lang w:eastAsia="en-IN"/>
        </w:rPr>
        <w:t>indica</w:t>
      </w:r>
      <w:r>
        <w:rPr>
          <w:rFonts w:ascii="Times New Roman" w:hAnsi="Times New Roman" w:cs="Times New Roman"/>
          <w:sz w:val="24"/>
          <w:szCs w:val="24"/>
          <w:lang w:eastAsia="en-IN"/>
        </w:rPr>
        <w:t>. Agriculture is the predominant land use, with rice (</w:t>
      </w:r>
      <w:r>
        <w:rPr>
          <w:rFonts w:ascii="Times New Roman" w:hAnsi="Times New Roman" w:cs="Times New Roman"/>
          <w:i/>
          <w:sz w:val="24"/>
          <w:szCs w:val="24"/>
          <w:lang w:eastAsia="en-IN"/>
        </w:rPr>
        <w:t>Oryza sativa</w:t>
      </w:r>
      <w:r>
        <w:rPr>
          <w:rFonts w:ascii="Times New Roman" w:hAnsi="Times New Roman" w:cs="Times New Roman"/>
          <w:sz w:val="24"/>
          <w:szCs w:val="24"/>
          <w:lang w:eastAsia="en-IN"/>
        </w:rPr>
        <w:t>) and maize (</w:t>
      </w:r>
      <w:r>
        <w:rPr>
          <w:rFonts w:ascii="Times New Roman" w:hAnsi="Times New Roman" w:cs="Times New Roman"/>
          <w:i/>
          <w:sz w:val="24"/>
          <w:szCs w:val="24"/>
          <w:lang w:eastAsia="en-IN"/>
        </w:rPr>
        <w:t>Zea mays</w:t>
      </w:r>
      <w:r>
        <w:rPr>
          <w:rFonts w:ascii="Times New Roman" w:hAnsi="Times New Roman" w:cs="Times New Roman"/>
          <w:sz w:val="24"/>
          <w:szCs w:val="24"/>
          <w:lang w:eastAsia="en-IN"/>
        </w:rPr>
        <w:t>) cultivated extensively under irrigated conditions, whereas cotton (</w:t>
      </w:r>
      <w:r>
        <w:rPr>
          <w:rFonts w:ascii="Times New Roman" w:hAnsi="Times New Roman" w:cs="Times New Roman"/>
          <w:i/>
          <w:sz w:val="24"/>
          <w:szCs w:val="24"/>
          <w:lang w:eastAsia="en-IN"/>
        </w:rPr>
        <w:t>Gossypium spp.</w:t>
      </w:r>
      <w:r>
        <w:rPr>
          <w:rFonts w:ascii="Times New Roman" w:hAnsi="Times New Roman" w:cs="Times New Roman"/>
          <w:sz w:val="24"/>
          <w:szCs w:val="24"/>
          <w:lang w:eastAsia="en-IN"/>
        </w:rPr>
        <w:t>), pulses and oilseed crops are mainly grown in the rain</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fed uplands. The interaction of climatic conditions, parent material, physiography and irrigation availability has strongly influenced pedogenic processes, resulting in distinct soil–landscape relationships and diverse agricultural production systems across the study area.</w:t>
      </w:r>
    </w:p>
    <w:p w14:paraId="18C3FBDD"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2.3 Field survey and mapping</w:t>
      </w:r>
    </w:p>
    <w:p w14:paraId="31A210CC" w14:textId="77777777" w:rsidR="004F3F76" w:rsidRPr="00014750" w:rsidRDefault="004F3F76" w:rsidP="00E62221">
      <w:pPr>
        <w:spacing w:after="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The detailed soil survey was carried out using high-resolution Resourcesat-2 LISS-IV False Colour Composite (FCC) satellite imagery and enlarged Survey of India (SOI) toposheets (quadrants) at a working scale of 1:10,000, generated from the original 1:50,000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scale maps. The satellite imagery was interpreted to identify physiographic features and delineate preliminary soil-landscape units. These preliminary boundaries were subsequently verified and refined through intensive field investigations. Land use/land cover (LULC) mapping was carried out through visual interpretation of the satellite imagery based on image elements such as tone, texture, pattern, shape, association and site characteristics. Slope, hillshade and 10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 contour maps were generated from the Cartosat-1 Digital Elevation Model (DEM; 30</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 spatial resolution). These terrain derivatives were integrated to prepare the landform map, which served as the bas</w:t>
      </w:r>
      <w:r>
        <w:rPr>
          <w:rFonts w:ascii="Times New Roman" w:hAnsi="Times New Roman" w:cs="Times New Roman"/>
          <w:sz w:val="24"/>
          <w:szCs w:val="24"/>
          <w:highlight w:val="yellow"/>
          <w:lang w:eastAsia="en-IN"/>
        </w:rPr>
        <w:t>is</w:t>
      </w:r>
      <w:r>
        <w:rPr>
          <w:rFonts w:ascii="Times New Roman" w:hAnsi="Times New Roman" w:cs="Times New Roman"/>
          <w:sz w:val="24"/>
          <w:szCs w:val="24"/>
          <w:lang w:eastAsia="en-IN"/>
        </w:rPr>
        <w:t xml:space="preserve"> for soil survey and soil mapping.</w:t>
      </w:r>
    </w:p>
    <w:p w14:paraId="316B2ED6" w14:textId="77777777" w:rsidR="004F3F76" w:rsidRPr="00014750" w:rsidRDefault="004F3F76" w:rsidP="00E62221">
      <w:pPr>
        <w:pStyle w:val="isselectedend"/>
        <w:spacing w:before="0" w:beforeAutospacing="0" w:after="0" w:afterAutospacing="0" w:line="360" w:lineRule="auto"/>
        <w:jc w:val="both"/>
      </w:pPr>
      <w:r>
        <w:t xml:space="preserve">A detailed soil survey was conducted through systematic field traverses across the major physiographic units of the study area. Representative soil profile pits (pedons) and auger </w:t>
      </w:r>
      <w:r>
        <w:lastRenderedPageBreak/>
        <w:t xml:space="preserve">observations were selected to capture the spatial variability in soils associated with differences in landform, slope, drainage, parent material and landscape position. Based on the </w:t>
      </w:r>
      <w:r>
        <w:rPr>
          <w:highlight w:val="yellow"/>
        </w:rPr>
        <w:t>p</w:t>
      </w:r>
      <w:r>
        <w:t>hysiography-soil relationship, ten geo-referenced representative pedons were excavated, each representing a distinct physiographic unit. The pedons were morphologically described in the field following the standard procedures of the Soil Survey Manual and Keys to Soil Taxonomy (AIS</w:t>
      </w:r>
      <w:r>
        <w:rPr>
          <w:highlight w:val="yellow"/>
        </w:rPr>
        <w:t xml:space="preserve"> </w:t>
      </w:r>
      <w:r>
        <w:t>&amp;</w:t>
      </w:r>
      <w:r>
        <w:rPr>
          <w:highlight w:val="yellow"/>
        </w:rPr>
        <w:t xml:space="preserve"> </w:t>
      </w:r>
      <w:r>
        <w:t>LUS,</w:t>
      </w:r>
      <w:r>
        <w:rPr>
          <w:highlight w:val="yellow"/>
        </w:rPr>
        <w:t xml:space="preserve"> </w:t>
      </w:r>
      <w:r>
        <w:t>1970; Soil Survey Staff, 2014).</w:t>
      </w:r>
      <w:r>
        <w:rPr>
          <w:highlight w:val="yellow"/>
        </w:rPr>
        <w:t xml:space="preserve"> </w:t>
      </w:r>
      <w:r>
        <w:t xml:space="preserve">Morphological characteristics recorded for each genetic horizon included horizon designation and boundary, soil depth, matrix colour using the </w:t>
      </w:r>
      <w:r>
        <w:rPr>
          <w:rStyle w:val="Emphasis"/>
        </w:rPr>
        <w:t>Munsell Soil Color Charts</w:t>
      </w:r>
      <w:r>
        <w:t>, texture, structure, dry/moist/wet consistence, root abundance and distribution, pore size and abundance, coarse fragments, mottles, concretions, cutans and other diagnostic pedogenic features relevant to soil genesis and classification. These observations formed the basis for subsequent laboratory analyses, soil classification and delineation of soil mapping units.</w:t>
      </w:r>
    </w:p>
    <w:p w14:paraId="77F0A194" w14:textId="77777777" w:rsidR="00FC7BFC" w:rsidRPr="00014750" w:rsidRDefault="00FC7BFC"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2.4 Soil sampling and analysis</w:t>
      </w:r>
    </w:p>
    <w:p w14:paraId="6573A2CC" w14:textId="77777777" w:rsidR="004F3F76" w:rsidRPr="00014750" w:rsidRDefault="004F3F76" w:rsidP="00E62221">
      <w:pPr>
        <w:pStyle w:val="NormalWeb"/>
        <w:spacing w:before="0" w:beforeAutospacing="0" w:after="0" w:afterAutospacing="0" w:line="360" w:lineRule="auto"/>
        <w:jc w:val="both"/>
        <w:rPr>
          <w:lang w:val="en-IN" w:eastAsia="en-IN" w:bidi="ar-SA"/>
        </w:rPr>
      </w:pPr>
      <w:r>
        <w:rPr>
          <w:lang w:val="en-IN" w:eastAsia="en-IN" w:bidi="ar-SA"/>
        </w:rPr>
        <w:t xml:space="preserve">Horizon-wise soil samples were collected </w:t>
      </w:r>
      <w:r>
        <w:t xml:space="preserve">from the typifying </w:t>
      </w:r>
      <w:r>
        <w:rPr>
          <w:lang w:val="en-IN" w:eastAsia="en-IN" w:bidi="ar-SA"/>
        </w:rPr>
        <w:t>pedon, air-dried under laboratory conditions, gently crushed and passed through a 2 mm sieve prior to analysis. The processed samples were analy</w:t>
      </w:r>
      <w:r>
        <w:rPr>
          <w:highlight w:val="yellow"/>
          <w:lang w:val="en-IN" w:eastAsia="en-IN" w:bidi="ar-SA"/>
        </w:rPr>
        <w:t>s</w:t>
      </w:r>
      <w:r>
        <w:rPr>
          <w:lang w:val="en-IN" w:eastAsia="en-IN" w:bidi="ar-SA"/>
        </w:rPr>
        <w:t xml:space="preserve">ed for their routine physical and chemical properties following standard laboratory procedures. Soil pH was measured in </w:t>
      </w:r>
      <w:r>
        <w:rPr>
          <w:highlight w:val="yellow"/>
          <w:lang w:val="en-IN" w:eastAsia="en-IN" w:bidi="ar-SA"/>
        </w:rPr>
        <w:t xml:space="preserve">a </w:t>
      </w:r>
      <w:r>
        <w:rPr>
          <w:lang w:val="en-IN" w:eastAsia="en-IN" w:bidi="ar-SA"/>
        </w:rPr>
        <w:t>1:2.5 soil</w:t>
      </w:r>
      <w:r>
        <w:rPr>
          <w:highlight w:val="yellow"/>
          <w:lang w:val="en-IN" w:eastAsia="en-IN" w:bidi="ar-SA"/>
        </w:rPr>
        <w:t>-</w:t>
      </w:r>
      <w:r>
        <w:rPr>
          <w:lang w:val="en-IN" w:eastAsia="en-IN" w:bidi="ar-SA"/>
        </w:rPr>
        <w:t xml:space="preserve">water suspension using </w:t>
      </w:r>
      <w:r>
        <w:rPr>
          <w:highlight w:val="yellow"/>
          <w:lang w:val="en-IN" w:eastAsia="en-IN" w:bidi="ar-SA"/>
        </w:rPr>
        <w:t xml:space="preserve">a </w:t>
      </w:r>
      <w:r>
        <w:rPr>
          <w:lang w:val="en-IN" w:eastAsia="en-IN" w:bidi="ar-SA"/>
        </w:rPr>
        <w:t>glass</w:t>
      </w:r>
      <w:r>
        <w:rPr>
          <w:highlight w:val="yellow"/>
          <w:lang w:val="en-IN" w:eastAsia="en-IN" w:bidi="ar-SA"/>
        </w:rPr>
        <w:t>-</w:t>
      </w:r>
      <w:r>
        <w:rPr>
          <w:lang w:val="en-IN" w:eastAsia="en-IN" w:bidi="ar-SA"/>
        </w:rPr>
        <w:t xml:space="preserve">electrode pH meter. Electrical conductivity was measured in </w:t>
      </w:r>
      <w:r>
        <w:rPr>
          <w:highlight w:val="yellow"/>
          <w:lang w:val="en-IN" w:eastAsia="en-IN" w:bidi="ar-SA"/>
        </w:rPr>
        <w:t xml:space="preserve">the </w:t>
      </w:r>
      <w:r>
        <w:rPr>
          <w:lang w:val="en-IN" w:eastAsia="en-IN" w:bidi="ar-SA"/>
        </w:rPr>
        <w:t>1:2.5 soil</w:t>
      </w:r>
      <w:r>
        <w:rPr>
          <w:highlight w:val="yellow"/>
          <w:lang w:val="en-IN" w:eastAsia="en-IN" w:bidi="ar-SA"/>
        </w:rPr>
        <w:t>-</w:t>
      </w:r>
      <w:r>
        <w:rPr>
          <w:lang w:val="en-IN" w:eastAsia="en-IN" w:bidi="ar-SA"/>
        </w:rPr>
        <w:t xml:space="preserve">water supernatant </w:t>
      </w:r>
      <w:r>
        <w:rPr>
          <w:highlight w:val="yellow"/>
          <w:lang w:val="en-IN" w:eastAsia="en-IN" w:bidi="ar-SA"/>
        </w:rPr>
        <w:t>u</w:t>
      </w:r>
      <w:r>
        <w:rPr>
          <w:lang w:val="en-IN" w:eastAsia="en-IN" w:bidi="ar-SA"/>
        </w:rPr>
        <w:t>sin</w:t>
      </w:r>
      <w:r>
        <w:rPr>
          <w:highlight w:val="yellow"/>
          <w:lang w:val="en-IN" w:eastAsia="en-IN" w:bidi="ar-SA"/>
        </w:rPr>
        <w:t>g</w:t>
      </w:r>
      <w:r>
        <w:rPr>
          <w:lang w:val="en-IN" w:eastAsia="en-IN" w:bidi="ar-SA"/>
        </w:rPr>
        <w:t xml:space="preserve"> </w:t>
      </w:r>
      <w:r>
        <w:rPr>
          <w:highlight w:val="yellow"/>
          <w:lang w:val="en-IN" w:eastAsia="en-IN" w:bidi="ar-SA"/>
        </w:rPr>
        <w:t>a</w:t>
      </w:r>
      <w:r>
        <w:rPr>
          <w:lang w:val="en-IN" w:eastAsia="en-IN" w:bidi="ar-SA"/>
        </w:rPr>
        <w:t xml:space="preserve"> conductivity bridge</w:t>
      </w:r>
      <w:r>
        <w:rPr>
          <w:highlight w:val="yellow"/>
          <w:lang w:val="en-IN" w:eastAsia="en-IN" w:bidi="ar-SA"/>
        </w:rPr>
        <w:t xml:space="preserve"> </w:t>
      </w:r>
      <w:r>
        <w:rPr>
          <w:lang w:val="en-IN" w:eastAsia="en-IN" w:bidi="ar-SA"/>
        </w:rPr>
        <w:t>(Jackson, 1973).</w:t>
      </w:r>
      <w:r>
        <w:rPr>
          <w:highlight w:val="yellow"/>
          <w:lang w:val="en-IN" w:eastAsia="en-IN" w:bidi="ar-SA"/>
        </w:rPr>
        <w:t xml:space="preserve"> </w:t>
      </w:r>
      <w:r>
        <w:rPr>
          <w:lang w:val="en-IN" w:eastAsia="en-IN" w:bidi="ar-SA"/>
        </w:rPr>
        <w:t xml:space="preserve">Soil </w:t>
      </w:r>
      <w:r>
        <w:rPr>
          <w:highlight w:val="yellow"/>
          <w:lang w:val="en-IN" w:eastAsia="en-IN" w:bidi="ar-SA"/>
        </w:rPr>
        <w:t>b</w:t>
      </w:r>
      <w:r>
        <w:rPr>
          <w:lang w:val="en-IN" w:eastAsia="en-IN" w:bidi="ar-SA"/>
        </w:rPr>
        <w:t>ulk density w</w:t>
      </w:r>
      <w:r>
        <w:rPr>
          <w:highlight w:val="yellow"/>
          <w:lang w:val="en-IN" w:eastAsia="en-IN" w:bidi="ar-SA"/>
        </w:rPr>
        <w:t>as</w:t>
      </w:r>
      <w:r>
        <w:rPr>
          <w:lang w:val="en-IN" w:eastAsia="en-IN" w:bidi="ar-SA"/>
        </w:rPr>
        <w:t xml:space="preserve"> determined by </w:t>
      </w:r>
      <w:r>
        <w:rPr>
          <w:highlight w:val="yellow"/>
          <w:lang w:val="en-IN" w:eastAsia="en-IN" w:bidi="ar-SA"/>
        </w:rPr>
        <w:t xml:space="preserve">the </w:t>
      </w:r>
      <w:r>
        <w:rPr>
          <w:lang w:val="en-IN" w:eastAsia="en-IN" w:bidi="ar-SA"/>
        </w:rPr>
        <w:t xml:space="preserve">pycnometer </w:t>
      </w:r>
      <w:r>
        <w:rPr>
          <w:highlight w:val="yellow"/>
          <w:lang w:val="en-IN" w:eastAsia="en-IN" w:bidi="ar-SA"/>
        </w:rPr>
        <w:t>meth</w:t>
      </w:r>
      <w:r>
        <w:rPr>
          <w:lang w:val="en-IN" w:eastAsia="en-IN" w:bidi="ar-SA"/>
        </w:rPr>
        <w:t>o</w:t>
      </w:r>
      <w:r>
        <w:rPr>
          <w:highlight w:val="yellow"/>
          <w:lang w:val="en-IN" w:eastAsia="en-IN" w:bidi="ar-SA"/>
        </w:rPr>
        <w:t>d</w:t>
      </w:r>
      <w:r>
        <w:rPr>
          <w:lang w:val="en-IN" w:eastAsia="en-IN" w:bidi="ar-SA"/>
        </w:rPr>
        <w:t xml:space="preserve"> (Black </w:t>
      </w:r>
      <w:r>
        <w:rPr>
          <w:highlight w:val="yellow"/>
          <w:lang w:val="en-IN" w:eastAsia="en-IN" w:bidi="ar-SA"/>
        </w:rPr>
        <w:t>&amp;</w:t>
      </w:r>
      <w:r>
        <w:rPr>
          <w:lang w:val="en-IN" w:eastAsia="en-IN" w:bidi="ar-SA"/>
        </w:rPr>
        <w:t xml:space="preserve"> Blake, 1965). Water</w:t>
      </w:r>
      <w:r>
        <w:rPr>
          <w:highlight w:val="yellow"/>
          <w:lang w:val="en-IN" w:eastAsia="en-IN" w:bidi="ar-SA"/>
        </w:rPr>
        <w:t>-</w:t>
      </w:r>
      <w:r>
        <w:rPr>
          <w:lang w:val="en-IN" w:eastAsia="en-IN" w:bidi="ar-SA"/>
        </w:rPr>
        <w:t xml:space="preserve">holding capacity (WHC) was measured by the gravimetric method </w:t>
      </w:r>
      <w:r>
        <w:rPr>
          <w:highlight w:val="yellow"/>
          <w:lang w:val="en-IN" w:eastAsia="en-IN" w:bidi="ar-SA"/>
        </w:rPr>
        <w:t>us</w:t>
      </w:r>
      <w:r>
        <w:rPr>
          <w:lang w:val="en-IN" w:eastAsia="en-IN" w:bidi="ar-SA"/>
        </w:rPr>
        <w:t>i</w:t>
      </w:r>
      <w:r>
        <w:rPr>
          <w:highlight w:val="yellow"/>
          <w:lang w:val="en-IN" w:eastAsia="en-IN" w:bidi="ar-SA"/>
        </w:rPr>
        <w:t>ng</w:t>
      </w:r>
      <w:r>
        <w:rPr>
          <w:lang w:val="en-IN" w:eastAsia="en-IN" w:bidi="ar-SA"/>
        </w:rPr>
        <w:t xml:space="preserve"> Keen’s box (Piper, 1966)</w:t>
      </w:r>
      <w:r>
        <w:rPr>
          <w:highlight w:val="yellow"/>
          <w:lang w:val="en-IN" w:eastAsia="en-IN" w:bidi="ar-SA"/>
        </w:rPr>
        <w:t>,</w:t>
      </w:r>
      <w:r>
        <w:rPr>
          <w:lang w:val="en-IN" w:eastAsia="en-IN" w:bidi="ar-SA"/>
        </w:rPr>
        <w:t xml:space="preserve"> and particle</w:t>
      </w:r>
      <w:r>
        <w:rPr>
          <w:highlight w:val="yellow"/>
          <w:lang w:val="en-IN" w:eastAsia="en-IN" w:bidi="ar-SA"/>
        </w:rPr>
        <w:t>-</w:t>
      </w:r>
      <w:r>
        <w:rPr>
          <w:lang w:val="en-IN" w:eastAsia="en-IN" w:bidi="ar-SA"/>
        </w:rPr>
        <w:t xml:space="preserve">size analysis (texture) was </w:t>
      </w:r>
      <w:r>
        <w:rPr>
          <w:highlight w:val="yellow"/>
          <w:lang w:val="en-IN" w:eastAsia="en-IN" w:bidi="ar-SA"/>
        </w:rPr>
        <w:t>con</w:t>
      </w:r>
      <w:r>
        <w:rPr>
          <w:lang w:val="en-IN" w:eastAsia="en-IN" w:bidi="ar-SA"/>
        </w:rPr>
        <w:t>d</w:t>
      </w:r>
      <w:r>
        <w:rPr>
          <w:highlight w:val="yellow"/>
          <w:lang w:val="en-IN" w:eastAsia="en-IN" w:bidi="ar-SA"/>
        </w:rPr>
        <w:t>uc</w:t>
      </w:r>
      <w:r>
        <w:rPr>
          <w:lang w:val="en-IN" w:eastAsia="en-IN" w:bidi="ar-SA"/>
        </w:rPr>
        <w:t xml:space="preserve">ted </w:t>
      </w:r>
      <w:r>
        <w:rPr>
          <w:highlight w:val="yellow"/>
          <w:lang w:val="en-IN" w:eastAsia="en-IN" w:bidi="ar-SA"/>
        </w:rPr>
        <w:t>using</w:t>
      </w:r>
      <w:r>
        <w:rPr>
          <w:lang w:val="en-IN" w:eastAsia="en-IN" w:bidi="ar-SA"/>
        </w:rPr>
        <w:t xml:space="preserve"> the Bouyoucos hydrometer method (Bouyoucos, 1972).</w:t>
      </w:r>
      <w:r>
        <w:t xml:space="preserve"> </w:t>
      </w:r>
      <w:r>
        <w:rPr>
          <w:highlight w:val="yellow"/>
        </w:rPr>
        <w:t>O</w:t>
      </w:r>
      <w:r>
        <w:t>rganic carbon was determined by</w:t>
      </w:r>
      <w:r>
        <w:rPr>
          <w:highlight w:val="yellow"/>
        </w:rPr>
        <w:t xml:space="preserve"> the</w:t>
      </w:r>
      <w:r>
        <w:t xml:space="preserve"> rapid titration method (Walkley </w:t>
      </w:r>
      <w:r>
        <w:rPr>
          <w:highlight w:val="yellow"/>
        </w:rPr>
        <w:t>&amp;</w:t>
      </w:r>
      <w:r>
        <w:t xml:space="preserve"> Black</w:t>
      </w:r>
      <w:r>
        <w:rPr>
          <w:highlight w:val="yellow"/>
        </w:rPr>
        <w:t>,</w:t>
      </w:r>
      <w:r>
        <w:t xml:space="preserve"> 1934)</w:t>
      </w:r>
      <w:r>
        <w:rPr>
          <w:highlight w:val="yellow"/>
        </w:rPr>
        <w:t>,</w:t>
      </w:r>
      <w:r>
        <w:t xml:space="preserve"> and </w:t>
      </w:r>
      <w:r>
        <w:rPr>
          <w:highlight w:val="yellow"/>
          <w:lang w:val="en-IN" w:eastAsia="en-IN" w:bidi="ar-SA"/>
        </w:rPr>
        <w:t>c</w:t>
      </w:r>
      <w:r>
        <w:rPr>
          <w:lang w:val="en-IN" w:eastAsia="en-IN" w:bidi="ar-SA"/>
        </w:rPr>
        <w:t>alcium carbonate (</w:t>
      </w:r>
      <w:r>
        <w:t>CaCO</w:t>
      </w:r>
      <w:r>
        <w:rPr>
          <w:vertAlign w:val="subscript"/>
        </w:rPr>
        <w:t>3</w:t>
      </w:r>
      <w:r>
        <w:t xml:space="preserve">) </w:t>
      </w:r>
      <w:r>
        <w:rPr>
          <w:highlight w:val="yellow"/>
        </w:rPr>
        <w:t xml:space="preserve">was determined </w:t>
      </w:r>
      <w:r>
        <w:t>by</w:t>
      </w:r>
      <w:r>
        <w:rPr>
          <w:highlight w:val="yellow"/>
        </w:rPr>
        <w:t xml:space="preserve"> the</w:t>
      </w:r>
      <w:r>
        <w:t xml:space="preserve"> rapid titration method (Puri, 1930).</w:t>
      </w:r>
      <w:r>
        <w:rPr>
          <w:lang w:val="en-IN" w:eastAsia="en-IN" w:bidi="ar-SA"/>
        </w:rPr>
        <w:t xml:space="preserve"> Cation exchange capacity (CEC) was determined by the neutral 1 N ammonium acetate extraction method (pH 7.0) using the centrifuge extraction procedure described by Thomas (1982). Exchangeable sodium percentage (ESP) was calculated as the ratio of exchangeable sodium to cation exchange capacity and expressed as a percentage.</w:t>
      </w:r>
    </w:p>
    <w:p w14:paraId="20396C04" w14:textId="77777777" w:rsidR="000C04A1" w:rsidRPr="00014750" w:rsidRDefault="000C04A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2.5 Soil-site suitability evaluation</w:t>
      </w:r>
    </w:p>
    <w:p w14:paraId="55F18B40" w14:textId="77777777" w:rsidR="000C04A1" w:rsidRPr="00014750" w:rsidRDefault="00934F75" w:rsidP="00E62221">
      <w:pPr>
        <w:spacing w:after="0" w:line="360" w:lineRule="auto"/>
        <w:jc w:val="both"/>
        <w:rPr>
          <w:rFonts w:ascii="Times New Roman" w:hAnsi="Times New Roman" w:cs="Times New Roman"/>
          <w:sz w:val="24"/>
          <w:szCs w:val="24"/>
          <w:lang w:val="en-IN" w:eastAsia="en-IN"/>
        </w:rPr>
      </w:pPr>
      <w:r>
        <w:rPr>
          <w:rFonts w:ascii="Times New Roman" w:hAnsi="Times New Roman" w:cs="Times New Roman"/>
          <w:sz w:val="24"/>
          <w:szCs w:val="24"/>
          <w:lang w:val="en-IN" w:eastAsia="en-IN"/>
        </w:rPr>
        <w:t xml:space="preserve">Suitability </w:t>
      </w:r>
      <w:r>
        <w:rPr>
          <w:rFonts w:ascii="Times New Roman" w:hAnsi="Times New Roman" w:cs="Times New Roman"/>
          <w:sz w:val="24"/>
          <w:szCs w:val="24"/>
          <w:highlight w:val="yellow"/>
          <w:lang w:val="en-IN" w:eastAsia="en-IN"/>
        </w:rPr>
        <w:t>w</w:t>
      </w:r>
      <w:r>
        <w:rPr>
          <w:rFonts w:ascii="Times New Roman" w:hAnsi="Times New Roman" w:cs="Times New Roman"/>
          <w:sz w:val="24"/>
          <w:szCs w:val="24"/>
          <w:lang w:val="en-IN" w:eastAsia="en-IN"/>
        </w:rPr>
        <w:t>a</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 assessed </w:t>
      </w:r>
      <w:r>
        <w:rPr>
          <w:rFonts w:ascii="Times New Roman" w:hAnsi="Times New Roman" w:cs="Times New Roman"/>
          <w:sz w:val="24"/>
          <w:szCs w:val="24"/>
          <w:highlight w:val="yellow"/>
          <w:lang w:val="en-IN" w:eastAsia="en-IN"/>
        </w:rPr>
        <w:t>by</w:t>
      </w:r>
      <w:r>
        <w:rPr>
          <w:rFonts w:ascii="Times New Roman" w:hAnsi="Times New Roman" w:cs="Times New Roman"/>
          <w:sz w:val="24"/>
          <w:szCs w:val="24"/>
          <w:lang w:val="en-IN" w:eastAsia="en-IN"/>
        </w:rPr>
        <w:t xml:space="preserve"> matching crop requirement</w:t>
      </w:r>
      <w:r>
        <w:rPr>
          <w:rFonts w:ascii="Times New Roman" w:hAnsi="Times New Roman" w:cs="Times New Roman"/>
          <w:sz w:val="24"/>
          <w:szCs w:val="24"/>
          <w:highlight w:val="yellow"/>
          <w:lang w:val="en-IN" w:eastAsia="en-IN"/>
        </w:rPr>
        <w:t>s according to the</w:t>
      </w:r>
      <w:r>
        <w:rPr>
          <w:rFonts w:ascii="Times New Roman" w:hAnsi="Times New Roman" w:cs="Times New Roman"/>
          <w:sz w:val="24"/>
          <w:szCs w:val="24"/>
          <w:lang w:val="en-IN" w:eastAsia="en-IN"/>
        </w:rPr>
        <w:t xml:space="preserve"> criteria proposed by Sys (1993) and modified by Naidu </w:t>
      </w:r>
      <w:r>
        <w:rPr>
          <w:rFonts w:ascii="Times New Roman" w:hAnsi="Times New Roman" w:cs="Times New Roman"/>
          <w:i/>
          <w:iCs/>
          <w:sz w:val="24"/>
          <w:szCs w:val="24"/>
          <w:lang w:val="en-IN" w:eastAsia="en-IN"/>
        </w:rPr>
        <w:t>et al.</w:t>
      </w:r>
      <w:r>
        <w:rPr>
          <w:rFonts w:ascii="Times New Roman" w:hAnsi="Times New Roman" w:cs="Times New Roman"/>
          <w:sz w:val="24"/>
          <w:szCs w:val="24"/>
          <w:lang w:val="en-IN" w:eastAsia="en-IN"/>
        </w:rPr>
        <w:t xml:space="preserve"> (2006).</w:t>
      </w:r>
      <w:r>
        <w:rPr>
          <w:rFonts w:ascii="Times New Roman" w:hAnsi="Times New Roman" w:cs="Times New Roman"/>
          <w:sz w:val="24"/>
          <w:szCs w:val="24"/>
          <w:highlight w:val="yellow"/>
          <w:lang w:val="en-IN" w:eastAsia="en-IN"/>
        </w:rPr>
        <w:t xml:space="preserve"> </w:t>
      </w:r>
      <w:r>
        <w:rPr>
          <w:rFonts w:ascii="Times New Roman" w:hAnsi="Times New Roman" w:cs="Times New Roman"/>
          <w:sz w:val="24"/>
          <w:szCs w:val="24"/>
          <w:lang w:val="en-IN" w:eastAsia="en-IN"/>
        </w:rPr>
        <w:t>Soil suitability groupings at various levels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sz w:val="24"/>
          <w:szCs w:val="24"/>
          <w:highlight w:val="yellow"/>
          <w:lang w:val="en-IN" w:eastAsia="en-IN"/>
        </w:rPr>
        <w:t>namely the</w:t>
      </w:r>
      <w:r>
        <w:rPr>
          <w:rFonts w:ascii="Times New Roman" w:hAnsi="Times New Roman" w:cs="Times New Roman"/>
          <w:sz w:val="24"/>
          <w:szCs w:val="24"/>
          <w:lang w:val="en-IN" w:eastAsia="en-IN"/>
        </w:rPr>
        <w:t xml:space="preserve"> order</w:t>
      </w:r>
      <w:r>
        <w:rPr>
          <w:rFonts w:ascii="Times New Roman" w:hAnsi="Times New Roman" w:cs="Times New Roman"/>
          <w:sz w:val="24"/>
          <w:szCs w:val="24"/>
          <w:highlight w:val="yellow"/>
          <w:lang w:val="en-IN" w:eastAsia="en-IN"/>
        </w:rPr>
        <w:t>s</w:t>
      </w:r>
      <w:r>
        <w:rPr>
          <w:rFonts w:ascii="Times New Roman" w:hAnsi="Times New Roman" w:cs="Times New Roman"/>
          <w:sz w:val="24"/>
          <w:szCs w:val="24"/>
          <w:lang w:val="en-IN" w:eastAsia="en-IN"/>
        </w:rPr>
        <w:t xml:space="preserve"> S (suitable) and N (not suitable), reflecting the kind of suitability</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followed</w:t>
      </w:r>
      <w:r>
        <w:rPr>
          <w:rFonts w:ascii="Times New Roman" w:hAnsi="Times New Roman" w:cs="Times New Roman"/>
          <w:sz w:val="24"/>
          <w:szCs w:val="24"/>
          <w:highlight w:val="yellow"/>
          <w:lang w:val="en-IN" w:eastAsia="en-IN"/>
        </w:rPr>
        <w:t xml:space="preserve"> the</w:t>
      </w:r>
      <w:r>
        <w:rPr>
          <w:rFonts w:ascii="Times New Roman" w:hAnsi="Times New Roman" w:cs="Times New Roman"/>
          <w:sz w:val="24"/>
          <w:szCs w:val="24"/>
          <w:lang w:val="en-IN" w:eastAsia="en-IN"/>
        </w:rPr>
        <w:t xml:space="preserve"> Food </w:t>
      </w:r>
      <w:r>
        <w:rPr>
          <w:rFonts w:ascii="Times New Roman" w:hAnsi="Times New Roman" w:cs="Times New Roman"/>
          <w:sz w:val="24"/>
          <w:szCs w:val="24"/>
          <w:lang w:val="en-IN" w:eastAsia="en-IN"/>
        </w:rPr>
        <w:lastRenderedPageBreak/>
        <w:t>and Agriculture Organization framework for land evaluation (FAO, 1976). Order ‘S’ was divided into three classes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i/>
          <w:iCs/>
          <w:sz w:val="24"/>
          <w:szCs w:val="24"/>
          <w:highlight w:val="yellow"/>
          <w:lang w:val="en-IN" w:eastAsia="en-IN"/>
        </w:rPr>
        <w:t>namely</w:t>
      </w:r>
      <w:r>
        <w:rPr>
          <w:rFonts w:ascii="Times New Roman" w:hAnsi="Times New Roman" w:cs="Times New Roman"/>
          <w:sz w:val="24"/>
          <w:szCs w:val="24"/>
          <w:lang w:val="en-IN" w:eastAsia="en-IN"/>
        </w:rPr>
        <w:t xml:space="preserve"> S1 (Highly suitable), S2 (Moderately suitable) and S3 (Marginally suitable)</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while order ‘N’ </w:t>
      </w:r>
      <w:r>
        <w:rPr>
          <w:rFonts w:ascii="Times New Roman" w:hAnsi="Times New Roman" w:cs="Times New Roman"/>
          <w:sz w:val="24"/>
          <w:szCs w:val="24"/>
          <w:highlight w:val="yellow"/>
          <w:lang w:val="en-IN" w:eastAsia="en-IN"/>
        </w:rPr>
        <w:t xml:space="preserve">was divided </w:t>
      </w:r>
      <w:r>
        <w:rPr>
          <w:rFonts w:ascii="Times New Roman" w:hAnsi="Times New Roman" w:cs="Times New Roman"/>
          <w:sz w:val="24"/>
          <w:szCs w:val="24"/>
          <w:lang w:val="en-IN" w:eastAsia="en-IN"/>
        </w:rPr>
        <w:t>into two classes</w:t>
      </w:r>
      <w:r>
        <w:rPr>
          <w:rFonts w:ascii="Times New Roman" w:hAnsi="Times New Roman" w:cs="Times New Roman"/>
          <w:sz w:val="24"/>
          <w:szCs w:val="24"/>
          <w:highlight w:val="yellow"/>
          <w:lang w:val="en-IN" w:eastAsia="en-IN"/>
        </w:rPr>
        <w:t>,</w:t>
      </w:r>
      <w:r>
        <w:rPr>
          <w:rFonts w:ascii="Times New Roman" w:hAnsi="Times New Roman" w:cs="Times New Roman"/>
          <w:sz w:val="24"/>
          <w:szCs w:val="24"/>
          <w:lang w:val="en-IN" w:eastAsia="en-IN"/>
        </w:rPr>
        <w:t xml:space="preserve"> </w:t>
      </w:r>
      <w:r>
        <w:rPr>
          <w:rFonts w:ascii="Times New Roman" w:hAnsi="Times New Roman" w:cs="Times New Roman"/>
          <w:i/>
          <w:iCs/>
          <w:sz w:val="24"/>
          <w:szCs w:val="24"/>
          <w:highlight w:val="yellow"/>
          <w:lang w:val="en-IN" w:eastAsia="en-IN"/>
        </w:rPr>
        <w:t>namely</w:t>
      </w:r>
      <w:r>
        <w:rPr>
          <w:rFonts w:ascii="Times New Roman" w:hAnsi="Times New Roman" w:cs="Times New Roman"/>
          <w:sz w:val="24"/>
          <w:szCs w:val="24"/>
          <w:lang w:val="en-IN" w:eastAsia="en-IN"/>
        </w:rPr>
        <w:t xml:space="preserve"> N1 (Presently not suitable) and N2 (Permanently not suitable), reflecting the degree of suitability within </w:t>
      </w:r>
      <w:r>
        <w:rPr>
          <w:rFonts w:ascii="Times New Roman" w:hAnsi="Times New Roman" w:cs="Times New Roman"/>
          <w:sz w:val="24"/>
          <w:szCs w:val="24"/>
          <w:highlight w:val="yellow"/>
          <w:lang w:val="en-IN" w:eastAsia="en-IN"/>
        </w:rPr>
        <w:t>eac</w:t>
      </w:r>
      <w:r>
        <w:rPr>
          <w:rFonts w:ascii="Times New Roman" w:hAnsi="Times New Roman" w:cs="Times New Roman"/>
          <w:sz w:val="24"/>
          <w:szCs w:val="24"/>
          <w:lang w:val="en-IN" w:eastAsia="en-IN"/>
        </w:rPr>
        <w:t xml:space="preserve">h order. The degree of limitation </w:t>
      </w:r>
      <w:r>
        <w:rPr>
          <w:rFonts w:ascii="Times New Roman" w:hAnsi="Times New Roman" w:cs="Times New Roman"/>
          <w:sz w:val="24"/>
          <w:szCs w:val="24"/>
          <w:highlight w:val="yellow"/>
          <w:lang w:val="en-IN" w:eastAsia="en-IN"/>
        </w:rPr>
        <w:t>d</w:t>
      </w:r>
      <w:r>
        <w:rPr>
          <w:rFonts w:ascii="Times New Roman" w:hAnsi="Times New Roman" w:cs="Times New Roman"/>
          <w:sz w:val="24"/>
          <w:szCs w:val="24"/>
          <w:lang w:val="en-IN" w:eastAsia="en-IN"/>
        </w:rPr>
        <w:t>et</w:t>
      </w:r>
      <w:r>
        <w:rPr>
          <w:rFonts w:ascii="Times New Roman" w:hAnsi="Times New Roman" w:cs="Times New Roman"/>
          <w:sz w:val="24"/>
          <w:szCs w:val="24"/>
          <w:highlight w:val="yellow"/>
          <w:lang w:val="en-IN" w:eastAsia="en-IN"/>
        </w:rPr>
        <w:t>ermin</w:t>
      </w:r>
      <w:r>
        <w:rPr>
          <w:rFonts w:ascii="Times New Roman" w:hAnsi="Times New Roman" w:cs="Times New Roman"/>
          <w:sz w:val="24"/>
          <w:szCs w:val="24"/>
          <w:lang w:val="en-IN" w:eastAsia="en-IN"/>
        </w:rPr>
        <w:t xml:space="preserve">ed the suitability class of each soil for a particular crop. </w:t>
      </w:r>
      <w:r>
        <w:rPr>
          <w:rFonts w:ascii="Times New Roman" w:hAnsi="Times New Roman" w:cs="Times New Roman"/>
          <w:sz w:val="24"/>
          <w:szCs w:val="24"/>
          <w:highlight w:val="yellow"/>
          <w:lang w:val="en-IN" w:eastAsia="en-IN"/>
        </w:rPr>
        <w:t>P</w:t>
      </w:r>
      <w:r>
        <w:rPr>
          <w:rFonts w:ascii="Times New Roman" w:hAnsi="Times New Roman" w:cs="Times New Roman"/>
          <w:sz w:val="24"/>
          <w:szCs w:val="24"/>
          <w:lang w:val="en-IN" w:eastAsia="en-IN"/>
        </w:rPr>
        <w:t xml:space="preserve">otential land suitability subclasses were determined after considering improvement measures to </w:t>
      </w:r>
      <w:r>
        <w:rPr>
          <w:rFonts w:ascii="Times New Roman" w:hAnsi="Times New Roman" w:cs="Times New Roman"/>
          <w:sz w:val="24"/>
          <w:szCs w:val="24"/>
          <w:highlight w:val="yellow"/>
          <w:lang w:val="en-IN" w:eastAsia="en-IN"/>
        </w:rPr>
        <w:t>add</w:t>
      </w:r>
      <w:r>
        <w:rPr>
          <w:rFonts w:ascii="Times New Roman" w:hAnsi="Times New Roman" w:cs="Times New Roman"/>
          <w:sz w:val="24"/>
          <w:szCs w:val="24"/>
          <w:lang w:val="en-IN" w:eastAsia="en-IN"/>
        </w:rPr>
        <w:t>re</w:t>
      </w:r>
      <w:r>
        <w:rPr>
          <w:rFonts w:ascii="Times New Roman" w:hAnsi="Times New Roman" w:cs="Times New Roman"/>
          <w:sz w:val="24"/>
          <w:szCs w:val="24"/>
          <w:highlight w:val="yellow"/>
          <w:lang w:val="en-IN" w:eastAsia="en-IN"/>
        </w:rPr>
        <w:t>ss</w:t>
      </w:r>
      <w:r>
        <w:rPr>
          <w:rFonts w:ascii="Times New Roman" w:hAnsi="Times New Roman" w:cs="Times New Roman"/>
          <w:sz w:val="24"/>
          <w:szCs w:val="24"/>
          <w:lang w:val="en-IN" w:eastAsia="en-IN"/>
        </w:rPr>
        <w:t xml:space="preserve"> the limitations.</w:t>
      </w:r>
    </w:p>
    <w:p w14:paraId="2E780020" w14:textId="77777777" w:rsidR="004F3F76" w:rsidRPr="00014750" w:rsidRDefault="00E62221" w:rsidP="00E62221">
      <w:pPr>
        <w:numPr>
          <w:ilvl w:val="0"/>
          <w:numId w:val="1"/>
        </w:numPr>
        <w:spacing w:after="0" w:line="240" w:lineRule="auto"/>
        <w:ind w:left="284" w:hanging="284"/>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Results and discussion</w:t>
      </w:r>
    </w:p>
    <w:p w14:paraId="4CA9985A" w14:textId="77777777" w:rsidR="00867EDA" w:rsidRPr="00014750" w:rsidRDefault="00CB52E1" w:rsidP="00E62221">
      <w:pPr>
        <w:spacing w:after="0" w:line="360" w:lineRule="auto"/>
        <w:jc w:val="both"/>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3.1 </w:t>
      </w:r>
      <w:r w:rsidR="00867EDA" w:rsidRPr="00014750">
        <w:rPr>
          <w:rFonts w:ascii="Times New Roman" w:hAnsi="Times New Roman" w:cs="Times New Roman"/>
          <w:b/>
          <w:sz w:val="24"/>
          <w:szCs w:val="24"/>
          <w:lang w:eastAsia="en-IN"/>
        </w:rPr>
        <w:t>Soils of the study area</w:t>
      </w:r>
    </w:p>
    <w:p w14:paraId="21468E89" w14:textId="77777777" w:rsidR="001D7F31" w:rsidRPr="00014750" w:rsidRDefault="00867ED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study area was stratified into seven major physiographic units, namely upper pedi-plains, lower pedi-plains, depression</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hillside slopes, foothill slopes, hillock</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 and stream banks, exhibiting shallow to moderately weathered landscapes. These units were further subdivided according to slope gradient and erosion intensity to represent landscape heterogeneity. Based on the physiographic–soil relationship, twenty-five representative pedons were selected for detailed morphological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ation: </w:t>
      </w:r>
      <w:r>
        <w:rPr>
          <w:rFonts w:ascii="Times New Roman" w:hAnsi="Times New Roman" w:cs="Times New Roman"/>
          <w:sz w:val="24"/>
          <w:szCs w:val="24"/>
          <w:lang w:val="en-IN" w:eastAsia="en-IN"/>
        </w:rPr>
        <w:t>P1-Baghala, P2-</w:t>
      </w:r>
      <w:r>
        <w:rPr>
          <w:rFonts w:ascii="Times New Roman" w:hAnsi="Times New Roman" w:cs="Times New Roman"/>
          <w:sz w:val="24"/>
          <w:szCs w:val="24"/>
        </w:rPr>
        <w:t>Balangir</w:t>
      </w:r>
      <w:r>
        <w:rPr>
          <w:rFonts w:ascii="Times New Roman" w:hAnsi="Times New Roman" w:cs="Times New Roman"/>
          <w:sz w:val="24"/>
          <w:szCs w:val="24"/>
          <w:lang w:val="en-IN" w:eastAsia="en-IN"/>
        </w:rPr>
        <w:t>, P3-</w:t>
      </w:r>
      <w:r>
        <w:rPr>
          <w:rFonts w:ascii="Times New Roman" w:hAnsi="Times New Roman" w:cs="Times New Roman"/>
          <w:sz w:val="24"/>
          <w:szCs w:val="24"/>
        </w:rPr>
        <w:t>Bandopala</w:t>
      </w:r>
      <w:r>
        <w:rPr>
          <w:rFonts w:ascii="Times New Roman" w:hAnsi="Times New Roman" w:cs="Times New Roman"/>
          <w:sz w:val="24"/>
          <w:szCs w:val="24"/>
          <w:lang w:val="en-IN" w:eastAsia="en-IN"/>
        </w:rPr>
        <w:t>, P4-</w:t>
      </w:r>
      <w:r>
        <w:rPr>
          <w:rFonts w:ascii="Times New Roman" w:hAnsi="Times New Roman" w:cs="Times New Roman"/>
          <w:sz w:val="24"/>
          <w:szCs w:val="24"/>
        </w:rPr>
        <w:t>Bangomunda</w:t>
      </w:r>
      <w:r>
        <w:rPr>
          <w:rFonts w:ascii="Times New Roman" w:hAnsi="Times New Roman" w:cs="Times New Roman"/>
          <w:sz w:val="24"/>
          <w:szCs w:val="24"/>
          <w:lang w:val="en-IN" w:eastAsia="en-IN"/>
        </w:rPr>
        <w:t>, P5-</w:t>
      </w:r>
      <w:r>
        <w:rPr>
          <w:rFonts w:ascii="Times New Roman" w:hAnsi="Times New Roman" w:cs="Times New Roman"/>
          <w:sz w:val="24"/>
          <w:szCs w:val="24"/>
        </w:rPr>
        <w:t>Barkani</w:t>
      </w:r>
      <w:r>
        <w:rPr>
          <w:rFonts w:ascii="Times New Roman" w:hAnsi="Times New Roman" w:cs="Times New Roman"/>
          <w:sz w:val="24"/>
          <w:szCs w:val="24"/>
          <w:lang w:val="en-IN" w:eastAsia="en-IN"/>
        </w:rPr>
        <w:t>, P6-</w:t>
      </w:r>
      <w:r>
        <w:rPr>
          <w:rFonts w:ascii="Times New Roman" w:hAnsi="Times New Roman" w:cs="Times New Roman"/>
          <w:sz w:val="24"/>
          <w:szCs w:val="24"/>
        </w:rPr>
        <w:t>Chandanbhati</w:t>
      </w:r>
      <w:r>
        <w:rPr>
          <w:rFonts w:ascii="Times New Roman" w:hAnsi="Times New Roman" w:cs="Times New Roman"/>
          <w:sz w:val="24"/>
          <w:szCs w:val="24"/>
          <w:lang w:val="en-IN" w:eastAsia="en-IN"/>
        </w:rPr>
        <w:t>, P7-</w:t>
      </w:r>
      <w:r>
        <w:rPr>
          <w:rFonts w:ascii="Times New Roman" w:hAnsi="Times New Roman" w:cs="Times New Roman"/>
          <w:sz w:val="24"/>
          <w:szCs w:val="24"/>
        </w:rPr>
        <w:t>Dhanmadher</w:t>
      </w:r>
      <w:r>
        <w:rPr>
          <w:rFonts w:ascii="Times New Roman" w:hAnsi="Times New Roman" w:cs="Times New Roman"/>
          <w:sz w:val="24"/>
          <w:szCs w:val="24"/>
          <w:lang w:val="en-IN" w:eastAsia="en-IN"/>
        </w:rPr>
        <w:t>, P8-</w:t>
      </w:r>
      <w:r>
        <w:rPr>
          <w:rFonts w:ascii="Times New Roman" w:hAnsi="Times New Roman" w:cs="Times New Roman"/>
          <w:sz w:val="24"/>
          <w:szCs w:val="24"/>
        </w:rPr>
        <w:t>Dhumamara</w:t>
      </w:r>
      <w:r>
        <w:rPr>
          <w:rFonts w:ascii="Times New Roman" w:hAnsi="Times New Roman" w:cs="Times New Roman"/>
          <w:sz w:val="24"/>
          <w:szCs w:val="24"/>
          <w:lang w:val="en-IN" w:eastAsia="en-IN"/>
        </w:rPr>
        <w:t>, P9-</w:t>
      </w:r>
      <w:r>
        <w:rPr>
          <w:rFonts w:ascii="Times New Roman" w:hAnsi="Times New Roman" w:cs="Times New Roman"/>
          <w:sz w:val="24"/>
          <w:szCs w:val="24"/>
        </w:rPr>
        <w:t>Dumermunda</w:t>
      </w:r>
      <w:r>
        <w:rPr>
          <w:rFonts w:ascii="Times New Roman" w:hAnsi="Times New Roman" w:cs="Times New Roman"/>
          <w:sz w:val="24"/>
          <w:szCs w:val="24"/>
          <w:lang w:val="en-IN" w:eastAsia="en-IN"/>
        </w:rPr>
        <w:t>, P10-</w:t>
      </w:r>
      <w:r>
        <w:rPr>
          <w:rFonts w:ascii="Times New Roman" w:hAnsi="Times New Roman" w:cs="Times New Roman"/>
          <w:sz w:val="24"/>
          <w:szCs w:val="24"/>
        </w:rPr>
        <w:t>Dungibahal</w:t>
      </w:r>
      <w:r>
        <w:rPr>
          <w:rFonts w:ascii="Times New Roman" w:hAnsi="Times New Roman" w:cs="Times New Roman"/>
          <w:sz w:val="24"/>
          <w:szCs w:val="24"/>
          <w:lang w:val="en-IN" w:eastAsia="en-IN"/>
        </w:rPr>
        <w:t>, P11-</w:t>
      </w:r>
      <w:r>
        <w:rPr>
          <w:rFonts w:ascii="Times New Roman" w:hAnsi="Times New Roman" w:cs="Times New Roman"/>
          <w:sz w:val="24"/>
          <w:szCs w:val="24"/>
        </w:rPr>
        <w:t>Gudvella</w:t>
      </w:r>
      <w:r>
        <w:rPr>
          <w:rFonts w:ascii="Times New Roman" w:hAnsi="Times New Roman" w:cs="Times New Roman"/>
          <w:sz w:val="24"/>
          <w:szCs w:val="24"/>
          <w:lang w:val="en-IN" w:eastAsia="en-IN"/>
        </w:rPr>
        <w:t>, P12-</w:t>
      </w:r>
      <w:r>
        <w:rPr>
          <w:rFonts w:ascii="Times New Roman" w:hAnsi="Times New Roman" w:cs="Times New Roman"/>
          <w:sz w:val="24"/>
          <w:szCs w:val="24"/>
        </w:rPr>
        <w:t>Jogisarda</w:t>
      </w:r>
      <w:r>
        <w:rPr>
          <w:rFonts w:ascii="Times New Roman" w:hAnsi="Times New Roman" w:cs="Times New Roman"/>
          <w:sz w:val="24"/>
          <w:szCs w:val="24"/>
          <w:lang w:val="en-IN" w:eastAsia="en-IN"/>
        </w:rPr>
        <w:t>, P13-</w:t>
      </w:r>
      <w:r>
        <w:rPr>
          <w:rFonts w:ascii="Times New Roman" w:hAnsi="Times New Roman" w:cs="Times New Roman"/>
          <w:sz w:val="24"/>
          <w:szCs w:val="24"/>
        </w:rPr>
        <w:t>Karlakani</w:t>
      </w:r>
      <w:r>
        <w:rPr>
          <w:rFonts w:ascii="Times New Roman" w:hAnsi="Times New Roman" w:cs="Times New Roman"/>
          <w:sz w:val="24"/>
          <w:szCs w:val="24"/>
          <w:lang w:val="en-IN" w:eastAsia="en-IN"/>
        </w:rPr>
        <w:t>, P14-</w:t>
      </w:r>
      <w:r>
        <w:rPr>
          <w:rFonts w:ascii="Times New Roman" w:hAnsi="Times New Roman" w:cs="Times New Roman"/>
          <w:sz w:val="24"/>
          <w:szCs w:val="24"/>
        </w:rPr>
        <w:t>Kodgaon</w:t>
      </w:r>
      <w:r>
        <w:rPr>
          <w:rFonts w:ascii="Times New Roman" w:hAnsi="Times New Roman" w:cs="Times New Roman"/>
          <w:sz w:val="24"/>
          <w:szCs w:val="24"/>
          <w:lang w:val="en-IN" w:eastAsia="en-IN"/>
        </w:rPr>
        <w:t>, P15-</w:t>
      </w:r>
      <w:r>
        <w:rPr>
          <w:rFonts w:ascii="Times New Roman" w:hAnsi="Times New Roman" w:cs="Times New Roman"/>
          <w:sz w:val="24"/>
          <w:szCs w:val="24"/>
        </w:rPr>
        <w:t>Koksila</w:t>
      </w:r>
      <w:r>
        <w:rPr>
          <w:rFonts w:ascii="Times New Roman" w:hAnsi="Times New Roman" w:cs="Times New Roman"/>
          <w:sz w:val="24"/>
          <w:szCs w:val="24"/>
          <w:lang w:val="en-IN" w:eastAsia="en-IN"/>
        </w:rPr>
        <w:t>, P16-</w:t>
      </w:r>
      <w:r>
        <w:rPr>
          <w:rFonts w:ascii="Times New Roman" w:hAnsi="Times New Roman" w:cs="Times New Roman"/>
          <w:sz w:val="24"/>
          <w:szCs w:val="24"/>
        </w:rPr>
        <w:t>Kurli</w:t>
      </w:r>
      <w:r>
        <w:rPr>
          <w:rFonts w:ascii="Times New Roman" w:hAnsi="Times New Roman" w:cs="Times New Roman"/>
          <w:sz w:val="24"/>
          <w:szCs w:val="24"/>
          <w:lang w:val="en-IN" w:eastAsia="en-IN"/>
        </w:rPr>
        <w:t>, P17-</w:t>
      </w:r>
      <w:r>
        <w:rPr>
          <w:rFonts w:ascii="Times New Roman" w:hAnsi="Times New Roman" w:cs="Times New Roman"/>
          <w:sz w:val="24"/>
          <w:szCs w:val="24"/>
        </w:rPr>
        <w:t>Patnagarh</w:t>
      </w:r>
      <w:r>
        <w:rPr>
          <w:rFonts w:ascii="Times New Roman" w:hAnsi="Times New Roman" w:cs="Times New Roman"/>
          <w:sz w:val="24"/>
          <w:szCs w:val="24"/>
          <w:lang w:val="en-IN" w:eastAsia="en-IN"/>
        </w:rPr>
        <w:t>, P18-</w:t>
      </w:r>
      <w:r>
        <w:rPr>
          <w:rFonts w:ascii="Times New Roman" w:hAnsi="Times New Roman" w:cs="Times New Roman"/>
          <w:sz w:val="24"/>
          <w:szCs w:val="24"/>
        </w:rPr>
        <w:t>Purvabhari</w:t>
      </w:r>
      <w:r>
        <w:rPr>
          <w:rFonts w:ascii="Times New Roman" w:hAnsi="Times New Roman" w:cs="Times New Roman"/>
          <w:sz w:val="24"/>
          <w:szCs w:val="24"/>
          <w:lang w:val="en-IN" w:eastAsia="en-IN"/>
        </w:rPr>
        <w:t>, P19-</w:t>
      </w:r>
      <w:r>
        <w:rPr>
          <w:rFonts w:ascii="Times New Roman" w:hAnsi="Times New Roman" w:cs="Times New Roman"/>
          <w:sz w:val="24"/>
          <w:szCs w:val="24"/>
        </w:rPr>
        <w:t>Rajkhel</w:t>
      </w:r>
      <w:r>
        <w:rPr>
          <w:rFonts w:ascii="Times New Roman" w:hAnsi="Times New Roman" w:cs="Times New Roman"/>
          <w:sz w:val="24"/>
          <w:szCs w:val="24"/>
          <w:lang w:val="en-IN" w:eastAsia="en-IN"/>
        </w:rPr>
        <w:t>, P20-</w:t>
      </w:r>
      <w:r>
        <w:rPr>
          <w:rFonts w:ascii="Times New Roman" w:hAnsi="Times New Roman" w:cs="Times New Roman"/>
          <w:sz w:val="24"/>
          <w:szCs w:val="24"/>
        </w:rPr>
        <w:t>Sarasbahal</w:t>
      </w:r>
      <w:r>
        <w:rPr>
          <w:rFonts w:ascii="Times New Roman" w:hAnsi="Times New Roman" w:cs="Times New Roman"/>
          <w:sz w:val="24"/>
          <w:szCs w:val="24"/>
          <w:lang w:val="en-IN" w:eastAsia="en-IN"/>
        </w:rPr>
        <w:t>, P21-</w:t>
      </w:r>
      <w:r>
        <w:rPr>
          <w:rFonts w:ascii="Times New Roman" w:hAnsi="Times New Roman" w:cs="Times New Roman"/>
          <w:sz w:val="24"/>
          <w:szCs w:val="24"/>
        </w:rPr>
        <w:t>Sindurbahal</w:t>
      </w:r>
      <w:r>
        <w:rPr>
          <w:rFonts w:ascii="Times New Roman" w:hAnsi="Times New Roman" w:cs="Times New Roman"/>
          <w:sz w:val="24"/>
          <w:szCs w:val="24"/>
          <w:lang w:val="en-IN" w:eastAsia="en-IN"/>
        </w:rPr>
        <w:t>, P22-</w:t>
      </w:r>
      <w:r>
        <w:rPr>
          <w:rFonts w:ascii="Times New Roman" w:hAnsi="Times New Roman" w:cs="Times New Roman"/>
          <w:sz w:val="24"/>
          <w:szCs w:val="24"/>
        </w:rPr>
        <w:t>Sinkhaman</w:t>
      </w:r>
      <w:r>
        <w:rPr>
          <w:rFonts w:ascii="Times New Roman" w:hAnsi="Times New Roman" w:cs="Times New Roman"/>
          <w:sz w:val="24"/>
          <w:szCs w:val="24"/>
          <w:lang w:val="en-IN" w:eastAsia="en-IN"/>
        </w:rPr>
        <w:t>, P23-</w:t>
      </w:r>
      <w:r>
        <w:rPr>
          <w:rFonts w:ascii="Times New Roman" w:hAnsi="Times New Roman" w:cs="Times New Roman"/>
          <w:sz w:val="24"/>
          <w:szCs w:val="24"/>
        </w:rPr>
        <w:t>Sokarbandhi</w:t>
      </w:r>
      <w:r>
        <w:rPr>
          <w:rFonts w:ascii="Times New Roman" w:hAnsi="Times New Roman" w:cs="Times New Roman"/>
          <w:sz w:val="24"/>
          <w:szCs w:val="24"/>
          <w:lang w:val="en-IN" w:eastAsia="en-IN"/>
        </w:rPr>
        <w:t>, P24-Suktel and P25-</w:t>
      </w:r>
      <w:r>
        <w:rPr>
          <w:rFonts w:ascii="Times New Roman" w:hAnsi="Times New Roman" w:cs="Times New Roman"/>
          <w:sz w:val="24"/>
          <w:szCs w:val="24"/>
        </w:rPr>
        <w:t>Tusura</w:t>
      </w:r>
      <w:r>
        <w:rPr>
          <w:rFonts w:ascii="Times New Roman" w:hAnsi="Times New Roman" w:cs="Times New Roman"/>
          <w:sz w:val="24"/>
          <w:szCs w:val="24"/>
          <w:lang w:val="en-IN" w:eastAsia="en-IN"/>
        </w:rPr>
        <w:t>.</w:t>
      </w:r>
      <w:r>
        <w:rPr>
          <w:rFonts w:ascii="Times New Roman" w:hAnsi="Times New Roman" w:cs="Times New Roman"/>
          <w:sz w:val="24"/>
          <w:szCs w:val="24"/>
          <w:lang w:eastAsia="en-IN"/>
        </w:rPr>
        <w:t xml:space="preserve"> Their soil-site characteristics are summari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in Table 1.</w:t>
      </w:r>
    </w:p>
    <w:p w14:paraId="2AD6EF71"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surveyed area exhibited considerable variation in physiography, slope gradient, surface gravelliness, erosion intensity and drainage conditions, indicating a heterogeneous soil-landscape environment. The physiographic units were dominated by upper pedi-plains (UPP), which occupied approximately 32.2% of the total reported area, followed by lower pedi-plains (LPP; 20.1%), depressional positions (19.4%) and hillside slopes (15.6%). Smaller physiographic components included stream-bank positions (1.4%), hillocks (0.7%) and foothill slopes (0.6%). Such physiographic variability is expected to influence soil-profile development through differences in runoff, sediment redistribution, drainage and landscape stability. In particular, depressional positions generally function as zones of water and fine-sediment accumulation, whereas upper and lower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 xml:space="preserve">edi-plain positions are more strongly influenced by surface runoff and lateral redistribution of soil material. The importance of landscape position in controlling soil </w:t>
      </w:r>
      <w:r>
        <w:rPr>
          <w:rFonts w:ascii="Times New Roman" w:hAnsi="Times New Roman" w:cs="Times New Roman"/>
          <w:sz w:val="24"/>
          <w:szCs w:val="24"/>
          <w:lang w:eastAsia="en-IN"/>
        </w:rPr>
        <w:lastRenderedPageBreak/>
        <w:t>morphology and hydrological behaviour is well established in soil survey and land evaluation studies (FAO, 1976; Basavaraju</w:t>
      </w:r>
      <w:r>
        <w:rPr>
          <w:rFonts w:ascii="Times New Roman" w:hAnsi="Times New Roman" w:cs="Times New Roman"/>
          <w:sz w:val="24"/>
          <w:szCs w:val="24"/>
          <w:highlight w:val="yellow"/>
          <w:lang w:eastAsia="en-IN"/>
        </w:rPr>
        <w:t xml:space="preserve"> </w:t>
      </w:r>
      <w:r>
        <w:rPr>
          <w:rFonts w:ascii="Times New Roman" w:hAnsi="Times New Roman" w:cs="Times New Roman"/>
          <w:i/>
          <w:sz w:val="24"/>
          <w:szCs w:val="24"/>
          <w:lang w:eastAsia="en-IN"/>
        </w:rPr>
        <w:t>et al.,</w:t>
      </w:r>
      <w:r>
        <w:rPr>
          <w:rFonts w:ascii="Times New Roman" w:hAnsi="Times New Roman" w:cs="Times New Roman"/>
          <w:sz w:val="24"/>
          <w:szCs w:val="24"/>
          <w:lang w:eastAsia="en-IN"/>
        </w:rPr>
        <w:t xml:space="preserve"> 2005).</w:t>
      </w:r>
    </w:p>
    <w:p w14:paraId="12AC9B71"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slope gradient ranged from 1-5% to 10–50%, with the largest proportion of the mapped area occurring under the 1-5% slope class (56.9%). The 5-10% slope class accounted for about 12.3%, whereas the extensive 10–50% slope class occurred mainly on hillside slopes and covered approximately 15.6% of the total reported area. The remaining area occurred under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3-10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and 10-25% slop</w:t>
      </w:r>
      <w:r>
        <w:rPr>
          <w:rFonts w:ascii="Times New Roman" w:hAnsi="Times New Roman" w:cs="Times New Roman"/>
          <w:sz w:val="24"/>
          <w:szCs w:val="24"/>
          <w:highlight w:val="yellow"/>
          <w:lang w:eastAsia="en-IN"/>
        </w:rPr>
        <w:t>e class</w:t>
      </w:r>
      <w:r>
        <w:rPr>
          <w:rFonts w:ascii="Times New Roman" w:hAnsi="Times New Roman" w:cs="Times New Roman"/>
          <w:sz w:val="24"/>
          <w:szCs w:val="24"/>
          <w:lang w:eastAsia="en-IN"/>
        </w:rPr>
        <w:t xml:space="preserve">es. The predominance of gently sloping terrain indicates generally favourable conditions for agricultural land use in a substantial part of the landscape; however, </w:t>
      </w:r>
      <w:r>
        <w:rPr>
          <w:rFonts w:ascii="Times New Roman" w:hAnsi="Times New Roman" w:cs="Times New Roman"/>
          <w:sz w:val="24"/>
          <w:szCs w:val="24"/>
          <w:highlight w:val="yellow"/>
          <w:lang w:eastAsia="en-IN"/>
        </w:rPr>
        <w:t xml:space="preserve">an </w:t>
      </w:r>
      <w:r>
        <w:rPr>
          <w:rFonts w:ascii="Times New Roman" w:hAnsi="Times New Roman" w:cs="Times New Roman"/>
          <w:sz w:val="24"/>
          <w:szCs w:val="24"/>
          <w:lang w:eastAsia="en-IN"/>
        </w:rPr>
        <w:t>increasing slope gradient enhances runoff velocity 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consequently</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the potential for soil detachment and transport. The occurrence of steep to very steep slopes on hillside positions therefore represents an important limitation for intensive cultivation and warrants appropriate soil and water conservation measures.</w:t>
      </w:r>
    </w:p>
    <w:p w14:paraId="02D40C48" w14:textId="77777777" w:rsidR="001D7F31" w:rsidRPr="00014750" w:rsidRDefault="001D7F3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Surface gravelliness showed marked spatial variability. Most </w:t>
      </w:r>
      <w:r>
        <w:rPr>
          <w:rFonts w:ascii="Times New Roman" w:hAnsi="Times New Roman" w:cs="Times New Roman"/>
          <w:sz w:val="24"/>
          <w:szCs w:val="24"/>
          <w:highlight w:val="yellow"/>
          <w:lang w:eastAsia="en-IN"/>
        </w:rPr>
        <w:t>mapp</w:t>
      </w:r>
      <w:r>
        <w:rPr>
          <w:rFonts w:ascii="Times New Roman" w:hAnsi="Times New Roman" w:cs="Times New Roman"/>
          <w:sz w:val="24"/>
          <w:szCs w:val="24"/>
          <w:lang w:eastAsia="en-IN"/>
        </w:rPr>
        <w:t>e</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 pedons/units ha</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 no appreciable surface gravel, whereas appreciable gravelliness was associated mainly with hillside, hillock and some pedi-plai</w:t>
      </w:r>
      <w:r>
        <w:rPr>
          <w:rFonts w:ascii="Times New Roman" w:hAnsi="Times New Roman" w:cs="Times New Roman"/>
          <w:sz w:val="24"/>
          <w:szCs w:val="24"/>
          <w:highlight w:val="yellow"/>
          <w:lang w:eastAsia="en-IN"/>
        </w:rPr>
        <w:t>n positio</w:t>
      </w:r>
      <w:r>
        <w:rPr>
          <w:rFonts w:ascii="Times New Roman" w:hAnsi="Times New Roman" w:cs="Times New Roman"/>
          <w:sz w:val="24"/>
          <w:szCs w:val="24"/>
          <w:lang w:eastAsia="en-IN"/>
        </w:rPr>
        <w:t>ns. Based on the values presented, approximately 38.2% of the reported area was represented by units having measurable gravelliness (&gt;15%), particularly P-1, P-8, P-9, P-12, P-15, P-16 and P-17. High gravel content may adversely affect effective soil volume, available water storage, root proliferation and ease of tillage, depending on the size, abundance and distribution of coarse fragments. Consequently, gravelliness should be considered together with soil depth and texture when assessing the agricultural suitability of these soils.</w:t>
      </w:r>
    </w:p>
    <w:p w14:paraId="1BE7CB8C" w14:textId="77777777" w:rsidR="0010167B" w:rsidRPr="00467778" w:rsidRDefault="0071794D" w:rsidP="00E62221">
      <w:pPr>
        <w:spacing w:after="0" w:line="360" w:lineRule="auto"/>
        <w:jc w:val="both"/>
        <w:outlineLvl w:val="1"/>
        <w:rPr>
          <w:rFonts w:ascii="Times New Roman" w:hAnsi="Times New Roman" w:cs="Times New Roman"/>
          <w:b/>
          <w:i/>
          <w:color w:val="FF0000"/>
          <w:sz w:val="24"/>
          <w:szCs w:val="24"/>
          <w:lang w:eastAsia="en-IN"/>
        </w:rPr>
      </w:pPr>
      <w:r>
        <w:rPr>
          <w:rFonts w:ascii="Times New Roman" w:hAnsi="Times New Roman" w:cs="Times New Roman"/>
          <w:sz w:val="24"/>
          <w:szCs w:val="24"/>
          <w:lang w:eastAsia="en-IN"/>
        </w:rPr>
        <w:t xml:space="preserve">The erosion status revealed a distinct relationship with physiography and slope. </w:t>
      </w:r>
      <w:r>
        <w:rPr>
          <w:rFonts w:ascii="Times New Roman" w:hAnsi="Times New Roman" w:cs="Times New Roman"/>
          <w:sz w:val="24"/>
          <w:szCs w:val="24"/>
          <w:highlight w:val="yellow"/>
          <w:lang w:eastAsia="en-IN"/>
        </w:rPr>
        <w:t>N</w:t>
      </w:r>
      <w:r>
        <w:rPr>
          <w:rFonts w:ascii="Times New Roman" w:hAnsi="Times New Roman" w:cs="Times New Roman"/>
          <w:sz w:val="24"/>
          <w:szCs w:val="24"/>
          <w:lang w:eastAsia="en-IN"/>
        </w:rPr>
        <w:t>one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to</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slight water erosion (e1) was the most extensive individual class, covering approximately 35.4% of the total reported area, followed by e1–e2 (20.2%), e1–e3 (17.4%) and e3–e4 (16.3%). The e2–e3 class accounted for only about 0.6%. The occurrence of e3–e4 erosion was concentrated in the hillside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slope and hillock environments, particularly P-8 and P-15, where slopes of 10–50% and 10–25%, respectively, were recorded. This spatial association indicates that increasing slope gradient and topographic position have contributed substantially to erosion severity. Erosion class</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 xml:space="preserve">s </w:t>
      </w:r>
      <w:r>
        <w:rPr>
          <w:rFonts w:ascii="Times New Roman" w:hAnsi="Times New Roman" w:cs="Times New Roman"/>
          <w:sz w:val="24"/>
          <w:szCs w:val="24"/>
          <w:highlight w:val="yellow"/>
          <w:lang w:eastAsia="en-IN"/>
        </w:rPr>
        <w:t xml:space="preserve">were </w:t>
      </w:r>
      <w:r>
        <w:rPr>
          <w:rFonts w:ascii="Times New Roman" w:hAnsi="Times New Roman" w:cs="Times New Roman"/>
          <w:sz w:val="24"/>
          <w:szCs w:val="24"/>
          <w:lang w:eastAsia="en-IN"/>
        </w:rPr>
        <w:t>a</w:t>
      </w:r>
      <w:r>
        <w:rPr>
          <w:rFonts w:ascii="Times New Roman" w:hAnsi="Times New Roman" w:cs="Times New Roman"/>
          <w:sz w:val="24"/>
          <w:szCs w:val="24"/>
          <w:highlight w:val="yellow"/>
          <w:lang w:eastAsia="en-IN"/>
        </w:rPr>
        <w:t>ssess</w:t>
      </w:r>
      <w:r>
        <w:rPr>
          <w:rFonts w:ascii="Times New Roman" w:hAnsi="Times New Roman" w:cs="Times New Roman"/>
          <w:sz w:val="24"/>
          <w:szCs w:val="24"/>
          <w:lang w:eastAsia="en-IN"/>
        </w:rPr>
        <w:t xml:space="preserve">ed </w:t>
      </w:r>
      <w:r>
        <w:rPr>
          <w:rFonts w:ascii="Times New Roman" w:hAnsi="Times New Roman" w:cs="Times New Roman"/>
          <w:sz w:val="24"/>
          <w:szCs w:val="24"/>
          <w:highlight w:val="yellow"/>
          <w:lang w:eastAsia="en-IN"/>
        </w:rPr>
        <w:t>wi</w:t>
      </w:r>
      <w:r>
        <w:rPr>
          <w:rFonts w:ascii="Times New Roman" w:hAnsi="Times New Roman" w:cs="Times New Roman"/>
          <w:sz w:val="24"/>
          <w:szCs w:val="24"/>
          <w:lang w:eastAsia="en-IN"/>
        </w:rPr>
        <w:t>th</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r</w:t>
      </w:r>
      <w:r>
        <w:rPr>
          <w:rFonts w:ascii="Times New Roman" w:hAnsi="Times New Roman" w:cs="Times New Roman"/>
          <w:sz w:val="24"/>
          <w:szCs w:val="24"/>
          <w:highlight w:val="yellow"/>
          <w:lang w:eastAsia="en-IN"/>
        </w:rPr>
        <w:t>eference t</w:t>
      </w:r>
      <w:r>
        <w:rPr>
          <w:rFonts w:ascii="Times New Roman" w:hAnsi="Times New Roman" w:cs="Times New Roman"/>
          <w:sz w:val="24"/>
          <w:szCs w:val="24"/>
          <w:lang w:eastAsia="en-IN"/>
        </w:rPr>
        <w:t>o</w:t>
      </w:r>
      <w:r>
        <w:rPr>
          <w:rFonts w:ascii="Times New Roman" w:hAnsi="Times New Roman" w:cs="Times New Roman"/>
          <w:sz w:val="24"/>
          <w:szCs w:val="24"/>
          <w:highlight w:val="yellow"/>
          <w:lang w:eastAsia="en-IN"/>
        </w:rPr>
        <w:t xml:space="preserve"> local</w:t>
      </w:r>
      <w:r>
        <w:rPr>
          <w:rFonts w:ascii="Times New Roman" w:hAnsi="Times New Roman" w:cs="Times New Roman"/>
          <w:sz w:val="24"/>
          <w:szCs w:val="24"/>
          <w:lang w:eastAsia="en-IN"/>
        </w:rPr>
        <w:t xml:space="preserv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management practices and </w:t>
      </w:r>
      <w:r>
        <w:rPr>
          <w:rFonts w:ascii="Times New Roman" w:hAnsi="Times New Roman" w:cs="Times New Roman"/>
          <w:sz w:val="24"/>
          <w:szCs w:val="24"/>
          <w:highlight w:val="yellow"/>
          <w:lang w:eastAsia="en-IN"/>
        </w:rPr>
        <w:t>thr</w:t>
      </w:r>
      <w:r>
        <w:rPr>
          <w:rFonts w:ascii="Times New Roman" w:hAnsi="Times New Roman" w:cs="Times New Roman"/>
          <w:sz w:val="24"/>
          <w:szCs w:val="24"/>
          <w:lang w:eastAsia="en-IN"/>
        </w:rPr>
        <w:t>o</w:t>
      </w:r>
      <w:r>
        <w:rPr>
          <w:rFonts w:ascii="Times New Roman" w:hAnsi="Times New Roman" w:cs="Times New Roman"/>
          <w:sz w:val="24"/>
          <w:szCs w:val="24"/>
          <w:highlight w:val="yellow"/>
          <w:lang w:eastAsia="en-IN"/>
        </w:rPr>
        <w:t>ugh</w:t>
      </w:r>
      <w:r>
        <w:rPr>
          <w:rFonts w:ascii="Times New Roman" w:hAnsi="Times New Roman" w:cs="Times New Roman"/>
          <w:sz w:val="24"/>
          <w:szCs w:val="24"/>
          <w:lang w:eastAsia="en-IN"/>
        </w:rPr>
        <w:t xml:space="preserve"> ground truthing. </w:t>
      </w:r>
      <w:r>
        <w:rPr>
          <w:rFonts w:ascii="Times New Roman" w:hAnsi="Times New Roman" w:cs="Times New Roman"/>
          <w:sz w:val="24"/>
          <w:szCs w:val="24"/>
          <w:highlight w:val="yellow"/>
          <w:lang w:eastAsia="en-IN"/>
        </w:rPr>
        <w:t>D</w:t>
      </w:r>
      <w:r>
        <w:rPr>
          <w:rFonts w:ascii="Times New Roman" w:hAnsi="Times New Roman" w:cs="Times New Roman"/>
          <w:sz w:val="24"/>
          <w:szCs w:val="24"/>
          <w:lang w:eastAsia="en-IN"/>
        </w:rPr>
        <w:t xml:space="preserve">rainage characteristics also demonstrated strong landscape control. Well-drained (WD) soils constituted approximately 26.6% of the total reported area, followed by imperfectly drained (ID; 19.3%), moderately well-drained (MWD; 18.0%), excessively drained (ED; 16.3%) </w:t>
      </w:r>
      <w:r>
        <w:rPr>
          <w:rFonts w:ascii="Times New Roman" w:hAnsi="Times New Roman" w:cs="Times New Roman"/>
          <w:sz w:val="24"/>
          <w:szCs w:val="24"/>
          <w:lang w:eastAsia="en-IN"/>
        </w:rPr>
        <w:lastRenderedPageBreak/>
        <w:t xml:space="preserve">and poorly drained (PD; 9.8%) conditions. Well-drained conditions were predominantly associated with upper </w:t>
      </w:r>
      <w:r>
        <w:rPr>
          <w:rFonts w:ascii="Times New Roman" w:hAnsi="Times New Roman" w:cs="Times New Roman"/>
          <w:sz w:val="24"/>
          <w:szCs w:val="24"/>
          <w:highlight w:val="yellow"/>
          <w:lang w:eastAsia="en-IN"/>
        </w:rPr>
        <w:t>p</w:t>
      </w:r>
      <w:r>
        <w:rPr>
          <w:rFonts w:ascii="Times New Roman" w:hAnsi="Times New Roman" w:cs="Times New Roman"/>
          <w:sz w:val="24"/>
          <w:szCs w:val="24"/>
          <w:lang w:eastAsia="en-IN"/>
        </w:rPr>
        <w:t>edi-plains and relatively elevated positions, whereas imperfect</w:t>
      </w:r>
      <w:r>
        <w:rPr>
          <w:rFonts w:ascii="Times New Roman" w:hAnsi="Times New Roman" w:cs="Times New Roman"/>
          <w:sz w:val="24"/>
          <w:szCs w:val="24"/>
          <w:highlight w:val="yellow"/>
          <w:lang w:eastAsia="en-IN"/>
        </w:rPr>
        <w:t>ly</w:t>
      </w:r>
      <w:r>
        <w:rPr>
          <w:rFonts w:ascii="Times New Roman" w:hAnsi="Times New Roman" w:cs="Times New Roman"/>
          <w:sz w:val="24"/>
          <w:szCs w:val="24"/>
          <w:lang w:eastAsia="en-IN"/>
        </w:rPr>
        <w:t xml:space="preserve"> and poorly drained conditions occurred mainly in depressions and lower landscape positions. For example, P-7, P-20 and P-23, located in depressional settings,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by poorly or imperfectly drained conditions. Conversely, P-8 and P-15, occurring on hillside slopes and hillocks, respectively, were excessively drained. </w:t>
      </w:r>
      <w:r>
        <w:rPr>
          <w:rFonts w:ascii="Times New Roman" w:hAnsi="Times New Roman" w:cs="Times New Roman"/>
          <w:sz w:val="24"/>
          <w:szCs w:val="24"/>
          <w:highlight w:val="yellow"/>
          <w:lang w:eastAsia="en-IN"/>
        </w:rPr>
        <w:t>Drainage</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wa</w:t>
      </w:r>
      <w:r>
        <w:rPr>
          <w:rFonts w:ascii="Times New Roman" w:hAnsi="Times New Roman" w:cs="Times New Roman"/>
          <w:sz w:val="24"/>
          <w:szCs w:val="24"/>
          <w:lang w:eastAsia="en-IN"/>
        </w:rPr>
        <w:t>s classified on the basis of soil texture, structure and colo</w:t>
      </w:r>
      <w:r>
        <w:rPr>
          <w:rFonts w:ascii="Times New Roman" w:hAnsi="Times New Roman" w:cs="Times New Roman"/>
          <w:sz w:val="24"/>
          <w:szCs w:val="24"/>
          <w:highlight w:val="yellow"/>
          <w:lang w:eastAsia="en-IN"/>
        </w:rPr>
        <w:t>u</w:t>
      </w:r>
      <w:r>
        <w:rPr>
          <w:rFonts w:ascii="Times New Roman" w:hAnsi="Times New Roman" w:cs="Times New Roman"/>
          <w:sz w:val="24"/>
          <w:szCs w:val="24"/>
          <w:lang w:eastAsia="en-IN"/>
        </w:rPr>
        <w:t>r</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which reflect water</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removal rates in</w:t>
      </w:r>
      <w:r>
        <w:rPr>
          <w:rFonts w:ascii="Times New Roman" w:hAnsi="Times New Roman" w:cs="Times New Roman"/>
          <w:sz w:val="24"/>
          <w:szCs w:val="24"/>
          <w:highlight w:val="yellow"/>
          <w:lang w:eastAsia="en-IN"/>
        </w:rPr>
        <w:t xml:space="preserve"> the</w:t>
      </w:r>
      <w:r>
        <w:rPr>
          <w:rFonts w:ascii="Times New Roman" w:hAnsi="Times New Roman" w:cs="Times New Roman"/>
          <w:sz w:val="24"/>
          <w:szCs w:val="24"/>
          <w:lang w:eastAsia="en-IN"/>
        </w:rPr>
        <w:t xml:space="preserve"> soil. This distribution reflects the influence of slope, landscape position, surface runoff, infiltration and relative elevation on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soil-water regime. Soil survey standards recogni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 drainage as an important property for evaluating soil-water relationships and agricultural land-use potential.</w:t>
      </w:r>
    </w:p>
    <w:p w14:paraId="267885D7" w14:textId="77777777" w:rsidR="00752C0A" w:rsidRPr="00014750" w:rsidRDefault="00752C0A"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3.2 Physical and chemical characteristics</w:t>
      </w:r>
    </w:p>
    <w:p w14:paraId="78B35AA0" w14:textId="77777777" w:rsidR="00752C0A" w:rsidRPr="00014750" w:rsidRDefault="000B4EB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physical and chemical properties of the soils exhibited considerable variability among the twenty-five pedons, reflecting differences in soil texture, profile depth, parent material, landscape position and degree of pedogenic development. Soil depth ranged from 14 to 125 cm, </w:t>
      </w:r>
      <w:r>
        <w:rPr>
          <w:rFonts w:ascii="Times New Roman" w:hAnsi="Times New Roman" w:cs="Times New Roman"/>
          <w:sz w:val="24"/>
          <w:szCs w:val="24"/>
          <w:highlight w:val="yellow"/>
          <w:lang w:eastAsia="en-IN"/>
        </w:rPr>
        <w:t>represe</w:t>
      </w:r>
      <w:r>
        <w:rPr>
          <w:rFonts w:ascii="Times New Roman" w:hAnsi="Times New Roman" w:cs="Times New Roman"/>
          <w:sz w:val="24"/>
          <w:szCs w:val="24"/>
          <w:lang w:eastAsia="en-IN"/>
        </w:rPr>
        <w:t>nting shallow to very deep soil profiles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a</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 presented in Table 2. The shallowest profiles were recorded in P-1, P-8 and P-15, whereas moderately deep soils occurred in P-9, P-13, P-16, P-17 and P-21. Relatively deep profiles, with depths approaching 100 cm, were observed in P-6, P-12, P-18, P-20 and P-22, while very deep profiles were recorded in P-2 to P-5, P-7, P-10, P-11, P-14, P-19 and P-23 to P-25. Such variation in effective soil depth represents an important land-quality attribute, as it directly influences rooting volume, soil-water storage capacity, nutrient availability and crop productivity.</w:t>
      </w:r>
    </w:p>
    <w:p w14:paraId="13A89DF2" w14:textId="77777777" w:rsidR="0020295D" w:rsidRPr="00014750" w:rsidRDefault="00752C0A" w:rsidP="0020295D">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showed a wide range of textural classes, indicating substantial variation in particle-size distribution. The predominance of finer-textured soils in several pedons suggests appreciable clay accumulation and associated differences in water-holding capacity, nutrient retention and permeability. Conversely, the relatively coarse-textured and gravelly soils occurring in some shallow landscape positions may have restricted effective soil depth and lower available water storage. Soil texture is a fundamental soil property controlling water movement, nutrient retention and root-zone conditions and is therefore an important criterion in land evaluation.</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bulk density (BD) of the soils exhibited considerable variability among the 25 pedons, ranging from 1.40 to 1.88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with a mean value of 1.58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The lowest bulk density was recorded in P-5 (1.40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followed by P-16 (1.44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P-10 (1.48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xml:space="preserve">), P-18 (1.49 g </w:t>
      </w:r>
      <w:r>
        <w:rPr>
          <w:rFonts w:ascii="Times New Roman" w:hAnsi="Times New Roman" w:cs="Times New Roman"/>
          <w:sz w:val="24"/>
          <w:szCs w:val="24"/>
          <w:lang w:eastAsia="en-IN"/>
        </w:rPr>
        <w:lastRenderedPageBreak/>
        <w:t>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and P-7, P-14 and P-20 (1.50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In contrast, the highest bulk density was observed in P-17 (1.88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followed by P-1 (1.75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P-24 (1.69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P-2 (1.66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 and P-8 (1.65 g cm⁻³). The remaining pedons showed intermediate values ranging from 1.52 to 1.64 g cm</w:t>
      </w:r>
      <w:r>
        <w:rPr>
          <w:rFonts w:ascii="Times New Roman" w:hAnsi="Times New Roman" w:cs="Times New Roman"/>
          <w:sz w:val="24"/>
          <w:szCs w:val="24"/>
          <w:vertAlign w:val="superscript"/>
          <w:lang w:eastAsia="en-IN"/>
        </w:rPr>
        <w:t>-3</w:t>
      </w:r>
      <w:r>
        <w:rPr>
          <w:rFonts w:ascii="Times New Roman" w:hAnsi="Times New Roman" w:cs="Times New Roman"/>
          <w:sz w:val="24"/>
          <w:szCs w:val="24"/>
          <w:lang w:eastAsia="en-IN"/>
        </w:rPr>
        <w:t>.</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observed variation in bulk density may be attributed to differences in soil texture, organic matter content, structural development, compaction and pedogenic processes among the landscape positions. The relatively higher bulk density in P-17 and P-1 suggests comparatively greater soil compaction and/or a lower proportion of organic matter and structural porosity, whereas the lower values recorded in P-5 and P-16 indicate relatively greater total pore space and better aggregation.</w:t>
      </w:r>
    </w:p>
    <w:p w14:paraId="46BFFD18"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Soil reaction varied from strongly acidic to slightly alkaline, with pH values ranging from 4.97 to 7.85. Most pedons were within the acidic to near-neutral range, whereas P-4 exhibited the highest pH (7.85). The acidic reaction in several pedons may influence the availability of essential plant nutrients and the solubility of potentially toxic elements, whereas the relatively higher-pH soils may have different nutrient-availability constraints. Soil pH is therefore an important indicator of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soil chemical environment and crop suitability.</w:t>
      </w:r>
    </w:p>
    <w:p w14:paraId="4E5D53B1"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very low electrical conductivity (EC), ranging from 0.01 to 0.08 dS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m</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indicating that soluble-salt accumulation was not a significant limitation in the studied pedons. Similarly, exchangeable sodium percentage (ESP) ranged from 0.56 to 8.35%, with all pedons having ESP values below the commonly used threshold for sodic soils. The highest ESP was recorded in P-23 (8.35%), followed by P-14 (5.40%) and P-1 (5.11%), but these values still indicate an absence of pronounced sodicity. Thus, salinity and sodicity do not appear to constitute major chemical limitations to crop production in the study area.</w:t>
      </w:r>
    </w:p>
    <w:p w14:paraId="6D607C33"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Organic carbon (OC) content ranged from 0.05 to 0.50%, indicating generally low organic-carbon status, with relatively higher values occurring in P-9 (0.50%), P-5 and P-15 (0.45%), P-6 (0.44%) and P-1 (0.43%). </w:t>
      </w:r>
      <w:r w:rsidR="0049496A" w:rsidRPr="00014750">
        <w:rPr>
          <w:rFonts w:ascii="Times New Roman" w:hAnsi="Times New Roman" w:cs="Times New Roman"/>
          <w:sz w:val="24"/>
          <w:szCs w:val="24"/>
          <w:lang w:eastAsia="en-IN"/>
        </w:rPr>
        <w:t xml:space="preserve">Low organic carbon status may be ascribed to poor soil fertility management and depositional activities of alluvium (Srinivasarao, 2011). </w:t>
      </w:r>
      <w:r w:rsidRPr="00014750">
        <w:rPr>
          <w:rFonts w:ascii="Times New Roman" w:hAnsi="Times New Roman" w:cs="Times New Roman"/>
          <w:sz w:val="24"/>
          <w:szCs w:val="24"/>
          <w:lang w:eastAsia="en-IN"/>
        </w:rPr>
        <w:t xml:space="preserve">The low OC status observed in most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may be attributed to rapid decomposition under the prevailing warm climatic conditions, continuous cultivation and limited accumulation of organic residues. Organic carbon is an important indicator of soil quality because it contributes to aggregate stability, nutrient cycling, cation exchange capacity and water retention.</w:t>
      </w:r>
    </w:p>
    <w:p w14:paraId="298994A2"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lastRenderedPageBreak/>
        <w:t xml:space="preserve">The cation exchange capacity (CEC) exhibited the greatest variability, ranging from 3.85 to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The lowest CEC was recorded in P-24 (3.85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whereas the highest value occurred in P-10 (37.69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followed by P-6 (27.00), P-3 (25.76) and P-4 (26.06 </w:t>
      </w:r>
      <w:proofErr w:type="spellStart"/>
      <w:r w:rsidRPr="00014750">
        <w:rPr>
          <w:rFonts w:ascii="Times New Roman" w:hAnsi="Times New Roman" w:cs="Times New Roman"/>
          <w:sz w:val="24"/>
          <w:szCs w:val="24"/>
          <w:lang w:eastAsia="en-IN"/>
        </w:rPr>
        <w:t>cmol</w:t>
      </w:r>
      <w:proofErr w:type="spellEnd"/>
      <w:r w:rsidRPr="00014750">
        <w:rPr>
          <w:rFonts w:ascii="Times New Roman" w:hAnsi="Times New Roman" w:cs="Times New Roman"/>
          <w:sz w:val="24"/>
          <w:szCs w:val="24"/>
          <w:lang w:eastAsia="en-IN"/>
        </w:rPr>
        <w:t>(p⁺) kg</w:t>
      </w:r>
      <w:r w:rsidR="00A141FE" w:rsidRPr="00014750">
        <w:rPr>
          <w:rFonts w:ascii="Times New Roman" w:hAnsi="Times New Roman" w:cs="Times New Roman"/>
          <w:sz w:val="24"/>
          <w:szCs w:val="24"/>
          <w:vertAlign w:val="superscript"/>
          <w:lang w:eastAsia="en-IN"/>
        </w:rPr>
        <w:t>-1</w:t>
      </w:r>
      <w:r w:rsidRPr="00014750">
        <w:rPr>
          <w:rFonts w:ascii="Times New Roman" w:hAnsi="Times New Roman" w:cs="Times New Roman"/>
          <w:sz w:val="24"/>
          <w:szCs w:val="24"/>
          <w:lang w:eastAsia="en-IN"/>
        </w:rPr>
        <w:t xml:space="preserve">). The relatively high CEC values in finer-textured soils can be attributed primarily to greater clay content and the nature of the clay minerals, whereas low CEC values are generally associated with coarser-textured soils and low organic-carbon contents. Thus, the observed variation in CEC reflects differences in clay content, mineralogy and organic matter among the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w:t>
      </w:r>
    </w:p>
    <w:p w14:paraId="1E17D81B"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 xml:space="preserve">Base saturation (BS) varied from 21.04 to 72.90%, indicating considerable differences in the proportion of the exchange complex occupied by basic cations. The highest BS was observed in P-18 (72.90%), followed by P-8 (67.71%), P-1 (67.65%) and P-16 (67.04%), whereas P-17 showed the lowest value (21.04%). The relatively low BS in several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is consistent with their acidic soil reaction and suggests varying degrees of base-cation depletion and leaching. Conversely, higher BS in some </w:t>
      </w:r>
      <w:proofErr w:type="spellStart"/>
      <w:r w:rsidRPr="00014750">
        <w:rPr>
          <w:rFonts w:ascii="Times New Roman" w:hAnsi="Times New Roman" w:cs="Times New Roman"/>
          <w:sz w:val="24"/>
          <w:szCs w:val="24"/>
          <w:lang w:eastAsia="en-IN"/>
        </w:rPr>
        <w:t>pedons</w:t>
      </w:r>
      <w:proofErr w:type="spellEnd"/>
      <w:r w:rsidRPr="00014750">
        <w:rPr>
          <w:rFonts w:ascii="Times New Roman" w:hAnsi="Times New Roman" w:cs="Times New Roman"/>
          <w:sz w:val="24"/>
          <w:szCs w:val="24"/>
          <w:lang w:eastAsia="en-IN"/>
        </w:rPr>
        <w:t xml:space="preserve"> indicates greater retention of exchangeable Ca²⁺, Mg²⁺, K⁺ and Na⁺ on the exchange complex. Base saturation, together with soil reaction and CEC, provides useful information for understanding soil fertility status and taxonomic interpretation.</w:t>
      </w:r>
    </w:p>
    <w:p w14:paraId="13CA41B4" w14:textId="77777777" w:rsidR="00752C0A" w:rsidRPr="00014750" w:rsidRDefault="00752C0A"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Overall, the soils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shallow to very deep profiles, variable textural composition, predominantly acidic to near-neutral reaction, very low salinity, non-sodic conditions, generally low organic-carbon content, highly variable CEC and moderate to high variability in base saturation. The absence of significant salinity and sodicity indicates that these parameters are unlikely to impose major limitations on agricultural use. In contrast, soil depth, texture, acidity, low organic-carbon status and variation in nutrient-retention capacity constitute more important soil-quality attributes for crop productivity. The observed physicochemical variability, together with differences in physiography, slope, erosion and drainage, provides an important basis for subsequent soil-site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ation and crop-specific land-suitability evaluation.</w:t>
      </w:r>
    </w:p>
    <w:p w14:paraId="51474B37" w14:textId="77777777" w:rsidR="008F25C1" w:rsidRPr="00014750" w:rsidRDefault="008F25C1"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 xml:space="preserve">3.3 Morphological </w:t>
      </w:r>
      <w:r w:rsidR="0078560E" w:rsidRPr="00014750">
        <w:rPr>
          <w:rFonts w:ascii="Times New Roman" w:hAnsi="Times New Roman" w:cs="Times New Roman"/>
          <w:b/>
          <w:sz w:val="24"/>
          <w:szCs w:val="24"/>
          <w:lang w:eastAsia="en-IN"/>
        </w:rPr>
        <w:t>characteristics and taxonomic classification</w:t>
      </w:r>
    </w:p>
    <w:p w14:paraId="371D58FE"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morphological characteristics and taxonomic classification of the studied soils revealed considerable variation in soil depth, colour, texture, drainage, slope, landscape position and degree of profile development. The soils ranged from shallow to very deep, with textures varying from loamy</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skeletal to fine</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textured. Most of the pedons were non-calcareous, indicating an </w:t>
      </w:r>
      <w:r>
        <w:rPr>
          <w:rFonts w:ascii="Times New Roman" w:hAnsi="Times New Roman" w:cs="Times New Roman"/>
          <w:sz w:val="24"/>
          <w:szCs w:val="24"/>
          <w:lang w:eastAsia="en-IN"/>
        </w:rPr>
        <w:lastRenderedPageBreak/>
        <w:t>absence of visible carbonate accumulation within the described profiles. Soil colour varied from brown and yellowish brown to dark 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reddish brown and dusky red, reflecting differences in drainage conditions, parent material, organic matter and pedogenic processes.</w:t>
      </w:r>
    </w:p>
    <w:p w14:paraId="7BEBE435"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soils of the upper pedi-plains (P-1, P-2, P-3, P-10, P-12, P-13 and P-14) were predominantly very gently to gently sloping and generally exhibited relatively deep to very deep profiles. P-1 was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a shallow, loamy-skeletal profile with well-drained conditions, whereas P-2, P-3, P-10, P-12, P-13 and P-14 were generally deeper and finer textured. The occurrence of moderately well</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to well-drained conditions in several upper-pedi-plain soils suggests relatively favourable internal drainage and greater landscape stability. In contrast, P-10 and P-14 showed imperfect to moderate drainage, indicating locali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differences in soil-water movement within the pedi-plain landscape.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lower pedi-plains (P-4, P-5, P-6, P-11 and P-16) were mainly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very gently to gently sloping terrain and fine-loamy to loamy textures. These soils were generally deep to very deep, although P-16 was moderately deep. Drainage varied from imperfect to moderately well drained, suggesting</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greater influence of lateral and subsurface water movement in lower landscape positions. The occurrence of fine-textured soils in these positions may favour greater water retention and clay accumulation, while relatively poor drainage in some profiles indicates periodic saturation.</w:t>
      </w:r>
    </w:p>
    <w:p w14:paraId="239EC097"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depressional landscape represented by P-7 was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a very deep, fine-textured profile with 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yish brown to dark-gr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colours and poor to imperfect drainage. These morphological attributes indicate prolonged or periodic soil-water saturation and reduced drainage conditions. The dark</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gr</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y colouration and poor drainage are consistent with a comparatively lower landscape position where surface runoff and lateral water movement contribute to temporary water accumulation. Such soils may have important limitations for crops sensitive to waterlogging.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The soils occurring on hillside slopes and hillocks (P-8 and P-15) were distinctly different from those of the pedi-plains. Both profiles were shallow, loamy-skeletal, excessively drained and strongly to very steeply sloping, indicating substantial landscape instability and restricted soil development. The shallow effective depth, coarse fragments and excessive drainage in these soils may limit available water storage and root-zone development. Their steep slopes also increase susceptibility to erosion, necessitating appropriate soil and water conservation measures.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The foothill position represented by P-9 supported a moderately deep, fine-loamy, well-drained soil under gently to moderately sloping terrain. The reddish-brown </w:t>
      </w:r>
      <w:r>
        <w:rPr>
          <w:rFonts w:ascii="Times New Roman" w:hAnsi="Times New Roman" w:cs="Times New Roman"/>
          <w:sz w:val="24"/>
          <w:szCs w:val="24"/>
          <w:lang w:eastAsia="en-IN"/>
        </w:rPr>
        <w:lastRenderedPageBreak/>
        <w:t>colour and relatively favourable drainage suggest a well-aerated pedogenic environment. Overall, the morphological characteristics demonstrate a clear relationship between landscape position, slope gradient, drainage and soil-profile development. Soils on stable, gently sloping positions tended to be deeper and more developed, whereas soils on steep hillside and hillock positions were shallow, coarse-textured and excessively drained.</w:t>
      </w:r>
    </w:p>
    <w:p w14:paraId="1C4F13BC" w14:textId="77777777" w:rsidR="008F25C1" w:rsidRPr="00014750" w:rsidRDefault="008F25C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Taxonomically, the soils were classified into Entisols,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Inceptisols and Alfisols,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with most soils belonging to the Inceptisols and Alfisols (Table 3). At the subgroup level, Typic, Aquic, Lithic, Vertic, Oxyaquic, Aeric and Endoaquic intergrades were identified, indicating variations in soil moisture regime, drainage, shallow lithic contact and vertic properties. The Entisols were represented mainly by Typic and Lithic Ustorthents (P-1, P-8, P-9, P-15 and P-17), reflecting weak profile development and, in some cases, shallow or skeletal soil conditions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P-24, classified as Typic Ustipsamments, represent</w:t>
      </w:r>
      <w:r>
        <w:rPr>
          <w:rFonts w:ascii="Times New Roman" w:hAnsi="Times New Roman" w:cs="Times New Roman"/>
          <w:sz w:val="24"/>
          <w:szCs w:val="24"/>
          <w:highlight w:val="yellow"/>
          <w:lang w:eastAsia="en-IN"/>
        </w:rPr>
        <w:t>ed</w:t>
      </w:r>
      <w:r>
        <w:rPr>
          <w:rFonts w:ascii="Times New Roman" w:hAnsi="Times New Roman" w:cs="Times New Roman"/>
          <w:sz w:val="24"/>
          <w:szCs w:val="24"/>
          <w:lang w:eastAsia="en-IN"/>
        </w:rPr>
        <w:t xml:space="preserve"> a coarse-textured</w:t>
      </w:r>
      <w:r>
        <w:rPr>
          <w:rFonts w:ascii="Times New Roman" w:hAnsi="Times New Roman" w:cs="Times New Roman"/>
          <w:sz w:val="24"/>
          <w:szCs w:val="24"/>
          <w:highlight w:val="yellow"/>
          <w:lang w:eastAsia="en-IN"/>
        </w:rPr>
        <w:t xml:space="preserve"> soil</w:t>
      </w:r>
      <w:r>
        <w:rPr>
          <w:rFonts w:ascii="Times New Roman" w:hAnsi="Times New Roman" w:cs="Times New Roman"/>
          <w:sz w:val="24"/>
          <w:szCs w:val="24"/>
          <w:lang w:eastAsia="en-IN"/>
        </w:rPr>
        <w:t>. The Inceptisols included Dystrudepts, Epi-/Endoaquepts and Haplustepts, with Aquic, Oxyaquic, Vertic and other subgroups indicating wetness and morphological differentiation. The Alfisols comprised Haplustalfs, Epiaqualfs and Rhodustalfs,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by relatively advanced profile development and argillic horizon formation. The presence of Aquic and Endoaquept-related subgroups in P-3, P-6 and P-7 reflects the influence of periodic saturation and aquic soil conditions. Similarly, P-4 and P-10 were classified as Vertic and Vertic-related subgroups, indicating the influence of shrink-swell processes associated with finer-textured soils.</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Overall, the taxonomic classification closely reflected the observed soil-landscape relationships. At the family level, the soils were predominantly fine-loamy, fine, loamy-skeletal, loamy and coarse-loamy, with mixed mineralogy and</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hyperthermic soil temperature regime. These morphological and taxonomic variations provide an important basis for interpreting soil-forming processes, land-use limitations and crop-suitability potential </w:t>
      </w:r>
      <w:r>
        <w:rPr>
          <w:rFonts w:ascii="Times New Roman" w:hAnsi="Times New Roman" w:cs="Times New Roman"/>
          <w:sz w:val="24"/>
          <w:szCs w:val="24"/>
          <w:highlight w:val="yellow"/>
          <w:lang w:eastAsia="en-IN"/>
        </w:rPr>
        <w:t>in</w:t>
      </w:r>
      <w:r>
        <w:rPr>
          <w:rFonts w:ascii="Times New Roman" w:hAnsi="Times New Roman" w:cs="Times New Roman"/>
          <w:sz w:val="24"/>
          <w:szCs w:val="24"/>
          <w:lang w:eastAsia="en-IN"/>
        </w:rPr>
        <w:t xml:space="preserve"> the study area.</w:t>
      </w:r>
    </w:p>
    <w:p w14:paraId="20B4D396" w14:textId="77777777" w:rsidR="007606BD" w:rsidRPr="00014750" w:rsidRDefault="007606BD"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 Soil-site suitability evaluation of major crops</w:t>
      </w:r>
    </w:p>
    <w:p w14:paraId="5425F57C"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crop-wise land suitability assessment revealed considerable variation in the extent of suitable land among the evaluated crops (Table 4). </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uitability was classified into five classes, namely S1 (Highly suitable), S2 (Moderately suitable), S3 (Marginally suitable), N1 (Currently not suitable) and N2 (Permanently not suitable), following the FAO framework for land evaluation. In this framework, S1 represents land with no significant limitations, whereas S2 and S3 indicate progressively more severe limitations affecting crop productivity and/or management </w:t>
      </w:r>
      <w:r>
        <w:rPr>
          <w:rFonts w:ascii="Times New Roman" w:hAnsi="Times New Roman" w:cs="Times New Roman"/>
          <w:sz w:val="24"/>
          <w:szCs w:val="24"/>
          <w:lang w:eastAsia="en-IN"/>
        </w:rPr>
        <w:lastRenderedPageBreak/>
        <w:t>requirements. N1 denotes land that is currently unsuitable but may be improved through appropriate interventions, while N2 represents land with severe and essentially permanent limitations.</w:t>
      </w:r>
    </w:p>
    <w:p w14:paraId="4F4787A3"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Pr>
          <w:rFonts w:ascii="Times New Roman" w:hAnsi="Times New Roman" w:cs="Times New Roman"/>
          <w:b/>
          <w:sz w:val="24"/>
          <w:szCs w:val="24"/>
          <w:lang w:eastAsia="en-IN"/>
        </w:rPr>
        <w:t>3.4.1 Soil-site suitability for</w:t>
      </w:r>
      <w:r>
        <w:rPr>
          <w:rFonts w:ascii="Times New Roman" w:hAnsi="Times New Roman" w:cs="Times New Roman"/>
          <w:b/>
          <w:sz w:val="24"/>
          <w:szCs w:val="24"/>
          <w:highlight w:val="yellow"/>
          <w:lang w:eastAsia="en-IN"/>
        </w:rPr>
        <w:t xml:space="preserve"> </w:t>
      </w:r>
      <w:r>
        <w:rPr>
          <w:rFonts w:ascii="Times New Roman" w:hAnsi="Times New Roman" w:cs="Times New Roman"/>
          <w:b/>
          <w:sz w:val="24"/>
          <w:szCs w:val="24"/>
          <w:lang w:eastAsia="en-IN"/>
        </w:rPr>
        <w:t>paddy</w:t>
      </w:r>
    </w:p>
    <w:p w14:paraId="062B6025"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land suitability assessment indicated that paddy exhibited the broadest distribution across the suitability classes in the study area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3). Approximately 1,492 ha (6.0%) was classified as S1 (highly suitable), while 8,849 ha (35.6%) and 6,653 ha (26.7%) were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S2 and S3, respectively. In addition, 4,401 ha (17.7%) was classified as N1 (currently not suitable), whereas 995 ha (4.0%)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N2 (permanently not suitable). Collectively, the S1–S3 classes accounted for approximately 68.3% of the total study area, indicating that a substantial proportion of the land is suitable for paddy cultivation. The occurrence of S1 and S2 classes further suggests the presence of relatively favourable soil and site conditions for paddy production, whereas the S3 and N1 classes reflect varying degrees of land limitation that may require appropriate soil, water and crop management interventions. These findings are broadly comparable with those reported by Dake and Pragya (2026).</w:t>
      </w:r>
    </w:p>
    <w:p w14:paraId="49141C72"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Pr>
          <w:rFonts w:ascii="Times New Roman" w:hAnsi="Times New Roman" w:cs="Times New Roman"/>
          <w:b/>
          <w:sz w:val="24"/>
          <w:szCs w:val="24"/>
          <w:lang w:eastAsia="en-IN"/>
        </w:rPr>
        <w:t>3.4.2 Soil-site suitability for</w:t>
      </w:r>
      <w:r>
        <w:rPr>
          <w:rFonts w:ascii="Times New Roman" w:hAnsi="Times New Roman" w:cs="Times New Roman"/>
          <w:b/>
          <w:sz w:val="24"/>
          <w:szCs w:val="24"/>
          <w:highlight w:val="yellow"/>
          <w:lang w:eastAsia="en-IN"/>
        </w:rPr>
        <w:t xml:space="preserve"> </w:t>
      </w:r>
      <w:r>
        <w:rPr>
          <w:rFonts w:ascii="Times New Roman" w:hAnsi="Times New Roman" w:cs="Times New Roman"/>
          <w:b/>
          <w:sz w:val="24"/>
          <w:szCs w:val="24"/>
          <w:lang w:eastAsia="en-IN"/>
        </w:rPr>
        <w:t>potato</w:t>
      </w:r>
    </w:p>
    <w:p w14:paraId="23941350"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land suitability assessment for potato cultivation indicated that the S3 (marginally suitable) class was predominant in the study area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4). No area was classified as S1, whereas 6,262 ha (25.2%)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S2 and 15,133 ha (60.8%) as S3. Thus, approximately 21,395 ha (86.0%) of the study area was assessed as suitable to varying degrees for potato cultivation (S2 + S3). However, the predominance of the S3 class suggests the presence of considerable land limitations that may adversely affect potato productivity and require appropriate soil, water and crop management practices for sustainable production. Approximately 995 ha (4.0%) was classified as N2 (permanently not suitable), while the remaining area comprised water bodies and other miscellaneous land uses. The observed pattern of land suitability is broadly consistent with the findings reported by Singha and Swain (2019).</w:t>
      </w:r>
    </w:p>
    <w:p w14:paraId="02B5ABFF" w14:textId="77777777" w:rsidR="00B53F41"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3.4.3 Soil-site suitability for maize</w:t>
      </w:r>
    </w:p>
    <w:p w14:paraId="0E941781" w14:textId="77777777" w:rsidR="007E117A"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Maize showed comparatively favourable suitability, with 14,049 ha (56.5%) classified as S2 and 7,346 ha (29.5%) as S3. No area was recorded under S1 or N1. Therefore, approximately 86.0% of the area was suitable (S2+S3) for maize cultivation, with the majority falling within the moderately suitable class. This distribution suggests that maize has a relatively broad adaptation </w:t>
      </w:r>
      <w:r>
        <w:rPr>
          <w:rFonts w:ascii="Times New Roman" w:hAnsi="Times New Roman" w:cs="Times New Roman"/>
          <w:sz w:val="24"/>
          <w:szCs w:val="24"/>
          <w:lang w:eastAsia="en-IN"/>
        </w:rPr>
        <w:lastRenderedPageBreak/>
        <w:t>to the prevailing land conditions, although the S3 areas may require improved management to overcome existing limitations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5). The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suitability criteria indicated </w:t>
      </w:r>
      <w:r>
        <w:rPr>
          <w:rFonts w:ascii="Times New Roman" w:hAnsi="Times New Roman" w:cs="Times New Roman"/>
          <w:sz w:val="24"/>
          <w:szCs w:val="24"/>
          <w:highlight w:val="yellow"/>
          <w:lang w:eastAsia="en-IN"/>
        </w:rPr>
        <w:t xml:space="preserve">that </w:t>
      </w:r>
      <w:r>
        <w:rPr>
          <w:rFonts w:ascii="Times New Roman" w:hAnsi="Times New Roman" w:cs="Times New Roman"/>
          <w:sz w:val="24"/>
          <w:szCs w:val="24"/>
          <w:lang w:eastAsia="en-IN"/>
        </w:rPr>
        <w:t xml:space="preserve">maize was less suitable </w:t>
      </w:r>
      <w:r>
        <w:rPr>
          <w:rFonts w:ascii="Times New Roman" w:hAnsi="Times New Roman" w:cs="Times New Roman"/>
          <w:sz w:val="24"/>
          <w:szCs w:val="24"/>
          <w:highlight w:val="yellow"/>
          <w:lang w:eastAsia="en-IN"/>
        </w:rPr>
        <w:t>beca</w:t>
      </w:r>
      <w:r>
        <w:rPr>
          <w:rFonts w:ascii="Times New Roman" w:hAnsi="Times New Roman" w:cs="Times New Roman"/>
          <w:sz w:val="24"/>
          <w:szCs w:val="24"/>
          <w:lang w:eastAsia="en-IN"/>
        </w:rPr>
        <w:t>u</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 o</w:t>
      </w:r>
      <w:r>
        <w:rPr>
          <w:rFonts w:ascii="Times New Roman" w:hAnsi="Times New Roman" w:cs="Times New Roman"/>
          <w:sz w:val="24"/>
          <w:szCs w:val="24"/>
          <w:highlight w:val="yellow"/>
          <w:lang w:eastAsia="en-IN"/>
        </w:rPr>
        <w:t>f</w:t>
      </w:r>
      <w:r>
        <w:rPr>
          <w:rFonts w:ascii="Times New Roman" w:hAnsi="Times New Roman" w:cs="Times New Roman"/>
          <w:sz w:val="24"/>
          <w:szCs w:val="24"/>
          <w:lang w:eastAsia="en-IN"/>
        </w:rPr>
        <w:t xml:space="preserve"> gravelliness and shallow </w:t>
      </w:r>
      <w:r>
        <w:rPr>
          <w:rFonts w:ascii="Times New Roman" w:hAnsi="Times New Roman" w:cs="Times New Roman"/>
          <w:sz w:val="24"/>
          <w:szCs w:val="24"/>
          <w:highlight w:val="yellow"/>
          <w:lang w:eastAsia="en-IN"/>
        </w:rPr>
        <w:t xml:space="preserve">soil </w:t>
      </w:r>
      <w:r>
        <w:rPr>
          <w:rFonts w:ascii="Times New Roman" w:hAnsi="Times New Roman" w:cs="Times New Roman"/>
          <w:sz w:val="24"/>
          <w:szCs w:val="24"/>
          <w:lang w:eastAsia="en-IN"/>
        </w:rPr>
        <w:t>depth</w:t>
      </w:r>
      <w:r>
        <w:rPr>
          <w:rFonts w:ascii="Times New Roman" w:hAnsi="Times New Roman" w:cs="Times New Roman"/>
          <w:sz w:val="24"/>
          <w:szCs w:val="24"/>
          <w:highlight w:val="yellow"/>
          <w:lang w:eastAsia="en-IN"/>
        </w:rPr>
        <w:t>, as</w:t>
      </w:r>
      <w:r>
        <w:rPr>
          <w:rFonts w:ascii="Times New Roman" w:hAnsi="Times New Roman" w:cs="Times New Roman"/>
          <w:sz w:val="24"/>
          <w:szCs w:val="24"/>
          <w:lang w:eastAsia="en-IN"/>
        </w:rPr>
        <w:t xml:space="preserve"> reported by Gowda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2018</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Related studies were conducted by</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 xml:space="preserve">Patil </w:t>
      </w:r>
      <w:r>
        <w:rPr>
          <w:rFonts w:ascii="Times New Roman" w:hAnsi="Times New Roman" w:cs="Times New Roman"/>
          <w:i/>
          <w:iCs/>
          <w:sz w:val="24"/>
          <w:szCs w:val="24"/>
          <w:lang w:eastAsia="en-IN"/>
        </w:rPr>
        <w:t>et al.</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2023</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w:t>
      </w:r>
    </w:p>
    <w:p w14:paraId="62565661"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3.4.4 Soil-site suitability for sugarcane</w:t>
      </w:r>
    </w:p>
    <w:p w14:paraId="253C9FA8" w14:textId="77777777" w:rsidR="00AF68D8" w:rsidRPr="00014750" w:rsidRDefault="00AF68D8"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land suitability assessment for sugarcane revealed the predominance of the S3 (marginally suitable) class across the study area</w:t>
      </w:r>
      <w:r w:rsidR="000C11D5" w:rsidRPr="00014750">
        <w:rPr>
          <w:rFonts w:ascii="Times New Roman" w:hAnsi="Times New Roman" w:cs="Times New Roman"/>
          <w:sz w:val="24"/>
          <w:szCs w:val="24"/>
          <w:lang w:eastAsia="en-IN"/>
        </w:rPr>
        <w:t xml:space="preserve"> (Fig. 6</w:t>
      </w:r>
      <w:r w:rsidR="00E62221"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 Approximately 4,503 ha (18.1%) was classified as S2 (moderately suitable), whereas 16,892 ha (67.9%) fell under the S3 category. No area was classified as S1 (highly suitable) or N1 (currently not suitable). Overall, about 21,395 ha (86.0%) of the study area was considered suitable for sugarcane cultivation (S2+S3). However, the dominance of the S3 class indicates that sugarcane production is constrained by relatively severe land limitations, necessitating improved agronomic and soil management practices to achieve sustainable productivity. Similar findings have been reported by Nagdev et al. (2026).</w:t>
      </w:r>
    </w:p>
    <w:p w14:paraId="21C5B066"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3.4.5 Soil-site suitability for cotton</w:t>
      </w:r>
    </w:p>
    <w:p w14:paraId="380CEDA8"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suitability of cotton was comparatively restricted, with no area falling under S1 or S2 (Fig. 7). Approximately 17,151 ha (69.0%) was classified as S3 and 4,244 ha (17.1%) as N1. Thus, nearly 69% of the area was marginally suitable, while another 17.1% was currently not suitable. </w:t>
      </w:r>
      <w:r>
        <w:rPr>
          <w:rFonts w:ascii="Times New Roman" w:hAnsi="Times New Roman" w:cs="Times New Roman"/>
          <w:sz w:val="24"/>
          <w:szCs w:val="24"/>
          <w:highlight w:val="yellow"/>
          <w:lang w:eastAsia="en-IN"/>
        </w:rPr>
        <w:t>Co</w:t>
      </w:r>
      <w:r>
        <w:rPr>
          <w:rFonts w:ascii="Times New Roman" w:hAnsi="Times New Roman" w:cs="Times New Roman"/>
          <w:sz w:val="24"/>
          <w:szCs w:val="24"/>
          <w:lang w:eastAsia="en-IN"/>
        </w:rPr>
        <w:t>t</w:t>
      </w:r>
      <w:r>
        <w:rPr>
          <w:rFonts w:ascii="Times New Roman" w:hAnsi="Times New Roman" w:cs="Times New Roman"/>
          <w:sz w:val="24"/>
          <w:szCs w:val="24"/>
          <w:highlight w:val="yellow"/>
          <w:lang w:eastAsia="en-IN"/>
        </w:rPr>
        <w:t>ton</w:t>
      </w:r>
      <w:r>
        <w:rPr>
          <w:rFonts w:ascii="Times New Roman" w:hAnsi="Times New Roman" w:cs="Times New Roman"/>
          <w:sz w:val="24"/>
          <w:szCs w:val="24"/>
          <w:lang w:eastAsia="en-IN"/>
        </w:rPr>
        <w:t xml:space="preserve"> tolerates</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fairly wide range of soil pH conditions</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w:t>
      </w:r>
      <w:r>
        <w:rPr>
          <w:rFonts w:ascii="Times New Roman" w:hAnsi="Times New Roman" w:cs="Times New Roman"/>
          <w:i/>
          <w:iCs/>
          <w:sz w:val="24"/>
          <w:szCs w:val="24"/>
          <w:lang w:eastAsia="en-IN"/>
        </w:rPr>
        <w:t>i</w:t>
      </w:r>
      <w:r>
        <w:rPr>
          <w:rFonts w:ascii="Times New Roman" w:hAnsi="Times New Roman" w:cs="Times New Roman"/>
          <w:i/>
          <w:iCs/>
          <w:sz w:val="24"/>
          <w:szCs w:val="24"/>
          <w:highlight w:val="yellow"/>
          <w:lang w:eastAsia="en-IN"/>
        </w:rPr>
        <w:t>ncluding</w:t>
      </w:r>
      <w:r>
        <w:rPr>
          <w:rFonts w:ascii="Times New Roman" w:hAnsi="Times New Roman" w:cs="Times New Roman"/>
          <w:sz w:val="24"/>
          <w:szCs w:val="24"/>
          <w:lang w:eastAsia="en-IN"/>
        </w:rPr>
        <w:t xml:space="preserve"> acidi</w:t>
      </w:r>
      <w:r>
        <w:rPr>
          <w:rFonts w:ascii="Times New Roman" w:hAnsi="Times New Roman" w:cs="Times New Roman"/>
          <w:sz w:val="24"/>
          <w:szCs w:val="24"/>
          <w:highlight w:val="yellow"/>
          <w:lang w:eastAsia="en-IN"/>
        </w:rPr>
        <w:t>c</w:t>
      </w:r>
      <w:r>
        <w:rPr>
          <w:rFonts w:ascii="Times New Roman" w:hAnsi="Times New Roman" w:cs="Times New Roman"/>
          <w:sz w:val="24"/>
          <w:szCs w:val="24"/>
          <w:lang w:eastAsia="en-IN"/>
        </w:rPr>
        <w:t xml:space="preserve"> and alkalin</w:t>
      </w:r>
      <w:r>
        <w:rPr>
          <w:rFonts w:ascii="Times New Roman" w:hAnsi="Times New Roman" w:cs="Times New Roman"/>
          <w:sz w:val="24"/>
          <w:szCs w:val="24"/>
          <w:highlight w:val="yellow"/>
          <w:lang w:eastAsia="en-IN"/>
        </w:rPr>
        <w:t>e cond</w:t>
      </w:r>
      <w:r>
        <w:rPr>
          <w:rFonts w:ascii="Times New Roman" w:hAnsi="Times New Roman" w:cs="Times New Roman"/>
          <w:sz w:val="24"/>
          <w:szCs w:val="24"/>
          <w:lang w:eastAsia="en-IN"/>
        </w:rPr>
        <w:t>it</w:t>
      </w:r>
      <w:r>
        <w:rPr>
          <w:rFonts w:ascii="Times New Roman" w:hAnsi="Times New Roman" w:cs="Times New Roman"/>
          <w:sz w:val="24"/>
          <w:szCs w:val="24"/>
          <w:highlight w:val="yellow"/>
          <w:lang w:eastAsia="en-IN"/>
        </w:rPr>
        <w:t>ions</w:t>
      </w:r>
      <w:r>
        <w:rPr>
          <w:rFonts w:ascii="Times New Roman" w:hAnsi="Times New Roman" w:cs="Times New Roman"/>
          <w:sz w:val="24"/>
          <w:szCs w:val="24"/>
          <w:lang w:eastAsia="en-IN"/>
        </w:rPr>
        <w:t xml:space="preserve">. </w:t>
      </w:r>
      <w:r>
        <w:rPr>
          <w:rFonts w:ascii="Times New Roman" w:hAnsi="Times New Roman" w:cs="Times New Roman"/>
          <w:sz w:val="24"/>
          <w:szCs w:val="24"/>
          <w:highlight w:val="yellow"/>
          <w:lang w:eastAsia="en-IN"/>
        </w:rPr>
        <w:t>F</w:t>
      </w:r>
      <w:r>
        <w:rPr>
          <w:rFonts w:ascii="Times New Roman" w:hAnsi="Times New Roman" w:cs="Times New Roman"/>
          <w:sz w:val="24"/>
          <w:szCs w:val="24"/>
          <w:lang w:eastAsia="en-IN"/>
        </w:rPr>
        <w:t>ield studies show that cotton is successfully grown in deep soils with good drainage (Sehgal</w:t>
      </w:r>
      <w:r>
        <w:rPr>
          <w:rFonts w:ascii="Times New Roman" w:hAnsi="Times New Roman" w:cs="Times New Roman"/>
          <w:i/>
          <w:iCs/>
          <w:sz w:val="24"/>
          <w:szCs w:val="24"/>
          <w:lang w:eastAsia="en-IN"/>
        </w:rPr>
        <w:t>,</w:t>
      </w:r>
      <w:r>
        <w:rPr>
          <w:rFonts w:ascii="Times New Roman" w:hAnsi="Times New Roman" w:cs="Times New Roman"/>
          <w:sz w:val="24"/>
          <w:szCs w:val="24"/>
          <w:lang w:eastAsia="en-IN"/>
        </w:rPr>
        <w:t xml:space="preserve"> 1990). This pattern indicates that cotton cultivation is constrained over a substantial proportion of the area and may require appropriate soil, moisture and agronomic management to improve productivity.</w:t>
      </w:r>
    </w:p>
    <w:p w14:paraId="63060D23"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3.4.6 Soil-site suitability for mustard</w:t>
      </w:r>
    </w:p>
    <w:p w14:paraId="7A32E003"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For mustard, the area was predominantly classified as S3, accounting for approximately 16,690 ha (67.1%), followed by 4,705 ha (18.9%) under N1. No area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as S1 or S2 (Fig.</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8). Therefore, although a substantial proportion of the area was marginally suitable for mustard, the absence of highly and moderately suitable land suggests relatively greater limitations for its cultivation compared with paddy, maize and potato.</w:t>
      </w:r>
    </w:p>
    <w:p w14:paraId="0CC8CD4D" w14:textId="77777777" w:rsidR="00A620CA" w:rsidRPr="00014750" w:rsidRDefault="00A620CA" w:rsidP="00E62221">
      <w:pPr>
        <w:spacing w:after="0" w:line="360" w:lineRule="auto"/>
        <w:jc w:val="both"/>
        <w:outlineLvl w:val="1"/>
        <w:rPr>
          <w:rFonts w:ascii="Times New Roman" w:hAnsi="Times New Roman" w:cs="Times New Roman"/>
          <w:b/>
          <w:sz w:val="24"/>
          <w:szCs w:val="24"/>
          <w:lang w:eastAsia="en-IN"/>
        </w:rPr>
      </w:pPr>
      <w:r w:rsidRPr="00014750">
        <w:rPr>
          <w:rFonts w:ascii="Times New Roman" w:hAnsi="Times New Roman" w:cs="Times New Roman"/>
          <w:b/>
          <w:sz w:val="24"/>
          <w:szCs w:val="24"/>
          <w:lang w:eastAsia="en-IN"/>
        </w:rPr>
        <w:t>3.4.7 Soil-site suitability for sunflower</w:t>
      </w:r>
    </w:p>
    <w:p w14:paraId="0E78C058" w14:textId="77777777" w:rsidR="00E6222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Sunflower exhibited a similar pattern to cotton and mustard, with 17,093 ha (68.7%) classified as S3 and 3,875 ha (15.6%) as N1. Only 428 ha (1.7%) was categori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as S2, and no area was </w:t>
      </w:r>
      <w:r>
        <w:rPr>
          <w:rFonts w:ascii="Times New Roman" w:hAnsi="Times New Roman" w:cs="Times New Roman"/>
          <w:sz w:val="24"/>
          <w:szCs w:val="24"/>
          <w:lang w:eastAsia="en-IN"/>
        </w:rPr>
        <w:lastRenderedPageBreak/>
        <w:t>identified under S1 (Fig. 9). The predominance of S3 indicates that sunflower cultivation is feasible over a large proportion of the area but is associated with substantial limitations that may reduce yield potential or increase management inputs.</w:t>
      </w:r>
    </w:p>
    <w:p w14:paraId="49779A61"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Across all crops, 995 ha (approximately 4.0%) was classified as permanently not suitable (N2), while 1,443 ha (5.8%) constituted water bodies and approximately 1,041 ha (4.2%) represented miscellaneous land uses. The presence of N2 areas indicates locations where the prevailing land characteristics impose severe and essentially irreversible constraints on crop production. According to the FAO framework, such areas should not be considered for sustained cultivation of the evaluated land-use type.</w:t>
      </w:r>
      <w:r>
        <w:rPr>
          <w:rFonts w:ascii="Times New Roman" w:hAnsi="Times New Roman" w:cs="Times New Roman"/>
          <w:sz w:val="24"/>
          <w:szCs w:val="24"/>
          <w:highlight w:val="yellow"/>
          <w:lang w:eastAsia="en-IN"/>
        </w:rPr>
        <w:t xml:space="preserve"> </w:t>
      </w:r>
      <w:r>
        <w:rPr>
          <w:rFonts w:ascii="Times New Roman" w:hAnsi="Times New Roman" w:cs="Times New Roman"/>
          <w:sz w:val="24"/>
          <w:szCs w:val="24"/>
          <w:lang w:eastAsia="en-IN"/>
        </w:rPr>
        <w:t>Overall, maize, potato and sugarcane showed relatively higher proportions of suitable land (approximately 86%), although potato and sugarcane suitability was predominantly S3. Paddy exhibited a comparatively balanced distribution among S1, S2 and S3 classes, with approximately 68% of the area falling within the suitable order. In contrast, cotton, mustard and sunflower were characteri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 xml:space="preserve">ed mainly by S3 and N1 classes, indicating greater limitations to their production. These differences in crop suitability can be attributed to the differential requirements of individual crops and the spatial variability of soil and land characteristics, including soil depth, texture, drainage, available water, fertility status, reaction, salinity/sodicity and topographic conditions. </w:t>
      </w:r>
      <w:r>
        <w:rPr>
          <w:rFonts w:ascii="Times New Roman" w:hAnsi="Times New Roman" w:cs="Times New Roman"/>
          <w:sz w:val="24"/>
          <w:szCs w:val="24"/>
          <w:highlight w:val="yellow"/>
          <w:lang w:eastAsia="en-IN"/>
        </w:rPr>
        <w:t xml:space="preserve">The </w:t>
      </w:r>
      <w:r>
        <w:rPr>
          <w:rFonts w:ascii="Times New Roman" w:hAnsi="Times New Roman" w:cs="Times New Roman"/>
          <w:sz w:val="24"/>
          <w:szCs w:val="24"/>
          <w:lang w:eastAsia="en-IN"/>
        </w:rPr>
        <w:t>FAO</w:t>
      </w:r>
      <w:r>
        <w:rPr>
          <w:rFonts w:ascii="Times New Roman" w:hAnsi="Times New Roman" w:cs="Times New Roman"/>
          <w:sz w:val="24"/>
          <w:szCs w:val="24"/>
          <w:highlight w:val="yellow"/>
          <w:lang w:eastAsia="en-IN"/>
        </w:rPr>
        <w:t xml:space="preserve"> framework</w:t>
      </w:r>
      <w:r>
        <w:rPr>
          <w:rFonts w:ascii="Times New Roman" w:hAnsi="Times New Roman" w:cs="Times New Roman"/>
          <w:sz w:val="24"/>
          <w:szCs w:val="24"/>
          <w:lang w:eastAsia="en-IN"/>
        </w:rPr>
        <w:t xml:space="preserve"> recommends matching these land characteristics with the specific requirements of each land utili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ation type rather than assigning a uniform suitability rating across crops.</w:t>
      </w:r>
    </w:p>
    <w:p w14:paraId="0C6A4DBD" w14:textId="77777777" w:rsidR="00B53F41" w:rsidRPr="00014750" w:rsidRDefault="00B53F41"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The results therefore indicate that crop-specific land-use planning is essential for optimi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ing agricultural production and minimi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ing resource degradation. Areas classified as S2 and S3 may be brought under suitable crops through appropriate management practices, whereas N1 areas require economically feasible land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improvement measures before cultivation. In contrast, N2 areas should preferably be retained for alternative land uses compatible with their inherent limitations. Such suitability-based planning provides a scientific basis for crop diversification, resource conservation and sustainable agricultural land management.</w:t>
      </w:r>
    </w:p>
    <w:p w14:paraId="6534FE9C" w14:textId="77777777" w:rsidR="006E6582" w:rsidRPr="00014750" w:rsidRDefault="006E6582" w:rsidP="00E62221">
      <w:pPr>
        <w:spacing w:after="0" w:line="360" w:lineRule="auto"/>
        <w:jc w:val="both"/>
        <w:outlineLvl w:val="1"/>
        <w:rPr>
          <w:rFonts w:ascii="Times New Roman" w:hAnsi="Times New Roman" w:cs="Times New Roman"/>
          <w:b/>
          <w:bCs/>
          <w:sz w:val="24"/>
          <w:szCs w:val="24"/>
          <w:lang w:eastAsia="en-IN"/>
        </w:rPr>
      </w:pPr>
      <w:r w:rsidRPr="00014750">
        <w:rPr>
          <w:rFonts w:ascii="Times New Roman" w:hAnsi="Times New Roman" w:cs="Times New Roman"/>
          <w:b/>
          <w:bCs/>
          <w:sz w:val="24"/>
          <w:szCs w:val="24"/>
          <w:lang w:eastAsia="en-IN"/>
        </w:rPr>
        <w:t>4. Conclusion</w:t>
      </w:r>
    </w:p>
    <w:p w14:paraId="3D18944B" w14:textId="77777777" w:rsidR="006E6582" w:rsidRPr="00014750" w:rsidRDefault="006E6582" w:rsidP="00E62221">
      <w:pPr>
        <w:spacing w:after="0" w:line="360" w:lineRule="auto"/>
        <w:jc w:val="both"/>
        <w:outlineLvl w:val="1"/>
        <w:rPr>
          <w:rFonts w:ascii="Times New Roman" w:hAnsi="Times New Roman" w:cs="Times New Roman"/>
          <w:sz w:val="24"/>
          <w:szCs w:val="24"/>
          <w:lang w:eastAsia="en-IN"/>
        </w:rPr>
      </w:pPr>
      <w:r>
        <w:rPr>
          <w:rFonts w:ascii="Times New Roman" w:hAnsi="Times New Roman" w:cs="Times New Roman"/>
          <w:sz w:val="24"/>
          <w:szCs w:val="24"/>
          <w:lang w:eastAsia="en-IN"/>
        </w:rPr>
        <w:t xml:space="preserve">The integrated soil-landscape assessment revealed pronounced spatial variability in soil properties and land-use potential, driven primarily by physiography, slope, drainage, erosion, soil depth and textural variation. Soils ranged from shallow, gravelly and excessively drained pedons on hillside slopes and hillocks to deeper, finer-textured and more developed pedons on relatively </w:t>
      </w:r>
      <w:r>
        <w:rPr>
          <w:rFonts w:ascii="Times New Roman" w:hAnsi="Times New Roman" w:cs="Times New Roman"/>
          <w:sz w:val="24"/>
          <w:szCs w:val="24"/>
          <w:lang w:eastAsia="en-IN"/>
        </w:rPr>
        <w:lastRenderedPageBreak/>
        <w:t>stable pedi-plains and lower landscape positions. Soil reaction varied from strongly acidic to slightly alkaline (pH 4.97–7.85), whereas very low EC (0.01–0.08 dS m</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and ESP (0.56-8.35%) indicated negligible salinity and sodicity constraints. Conversely, low organic carbon (0.05-0.50%), variable CEC (3.85-37.69 cmol(p⁺) kg</w:t>
      </w:r>
      <w:r>
        <w:rPr>
          <w:rFonts w:ascii="Times New Roman" w:hAnsi="Times New Roman" w:cs="Times New Roman"/>
          <w:sz w:val="24"/>
          <w:szCs w:val="24"/>
          <w:vertAlign w:val="superscript"/>
          <w:lang w:eastAsia="en-IN"/>
        </w:rPr>
        <w:t>-1</w:t>
      </w:r>
      <w:r>
        <w:rPr>
          <w:rFonts w:ascii="Times New Roman" w:hAnsi="Times New Roman" w:cs="Times New Roman"/>
          <w:sz w:val="24"/>
          <w:szCs w:val="24"/>
          <w:lang w:eastAsia="en-IN"/>
        </w:rPr>
        <w:t>) and base saturation (21.04-72.90%) identified soil fertility and nutrient-retention capacity as more relevant management concerns. Taxonomically, the soils were dominated by Entisols, Inceptisols and Alfisols, with Aquic, Lithic, Vertic and related intergrades reflecting contrasting pedogenic and hydrological environments.</w:t>
      </w:r>
    </w:p>
    <w:p w14:paraId="72FDD11E" w14:textId="77777777" w:rsidR="00753C80" w:rsidRDefault="006E6582" w:rsidP="00E62221">
      <w:pPr>
        <w:spacing w:after="0" w:line="360" w:lineRule="auto"/>
        <w:jc w:val="both"/>
        <w:outlineLvl w:val="1"/>
        <w:rPr>
          <w:rFonts w:ascii="Times New Roman" w:hAnsi="Times New Roman" w:cs="Times New Roman"/>
          <w:sz w:val="24"/>
          <w:szCs w:val="24"/>
          <w:lang w:eastAsia="en-IN"/>
        </w:rPr>
      </w:pPr>
      <w:r w:rsidRPr="00014750">
        <w:rPr>
          <w:rFonts w:ascii="Times New Roman" w:hAnsi="Times New Roman" w:cs="Times New Roman"/>
          <w:sz w:val="24"/>
          <w:szCs w:val="24"/>
          <w:lang w:eastAsia="en-IN"/>
        </w:rPr>
        <w:t>The crop-specific suitability assessment demonstrated marked differences in agricultural potential. Paddy had 68.3% of the area within S1</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while maize, potato and sugarcane each occupied approximately 86% of the area within S2</w:t>
      </w:r>
      <w:r w:rsidR="00121B57" w:rsidRPr="00014750">
        <w:rPr>
          <w:rFonts w:ascii="Times New Roman" w:hAnsi="Times New Roman" w:cs="Times New Roman"/>
          <w:sz w:val="24"/>
          <w:szCs w:val="24"/>
          <w:lang w:eastAsia="en-IN"/>
        </w:rPr>
        <w:t>-</w:t>
      </w:r>
      <w:r w:rsidRPr="00014750">
        <w:rPr>
          <w:rFonts w:ascii="Times New Roman" w:hAnsi="Times New Roman" w:cs="Times New Roman"/>
          <w:sz w:val="24"/>
          <w:szCs w:val="24"/>
          <w:lang w:eastAsia="en-IN"/>
        </w:rPr>
        <w:t>S3, although potato and sugarcane were predominantly marginally suitable. Cotton, mustard and sunflower showed greater limitations, being dominated by S3 and N1 classes, while approximately 4% of the area was permanently unsuitable (N2). Overall, the findings confirm that land suitability is controlled by the interaction of soil properties and landscape processes rather than by individual soil attributes. The integration of soil morphology, physicochemical properties, taxonomy and GIS-based suitability assessment therefore provides a robust basis for crop-specific land-use planning, soil and water conservation, fertility management and sustainable agricultural intensification.</w:t>
      </w:r>
    </w:p>
    <w:p w14:paraId="0EE22ED1" w14:textId="3AC5EC3C" w:rsidR="00D53380" w:rsidRDefault="00D53380" w:rsidP="00E62221">
      <w:pPr>
        <w:spacing w:after="0" w:line="360" w:lineRule="auto"/>
        <w:jc w:val="both"/>
        <w:outlineLvl w:val="1"/>
        <w:rPr>
          <w:rFonts w:ascii="Times New Roman" w:hAnsi="Times New Roman" w:cs="Times New Roman"/>
          <w:b/>
          <w:bCs/>
          <w:sz w:val="24"/>
          <w:szCs w:val="24"/>
          <w:lang w:eastAsia="en-IN"/>
        </w:rPr>
      </w:pPr>
      <w:r w:rsidRPr="00D53380">
        <w:rPr>
          <w:rFonts w:ascii="Times New Roman" w:hAnsi="Times New Roman" w:cs="Times New Roman"/>
          <w:b/>
          <w:bCs/>
          <w:sz w:val="24"/>
          <w:szCs w:val="24"/>
          <w:lang w:eastAsia="en-IN"/>
        </w:rPr>
        <w:t>Limitation</w:t>
      </w:r>
    </w:p>
    <w:p w14:paraId="509CCB69" w14:textId="3904026C" w:rsidR="00D53380" w:rsidRPr="00D53380" w:rsidRDefault="00D53380" w:rsidP="00E62221">
      <w:pPr>
        <w:spacing w:after="0" w:line="360" w:lineRule="auto"/>
        <w:jc w:val="both"/>
        <w:outlineLvl w:val="1"/>
        <w:rPr>
          <w:rFonts w:ascii="Times New Roman" w:hAnsi="Times New Roman" w:cs="Times New Roman"/>
          <w:b/>
          <w:bCs/>
          <w:sz w:val="24"/>
          <w:szCs w:val="24"/>
          <w:lang w:eastAsia="en-IN"/>
        </w:rPr>
      </w:pPr>
      <w:r>
        <w:t xml:space="preserve">This study is limited to </w:t>
      </w:r>
      <w:proofErr w:type="spellStart"/>
      <w:r>
        <w:t>Gudvella</w:t>
      </w:r>
      <w:proofErr w:type="spellEnd"/>
      <w:r>
        <w:t xml:space="preserve"> Block and to the seven evaluated crops using the measured soil-site characteristics and the adopted land-suitability criteria. Accordingly, the mapped suitability classes should be interpreted as location-specific planning guidance rather than as direct estimates of </w:t>
      </w:r>
      <w:proofErr w:type="spellStart"/>
      <w:r>
        <w:t>realised</w:t>
      </w:r>
      <w:proofErr w:type="spellEnd"/>
      <w:r>
        <w:t xml:space="preserve"> crop yield. Spatial heterogeneity in soil depth, drainage, erosion and fertility may also result in different management requirements within the same suitability class. Further field-scale validation across representative landscape positions would strengthen interpretation of the crop-specific suitability maps.</w:t>
      </w:r>
    </w:p>
    <w:p w14:paraId="0E4C5DDE" w14:textId="77777777" w:rsidR="00211529" w:rsidRPr="00014750" w:rsidRDefault="00211529" w:rsidP="00E62221">
      <w:pPr>
        <w:spacing w:after="0" w:line="360" w:lineRule="auto"/>
        <w:rPr>
          <w:rFonts w:ascii="Times New Roman" w:hAnsi="Times New Roman" w:cs="Times New Roman"/>
          <w:b/>
          <w:bCs/>
          <w:sz w:val="24"/>
          <w:szCs w:val="24"/>
          <w:lang w:val="en-GB" w:eastAsia="en-GB"/>
        </w:rPr>
      </w:pPr>
      <w:r w:rsidRPr="00014750">
        <w:rPr>
          <w:rFonts w:ascii="Times New Roman" w:hAnsi="Times New Roman" w:cs="Times New Roman"/>
          <w:b/>
          <w:bCs/>
          <w:sz w:val="24"/>
          <w:szCs w:val="24"/>
          <w:lang w:val="en-GB" w:eastAsia="en-GB"/>
        </w:rPr>
        <w:t xml:space="preserve">Competing Interests </w:t>
      </w:r>
    </w:p>
    <w:p w14:paraId="22B9CBC4" w14:textId="77777777" w:rsidR="00211529" w:rsidRDefault="00211529" w:rsidP="00E62221">
      <w:pPr>
        <w:spacing w:after="0" w:line="360" w:lineRule="auto"/>
        <w:jc w:val="both"/>
        <w:rPr>
          <w:rFonts w:ascii="Times New Roman" w:hAnsi="Times New Roman" w:cs="Times New Roman"/>
          <w:sz w:val="24"/>
          <w:szCs w:val="24"/>
          <w:lang w:eastAsia="en-IN"/>
        </w:rPr>
      </w:pPr>
      <w:r w:rsidRPr="00014750">
        <w:rPr>
          <w:rFonts w:ascii="Times New Roman" w:hAnsi="Times New Roman" w:cs="Times New Roman"/>
          <w:sz w:val="24"/>
          <w:szCs w:val="24"/>
          <w:lang w:eastAsia="en-IN"/>
        </w:rPr>
        <w:t>On behalf of corresponding author, there is no completing financial interest or other kind off interest were found in the work reported in this manuscript.</w:t>
      </w:r>
    </w:p>
    <w:p w14:paraId="4CCAE7EF" w14:textId="77777777" w:rsidR="009C0C23" w:rsidRDefault="009C0C23" w:rsidP="009C0C23">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F308B7A" w14:textId="77777777" w:rsidR="009C0C23" w:rsidRDefault="009C0C23" w:rsidP="009C0C23">
      <w:pPr>
        <w:spacing w:after="0" w:line="240" w:lineRule="auto"/>
        <w:rPr>
          <w:rFonts w:ascii="Times New Roman" w:hAnsi="Times New Roman" w:cs="Times New Roman"/>
          <w:b/>
        </w:rPr>
      </w:pPr>
    </w:p>
    <w:p w14:paraId="24637E05" w14:textId="77777777" w:rsidR="009C0C23" w:rsidRDefault="009C0C23" w:rsidP="009C0C23">
      <w:pPr>
        <w:spacing w:after="0" w:line="240" w:lineRule="auto"/>
        <w:rPr>
          <w:rFonts w:ascii="Times New Roman" w:hAnsi="Times New Roman" w:cs="Times New Roman"/>
          <w:b/>
        </w:rPr>
      </w:pPr>
    </w:p>
    <w:p w14:paraId="17E65039" w14:textId="77777777" w:rsidR="009C0C23" w:rsidRDefault="009C0C23" w:rsidP="009C0C23">
      <w:pPr>
        <w:spacing w:after="0" w:line="240" w:lineRule="auto"/>
        <w:rPr>
          <w:rFonts w:ascii="Times New Roman" w:hAnsi="Times New Roman" w:cs="Times New Roman"/>
          <w:b/>
        </w:rPr>
      </w:pPr>
    </w:p>
    <w:p w14:paraId="79A05C57" w14:textId="77777777" w:rsidR="009C0C23" w:rsidRPr="002D08AC" w:rsidRDefault="009C0C23" w:rsidP="009C0C23">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037A4E" w14:textId="77777777" w:rsidR="009C0C23" w:rsidRPr="00014750" w:rsidRDefault="009C0C23" w:rsidP="00E62221">
      <w:pPr>
        <w:spacing w:after="0" w:line="360" w:lineRule="auto"/>
        <w:jc w:val="both"/>
        <w:rPr>
          <w:rFonts w:ascii="Times New Roman" w:hAnsi="Times New Roman" w:cs="Times New Roman"/>
          <w:sz w:val="24"/>
          <w:szCs w:val="24"/>
          <w:lang w:eastAsia="en-IN"/>
        </w:rPr>
      </w:pPr>
    </w:p>
    <w:p w14:paraId="5877D02F" w14:textId="77777777" w:rsidR="0060071D" w:rsidRDefault="0060071D" w:rsidP="00211529">
      <w:pPr>
        <w:spacing w:before="240" w:after="120" w:line="360" w:lineRule="auto"/>
        <w:jc w:val="both"/>
        <w:rPr>
          <w:rFonts w:ascii="Times New Roman" w:hAnsi="Times New Roman"/>
          <w:b/>
          <w:bCs/>
          <w:sz w:val="24"/>
          <w:szCs w:val="24"/>
          <w:lang w:eastAsia="en-IN"/>
        </w:rPr>
      </w:pPr>
    </w:p>
    <w:p w14:paraId="077A90B7" w14:textId="77777777" w:rsidR="00211529" w:rsidRPr="00014750" w:rsidRDefault="00E62221" w:rsidP="00211529">
      <w:pPr>
        <w:spacing w:before="240" w:after="120" w:line="360" w:lineRule="auto"/>
        <w:jc w:val="both"/>
        <w:rPr>
          <w:rFonts w:ascii="Times New Roman" w:hAnsi="Times New Roman"/>
          <w:b/>
          <w:bCs/>
          <w:sz w:val="24"/>
          <w:szCs w:val="24"/>
          <w:lang w:eastAsia="en-IN"/>
        </w:rPr>
      </w:pPr>
      <w:r w:rsidRPr="00014750">
        <w:rPr>
          <w:rFonts w:ascii="Times New Roman" w:hAnsi="Times New Roman"/>
          <w:b/>
          <w:bCs/>
          <w:sz w:val="24"/>
          <w:szCs w:val="24"/>
          <w:lang w:eastAsia="en-IN"/>
        </w:rPr>
        <w:t>References</w:t>
      </w:r>
    </w:p>
    <w:p w14:paraId="040E76B4" w14:textId="77777777" w:rsidR="002E5F2A" w:rsidRDefault="00000000">
      <w:pPr>
        <w:spacing w:after="120" w:line="240" w:lineRule="auto"/>
        <w:ind w:left="720" w:hanging="720"/>
        <w:jc w:val="both"/>
        <w:rPr>
          <w:rFonts w:ascii="Times New Roman" w:hAnsi="Times New Roman"/>
          <w:sz w:val="20"/>
          <w:szCs w:val="20"/>
          <w:lang w:bidi="hi-IN"/>
        </w:rPr>
      </w:pPr>
      <w:r>
        <w:rPr>
          <w:b/>
          <w:highlight w:val="yellow"/>
        </w:rPr>
        <w:t xml:space="preserve">Abate, S. G., &amp; Anteneh, M. B. (2024). Assessment of agricultural land suitability for cereal crops based on the analysis of soil physico-chemical characteristics. </w:t>
      </w:r>
      <w:r>
        <w:rPr>
          <w:b/>
          <w:i/>
          <w:highlight w:val="yellow"/>
        </w:rPr>
        <w:t>Environmental Systems Research, 13</w:t>
      </w:r>
      <w:r>
        <w:rPr>
          <w:b/>
          <w:highlight w:val="yellow"/>
        </w:rPr>
        <w:t>, 6. https://doi.org/10.1186/s40068-024-00333-y</w:t>
      </w:r>
    </w:p>
    <w:p w14:paraId="39EC900A"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AIS &amp; LUS. (1970). </w:t>
      </w:r>
      <w:r>
        <w:rPr>
          <w:i/>
          <w:highlight w:val="yellow"/>
        </w:rPr>
        <w:t>Soil survey manual</w:t>
      </w:r>
      <w:r>
        <w:rPr>
          <w:highlight w:val="yellow"/>
        </w:rPr>
        <w:t xml:space="preserve"> (Rev. ed.). All India Soil &amp; Land Use Survey Organisation.</w:t>
      </w:r>
    </w:p>
    <w:p w14:paraId="435E8F66"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Akinci, H., Özalp, A. Y., &amp; Turgut, B. (2013). Agricultural land use suitability analysis using GIS and AHP technique. </w:t>
      </w:r>
      <w:r>
        <w:rPr>
          <w:i/>
          <w:highlight w:val="yellow"/>
        </w:rPr>
        <w:t>Computers and Electronics in Agriculture, 97</w:t>
      </w:r>
      <w:r>
        <w:rPr>
          <w:highlight w:val="yellow"/>
        </w:rPr>
        <w:t>, 71–82.</w:t>
      </w:r>
    </w:p>
    <w:p w14:paraId="1DB005A3"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Bandyopadhyay, S., Jaiswal, R. K., Hegde, V. S., &amp; Jayaraman, V. (2009). Assessment of land suitability potentials for agriculture using a remote sensing and GIS based approach. </w:t>
      </w:r>
      <w:r>
        <w:rPr>
          <w:i/>
          <w:highlight w:val="yellow"/>
        </w:rPr>
        <w:t>International Journal of Remote Sensing, 30</w:t>
      </w:r>
      <w:r>
        <w:rPr>
          <w:highlight w:val="yellow"/>
        </w:rPr>
        <w:t>(4), 879–895.</w:t>
      </w:r>
    </w:p>
    <w:p w14:paraId="04D4FFEE" w14:textId="77777777" w:rsidR="00211529" w:rsidRPr="00014750" w:rsidRDefault="007A4D27" w:rsidP="00211529">
      <w:pPr>
        <w:spacing w:after="120" w:line="240" w:lineRule="auto"/>
        <w:ind w:left="720" w:hanging="720"/>
        <w:jc w:val="both"/>
        <w:rPr>
          <w:rFonts w:ascii="Times New Roman" w:hAnsi="Times New Roman"/>
          <w:sz w:val="20"/>
          <w:szCs w:val="20"/>
          <w:lang w:bidi="hi-IN"/>
        </w:rPr>
      </w:pPr>
      <w:r>
        <w:rPr>
          <w:highlight w:val="yellow"/>
        </w:rPr>
        <w:t xml:space="preserve">Basavaraju, D., Naidu, M. V. S., Ramavatharam, N., Venkaiah, K., Rama Rao, G., &amp; Reddy, K. S. (2005). Characterization, classification and evaluation of soils in Chandragiri mandal of Chittoor district, Andhra Pradesh. </w:t>
      </w:r>
      <w:r>
        <w:rPr>
          <w:i/>
          <w:highlight w:val="yellow"/>
        </w:rPr>
        <w:t>Agropedology, 15</w:t>
      </w:r>
      <w:r>
        <w:rPr>
          <w:highlight w:val="yellow"/>
        </w:rPr>
        <w:t>, 55–62.</w:t>
      </w:r>
    </w:p>
    <w:p w14:paraId="7A6B0C66" w14:textId="77777777" w:rsidR="00211529" w:rsidRPr="00014750" w:rsidRDefault="00211529" w:rsidP="00211529">
      <w:pPr>
        <w:spacing w:after="120" w:line="240" w:lineRule="auto"/>
        <w:ind w:left="720" w:hanging="720"/>
        <w:jc w:val="both"/>
        <w:rPr>
          <w:rFonts w:ascii="Times New Roman" w:hAnsi="Times New Roman"/>
          <w:sz w:val="20"/>
          <w:szCs w:val="20"/>
          <w:lang w:eastAsia="en-IN"/>
        </w:rPr>
      </w:pPr>
      <w:r>
        <w:rPr>
          <w:highlight w:val="yellow"/>
        </w:rPr>
        <w:t xml:space="preserve">Bhattacharyya, K., Sheoran, H. S., Roohi, Seema, Yadav, R., &amp; Ritambhara. (2024). Soil physical properties under different land use systems in eastern districts of Haryana. </w:t>
      </w:r>
      <w:r>
        <w:rPr>
          <w:i/>
          <w:highlight w:val="yellow"/>
        </w:rPr>
        <w:t>Agricultural Research Journal, 61</w:t>
      </w:r>
      <w:r>
        <w:rPr>
          <w:highlight w:val="yellow"/>
        </w:rPr>
        <w:t>(1), 31–38.</w:t>
      </w:r>
    </w:p>
    <w:p w14:paraId="77C79512" w14:textId="77777777" w:rsidR="00211529" w:rsidRPr="00014750" w:rsidRDefault="007A4D27" w:rsidP="00211529">
      <w:pPr>
        <w:spacing w:after="120" w:line="240" w:lineRule="auto"/>
        <w:ind w:left="720" w:hanging="720"/>
        <w:jc w:val="both"/>
        <w:rPr>
          <w:rFonts w:ascii="Times New Roman" w:hAnsi="Times New Roman"/>
          <w:sz w:val="20"/>
          <w:szCs w:val="20"/>
          <w:lang w:bidi="hi-IN"/>
        </w:rPr>
      </w:pPr>
      <w:r>
        <w:rPr>
          <w:highlight w:val="yellow"/>
        </w:rPr>
        <w:t xml:space="preserve">Black, C. A., &amp; Blake, G. R. (1965). Bulk density. </w:t>
      </w:r>
      <w:r>
        <w:rPr>
          <w:i/>
          <w:highlight w:val="yellow"/>
        </w:rPr>
        <w:t>AgronMonogr</w:t>
      </w:r>
      <w:r>
        <w:rPr>
          <w:highlight w:val="yellow"/>
        </w:rPr>
        <w:t>.</w:t>
      </w:r>
    </w:p>
    <w:p w14:paraId="3EAEC2A8" w14:textId="77777777" w:rsidR="00211529" w:rsidRPr="00014750" w:rsidRDefault="00211529" w:rsidP="00211529">
      <w:pPr>
        <w:pStyle w:val="ListParagraph"/>
        <w:spacing w:after="120"/>
        <w:ind w:hanging="720"/>
        <w:rPr>
          <w:rFonts w:ascii="Times New Roman" w:hAnsi="Times New Roman"/>
          <w:sz w:val="20"/>
          <w:szCs w:val="20"/>
          <w:lang w:bidi="hi-IN"/>
        </w:rPr>
      </w:pPr>
      <w:r>
        <w:rPr>
          <w:highlight w:val="yellow"/>
        </w:rPr>
        <w:t xml:space="preserve">Bouyoucos, G. J. (1972). The hydrometer as a new method for the mechanical analysis of soils. </w:t>
      </w:r>
      <w:r>
        <w:rPr>
          <w:i/>
          <w:highlight w:val="yellow"/>
        </w:rPr>
        <w:t>Soil Science, 23</w:t>
      </w:r>
      <w:r>
        <w:rPr>
          <w:highlight w:val="yellow"/>
        </w:rPr>
        <w:t>, 343–354.</w:t>
      </w:r>
    </w:p>
    <w:p w14:paraId="516E8F41"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Dake, S. L., &amp; Pragya, S. (2026). Land suitability mapping for paddy production using remote sensing and GIS techniques. </w:t>
      </w:r>
      <w:r>
        <w:rPr>
          <w:i/>
          <w:highlight w:val="yellow"/>
        </w:rPr>
        <w:t>International Journal of Engineering, Science, Technology and Innovation, 6</w:t>
      </w:r>
      <w:r>
        <w:rPr>
          <w:highlight w:val="yellow"/>
        </w:rPr>
        <w:t>(2), 20–25.</w:t>
      </w:r>
    </w:p>
    <w:p w14:paraId="197AA3DB"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Food and Agriculture Organization. (1976). </w:t>
      </w:r>
      <w:r>
        <w:rPr>
          <w:i/>
          <w:highlight w:val="yellow"/>
        </w:rPr>
        <w:t>A framework for land evaluation</w:t>
      </w:r>
      <w:r>
        <w:rPr>
          <w:highlight w:val="yellow"/>
        </w:rPr>
        <w:t xml:space="preserve"> (Soils Bulletin 32). Food and Agriculture Organization of the United Nations.</w:t>
      </w:r>
    </w:p>
    <w:p w14:paraId="10ECC9F9" w14:textId="77777777" w:rsidR="00211529" w:rsidRPr="00014750" w:rsidRDefault="00211529" w:rsidP="00211529">
      <w:pPr>
        <w:pStyle w:val="ListParagraph"/>
        <w:spacing w:after="120"/>
        <w:ind w:hanging="720"/>
        <w:jc w:val="both"/>
        <w:rPr>
          <w:rFonts w:ascii="Times New Roman" w:hAnsi="Times New Roman"/>
          <w:sz w:val="20"/>
          <w:szCs w:val="20"/>
          <w:lang w:bidi="hi-IN"/>
        </w:rPr>
      </w:pPr>
      <w:r>
        <w:rPr>
          <w:highlight w:val="yellow"/>
        </w:rPr>
        <w:t xml:space="preserve">Gowda, J. V., Anilkumar, S. N., Sathish, A., &amp; Parama, V. R. (2018). Soil fertility mapping, land suitability assessment for suggesting maize and pomegranate crops in Hosakere micro-watershed of Davanagere district, Karnataka. </w:t>
      </w:r>
      <w:r>
        <w:rPr>
          <w:i/>
          <w:highlight w:val="yellow"/>
        </w:rPr>
        <w:t>J Soil Water Conservation, 17</w:t>
      </w:r>
      <w:r>
        <w:rPr>
          <w:highlight w:val="yellow"/>
        </w:rPr>
        <w:t>(1), 75–82.</w:t>
      </w:r>
    </w:p>
    <w:p w14:paraId="670D1EE2" w14:textId="77777777" w:rsidR="00211529" w:rsidRPr="00014750" w:rsidRDefault="00211529" w:rsidP="00211529">
      <w:pPr>
        <w:spacing w:after="120" w:line="240" w:lineRule="auto"/>
        <w:ind w:left="720" w:hanging="720"/>
        <w:jc w:val="both"/>
        <w:rPr>
          <w:rFonts w:ascii="Times New Roman" w:hAnsi="Times New Roman"/>
          <w:bCs/>
          <w:sz w:val="20"/>
          <w:szCs w:val="20"/>
          <w:lang w:eastAsia="en-IN"/>
        </w:rPr>
      </w:pPr>
      <w:r>
        <w:rPr>
          <w:highlight w:val="yellow"/>
        </w:rPr>
        <w:t xml:space="preserve">Indumon, S. S., Mohitpasha, S., Joseph, A. W. M., Kumar, P. S., Singh, M. K., Roy, D. N., Raizada, S., Gautam, R., Wadodkar, M., Meena, R. L., Gahlod, N. S., Kumar, Y. S., Kumar, R., &amp; Tripathi, S. K. (2026). Geomorphic classification and evaluation of selected soils of West Coast Plains and Hills Zone of Kerala, India. </w:t>
      </w:r>
      <w:r>
        <w:rPr>
          <w:i/>
          <w:highlight w:val="yellow"/>
        </w:rPr>
        <w:t>Bionature, 46</w:t>
      </w:r>
      <w:r>
        <w:rPr>
          <w:highlight w:val="yellow"/>
        </w:rPr>
        <w:t>(2), 204–215.</w:t>
      </w:r>
    </w:p>
    <w:p w14:paraId="7D66C49A"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Jackson, M. L. (1973). </w:t>
      </w:r>
      <w:r>
        <w:rPr>
          <w:i/>
          <w:highlight w:val="yellow"/>
        </w:rPr>
        <w:t>Soil chemical analysis</w:t>
      </w:r>
      <w:r>
        <w:rPr>
          <w:highlight w:val="yellow"/>
        </w:rPr>
        <w:t xml:space="preserve"> (1st ed.). Prentice-Hall of India.</w:t>
      </w:r>
    </w:p>
    <w:p w14:paraId="6A91357D"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lastRenderedPageBreak/>
        <w:t xml:space="preserve">Jamil, M., Sahana, M., &amp; Sajjad, H. (2018). Crop suitability analysis in the Bijnor District, UP, using geospatial tools and fuzzy analytical hierarchy process. </w:t>
      </w:r>
      <w:r>
        <w:rPr>
          <w:i/>
          <w:highlight w:val="yellow"/>
        </w:rPr>
        <w:t>Agricultural Research, 7</w:t>
      </w:r>
      <w:r>
        <w:rPr>
          <w:highlight w:val="yellow"/>
        </w:rPr>
        <w:t>(4), 506–522.</w:t>
      </w:r>
    </w:p>
    <w:p w14:paraId="5FBDEBD4" w14:textId="77777777" w:rsidR="00211529" w:rsidRPr="00014750" w:rsidRDefault="007A4D27" w:rsidP="00211529">
      <w:pPr>
        <w:spacing w:after="120" w:line="240" w:lineRule="auto"/>
        <w:ind w:left="720" w:hanging="720"/>
        <w:jc w:val="both"/>
        <w:rPr>
          <w:rFonts w:ascii="Times New Roman" w:hAnsi="Times New Roman"/>
          <w:sz w:val="20"/>
          <w:szCs w:val="20"/>
          <w:lang w:bidi="hi-IN"/>
        </w:rPr>
      </w:pPr>
      <w:r>
        <w:rPr>
          <w:highlight w:val="yellow"/>
        </w:rPr>
        <w:t xml:space="preserve">Khan, M. S. N., &amp; Khan, M. M. A. (2014). Land suitability analysis for sustainable agricultural land use planning in Bulandshahr District of Uttar Pradesh. </w:t>
      </w:r>
      <w:r>
        <w:rPr>
          <w:i/>
          <w:highlight w:val="yellow"/>
        </w:rPr>
        <w:t>International Journal of Scientific and Research Publications, 4</w:t>
      </w:r>
      <w:r>
        <w:rPr>
          <w:highlight w:val="yellow"/>
        </w:rPr>
        <w:t>(3), 1–11.</w:t>
      </w:r>
    </w:p>
    <w:p w14:paraId="140D01AE" w14:textId="77777777" w:rsidR="00211529" w:rsidRPr="00014750" w:rsidRDefault="00211529" w:rsidP="00211529">
      <w:pPr>
        <w:spacing w:after="120" w:line="240" w:lineRule="auto"/>
        <w:ind w:left="720" w:hanging="720"/>
        <w:jc w:val="both"/>
        <w:rPr>
          <w:rFonts w:ascii="Times New Roman" w:hAnsi="Times New Roman"/>
          <w:bCs/>
          <w:sz w:val="20"/>
          <w:szCs w:val="20"/>
          <w:lang w:eastAsia="en-IN"/>
        </w:rPr>
      </w:pPr>
      <w:r>
        <w:rPr>
          <w:highlight w:val="yellow"/>
        </w:rPr>
        <w:t xml:space="preserve">Kumawat, S. K., Karamvir, Singh, M. K., Roy, D. N., Raizada, S., Monika, Gautam, R., Kumar, Y. S., Joseph, A. W. M., Dhale, S. A., Wadodkar, M., Meena, R. L., Gahlod, N. S., Kumar, R., &amp; Tripathi, S. K. (2026). Characterization and classification of soils in the Southern Plateau and Hills Region of Utkoor Mandal of Narayanpet District, Telangana State, India. </w:t>
      </w:r>
      <w:r>
        <w:rPr>
          <w:i/>
          <w:highlight w:val="yellow"/>
        </w:rPr>
        <w:t>International Journal of Plant &amp; Soil Science, 38</w:t>
      </w:r>
      <w:r>
        <w:rPr>
          <w:highlight w:val="yellow"/>
        </w:rPr>
        <w:t>(8), 742–755.</w:t>
      </w:r>
    </w:p>
    <w:p w14:paraId="520625A2"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Nagdev, R., Meena, R. K., Kumar, A., Joon, V., &amp; Jaya, N. S. (2026). Evaluation of soil suitability for sugarcane in the State of Punjab: A case study. </w:t>
      </w:r>
      <w:r>
        <w:rPr>
          <w:i/>
          <w:highlight w:val="yellow"/>
        </w:rPr>
        <w:t>Ann. Agric. Res. New Series, 47</w:t>
      </w:r>
      <w:r>
        <w:rPr>
          <w:highlight w:val="yellow"/>
        </w:rPr>
        <w:t>(1), 1–6.</w:t>
      </w:r>
    </w:p>
    <w:p w14:paraId="50DEA53F"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Naidu, L. G. K., Ramamurthy, V., Challa, O., Rajendra, H., &amp; Krishnan, P. (2006). </w:t>
      </w:r>
      <w:r>
        <w:rPr>
          <w:i/>
          <w:highlight w:val="yellow"/>
        </w:rPr>
        <w:t>Manual soil-site suitability criteria for major crops</w:t>
      </w:r>
      <w:r>
        <w:rPr>
          <w:highlight w:val="yellow"/>
        </w:rPr>
        <w:t>. NBSS&amp;LUP Publication 129.</w:t>
      </w:r>
    </w:p>
    <w:p w14:paraId="08764339"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Patil, P. L., Kalappanavar, D., Geetha, G. P., Patil, R., Adarsh, G. S., &amp; Dasog, G. S. (2023). Characterization and classification of soil resources of Hittinahalli sub-watershed derived from basalt in Northern dry zone of Karnataka. </w:t>
      </w:r>
      <w:r>
        <w:rPr>
          <w:i/>
          <w:highlight w:val="yellow"/>
        </w:rPr>
        <w:t>J Agric Sci Technology, 22</w:t>
      </w:r>
      <w:r>
        <w:rPr>
          <w:highlight w:val="yellow"/>
        </w:rPr>
        <w:t>(4), 16–40.</w:t>
      </w:r>
    </w:p>
    <w:p w14:paraId="3BFD934F"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Piper, C. S. (1966). </w:t>
      </w:r>
      <w:r>
        <w:rPr>
          <w:i/>
          <w:highlight w:val="yellow"/>
        </w:rPr>
        <w:t>Soil and plant analysis</w:t>
      </w:r>
      <w:r>
        <w:rPr>
          <w:highlight w:val="yellow"/>
        </w:rPr>
        <w:t>. Hans Publishers.</w:t>
      </w:r>
    </w:p>
    <w:p w14:paraId="0A0920FC"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Pramanik, M. K. (2016). Site suitability analysis for agricultural land use of Darjeeling district using AHP and GIS techniques. </w:t>
      </w:r>
      <w:r>
        <w:rPr>
          <w:i/>
          <w:highlight w:val="yellow"/>
        </w:rPr>
        <w:t>Modeling Earth Systems and Environment, 2</w:t>
      </w:r>
      <w:r>
        <w:rPr>
          <w:highlight w:val="yellow"/>
        </w:rPr>
        <w:t>(2), 1–22.</w:t>
      </w:r>
    </w:p>
    <w:p w14:paraId="1B430A83"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Puri, A. N. (1930). A new method of estimating total carbonates in soils. </w:t>
      </w:r>
      <w:r>
        <w:rPr>
          <w:i/>
          <w:highlight w:val="yellow"/>
        </w:rPr>
        <w:t>Journal of Imperial Agricultural Research</w:t>
      </w:r>
      <w:r>
        <w:rPr>
          <w:highlight w:val="yellow"/>
        </w:rPr>
        <w:t>, Pusa Bulletin 206, 7.</w:t>
      </w:r>
    </w:p>
    <w:p w14:paraId="75F70872" w14:textId="77777777" w:rsidR="002E5F2A" w:rsidRDefault="00000000">
      <w:pPr>
        <w:spacing w:after="120" w:line="240" w:lineRule="auto"/>
        <w:ind w:left="720" w:hanging="720"/>
        <w:jc w:val="both"/>
        <w:rPr>
          <w:rFonts w:ascii="Times New Roman" w:hAnsi="Times New Roman"/>
          <w:sz w:val="20"/>
          <w:szCs w:val="20"/>
          <w:lang w:bidi="hi-IN"/>
        </w:rPr>
      </w:pPr>
      <w:r>
        <w:rPr>
          <w:b/>
          <w:highlight w:val="yellow"/>
        </w:rPr>
        <w:t>Putriyono, Z. M. D., Hermiyanto, B., Basuki, Fitriani, V., &amp; Budiman, S. A. (2026). Land suitability analysis for cocoa (</w:t>
      </w:r>
      <w:r>
        <w:rPr>
          <w:b/>
          <w:i/>
          <w:highlight w:val="yellow"/>
        </w:rPr>
        <w:t>Theobroma cacao</w:t>
      </w:r>
      <w:r>
        <w:rPr>
          <w:b/>
          <w:highlight w:val="yellow"/>
        </w:rPr>
        <w:t xml:space="preserve"> L.) cultivation using technical soil evaluation criteria in the Rembangan Sub Watershed Jember Regency. </w:t>
      </w:r>
      <w:r>
        <w:rPr>
          <w:b/>
          <w:i/>
          <w:highlight w:val="yellow"/>
        </w:rPr>
        <w:t>Journal of Global Ecology and Environment, 22</w:t>
      </w:r>
      <w:r>
        <w:rPr>
          <w:b/>
          <w:highlight w:val="yellow"/>
        </w:rPr>
        <w:t>(1), 64–77. https://doi.org/10.56557/jogee/2026/v22i110212</w:t>
      </w:r>
    </w:p>
    <w:p w14:paraId="210BFAD9" w14:textId="77777777" w:rsidR="00211529" w:rsidRPr="00014750" w:rsidRDefault="00211529" w:rsidP="00211529">
      <w:pPr>
        <w:spacing w:after="120" w:line="240" w:lineRule="auto"/>
        <w:ind w:left="720" w:hanging="720"/>
        <w:jc w:val="both"/>
        <w:rPr>
          <w:rFonts w:ascii="Times New Roman" w:hAnsi="Times New Roman"/>
          <w:sz w:val="20"/>
          <w:szCs w:val="20"/>
          <w:lang w:eastAsia="en-IN"/>
        </w:rPr>
      </w:pPr>
      <w:r>
        <w:rPr>
          <w:highlight w:val="yellow"/>
        </w:rPr>
        <w:t xml:space="preserve">Reddy, G. P. O., Maji, A. K., &amp; Rao, K. V. (2015). GIS and remote sensing applications in soil resource mapping and land use planning. </w:t>
      </w:r>
      <w:r>
        <w:rPr>
          <w:i/>
          <w:highlight w:val="yellow"/>
        </w:rPr>
        <w:t>Agropedology, 25</w:t>
      </w:r>
      <w:r>
        <w:rPr>
          <w:highlight w:val="yellow"/>
        </w:rPr>
        <w:t>(1), 1–12.</w:t>
      </w:r>
    </w:p>
    <w:p w14:paraId="63A30D01"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Roy, J., &amp; Saha, S. (2018). Assessment of land suitability for the paddy cultivation using analytical hierarchical process (AHP): A study on Hinglo river basin, Eastern India. </w:t>
      </w:r>
      <w:r>
        <w:rPr>
          <w:i/>
          <w:highlight w:val="yellow"/>
        </w:rPr>
        <w:t>Modeling Earth Systems and Environment, 4</w:t>
      </w:r>
      <w:r>
        <w:rPr>
          <w:highlight w:val="yellow"/>
        </w:rPr>
        <w:t>(2), 601–618.</w:t>
      </w:r>
    </w:p>
    <w:p w14:paraId="0136C5B8" w14:textId="77777777" w:rsidR="00211529" w:rsidRPr="00014750" w:rsidRDefault="007A4D27" w:rsidP="00211529">
      <w:pPr>
        <w:spacing w:after="120" w:line="240" w:lineRule="auto"/>
        <w:ind w:left="720" w:hanging="720"/>
        <w:jc w:val="both"/>
        <w:rPr>
          <w:rFonts w:ascii="Times New Roman" w:hAnsi="Times New Roman"/>
          <w:bCs/>
          <w:sz w:val="20"/>
          <w:szCs w:val="20"/>
          <w:lang w:eastAsia="en-IN"/>
        </w:rPr>
      </w:pPr>
      <w:r>
        <w:rPr>
          <w:highlight w:val="yellow"/>
        </w:rPr>
        <w:t xml:space="preserve">Sahoo, J., Dinesh, D., Bhat, M. A., Anil, A. S., &amp; Anurag, A. (2019). Characterization and classification of soils of selected watershed area of Haryana, North-west India. </w:t>
      </w:r>
      <w:r>
        <w:rPr>
          <w:i/>
          <w:highlight w:val="yellow"/>
        </w:rPr>
        <w:t>Indian Journal of Agricultural Sciences, 89</w:t>
      </w:r>
      <w:r>
        <w:rPr>
          <w:highlight w:val="yellow"/>
        </w:rPr>
        <w:t>(11), 1942–1947.</w:t>
      </w:r>
    </w:p>
    <w:p w14:paraId="2D4BDBF7" w14:textId="77777777" w:rsidR="002E5F2A" w:rsidRDefault="00000000">
      <w:pPr>
        <w:spacing w:after="120" w:line="240" w:lineRule="auto"/>
        <w:ind w:left="720" w:hanging="720"/>
        <w:jc w:val="both"/>
        <w:rPr>
          <w:rFonts w:ascii="Times New Roman" w:hAnsi="Times New Roman"/>
          <w:sz w:val="20"/>
          <w:szCs w:val="20"/>
          <w:lang w:bidi="hi-IN"/>
        </w:rPr>
      </w:pPr>
      <w:r>
        <w:rPr>
          <w:b/>
          <w:highlight w:val="yellow"/>
        </w:rPr>
        <w:t xml:space="preserve">Sathiyamurthi, S., Saravanan, S., Karuppannan, S., Balakumbahan, R., Sivasakthi, M., Praveen Kumar, S., Ramya, M., Hussain, S., &amp; Tariq, A. (2024). Agricultural land suitability of Manimutha Nadhi watershed using AHP and GIS techniques. </w:t>
      </w:r>
      <w:r>
        <w:rPr>
          <w:b/>
          <w:i/>
          <w:highlight w:val="yellow"/>
        </w:rPr>
        <w:t>Discover Sustainability, 5</w:t>
      </w:r>
      <w:r>
        <w:rPr>
          <w:b/>
          <w:highlight w:val="yellow"/>
        </w:rPr>
        <w:t>, 270. https://doi.org/10.1007/s43621-024-00471-4</w:t>
      </w:r>
    </w:p>
    <w:p w14:paraId="52426E71" w14:textId="77777777" w:rsidR="002E5F2A" w:rsidRDefault="00000000">
      <w:pPr>
        <w:spacing w:after="120" w:line="240" w:lineRule="auto"/>
        <w:ind w:left="720" w:hanging="720"/>
        <w:jc w:val="both"/>
        <w:rPr>
          <w:rFonts w:ascii="Times New Roman" w:hAnsi="Times New Roman"/>
          <w:sz w:val="20"/>
          <w:szCs w:val="20"/>
          <w:lang w:bidi="hi-IN"/>
        </w:rPr>
      </w:pPr>
      <w:r>
        <w:rPr>
          <w:b/>
          <w:highlight w:val="yellow"/>
        </w:rPr>
        <w:t xml:space="preserve">Sawant, N., Das, B., Mahajan, G., Desai, S., Raizada, A., Kumar, P., &amp; Singh, P. (2025). Crop suitability analysis for the coastal region of India through fusion of remote sensing, geospatial analysis and multi-criteria decision making. </w:t>
      </w:r>
      <w:r>
        <w:rPr>
          <w:b/>
          <w:i/>
          <w:highlight w:val="yellow"/>
        </w:rPr>
        <w:t>Scientific Reports, 15</w:t>
      </w:r>
      <w:r>
        <w:rPr>
          <w:b/>
          <w:highlight w:val="yellow"/>
        </w:rPr>
        <w:t>, 8727. https://doi.org/10.1038/s41598-025-90754-1</w:t>
      </w:r>
    </w:p>
    <w:p w14:paraId="5993D6FA"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lastRenderedPageBreak/>
        <w:t xml:space="preserve">Sehgal, J. L. (1990). </w:t>
      </w:r>
      <w:r>
        <w:rPr>
          <w:i/>
          <w:highlight w:val="yellow"/>
        </w:rPr>
        <w:t>Soil resource mapping of India and its application for land use planning</w:t>
      </w:r>
      <w:r>
        <w:rPr>
          <w:highlight w:val="yellow"/>
        </w:rPr>
        <w:t xml:space="preserve"> (NBSS Publication 25). NBSS &amp; LUP (ICAR).</w:t>
      </w:r>
    </w:p>
    <w:p w14:paraId="17AB28F6"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Sharma, R., Kamble, S. S., &amp; Gunasekaran, A. (2018). Big GIS analytics framework for agriculture supply chains: A literature review identifying the current trends and future perspectives. </w:t>
      </w:r>
      <w:r>
        <w:rPr>
          <w:i/>
          <w:highlight w:val="yellow"/>
        </w:rPr>
        <w:t>Computers and Electronics in Agriculture, 155</w:t>
      </w:r>
      <w:r>
        <w:rPr>
          <w:highlight w:val="yellow"/>
        </w:rPr>
        <w:t>, 103–120.</w:t>
      </w:r>
    </w:p>
    <w:p w14:paraId="1C4F2DAD" w14:textId="77777777" w:rsidR="00211529" w:rsidRPr="00014750" w:rsidRDefault="00211529" w:rsidP="00211529">
      <w:pPr>
        <w:pStyle w:val="ListParagraph"/>
        <w:ind w:hanging="720"/>
        <w:jc w:val="both"/>
        <w:rPr>
          <w:rFonts w:ascii="Times New Roman" w:hAnsi="Times New Roman"/>
          <w:sz w:val="20"/>
          <w:szCs w:val="20"/>
          <w:lang w:bidi="hi-IN"/>
        </w:rPr>
      </w:pPr>
      <w:r>
        <w:rPr>
          <w:highlight w:val="yellow"/>
        </w:rPr>
        <w:t xml:space="preserve">Singha, S., &amp; Swain, K. C. (2019). Land suitability assessment for potato crop using analytic hierarchy process technique and geographic information system. </w:t>
      </w:r>
      <w:r>
        <w:rPr>
          <w:i/>
          <w:highlight w:val="yellow"/>
        </w:rPr>
        <w:t>Journal of Agricultural Engineering, 5</w:t>
      </w:r>
      <w:r>
        <w:rPr>
          <w:highlight w:val="yellow"/>
        </w:rPr>
        <w:t>(3), 77–87.</w:t>
      </w:r>
    </w:p>
    <w:p w14:paraId="24980431"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Soil Survey Staff. (2014). </w:t>
      </w:r>
      <w:r>
        <w:rPr>
          <w:i/>
          <w:highlight w:val="yellow"/>
        </w:rPr>
        <w:t>Keys to soil taxonomy</w:t>
      </w:r>
      <w:r>
        <w:rPr>
          <w:highlight w:val="yellow"/>
        </w:rPr>
        <w:t xml:space="preserve"> (12th ed.). U.S. Department of Agriculture, Natural Resources Conservation Service.</w:t>
      </w:r>
    </w:p>
    <w:p w14:paraId="76E58412"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Srinivasarao, Ch., Venkateswarlu, B., Dixit, S., Kundu, S., &amp; Gayathri Devi, K. (2011). </w:t>
      </w:r>
      <w:r>
        <w:rPr>
          <w:i/>
          <w:highlight w:val="yellow"/>
        </w:rPr>
        <w:t>Soil health improvement: Livelihood impacts in backward and Tribal districts of Andhra Pradesh</w:t>
      </w:r>
      <w:r>
        <w:rPr>
          <w:highlight w:val="yellow"/>
        </w:rPr>
        <w:t>. CRIDA.</w:t>
      </w:r>
    </w:p>
    <w:p w14:paraId="5E089030" w14:textId="77777777" w:rsidR="002E5F2A" w:rsidRDefault="00000000">
      <w:pPr>
        <w:spacing w:after="120" w:line="240" w:lineRule="auto"/>
        <w:ind w:left="720" w:hanging="720"/>
        <w:jc w:val="both"/>
        <w:rPr>
          <w:rFonts w:ascii="Times New Roman" w:hAnsi="Times New Roman"/>
          <w:sz w:val="20"/>
          <w:szCs w:val="20"/>
          <w:lang w:bidi="hi-IN"/>
        </w:rPr>
      </w:pPr>
      <w:r>
        <w:rPr>
          <w:b/>
          <w:highlight w:val="yellow"/>
        </w:rPr>
        <w:t xml:space="preserve">Surya, B. H., Jagadeesh, B. R., Kuligod, V. B., Potdar, M. P., Santhosha, H. M., &amp; Bhattacharjee, R. (2025). Land use based soil site suitability assessment for cereal and oilseed crops in Bada Micro Watershed (4D4F2j05) of Haveri District, Karnataka, India. </w:t>
      </w:r>
      <w:r>
        <w:rPr>
          <w:b/>
          <w:i/>
          <w:highlight w:val="yellow"/>
        </w:rPr>
        <w:t>Asian Journal of Soil Science and Plant Nutrition, 11</w:t>
      </w:r>
      <w:r>
        <w:rPr>
          <w:b/>
          <w:highlight w:val="yellow"/>
        </w:rPr>
        <w:t>(4), 187–203. https://doi.org/10.9734/ajsspn/2025/v11i4592</w:t>
      </w:r>
    </w:p>
    <w:p w14:paraId="09905FC7"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Swamy, Y. A. N., Inayathulla, M., Thabrez, M., &amp; Shashishankar, A. (2017). Land suitability evaluation of soils for crop production. </w:t>
      </w:r>
      <w:r>
        <w:rPr>
          <w:i/>
          <w:highlight w:val="yellow"/>
        </w:rPr>
        <w:t>International Journal of Innovative Research in Science, Engineering and Technology, 6</w:t>
      </w:r>
      <w:r>
        <w:rPr>
          <w:highlight w:val="yellow"/>
        </w:rPr>
        <w:t>(9), 18187–18196.</w:t>
      </w:r>
    </w:p>
    <w:p w14:paraId="02B6FCB6"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Sys, C., Van Ranst, E., &amp; Debaveye, J. (1991). </w:t>
      </w:r>
      <w:r>
        <w:rPr>
          <w:i/>
          <w:highlight w:val="yellow"/>
        </w:rPr>
        <w:t>Land evaluation, Part II: Methods in land evaluation</w:t>
      </w:r>
      <w:r>
        <w:rPr>
          <w:highlight w:val="yellow"/>
        </w:rPr>
        <w:t>. General Administration for Development Cooperation, Agricultural Publications No. 7.</w:t>
      </w:r>
    </w:p>
    <w:p w14:paraId="4109740F" w14:textId="77777777" w:rsidR="00211529" w:rsidRPr="00014750" w:rsidRDefault="00211529" w:rsidP="00211529">
      <w:pPr>
        <w:spacing w:after="120" w:line="240" w:lineRule="auto"/>
        <w:ind w:left="720" w:hanging="720"/>
        <w:jc w:val="both"/>
        <w:rPr>
          <w:rFonts w:ascii="Times New Roman" w:hAnsi="Times New Roman"/>
          <w:sz w:val="20"/>
          <w:szCs w:val="20"/>
          <w:lang w:bidi="hi-IN"/>
        </w:rPr>
      </w:pPr>
      <w:r>
        <w:rPr>
          <w:highlight w:val="yellow"/>
        </w:rPr>
        <w:t xml:space="preserve">Sys, C., Van Ranst, E., Debaveye, I. J., &amp; Beernaert, F. (1993). </w:t>
      </w:r>
      <w:r>
        <w:rPr>
          <w:i/>
          <w:highlight w:val="yellow"/>
        </w:rPr>
        <w:t>Land evaluation part III: Crop requirements</w:t>
      </w:r>
      <w:r>
        <w:rPr>
          <w:highlight w:val="yellow"/>
        </w:rPr>
        <w:t>. General Administration for Development Cooperation, Agricultural Publication No. 7.</w:t>
      </w:r>
    </w:p>
    <w:p w14:paraId="22B64828" w14:textId="77777777" w:rsidR="00211529" w:rsidRPr="00014750" w:rsidRDefault="007A4D27" w:rsidP="00211529">
      <w:pPr>
        <w:spacing w:after="120" w:line="240" w:lineRule="auto"/>
        <w:ind w:left="720" w:hanging="720"/>
        <w:jc w:val="both"/>
        <w:rPr>
          <w:rFonts w:ascii="Times New Roman" w:hAnsi="Times New Roman"/>
          <w:sz w:val="20"/>
          <w:szCs w:val="20"/>
          <w:lang w:bidi="hi-IN"/>
        </w:rPr>
      </w:pPr>
      <w:r>
        <w:rPr>
          <w:highlight w:val="yellow"/>
        </w:rPr>
        <w:t xml:space="preserve">Thomas, G. W. (1982). Exchangeable cations. In A. L. Page, R. H. Miller, &amp; D. R. Keeney (Eds.), </w:t>
      </w:r>
      <w:r>
        <w:rPr>
          <w:i/>
          <w:highlight w:val="yellow"/>
        </w:rPr>
        <w:t>Methods of soil analysis: Part 2. Chemical and microbiological properties</w:t>
      </w:r>
      <w:r>
        <w:rPr>
          <w:highlight w:val="yellow"/>
        </w:rPr>
        <w:t xml:space="preserve"> (2nd ed., pp. 159–165). American Society of Agronomy and Soil Science Society of America.</w:t>
      </w:r>
    </w:p>
    <w:p w14:paraId="45FAF5CE" w14:textId="77777777" w:rsidR="00211529" w:rsidRPr="00014750" w:rsidRDefault="007A4D27" w:rsidP="00211529">
      <w:pPr>
        <w:spacing w:after="120" w:line="240" w:lineRule="auto"/>
        <w:ind w:left="720" w:hanging="720"/>
        <w:jc w:val="both"/>
        <w:rPr>
          <w:rFonts w:ascii="Times New Roman" w:hAnsi="Times New Roman"/>
          <w:sz w:val="20"/>
          <w:szCs w:val="20"/>
          <w:lang w:bidi="hi-IN"/>
        </w:rPr>
      </w:pPr>
      <w:r>
        <w:rPr>
          <w:highlight w:val="yellow"/>
        </w:rPr>
        <w:t xml:space="preserve">Walkley, A., &amp; Black, I. A. (1934). An examination of the Degtjareff method for determining soil organic matter, and a proposed modification of the chromic acid titration method. </w:t>
      </w:r>
      <w:r>
        <w:rPr>
          <w:i/>
          <w:highlight w:val="yellow"/>
        </w:rPr>
        <w:t>Soil Science, 37</w:t>
      </w:r>
      <w:r>
        <w:rPr>
          <w:highlight w:val="yellow"/>
        </w:rPr>
        <w:t>(1), 29–38.</w:t>
      </w:r>
    </w:p>
    <w:p w14:paraId="47B4C06B" w14:textId="77777777" w:rsidR="00E62221" w:rsidRPr="00014750" w:rsidRDefault="00E62221" w:rsidP="00537318">
      <w:pPr>
        <w:spacing w:before="120" w:after="0" w:line="360" w:lineRule="auto"/>
        <w:ind w:left="284"/>
        <w:outlineLvl w:val="1"/>
        <w:rPr>
          <w:rFonts w:ascii="Times New Roman" w:hAnsi="Times New Roman"/>
          <w:b/>
          <w:bCs/>
          <w:lang w:eastAsia="en-IN"/>
        </w:rPr>
      </w:pPr>
    </w:p>
    <w:p w14:paraId="7C46A7E0"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3DA348DE"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3C2F364E"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7A431703"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7AD6D5A2"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1ECE9852"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76B64DFD"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4ADAD8B2"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48B8132F"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58C4C8D7"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1059C6FC"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5F337415"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53F92EDB" w14:textId="77777777" w:rsidR="009372FE" w:rsidRPr="00014750" w:rsidRDefault="009372FE" w:rsidP="00537318">
      <w:pPr>
        <w:spacing w:before="120" w:after="0" w:line="360" w:lineRule="auto"/>
        <w:ind w:left="284"/>
        <w:outlineLvl w:val="1"/>
        <w:rPr>
          <w:rFonts w:ascii="Times New Roman" w:hAnsi="Times New Roman"/>
          <w:b/>
          <w:bCs/>
          <w:lang w:eastAsia="en-IN"/>
        </w:rPr>
      </w:pPr>
    </w:p>
    <w:p w14:paraId="1987709C" w14:textId="77777777" w:rsidR="00014750" w:rsidRPr="00014750" w:rsidRDefault="00014750">
      <w:pPr>
        <w:spacing w:after="0" w:line="240" w:lineRule="auto"/>
        <w:rPr>
          <w:rFonts w:ascii="Times New Roman" w:hAnsi="Times New Roman"/>
          <w:b/>
          <w:bCs/>
          <w:lang w:eastAsia="en-IN"/>
        </w:rPr>
      </w:pPr>
      <w:r w:rsidRPr="00014750">
        <w:rPr>
          <w:rFonts w:ascii="Times New Roman" w:hAnsi="Times New Roman"/>
          <w:b/>
          <w:bCs/>
          <w:lang w:eastAsia="en-IN"/>
        </w:rPr>
        <w:br w:type="page"/>
      </w:r>
    </w:p>
    <w:p w14:paraId="7BF7DD78" w14:textId="77777777" w:rsidR="00D025F0" w:rsidRPr="00014750" w:rsidRDefault="00D025F0" w:rsidP="00537318">
      <w:pPr>
        <w:spacing w:before="120" w:after="0" w:line="360" w:lineRule="auto"/>
        <w:ind w:left="284"/>
        <w:outlineLvl w:val="1"/>
        <w:rPr>
          <w:rFonts w:ascii="Times New Roman" w:hAnsi="Times New Roman" w:cs="Times New Roman"/>
          <w:b/>
          <w:bCs/>
          <w:lang w:eastAsia="en-IN"/>
        </w:rPr>
      </w:pPr>
      <w:r w:rsidRPr="00014750">
        <w:rPr>
          <w:rFonts w:ascii="Times New Roman" w:hAnsi="Times New Roman"/>
          <w:b/>
          <w:bCs/>
          <w:lang w:eastAsia="en-IN"/>
        </w:rPr>
        <w:lastRenderedPageBreak/>
        <w:t xml:space="preserve">Table 1. </w:t>
      </w:r>
      <w:r w:rsidR="00537318" w:rsidRPr="00014750">
        <w:rPr>
          <w:rFonts w:ascii="Times New Roman" w:hAnsi="Times New Roman" w:cs="Times New Roman"/>
          <w:b/>
          <w:bCs/>
          <w:lang w:eastAsia="en-IN"/>
        </w:rPr>
        <w:t>S</w:t>
      </w:r>
      <w:r w:rsidR="007B7B7A" w:rsidRPr="00014750">
        <w:rPr>
          <w:rFonts w:ascii="Times New Roman" w:hAnsi="Times New Roman" w:cs="Times New Roman"/>
          <w:b/>
          <w:bCs/>
          <w:lang w:eastAsia="en-IN"/>
        </w:rPr>
        <w:t>ite characteristics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1148"/>
        <w:gridCol w:w="1272"/>
        <w:gridCol w:w="724"/>
        <w:gridCol w:w="1086"/>
        <w:gridCol w:w="768"/>
        <w:gridCol w:w="868"/>
        <w:gridCol w:w="1187"/>
        <w:gridCol w:w="988"/>
        <w:gridCol w:w="875"/>
      </w:tblGrid>
      <w:tr w:rsidR="00F9231A" w:rsidRPr="00014750" w14:paraId="554FA4C8" w14:textId="77777777" w:rsidTr="005C0902">
        <w:tc>
          <w:tcPr>
            <w:tcW w:w="344" w:type="pct"/>
            <w:vAlign w:val="center"/>
          </w:tcPr>
          <w:p w14:paraId="6EF84BC3"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Pedon</w:t>
            </w:r>
          </w:p>
        </w:tc>
        <w:tc>
          <w:tcPr>
            <w:tcW w:w="599" w:type="pct"/>
            <w:vAlign w:val="center"/>
          </w:tcPr>
          <w:p w14:paraId="467F6BC1"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Series</w:t>
            </w:r>
          </w:p>
        </w:tc>
        <w:tc>
          <w:tcPr>
            <w:tcW w:w="664" w:type="pct"/>
            <w:vAlign w:val="center"/>
          </w:tcPr>
          <w:p w14:paraId="2155A4F4"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Physiography</w:t>
            </w:r>
          </w:p>
        </w:tc>
        <w:tc>
          <w:tcPr>
            <w:tcW w:w="378" w:type="pct"/>
            <w:vAlign w:val="center"/>
          </w:tcPr>
          <w:p w14:paraId="6DA5F64F"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Slope</w:t>
            </w:r>
          </w:p>
        </w:tc>
        <w:tc>
          <w:tcPr>
            <w:tcW w:w="567" w:type="pct"/>
          </w:tcPr>
          <w:p w14:paraId="12E73474"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proofErr w:type="spellStart"/>
            <w:r w:rsidRPr="00014750">
              <w:rPr>
                <w:rFonts w:ascii="Times New Roman" w:hAnsi="Times New Roman" w:cs="Times New Roman"/>
                <w:b/>
                <w:bCs/>
                <w:sz w:val="16"/>
                <w:szCs w:val="16"/>
                <w:lang w:eastAsia="en-IN"/>
              </w:rPr>
              <w:t>Gravelliness</w:t>
            </w:r>
            <w:proofErr w:type="spellEnd"/>
          </w:p>
        </w:tc>
        <w:tc>
          <w:tcPr>
            <w:tcW w:w="401" w:type="pct"/>
            <w:vAlign w:val="center"/>
          </w:tcPr>
          <w:p w14:paraId="4AD41471"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Erosion</w:t>
            </w:r>
          </w:p>
        </w:tc>
        <w:tc>
          <w:tcPr>
            <w:tcW w:w="453" w:type="pct"/>
            <w:vAlign w:val="center"/>
          </w:tcPr>
          <w:p w14:paraId="452105C6"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lang w:eastAsia="en-IN"/>
              </w:rPr>
              <w:t>Drainage</w:t>
            </w:r>
          </w:p>
        </w:tc>
        <w:tc>
          <w:tcPr>
            <w:tcW w:w="620" w:type="pct"/>
          </w:tcPr>
          <w:p w14:paraId="1EE744CA"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bCs/>
                <w:sz w:val="16"/>
                <w:szCs w:val="16"/>
                <w:lang w:bidi="hi-IN"/>
              </w:rPr>
              <w:t>Rainfall (mm)</w:t>
            </w:r>
          </w:p>
        </w:tc>
        <w:tc>
          <w:tcPr>
            <w:tcW w:w="516" w:type="pct"/>
          </w:tcPr>
          <w:p w14:paraId="2946B447" w14:textId="77777777" w:rsidR="00F9231A" w:rsidRPr="00014750" w:rsidRDefault="00F9231A" w:rsidP="00AF7F6D">
            <w:pPr>
              <w:spacing w:after="0" w:line="240" w:lineRule="auto"/>
              <w:jc w:val="center"/>
              <w:outlineLvl w:val="1"/>
              <w:rPr>
                <w:rFonts w:ascii="Times New Roman" w:hAnsi="Times New Roman" w:cs="Times New Roman"/>
                <w:b/>
                <w:bCs/>
                <w:sz w:val="16"/>
                <w:szCs w:val="16"/>
              </w:rPr>
            </w:pPr>
            <w:r w:rsidRPr="00014750">
              <w:rPr>
                <w:rFonts w:ascii="Times New Roman" w:hAnsi="Times New Roman" w:cs="Times New Roman"/>
                <w:b/>
                <w:sz w:val="16"/>
                <w:szCs w:val="16"/>
              </w:rPr>
              <w:t>Temp. (°C)</w:t>
            </w:r>
          </w:p>
        </w:tc>
        <w:tc>
          <w:tcPr>
            <w:tcW w:w="457" w:type="pct"/>
            <w:vAlign w:val="center"/>
          </w:tcPr>
          <w:p w14:paraId="187ED8CB" w14:textId="77777777" w:rsidR="00F9231A" w:rsidRPr="00014750" w:rsidRDefault="00F9231A" w:rsidP="00AF7F6D">
            <w:pPr>
              <w:spacing w:after="0" w:line="240" w:lineRule="auto"/>
              <w:jc w:val="center"/>
              <w:outlineLvl w:val="1"/>
              <w:rPr>
                <w:rFonts w:ascii="Times New Roman" w:hAnsi="Times New Roman" w:cs="Times New Roman"/>
                <w:b/>
                <w:bCs/>
                <w:sz w:val="16"/>
                <w:szCs w:val="16"/>
                <w:lang w:eastAsia="en-IN"/>
              </w:rPr>
            </w:pPr>
            <w:r w:rsidRPr="00014750">
              <w:rPr>
                <w:rFonts w:ascii="Times New Roman" w:hAnsi="Times New Roman" w:cs="Times New Roman"/>
                <w:b/>
                <w:bCs/>
                <w:sz w:val="16"/>
                <w:szCs w:val="16"/>
              </w:rPr>
              <w:t xml:space="preserve">Area </w:t>
            </w:r>
            <w:r w:rsidRPr="00014750">
              <w:rPr>
                <w:rFonts w:ascii="Times New Roman" w:hAnsi="Times New Roman" w:cs="Times New Roman"/>
                <w:b/>
                <w:bCs/>
                <w:sz w:val="16"/>
                <w:szCs w:val="16"/>
                <w:lang w:bidi="hi-IN"/>
              </w:rPr>
              <w:t>(</w:t>
            </w:r>
            <w:r w:rsidRPr="00014750">
              <w:rPr>
                <w:rFonts w:ascii="Times New Roman" w:hAnsi="Times New Roman" w:cs="Times New Roman"/>
                <w:b/>
                <w:bCs/>
                <w:sz w:val="16"/>
                <w:szCs w:val="16"/>
              </w:rPr>
              <w:t>ha)</w:t>
            </w:r>
          </w:p>
        </w:tc>
      </w:tr>
      <w:tr w:rsidR="005A6244" w:rsidRPr="00014750" w14:paraId="42D49089" w14:textId="77777777" w:rsidTr="005C0902">
        <w:tc>
          <w:tcPr>
            <w:tcW w:w="344" w:type="pct"/>
            <w:vAlign w:val="center"/>
          </w:tcPr>
          <w:p w14:paraId="6B717FF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w:t>
            </w:r>
          </w:p>
        </w:tc>
        <w:tc>
          <w:tcPr>
            <w:tcW w:w="599" w:type="pct"/>
            <w:vAlign w:val="center"/>
          </w:tcPr>
          <w:p w14:paraId="7C473BD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Baghala</w:t>
            </w:r>
            <w:proofErr w:type="spellEnd"/>
          </w:p>
        </w:tc>
        <w:tc>
          <w:tcPr>
            <w:tcW w:w="664" w:type="pct"/>
            <w:vAlign w:val="center"/>
          </w:tcPr>
          <w:p w14:paraId="53CF6C9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784B8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5-10%</w:t>
            </w:r>
          </w:p>
        </w:tc>
        <w:tc>
          <w:tcPr>
            <w:tcW w:w="567" w:type="pct"/>
          </w:tcPr>
          <w:p w14:paraId="19B3D27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40</w:t>
            </w:r>
          </w:p>
        </w:tc>
        <w:tc>
          <w:tcPr>
            <w:tcW w:w="401" w:type="pct"/>
            <w:vAlign w:val="center"/>
          </w:tcPr>
          <w:p w14:paraId="229F0311"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e1-e3</w:t>
            </w:r>
          </w:p>
        </w:tc>
        <w:tc>
          <w:tcPr>
            <w:tcW w:w="453" w:type="pct"/>
            <w:vAlign w:val="center"/>
          </w:tcPr>
          <w:p w14:paraId="49456E1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79DCDD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BEF58C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82D74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3052</w:t>
            </w:r>
          </w:p>
        </w:tc>
      </w:tr>
      <w:tr w:rsidR="005A6244" w:rsidRPr="00014750" w14:paraId="3FCD2DEB" w14:textId="77777777" w:rsidTr="005C0902">
        <w:tc>
          <w:tcPr>
            <w:tcW w:w="344" w:type="pct"/>
            <w:vAlign w:val="center"/>
          </w:tcPr>
          <w:p w14:paraId="6FB99F5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w:t>
            </w:r>
          </w:p>
        </w:tc>
        <w:tc>
          <w:tcPr>
            <w:tcW w:w="599" w:type="pct"/>
            <w:vAlign w:val="center"/>
          </w:tcPr>
          <w:p w14:paraId="3F221EE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Balangir</w:t>
            </w:r>
            <w:proofErr w:type="spellEnd"/>
          </w:p>
        </w:tc>
        <w:tc>
          <w:tcPr>
            <w:tcW w:w="664" w:type="pct"/>
          </w:tcPr>
          <w:p w14:paraId="1B083F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266CE1E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A23A0CE"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3DCCDAA"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48CAA98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1D697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089912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89323B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736</w:t>
            </w:r>
          </w:p>
        </w:tc>
      </w:tr>
      <w:tr w:rsidR="005A6244" w:rsidRPr="00014750" w14:paraId="4522C3EA" w14:textId="77777777" w:rsidTr="005C0902">
        <w:tc>
          <w:tcPr>
            <w:tcW w:w="344" w:type="pct"/>
            <w:vAlign w:val="center"/>
          </w:tcPr>
          <w:p w14:paraId="3D676A8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P-3</w:t>
            </w:r>
          </w:p>
        </w:tc>
        <w:tc>
          <w:tcPr>
            <w:tcW w:w="599" w:type="pct"/>
            <w:vAlign w:val="center"/>
          </w:tcPr>
          <w:p w14:paraId="436DEAC6"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Bandopala</w:t>
            </w:r>
            <w:proofErr w:type="spellEnd"/>
          </w:p>
        </w:tc>
        <w:tc>
          <w:tcPr>
            <w:tcW w:w="664" w:type="pct"/>
          </w:tcPr>
          <w:p w14:paraId="6AD476D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73DFBF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69C11C42"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065FCB3"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539C280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28B7AB6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93807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58F4A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368</w:t>
            </w:r>
          </w:p>
        </w:tc>
      </w:tr>
      <w:tr w:rsidR="005A6244" w:rsidRPr="00014750" w14:paraId="4CF883E3" w14:textId="77777777" w:rsidTr="005C0902">
        <w:tc>
          <w:tcPr>
            <w:tcW w:w="344" w:type="pct"/>
            <w:vAlign w:val="center"/>
          </w:tcPr>
          <w:p w14:paraId="61C2D49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P-4</w:t>
            </w:r>
          </w:p>
        </w:tc>
        <w:tc>
          <w:tcPr>
            <w:tcW w:w="599" w:type="pct"/>
            <w:vAlign w:val="center"/>
          </w:tcPr>
          <w:p w14:paraId="0A62132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Bangomunda</w:t>
            </w:r>
            <w:proofErr w:type="spellEnd"/>
          </w:p>
        </w:tc>
        <w:tc>
          <w:tcPr>
            <w:tcW w:w="664" w:type="pct"/>
          </w:tcPr>
          <w:p w14:paraId="6F865DE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10CDDF8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5053242"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7365DD3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25E5C0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7A238A7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083BDF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91B72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677</w:t>
            </w:r>
          </w:p>
        </w:tc>
      </w:tr>
      <w:tr w:rsidR="005A6244" w:rsidRPr="00014750" w14:paraId="6017E710" w14:textId="77777777" w:rsidTr="005C0902">
        <w:tc>
          <w:tcPr>
            <w:tcW w:w="344" w:type="pct"/>
            <w:vAlign w:val="center"/>
          </w:tcPr>
          <w:p w14:paraId="74E87D3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P-5</w:t>
            </w:r>
          </w:p>
        </w:tc>
        <w:tc>
          <w:tcPr>
            <w:tcW w:w="599" w:type="pct"/>
            <w:vAlign w:val="center"/>
          </w:tcPr>
          <w:p w14:paraId="1619B54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Barkani</w:t>
            </w:r>
            <w:proofErr w:type="spellEnd"/>
          </w:p>
        </w:tc>
        <w:tc>
          <w:tcPr>
            <w:tcW w:w="664" w:type="pct"/>
          </w:tcPr>
          <w:p w14:paraId="734D158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F3FAB9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78A7A2A3"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52174A1D"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628320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5B9462D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69FE9E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1FDC438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338</w:t>
            </w:r>
          </w:p>
        </w:tc>
      </w:tr>
      <w:tr w:rsidR="005A6244" w:rsidRPr="00014750" w14:paraId="172C0659" w14:textId="77777777" w:rsidTr="005C0902">
        <w:tc>
          <w:tcPr>
            <w:tcW w:w="344" w:type="pct"/>
            <w:vAlign w:val="center"/>
          </w:tcPr>
          <w:p w14:paraId="10083A2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P-6</w:t>
            </w:r>
          </w:p>
        </w:tc>
        <w:tc>
          <w:tcPr>
            <w:tcW w:w="599" w:type="pct"/>
            <w:vAlign w:val="center"/>
          </w:tcPr>
          <w:p w14:paraId="26AC1F92"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Chandanbhati</w:t>
            </w:r>
            <w:proofErr w:type="spellEnd"/>
          </w:p>
        </w:tc>
        <w:tc>
          <w:tcPr>
            <w:tcW w:w="664" w:type="pct"/>
          </w:tcPr>
          <w:p w14:paraId="3443F45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2E0262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C96776C"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3702F3F" w14:textId="77777777" w:rsidR="005A6244" w:rsidRPr="00014750" w:rsidRDefault="005A6244" w:rsidP="00AF7F6D">
            <w:pPr>
              <w:spacing w:after="0" w:line="240" w:lineRule="auto"/>
              <w:jc w:val="center"/>
              <w:outlineLvl w:val="1"/>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21D142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73F2092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7574F9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B95A6C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1183</w:t>
            </w:r>
          </w:p>
        </w:tc>
      </w:tr>
      <w:tr w:rsidR="005A6244" w:rsidRPr="00014750" w14:paraId="0C80CFEE" w14:textId="77777777" w:rsidTr="005C0902">
        <w:tc>
          <w:tcPr>
            <w:tcW w:w="344" w:type="pct"/>
            <w:vAlign w:val="center"/>
          </w:tcPr>
          <w:p w14:paraId="0EFC46F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P-7</w:t>
            </w:r>
          </w:p>
        </w:tc>
        <w:tc>
          <w:tcPr>
            <w:tcW w:w="599" w:type="pct"/>
            <w:vAlign w:val="center"/>
          </w:tcPr>
          <w:p w14:paraId="7F3A77BE"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Dhanmadher</w:t>
            </w:r>
            <w:proofErr w:type="spellEnd"/>
          </w:p>
        </w:tc>
        <w:tc>
          <w:tcPr>
            <w:tcW w:w="664" w:type="pct"/>
            <w:vAlign w:val="center"/>
          </w:tcPr>
          <w:p w14:paraId="0110BF5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7A8853A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AFEF81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280E42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5BE46F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0FB49F6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F5371E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5F459C0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1437</w:t>
            </w:r>
          </w:p>
        </w:tc>
      </w:tr>
      <w:tr w:rsidR="005A6244" w:rsidRPr="00014750" w14:paraId="7CC1E719" w14:textId="77777777" w:rsidTr="005C0902">
        <w:tc>
          <w:tcPr>
            <w:tcW w:w="344" w:type="pct"/>
            <w:vAlign w:val="center"/>
          </w:tcPr>
          <w:p w14:paraId="44B5A7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P-8</w:t>
            </w:r>
          </w:p>
        </w:tc>
        <w:tc>
          <w:tcPr>
            <w:tcW w:w="599" w:type="pct"/>
            <w:vAlign w:val="center"/>
          </w:tcPr>
          <w:p w14:paraId="07DBD274"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Dhumamara</w:t>
            </w:r>
            <w:proofErr w:type="spellEnd"/>
          </w:p>
        </w:tc>
        <w:tc>
          <w:tcPr>
            <w:tcW w:w="664" w:type="pct"/>
            <w:vAlign w:val="center"/>
          </w:tcPr>
          <w:p w14:paraId="172562D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Hills side slopes</w:t>
            </w:r>
          </w:p>
        </w:tc>
        <w:tc>
          <w:tcPr>
            <w:tcW w:w="378" w:type="pct"/>
            <w:vAlign w:val="center"/>
          </w:tcPr>
          <w:p w14:paraId="104D9C8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10-50%</w:t>
            </w:r>
          </w:p>
        </w:tc>
        <w:tc>
          <w:tcPr>
            <w:tcW w:w="567" w:type="pct"/>
          </w:tcPr>
          <w:p w14:paraId="0C7A0F3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36</w:t>
            </w:r>
          </w:p>
        </w:tc>
        <w:tc>
          <w:tcPr>
            <w:tcW w:w="401" w:type="pct"/>
            <w:vAlign w:val="center"/>
          </w:tcPr>
          <w:p w14:paraId="41A7026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3F141D8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01BEBF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DBC055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124D31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3876</w:t>
            </w:r>
          </w:p>
        </w:tc>
      </w:tr>
      <w:tr w:rsidR="005A6244" w:rsidRPr="00014750" w14:paraId="76BD879A" w14:textId="77777777" w:rsidTr="005C0902">
        <w:tc>
          <w:tcPr>
            <w:tcW w:w="344" w:type="pct"/>
            <w:vAlign w:val="center"/>
          </w:tcPr>
          <w:p w14:paraId="35CBA5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P-9</w:t>
            </w:r>
          </w:p>
        </w:tc>
        <w:tc>
          <w:tcPr>
            <w:tcW w:w="599" w:type="pct"/>
            <w:vAlign w:val="center"/>
          </w:tcPr>
          <w:p w14:paraId="609B77E0"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Dumermunda</w:t>
            </w:r>
            <w:proofErr w:type="spellEnd"/>
          </w:p>
        </w:tc>
        <w:tc>
          <w:tcPr>
            <w:tcW w:w="664" w:type="pct"/>
            <w:vAlign w:val="center"/>
          </w:tcPr>
          <w:p w14:paraId="4752C22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Foot hill slopes</w:t>
            </w:r>
          </w:p>
        </w:tc>
        <w:tc>
          <w:tcPr>
            <w:tcW w:w="378" w:type="pct"/>
            <w:vAlign w:val="center"/>
          </w:tcPr>
          <w:p w14:paraId="4CEF8D6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1D10F247"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16</w:t>
            </w:r>
          </w:p>
        </w:tc>
        <w:tc>
          <w:tcPr>
            <w:tcW w:w="401" w:type="pct"/>
            <w:vAlign w:val="center"/>
          </w:tcPr>
          <w:p w14:paraId="2E2B4E4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e2-e3</w:t>
            </w:r>
          </w:p>
        </w:tc>
        <w:tc>
          <w:tcPr>
            <w:tcW w:w="453" w:type="pct"/>
            <w:vAlign w:val="center"/>
          </w:tcPr>
          <w:p w14:paraId="4E67EF3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0451B60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DC0ED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7D59BD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157</w:t>
            </w:r>
          </w:p>
        </w:tc>
      </w:tr>
      <w:tr w:rsidR="005A6244" w:rsidRPr="00014750" w14:paraId="250FEAE5" w14:textId="77777777" w:rsidTr="005C0902">
        <w:tc>
          <w:tcPr>
            <w:tcW w:w="344" w:type="pct"/>
            <w:vAlign w:val="center"/>
          </w:tcPr>
          <w:p w14:paraId="600812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P-10</w:t>
            </w:r>
          </w:p>
        </w:tc>
        <w:tc>
          <w:tcPr>
            <w:tcW w:w="599" w:type="pct"/>
            <w:vAlign w:val="center"/>
          </w:tcPr>
          <w:p w14:paraId="30C85BC3"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Dungibahal</w:t>
            </w:r>
            <w:proofErr w:type="spellEnd"/>
          </w:p>
        </w:tc>
        <w:tc>
          <w:tcPr>
            <w:tcW w:w="664" w:type="pct"/>
            <w:vAlign w:val="center"/>
          </w:tcPr>
          <w:p w14:paraId="117519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4608F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7805E6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2B2ADE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BC61C8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4A416E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B30E16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D44021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149</w:t>
            </w:r>
          </w:p>
        </w:tc>
      </w:tr>
      <w:tr w:rsidR="005A6244" w:rsidRPr="00014750" w14:paraId="3456E9DB" w14:textId="77777777" w:rsidTr="005C0902">
        <w:tc>
          <w:tcPr>
            <w:tcW w:w="344" w:type="pct"/>
            <w:vAlign w:val="center"/>
          </w:tcPr>
          <w:p w14:paraId="6EB306D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P-11</w:t>
            </w:r>
          </w:p>
        </w:tc>
        <w:tc>
          <w:tcPr>
            <w:tcW w:w="599" w:type="pct"/>
            <w:vAlign w:val="center"/>
          </w:tcPr>
          <w:p w14:paraId="65195F8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Gudvella</w:t>
            </w:r>
            <w:proofErr w:type="spellEnd"/>
          </w:p>
        </w:tc>
        <w:tc>
          <w:tcPr>
            <w:tcW w:w="664" w:type="pct"/>
            <w:vAlign w:val="center"/>
          </w:tcPr>
          <w:p w14:paraId="1972DBE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66B955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84D3C0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56053B2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21BA1F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7C4DD84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16F099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BCEB73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397</w:t>
            </w:r>
          </w:p>
        </w:tc>
      </w:tr>
      <w:tr w:rsidR="005A6244" w:rsidRPr="00014750" w14:paraId="49B0A583" w14:textId="77777777" w:rsidTr="005C0902">
        <w:tc>
          <w:tcPr>
            <w:tcW w:w="344" w:type="pct"/>
            <w:vAlign w:val="center"/>
          </w:tcPr>
          <w:p w14:paraId="0556579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P-12</w:t>
            </w:r>
          </w:p>
        </w:tc>
        <w:tc>
          <w:tcPr>
            <w:tcW w:w="599" w:type="pct"/>
            <w:vAlign w:val="center"/>
          </w:tcPr>
          <w:p w14:paraId="5C6B1E4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Jogisarda</w:t>
            </w:r>
            <w:proofErr w:type="spellEnd"/>
          </w:p>
        </w:tc>
        <w:tc>
          <w:tcPr>
            <w:tcW w:w="664" w:type="pct"/>
            <w:vAlign w:val="center"/>
          </w:tcPr>
          <w:p w14:paraId="1476B0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285C910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235BF66"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15.83</w:t>
            </w:r>
          </w:p>
        </w:tc>
        <w:tc>
          <w:tcPr>
            <w:tcW w:w="401" w:type="pct"/>
            <w:vAlign w:val="center"/>
          </w:tcPr>
          <w:p w14:paraId="62FC627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759D10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1BB52F6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0E809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0BFD0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1075</w:t>
            </w:r>
          </w:p>
        </w:tc>
      </w:tr>
      <w:tr w:rsidR="005A6244" w:rsidRPr="00014750" w14:paraId="56457DA8" w14:textId="77777777" w:rsidTr="005C0902">
        <w:tc>
          <w:tcPr>
            <w:tcW w:w="344" w:type="pct"/>
            <w:vAlign w:val="center"/>
          </w:tcPr>
          <w:p w14:paraId="18CA68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P-13</w:t>
            </w:r>
          </w:p>
        </w:tc>
        <w:tc>
          <w:tcPr>
            <w:tcW w:w="599" w:type="pct"/>
            <w:vAlign w:val="center"/>
          </w:tcPr>
          <w:p w14:paraId="28248FD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Karlakani</w:t>
            </w:r>
            <w:proofErr w:type="spellEnd"/>
          </w:p>
        </w:tc>
        <w:tc>
          <w:tcPr>
            <w:tcW w:w="664" w:type="pct"/>
            <w:vAlign w:val="center"/>
          </w:tcPr>
          <w:p w14:paraId="1DAF0A7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F32400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5CEB4C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5FA9356"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e1-e2</w:t>
            </w:r>
          </w:p>
        </w:tc>
        <w:tc>
          <w:tcPr>
            <w:tcW w:w="453" w:type="pct"/>
            <w:vAlign w:val="center"/>
          </w:tcPr>
          <w:p w14:paraId="78F2F79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1C10981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3A8AF4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95A3F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219</w:t>
            </w:r>
          </w:p>
        </w:tc>
      </w:tr>
      <w:tr w:rsidR="005A6244" w:rsidRPr="00014750" w14:paraId="4ECB8B4A" w14:textId="77777777" w:rsidTr="005C0902">
        <w:tc>
          <w:tcPr>
            <w:tcW w:w="344" w:type="pct"/>
            <w:vAlign w:val="center"/>
          </w:tcPr>
          <w:p w14:paraId="42F28A0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P-14</w:t>
            </w:r>
          </w:p>
        </w:tc>
        <w:tc>
          <w:tcPr>
            <w:tcW w:w="599" w:type="pct"/>
            <w:vAlign w:val="center"/>
          </w:tcPr>
          <w:p w14:paraId="6DA5C2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Kodgaon</w:t>
            </w:r>
            <w:proofErr w:type="spellEnd"/>
          </w:p>
        </w:tc>
        <w:tc>
          <w:tcPr>
            <w:tcW w:w="664" w:type="pct"/>
          </w:tcPr>
          <w:p w14:paraId="0B2561C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3425F9D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FEFB847"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1A7D549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5522BB5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3079989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43E014E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68F9EC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367</w:t>
            </w:r>
          </w:p>
        </w:tc>
      </w:tr>
      <w:tr w:rsidR="005A6244" w:rsidRPr="00014750" w14:paraId="2FEB85E2" w14:textId="77777777" w:rsidTr="005C0902">
        <w:tc>
          <w:tcPr>
            <w:tcW w:w="344" w:type="pct"/>
            <w:vAlign w:val="center"/>
          </w:tcPr>
          <w:p w14:paraId="71AB82E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P-15</w:t>
            </w:r>
          </w:p>
        </w:tc>
        <w:tc>
          <w:tcPr>
            <w:tcW w:w="599" w:type="pct"/>
            <w:vAlign w:val="center"/>
          </w:tcPr>
          <w:p w14:paraId="5BC9BCC5"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Koksila</w:t>
            </w:r>
            <w:proofErr w:type="spellEnd"/>
          </w:p>
        </w:tc>
        <w:tc>
          <w:tcPr>
            <w:tcW w:w="664" w:type="pct"/>
          </w:tcPr>
          <w:p w14:paraId="655BBE4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Hillock</w:t>
            </w:r>
          </w:p>
        </w:tc>
        <w:tc>
          <w:tcPr>
            <w:tcW w:w="378" w:type="pct"/>
            <w:vAlign w:val="center"/>
          </w:tcPr>
          <w:p w14:paraId="0B9FE5D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10-25%</w:t>
            </w:r>
          </w:p>
        </w:tc>
        <w:tc>
          <w:tcPr>
            <w:tcW w:w="567" w:type="pct"/>
          </w:tcPr>
          <w:p w14:paraId="104225F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39.86</w:t>
            </w:r>
          </w:p>
        </w:tc>
        <w:tc>
          <w:tcPr>
            <w:tcW w:w="401" w:type="pct"/>
            <w:vAlign w:val="center"/>
          </w:tcPr>
          <w:p w14:paraId="54B7C7B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e3-e4</w:t>
            </w:r>
          </w:p>
        </w:tc>
        <w:tc>
          <w:tcPr>
            <w:tcW w:w="453" w:type="pct"/>
            <w:vAlign w:val="center"/>
          </w:tcPr>
          <w:p w14:paraId="2976179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ED</w:t>
            </w:r>
          </w:p>
        </w:tc>
        <w:tc>
          <w:tcPr>
            <w:tcW w:w="620" w:type="pct"/>
          </w:tcPr>
          <w:p w14:paraId="3273E0B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2806C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3C88D8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177</w:t>
            </w:r>
          </w:p>
        </w:tc>
      </w:tr>
      <w:tr w:rsidR="005A6244" w:rsidRPr="00014750" w14:paraId="7AB24DEA" w14:textId="77777777" w:rsidTr="005C0902">
        <w:tc>
          <w:tcPr>
            <w:tcW w:w="344" w:type="pct"/>
            <w:vAlign w:val="center"/>
          </w:tcPr>
          <w:p w14:paraId="797C0E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P-16</w:t>
            </w:r>
          </w:p>
        </w:tc>
        <w:tc>
          <w:tcPr>
            <w:tcW w:w="599" w:type="pct"/>
            <w:vAlign w:val="center"/>
          </w:tcPr>
          <w:p w14:paraId="273BEE0B"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Kurli</w:t>
            </w:r>
            <w:proofErr w:type="spellEnd"/>
          </w:p>
        </w:tc>
        <w:tc>
          <w:tcPr>
            <w:tcW w:w="664" w:type="pct"/>
            <w:vAlign w:val="center"/>
          </w:tcPr>
          <w:p w14:paraId="4127DD6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3165CE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9B2B78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21.24</w:t>
            </w:r>
          </w:p>
        </w:tc>
        <w:tc>
          <w:tcPr>
            <w:tcW w:w="401" w:type="pct"/>
            <w:vAlign w:val="center"/>
          </w:tcPr>
          <w:p w14:paraId="483816A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2ACADA1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431E80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43937C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21E2D0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200</w:t>
            </w:r>
          </w:p>
        </w:tc>
      </w:tr>
      <w:tr w:rsidR="005A6244" w:rsidRPr="00014750" w14:paraId="50084210" w14:textId="77777777" w:rsidTr="005C0902">
        <w:tc>
          <w:tcPr>
            <w:tcW w:w="344" w:type="pct"/>
            <w:vAlign w:val="center"/>
          </w:tcPr>
          <w:p w14:paraId="25640B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P-17</w:t>
            </w:r>
          </w:p>
        </w:tc>
        <w:tc>
          <w:tcPr>
            <w:tcW w:w="599" w:type="pct"/>
            <w:vAlign w:val="center"/>
          </w:tcPr>
          <w:p w14:paraId="0A0DE99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Patnagarh</w:t>
            </w:r>
            <w:proofErr w:type="spellEnd"/>
          </w:p>
        </w:tc>
        <w:tc>
          <w:tcPr>
            <w:tcW w:w="664" w:type="pct"/>
            <w:vAlign w:val="center"/>
          </w:tcPr>
          <w:p w14:paraId="52C7CFD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567DB1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3-10%</w:t>
            </w:r>
          </w:p>
        </w:tc>
        <w:tc>
          <w:tcPr>
            <w:tcW w:w="567" w:type="pct"/>
          </w:tcPr>
          <w:p w14:paraId="2F074E95"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37.05</w:t>
            </w:r>
          </w:p>
        </w:tc>
        <w:tc>
          <w:tcPr>
            <w:tcW w:w="401" w:type="pct"/>
            <w:vAlign w:val="center"/>
          </w:tcPr>
          <w:p w14:paraId="465E76C8"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tcPr>
          <w:p w14:paraId="30FFA98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5B1775D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E106BC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702C33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975</w:t>
            </w:r>
          </w:p>
        </w:tc>
      </w:tr>
      <w:tr w:rsidR="005A6244" w:rsidRPr="00014750" w14:paraId="073AF35F" w14:textId="77777777" w:rsidTr="005C0902">
        <w:tc>
          <w:tcPr>
            <w:tcW w:w="344" w:type="pct"/>
            <w:vAlign w:val="center"/>
          </w:tcPr>
          <w:p w14:paraId="67DB504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P-18</w:t>
            </w:r>
          </w:p>
        </w:tc>
        <w:tc>
          <w:tcPr>
            <w:tcW w:w="599" w:type="pct"/>
            <w:vAlign w:val="center"/>
          </w:tcPr>
          <w:p w14:paraId="63A3A648"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Purvabhari</w:t>
            </w:r>
            <w:proofErr w:type="spellEnd"/>
          </w:p>
        </w:tc>
        <w:tc>
          <w:tcPr>
            <w:tcW w:w="664" w:type="pct"/>
            <w:vAlign w:val="center"/>
          </w:tcPr>
          <w:p w14:paraId="182F06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5F2B711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209EA27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0CBE65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tcPr>
          <w:p w14:paraId="2951083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4B46FE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393510E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3D616F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28</w:t>
            </w:r>
          </w:p>
        </w:tc>
      </w:tr>
      <w:tr w:rsidR="005A6244" w:rsidRPr="00014750" w14:paraId="521A05A5" w14:textId="77777777" w:rsidTr="005C0902">
        <w:tc>
          <w:tcPr>
            <w:tcW w:w="344" w:type="pct"/>
            <w:vAlign w:val="center"/>
          </w:tcPr>
          <w:p w14:paraId="7B97327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P-19</w:t>
            </w:r>
          </w:p>
        </w:tc>
        <w:tc>
          <w:tcPr>
            <w:tcW w:w="599" w:type="pct"/>
            <w:vAlign w:val="center"/>
          </w:tcPr>
          <w:p w14:paraId="7278E157"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Rajkhel</w:t>
            </w:r>
            <w:proofErr w:type="spellEnd"/>
          </w:p>
        </w:tc>
        <w:tc>
          <w:tcPr>
            <w:tcW w:w="664" w:type="pct"/>
            <w:vAlign w:val="center"/>
          </w:tcPr>
          <w:p w14:paraId="2269B13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4BC0EA3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2E537C3"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E99052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tcPr>
          <w:p w14:paraId="7F66EC9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A9098F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848B8F6"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8EC738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131</w:t>
            </w:r>
          </w:p>
        </w:tc>
      </w:tr>
      <w:tr w:rsidR="005A6244" w:rsidRPr="00014750" w14:paraId="44676DC3" w14:textId="77777777" w:rsidTr="005C0902">
        <w:tc>
          <w:tcPr>
            <w:tcW w:w="344" w:type="pct"/>
            <w:vAlign w:val="center"/>
          </w:tcPr>
          <w:p w14:paraId="4B577CD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P-20</w:t>
            </w:r>
          </w:p>
        </w:tc>
        <w:tc>
          <w:tcPr>
            <w:tcW w:w="599" w:type="pct"/>
            <w:vAlign w:val="center"/>
          </w:tcPr>
          <w:p w14:paraId="765CD4D0"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Sarasbahal</w:t>
            </w:r>
            <w:proofErr w:type="spellEnd"/>
          </w:p>
        </w:tc>
        <w:tc>
          <w:tcPr>
            <w:tcW w:w="664" w:type="pct"/>
          </w:tcPr>
          <w:p w14:paraId="625D1CC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292704BF"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58EDDB2B"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37FDDAE9"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e1</w:t>
            </w:r>
          </w:p>
        </w:tc>
        <w:tc>
          <w:tcPr>
            <w:tcW w:w="453" w:type="pct"/>
            <w:vAlign w:val="center"/>
          </w:tcPr>
          <w:p w14:paraId="20C3F1C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ID</w:t>
            </w:r>
          </w:p>
        </w:tc>
        <w:tc>
          <w:tcPr>
            <w:tcW w:w="620" w:type="pct"/>
          </w:tcPr>
          <w:p w14:paraId="181EACD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6BDA911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3AFE2F4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2524</w:t>
            </w:r>
          </w:p>
        </w:tc>
      </w:tr>
      <w:tr w:rsidR="005A6244" w:rsidRPr="00014750" w14:paraId="01100722" w14:textId="77777777" w:rsidTr="005C0902">
        <w:tc>
          <w:tcPr>
            <w:tcW w:w="344" w:type="pct"/>
            <w:vAlign w:val="center"/>
          </w:tcPr>
          <w:p w14:paraId="4EEA9E91"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P-21</w:t>
            </w:r>
          </w:p>
        </w:tc>
        <w:tc>
          <w:tcPr>
            <w:tcW w:w="599" w:type="pct"/>
            <w:vAlign w:val="center"/>
          </w:tcPr>
          <w:p w14:paraId="19D1FA84"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Sindurbahal</w:t>
            </w:r>
            <w:proofErr w:type="spellEnd"/>
          </w:p>
        </w:tc>
        <w:tc>
          <w:tcPr>
            <w:tcW w:w="664" w:type="pct"/>
          </w:tcPr>
          <w:p w14:paraId="27846BA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1E21B2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DCA402F"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30CF07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e1-e3</w:t>
            </w:r>
          </w:p>
        </w:tc>
        <w:tc>
          <w:tcPr>
            <w:tcW w:w="453" w:type="pct"/>
            <w:vAlign w:val="center"/>
          </w:tcPr>
          <w:p w14:paraId="4271D13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2373BF2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2A78763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6A5CB17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304</w:t>
            </w:r>
          </w:p>
        </w:tc>
      </w:tr>
      <w:tr w:rsidR="005A6244" w:rsidRPr="00014750" w14:paraId="1168B2B0" w14:textId="77777777" w:rsidTr="005C0902">
        <w:tc>
          <w:tcPr>
            <w:tcW w:w="344" w:type="pct"/>
            <w:vAlign w:val="center"/>
          </w:tcPr>
          <w:p w14:paraId="5EEE56F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P-22</w:t>
            </w:r>
          </w:p>
        </w:tc>
        <w:tc>
          <w:tcPr>
            <w:tcW w:w="599" w:type="pct"/>
            <w:vAlign w:val="center"/>
          </w:tcPr>
          <w:p w14:paraId="788B946D"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Sinkhaman</w:t>
            </w:r>
            <w:proofErr w:type="spellEnd"/>
          </w:p>
        </w:tc>
        <w:tc>
          <w:tcPr>
            <w:tcW w:w="664" w:type="pct"/>
            <w:vAlign w:val="center"/>
          </w:tcPr>
          <w:p w14:paraId="1DCA1C9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UPP</w:t>
            </w:r>
          </w:p>
        </w:tc>
        <w:tc>
          <w:tcPr>
            <w:tcW w:w="378" w:type="pct"/>
            <w:vAlign w:val="center"/>
          </w:tcPr>
          <w:p w14:paraId="6DB6FA5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1FAF75CA"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29467C4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1019BA75"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4612E31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D9F836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4B803B1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627</w:t>
            </w:r>
          </w:p>
        </w:tc>
      </w:tr>
      <w:tr w:rsidR="005A6244" w:rsidRPr="00014750" w14:paraId="7E2C6683" w14:textId="77777777" w:rsidTr="005C0902">
        <w:tc>
          <w:tcPr>
            <w:tcW w:w="344" w:type="pct"/>
            <w:vAlign w:val="center"/>
          </w:tcPr>
          <w:p w14:paraId="789BB3A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P-23</w:t>
            </w:r>
          </w:p>
        </w:tc>
        <w:tc>
          <w:tcPr>
            <w:tcW w:w="599" w:type="pct"/>
            <w:vAlign w:val="center"/>
          </w:tcPr>
          <w:p w14:paraId="0848ADFF"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Sokarbandhi</w:t>
            </w:r>
            <w:proofErr w:type="spellEnd"/>
          </w:p>
        </w:tc>
        <w:tc>
          <w:tcPr>
            <w:tcW w:w="664" w:type="pct"/>
          </w:tcPr>
          <w:p w14:paraId="6747C1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Depression</w:t>
            </w:r>
          </w:p>
        </w:tc>
        <w:tc>
          <w:tcPr>
            <w:tcW w:w="378" w:type="pct"/>
            <w:vAlign w:val="center"/>
          </w:tcPr>
          <w:p w14:paraId="46D0045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35423A45"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48C22E4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5C77138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PD</w:t>
            </w:r>
          </w:p>
        </w:tc>
        <w:tc>
          <w:tcPr>
            <w:tcW w:w="620" w:type="pct"/>
          </w:tcPr>
          <w:p w14:paraId="5F349D19"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007BA26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2210EBA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862</w:t>
            </w:r>
          </w:p>
        </w:tc>
      </w:tr>
      <w:tr w:rsidR="005A6244" w:rsidRPr="00014750" w14:paraId="00E36504" w14:textId="77777777" w:rsidTr="005C0902">
        <w:tc>
          <w:tcPr>
            <w:tcW w:w="344" w:type="pct"/>
            <w:vAlign w:val="center"/>
          </w:tcPr>
          <w:p w14:paraId="0865B1E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P-24</w:t>
            </w:r>
          </w:p>
        </w:tc>
        <w:tc>
          <w:tcPr>
            <w:tcW w:w="599" w:type="pct"/>
            <w:vAlign w:val="center"/>
          </w:tcPr>
          <w:p w14:paraId="4067BCC5"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Suktel</w:t>
            </w:r>
            <w:proofErr w:type="spellEnd"/>
          </w:p>
        </w:tc>
        <w:tc>
          <w:tcPr>
            <w:tcW w:w="664" w:type="pct"/>
          </w:tcPr>
          <w:p w14:paraId="66C1AC1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Stream Banks</w:t>
            </w:r>
          </w:p>
        </w:tc>
        <w:tc>
          <w:tcPr>
            <w:tcW w:w="378" w:type="pct"/>
            <w:vAlign w:val="center"/>
          </w:tcPr>
          <w:p w14:paraId="2EF3654A"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4A81A28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6A45A67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e1-e2</w:t>
            </w:r>
          </w:p>
        </w:tc>
        <w:tc>
          <w:tcPr>
            <w:tcW w:w="453" w:type="pct"/>
            <w:vAlign w:val="center"/>
          </w:tcPr>
          <w:p w14:paraId="0D0FA8E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WD</w:t>
            </w:r>
          </w:p>
        </w:tc>
        <w:tc>
          <w:tcPr>
            <w:tcW w:w="620" w:type="pct"/>
          </w:tcPr>
          <w:p w14:paraId="2CD05E72"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50C406CB"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B45694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342</w:t>
            </w:r>
          </w:p>
        </w:tc>
      </w:tr>
      <w:tr w:rsidR="005A6244" w:rsidRPr="00014750" w14:paraId="2C962C13" w14:textId="77777777" w:rsidTr="005C0902">
        <w:tc>
          <w:tcPr>
            <w:tcW w:w="344" w:type="pct"/>
            <w:vAlign w:val="center"/>
          </w:tcPr>
          <w:p w14:paraId="2EA6F6BD"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P-25</w:t>
            </w:r>
          </w:p>
        </w:tc>
        <w:tc>
          <w:tcPr>
            <w:tcW w:w="599" w:type="pct"/>
            <w:vAlign w:val="center"/>
          </w:tcPr>
          <w:p w14:paraId="5654718C" w14:textId="77777777" w:rsidR="005A6244" w:rsidRPr="00014750" w:rsidRDefault="005A6244" w:rsidP="00AF7F6D">
            <w:pPr>
              <w:spacing w:after="0" w:line="240" w:lineRule="auto"/>
              <w:jc w:val="center"/>
              <w:rPr>
                <w:rFonts w:ascii="Times New Roman" w:hAnsi="Times New Roman" w:cs="Times New Roman"/>
                <w:sz w:val="16"/>
                <w:szCs w:val="16"/>
              </w:rPr>
            </w:pPr>
            <w:proofErr w:type="spellStart"/>
            <w:r w:rsidRPr="00014750">
              <w:rPr>
                <w:rFonts w:ascii="Times New Roman" w:hAnsi="Times New Roman" w:cs="Times New Roman"/>
                <w:sz w:val="16"/>
                <w:szCs w:val="16"/>
              </w:rPr>
              <w:t>Tusura</w:t>
            </w:r>
            <w:proofErr w:type="spellEnd"/>
          </w:p>
        </w:tc>
        <w:tc>
          <w:tcPr>
            <w:tcW w:w="664" w:type="pct"/>
            <w:vAlign w:val="center"/>
          </w:tcPr>
          <w:p w14:paraId="0094F8BE"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LPP</w:t>
            </w:r>
          </w:p>
        </w:tc>
        <w:tc>
          <w:tcPr>
            <w:tcW w:w="378" w:type="pct"/>
            <w:vAlign w:val="center"/>
          </w:tcPr>
          <w:p w14:paraId="6E1749F7"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1-5%</w:t>
            </w:r>
          </w:p>
        </w:tc>
        <w:tc>
          <w:tcPr>
            <w:tcW w:w="567" w:type="pct"/>
          </w:tcPr>
          <w:p w14:paraId="0E7D8ABC" w14:textId="77777777" w:rsidR="005A6244" w:rsidRPr="00014750" w:rsidRDefault="005A6244" w:rsidP="00AF7F6D">
            <w:pPr>
              <w:spacing w:after="0" w:line="240" w:lineRule="auto"/>
              <w:jc w:val="center"/>
              <w:rPr>
                <w:rFonts w:ascii="Times New Roman" w:hAnsi="Times New Roman" w:cs="Times New Roman"/>
                <w:sz w:val="16"/>
                <w:szCs w:val="16"/>
                <w:lang w:eastAsia="en-IN"/>
              </w:rPr>
            </w:pPr>
            <w:r w:rsidRPr="00014750">
              <w:rPr>
                <w:rFonts w:ascii="Times New Roman" w:hAnsi="Times New Roman" w:cs="Times New Roman"/>
                <w:sz w:val="16"/>
                <w:szCs w:val="16"/>
                <w:lang w:eastAsia="en-IN"/>
              </w:rPr>
              <w:t>0</w:t>
            </w:r>
          </w:p>
        </w:tc>
        <w:tc>
          <w:tcPr>
            <w:tcW w:w="401" w:type="pct"/>
            <w:vAlign w:val="center"/>
          </w:tcPr>
          <w:p w14:paraId="01401303"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lang w:eastAsia="en-IN"/>
              </w:rPr>
              <w:t>e1</w:t>
            </w:r>
          </w:p>
        </w:tc>
        <w:tc>
          <w:tcPr>
            <w:tcW w:w="453" w:type="pct"/>
            <w:vAlign w:val="center"/>
          </w:tcPr>
          <w:p w14:paraId="1225FCD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MWD</w:t>
            </w:r>
          </w:p>
        </w:tc>
        <w:tc>
          <w:tcPr>
            <w:tcW w:w="620" w:type="pct"/>
          </w:tcPr>
          <w:p w14:paraId="56624230"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bCs/>
                <w:sz w:val="16"/>
                <w:szCs w:val="16"/>
                <w:lang w:bidi="hi-IN"/>
              </w:rPr>
              <w:t>1446.7</w:t>
            </w:r>
          </w:p>
        </w:tc>
        <w:tc>
          <w:tcPr>
            <w:tcW w:w="516" w:type="pct"/>
          </w:tcPr>
          <w:p w14:paraId="12920E9C"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26.8</w:t>
            </w:r>
          </w:p>
        </w:tc>
        <w:tc>
          <w:tcPr>
            <w:tcW w:w="457" w:type="pct"/>
          </w:tcPr>
          <w:p w14:paraId="08472654" w14:textId="77777777" w:rsidR="005A6244" w:rsidRPr="00014750" w:rsidRDefault="005A6244" w:rsidP="00AF7F6D">
            <w:pPr>
              <w:spacing w:after="0" w:line="240" w:lineRule="auto"/>
              <w:jc w:val="center"/>
              <w:rPr>
                <w:rFonts w:ascii="Times New Roman" w:hAnsi="Times New Roman" w:cs="Times New Roman"/>
                <w:sz w:val="16"/>
                <w:szCs w:val="16"/>
              </w:rPr>
            </w:pPr>
            <w:r w:rsidRPr="00014750">
              <w:rPr>
                <w:rFonts w:ascii="Times New Roman" w:hAnsi="Times New Roman" w:cs="Times New Roman"/>
                <w:sz w:val="16"/>
                <w:szCs w:val="16"/>
              </w:rPr>
              <w:t>2187</w:t>
            </w:r>
          </w:p>
        </w:tc>
      </w:tr>
      <w:tr w:rsidR="005C0902" w:rsidRPr="00014750" w14:paraId="54A53D75" w14:textId="77777777" w:rsidTr="005C0902">
        <w:tc>
          <w:tcPr>
            <w:tcW w:w="344" w:type="pct"/>
            <w:vAlign w:val="center"/>
          </w:tcPr>
          <w:p w14:paraId="18259A4A"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759CC400"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1A1819E8"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378" w:type="pct"/>
            <w:vAlign w:val="center"/>
          </w:tcPr>
          <w:p w14:paraId="29A68DF5"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75A0BE1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32A8E972"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15108EB6"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373F9CDB"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1E715501"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7CD6B9DD"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5C0902" w:rsidRPr="00014750" w14:paraId="5046207A" w14:textId="77777777" w:rsidTr="005C0902">
        <w:tc>
          <w:tcPr>
            <w:tcW w:w="344" w:type="pct"/>
            <w:vAlign w:val="center"/>
          </w:tcPr>
          <w:p w14:paraId="62339A2D"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70AEA708"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774AD351" w14:textId="77777777" w:rsidR="005C0902" w:rsidRPr="00014750" w:rsidRDefault="005C0902" w:rsidP="005C0902">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378" w:type="pct"/>
            <w:vAlign w:val="center"/>
          </w:tcPr>
          <w:p w14:paraId="0C99BC8C"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67" w:type="pct"/>
            <w:vAlign w:val="center"/>
          </w:tcPr>
          <w:p w14:paraId="00E2EC8D"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01" w:type="pct"/>
            <w:vAlign w:val="center"/>
          </w:tcPr>
          <w:p w14:paraId="1C999EB6"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3" w:type="pct"/>
            <w:vAlign w:val="center"/>
          </w:tcPr>
          <w:p w14:paraId="4C6A7C84"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620" w:type="pct"/>
            <w:vAlign w:val="center"/>
          </w:tcPr>
          <w:p w14:paraId="2C37B579"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516" w:type="pct"/>
            <w:vAlign w:val="center"/>
          </w:tcPr>
          <w:p w14:paraId="7039B91F"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p>
        </w:tc>
        <w:tc>
          <w:tcPr>
            <w:tcW w:w="457" w:type="pct"/>
            <w:vAlign w:val="center"/>
          </w:tcPr>
          <w:p w14:paraId="717FD61E" w14:textId="77777777" w:rsidR="005C0902" w:rsidRPr="00014750" w:rsidRDefault="005C0902" w:rsidP="005C0902">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r w:rsidR="005C0902" w:rsidRPr="00014750" w14:paraId="59018EEB" w14:textId="77777777" w:rsidTr="005C0902">
        <w:tc>
          <w:tcPr>
            <w:tcW w:w="344" w:type="pct"/>
            <w:vAlign w:val="center"/>
          </w:tcPr>
          <w:p w14:paraId="2D58D199"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99" w:type="pct"/>
            <w:vAlign w:val="center"/>
          </w:tcPr>
          <w:p w14:paraId="436D95ED"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64" w:type="pct"/>
            <w:vAlign w:val="center"/>
          </w:tcPr>
          <w:p w14:paraId="5E1D798A" w14:textId="77777777" w:rsidR="005C0902" w:rsidRPr="00014750" w:rsidRDefault="005C0902" w:rsidP="005C0902">
            <w:pPr>
              <w:spacing w:after="0" w:line="240" w:lineRule="auto"/>
              <w:jc w:val="center"/>
              <w:rPr>
                <w:rFonts w:ascii="Times New Roman" w:hAnsi="Times New Roman" w:cs="Times New Roman"/>
                <w:sz w:val="16"/>
                <w:szCs w:val="16"/>
              </w:rPr>
            </w:pPr>
            <w:r w:rsidRPr="00014750">
              <w:rPr>
                <w:rFonts w:ascii="Times New Roman" w:hAnsi="Times New Roman" w:cs="Times New Roman"/>
                <w:b/>
                <w:bCs/>
                <w:sz w:val="16"/>
                <w:szCs w:val="16"/>
              </w:rPr>
              <w:t>Total</w:t>
            </w:r>
          </w:p>
        </w:tc>
        <w:tc>
          <w:tcPr>
            <w:tcW w:w="378" w:type="pct"/>
            <w:vAlign w:val="center"/>
          </w:tcPr>
          <w:p w14:paraId="2BCC982C"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567" w:type="pct"/>
          </w:tcPr>
          <w:p w14:paraId="62F69F2F"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01" w:type="pct"/>
            <w:vAlign w:val="center"/>
          </w:tcPr>
          <w:p w14:paraId="2A45A7B1" w14:textId="77777777" w:rsidR="005C0902" w:rsidRPr="00014750" w:rsidRDefault="005C0902" w:rsidP="005C0902">
            <w:pPr>
              <w:spacing w:after="0" w:line="240" w:lineRule="auto"/>
              <w:jc w:val="center"/>
              <w:rPr>
                <w:rFonts w:ascii="Times New Roman" w:hAnsi="Times New Roman" w:cs="Times New Roman"/>
                <w:sz w:val="16"/>
                <w:szCs w:val="16"/>
                <w:lang w:eastAsia="en-IN"/>
              </w:rPr>
            </w:pPr>
          </w:p>
        </w:tc>
        <w:tc>
          <w:tcPr>
            <w:tcW w:w="453" w:type="pct"/>
            <w:vAlign w:val="center"/>
          </w:tcPr>
          <w:p w14:paraId="4D3EEE11" w14:textId="77777777" w:rsidR="005C0902" w:rsidRPr="00014750" w:rsidRDefault="005C0902" w:rsidP="005C0902">
            <w:pPr>
              <w:spacing w:after="0" w:line="240" w:lineRule="auto"/>
              <w:jc w:val="center"/>
              <w:rPr>
                <w:rFonts w:ascii="Times New Roman" w:hAnsi="Times New Roman" w:cs="Times New Roman"/>
                <w:sz w:val="16"/>
                <w:szCs w:val="16"/>
              </w:rPr>
            </w:pPr>
          </w:p>
        </w:tc>
        <w:tc>
          <w:tcPr>
            <w:tcW w:w="620" w:type="pct"/>
          </w:tcPr>
          <w:p w14:paraId="023FE7EF"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516" w:type="pct"/>
          </w:tcPr>
          <w:p w14:paraId="68B1628F" w14:textId="77777777" w:rsidR="005C0902" w:rsidRPr="00014750" w:rsidRDefault="005C0902" w:rsidP="005C0902">
            <w:pPr>
              <w:spacing w:after="0" w:line="240" w:lineRule="auto"/>
              <w:jc w:val="center"/>
              <w:rPr>
                <w:rFonts w:ascii="Times New Roman" w:hAnsi="Times New Roman" w:cs="Times New Roman"/>
                <w:b/>
                <w:bCs/>
                <w:sz w:val="16"/>
                <w:szCs w:val="16"/>
              </w:rPr>
            </w:pPr>
          </w:p>
        </w:tc>
        <w:tc>
          <w:tcPr>
            <w:tcW w:w="457" w:type="pct"/>
            <w:vAlign w:val="center"/>
          </w:tcPr>
          <w:p w14:paraId="781F04A1" w14:textId="77777777" w:rsidR="005C0902" w:rsidRPr="00014750" w:rsidRDefault="005C0902" w:rsidP="005C0902">
            <w:pPr>
              <w:spacing w:after="0" w:line="240" w:lineRule="auto"/>
              <w:jc w:val="center"/>
              <w:rPr>
                <w:rFonts w:ascii="Times New Roman" w:hAnsi="Times New Roman" w:cs="Times New Roman"/>
                <w:b/>
                <w:bCs/>
                <w:sz w:val="16"/>
                <w:szCs w:val="16"/>
              </w:rPr>
            </w:pPr>
            <w:r w:rsidRPr="00014750">
              <w:rPr>
                <w:rFonts w:ascii="Times New Roman" w:hAnsi="Times New Roman" w:cs="Times New Roman"/>
                <w:b/>
                <w:bCs/>
                <w:sz w:val="16"/>
                <w:szCs w:val="16"/>
              </w:rPr>
              <w:t>24875</w:t>
            </w:r>
          </w:p>
        </w:tc>
      </w:tr>
    </w:tbl>
    <w:p w14:paraId="2BD4C615" w14:textId="77777777" w:rsidR="00372612" w:rsidRPr="00014750" w:rsidRDefault="006774B5" w:rsidP="006774B5">
      <w:pPr>
        <w:spacing w:after="0" w:line="240" w:lineRule="auto"/>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Erosion</w:t>
      </w:r>
      <w:r w:rsidRPr="00014750">
        <w:rPr>
          <w:rFonts w:ascii="Times New Roman" w:hAnsi="Times New Roman" w:cs="Times New Roman"/>
          <w:sz w:val="20"/>
          <w:szCs w:val="20"/>
          <w:lang w:eastAsia="en-IN"/>
        </w:rPr>
        <w:t>: e</w:t>
      </w:r>
      <w:r w:rsidR="008253BA" w:rsidRPr="00014750">
        <w:rPr>
          <w:rFonts w:ascii="Times New Roman" w:hAnsi="Times New Roman" w:cs="Times New Roman"/>
          <w:sz w:val="20"/>
          <w:szCs w:val="20"/>
          <w:lang w:eastAsia="en-IN"/>
        </w:rPr>
        <w:t>1-</w:t>
      </w:r>
      <w:r w:rsidR="008253BA" w:rsidRPr="00014750">
        <w:rPr>
          <w:rFonts w:ascii="Times New Roman" w:hAnsi="Times New Roman" w:cs="Times New Roman"/>
          <w:color w:val="000000"/>
          <w:sz w:val="20"/>
          <w:szCs w:val="20"/>
        </w:rPr>
        <w:t>None to slight water erosion; e2-Moderate water erosion; e3-Severe water erosion; e4-Very severe water erosion</w:t>
      </w:r>
      <w:r w:rsidRPr="00014750">
        <w:rPr>
          <w:rFonts w:ascii="Times New Roman" w:hAnsi="Times New Roman" w:cs="Times New Roman"/>
          <w:color w:val="000000"/>
          <w:sz w:val="20"/>
          <w:szCs w:val="20"/>
        </w:rPr>
        <w:t>.</w:t>
      </w:r>
    </w:p>
    <w:p w14:paraId="1CBFDF02" w14:textId="77777777" w:rsidR="006774B5" w:rsidRPr="00014750" w:rsidRDefault="006774B5" w:rsidP="006774B5">
      <w:pPr>
        <w:spacing w:after="0" w:line="240" w:lineRule="auto"/>
        <w:jc w:val="both"/>
        <w:outlineLvl w:val="1"/>
        <w:rPr>
          <w:rFonts w:ascii="Times New Roman" w:hAnsi="Times New Roman" w:cs="Times New Roman"/>
          <w:sz w:val="20"/>
          <w:szCs w:val="20"/>
          <w:lang w:eastAsia="en-IN"/>
        </w:rPr>
      </w:pPr>
      <w:r w:rsidRPr="00014750">
        <w:rPr>
          <w:rFonts w:ascii="Times New Roman" w:hAnsi="Times New Roman" w:cs="Times New Roman"/>
          <w:b/>
          <w:bCs/>
          <w:sz w:val="20"/>
          <w:szCs w:val="20"/>
          <w:lang w:eastAsia="en-IN"/>
        </w:rPr>
        <w:t xml:space="preserve">Drainage: </w:t>
      </w:r>
      <w:r w:rsidRPr="00014750">
        <w:rPr>
          <w:rFonts w:ascii="Times New Roman" w:hAnsi="Times New Roman" w:cs="Times New Roman"/>
          <w:sz w:val="20"/>
          <w:szCs w:val="20"/>
          <w:lang w:eastAsia="en-IN"/>
        </w:rPr>
        <w:t>PD-</w:t>
      </w:r>
      <w:r w:rsidRPr="00014750">
        <w:rPr>
          <w:rFonts w:ascii="Times New Roman" w:hAnsi="Times New Roman" w:cs="Times New Roman"/>
          <w:sz w:val="20"/>
          <w:szCs w:val="20"/>
        </w:rPr>
        <w:t>Poorly</w:t>
      </w:r>
      <w:r w:rsidRPr="00014750">
        <w:rPr>
          <w:rFonts w:ascii="Times New Roman" w:hAnsi="Times New Roman" w:cs="Times New Roman"/>
          <w:sz w:val="20"/>
          <w:szCs w:val="20"/>
          <w:lang w:eastAsia="en-IN"/>
        </w:rPr>
        <w:t xml:space="preserve"> drainage; WD-Well drainage; MWD-</w:t>
      </w:r>
      <w:r w:rsidRPr="00014750">
        <w:rPr>
          <w:rFonts w:ascii="Times New Roman" w:hAnsi="Times New Roman" w:cs="Times New Roman"/>
          <w:sz w:val="20"/>
          <w:szCs w:val="20"/>
        </w:rPr>
        <w:t xml:space="preserve">Moderately well </w:t>
      </w:r>
      <w:r w:rsidRPr="00014750">
        <w:rPr>
          <w:rFonts w:ascii="Times New Roman" w:hAnsi="Times New Roman" w:cs="Times New Roman"/>
          <w:sz w:val="20"/>
          <w:szCs w:val="20"/>
          <w:lang w:eastAsia="en-IN"/>
        </w:rPr>
        <w:t>drainage; ID-</w:t>
      </w:r>
      <w:r w:rsidR="00BA3126" w:rsidRPr="00014750">
        <w:rPr>
          <w:rFonts w:ascii="Times New Roman" w:hAnsi="Times New Roman" w:cs="Times New Roman"/>
          <w:sz w:val="20"/>
          <w:szCs w:val="20"/>
        </w:rPr>
        <w:t>Imperfectly</w:t>
      </w:r>
      <w:r w:rsidR="00BA3126" w:rsidRPr="00014750">
        <w:rPr>
          <w:rFonts w:ascii="Times New Roman" w:hAnsi="Times New Roman" w:cs="Times New Roman"/>
          <w:sz w:val="20"/>
          <w:szCs w:val="20"/>
          <w:lang w:eastAsia="en-IN"/>
        </w:rPr>
        <w:t xml:space="preserve"> drainage</w:t>
      </w:r>
      <w:r w:rsidRPr="00014750">
        <w:rPr>
          <w:rFonts w:ascii="Times New Roman" w:hAnsi="Times New Roman" w:cs="Times New Roman"/>
          <w:sz w:val="20"/>
          <w:szCs w:val="20"/>
          <w:lang w:eastAsia="en-IN"/>
        </w:rPr>
        <w:t>; ED-</w:t>
      </w:r>
      <w:r w:rsidR="00BA3126" w:rsidRPr="00014750">
        <w:rPr>
          <w:rFonts w:ascii="Times New Roman" w:hAnsi="Times New Roman" w:cs="Times New Roman"/>
          <w:sz w:val="20"/>
          <w:szCs w:val="20"/>
        </w:rPr>
        <w:t>Excessively</w:t>
      </w:r>
      <w:r w:rsidR="00BA3126" w:rsidRPr="00014750">
        <w:rPr>
          <w:rFonts w:ascii="Times New Roman" w:hAnsi="Times New Roman" w:cs="Times New Roman"/>
          <w:sz w:val="20"/>
          <w:szCs w:val="20"/>
          <w:lang w:eastAsia="en-IN"/>
        </w:rPr>
        <w:t xml:space="preserve"> drainage</w:t>
      </w:r>
    </w:p>
    <w:p w14:paraId="07DB1F3B" w14:textId="77777777" w:rsidR="006774B5" w:rsidRPr="00014750" w:rsidRDefault="006774B5" w:rsidP="006774B5">
      <w:pPr>
        <w:jc w:val="both"/>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 xml:space="preserve">Physiography: </w:t>
      </w:r>
      <w:r w:rsidRPr="00014750">
        <w:rPr>
          <w:rFonts w:ascii="Times New Roman" w:hAnsi="Times New Roman" w:cs="Times New Roman"/>
          <w:sz w:val="20"/>
          <w:szCs w:val="20"/>
        </w:rPr>
        <w:t>UPP- Upper Pedi-plains; LPP-Lower Pedi-plains</w:t>
      </w:r>
    </w:p>
    <w:p w14:paraId="7C49C331" w14:textId="77777777" w:rsidR="006774B5" w:rsidRPr="00014750" w:rsidRDefault="006774B5" w:rsidP="008253BA">
      <w:pPr>
        <w:spacing w:after="0" w:line="240" w:lineRule="auto"/>
        <w:ind w:left="284"/>
        <w:jc w:val="both"/>
        <w:outlineLvl w:val="1"/>
        <w:rPr>
          <w:rFonts w:ascii="Times New Roman" w:hAnsi="Times New Roman" w:cs="Times New Roman"/>
          <w:color w:val="000000"/>
          <w:sz w:val="20"/>
          <w:szCs w:val="20"/>
        </w:rPr>
      </w:pPr>
    </w:p>
    <w:p w14:paraId="34D227D0" w14:textId="77777777" w:rsidR="008253BA" w:rsidRPr="00014750" w:rsidRDefault="008253BA" w:rsidP="008253BA">
      <w:pPr>
        <w:spacing w:after="0" w:line="240" w:lineRule="auto"/>
        <w:ind w:left="284"/>
        <w:jc w:val="both"/>
        <w:outlineLvl w:val="1"/>
        <w:rPr>
          <w:rFonts w:ascii="Times New Roman" w:hAnsi="Times New Roman" w:cs="Times New Roman"/>
          <w:sz w:val="20"/>
          <w:szCs w:val="20"/>
          <w:lang w:eastAsia="en-IN"/>
        </w:rPr>
      </w:pPr>
    </w:p>
    <w:p w14:paraId="7D4E1786" w14:textId="77777777" w:rsidR="00751E04" w:rsidRPr="00014750" w:rsidRDefault="00751E04">
      <w:pPr>
        <w:rPr>
          <w:rFonts w:ascii="Times New Roman" w:hAnsi="Times New Roman"/>
          <w:b/>
          <w:bCs/>
          <w:lang w:eastAsia="en-IN"/>
        </w:rPr>
      </w:pPr>
      <w:r w:rsidRPr="00014750">
        <w:rPr>
          <w:rFonts w:ascii="Times New Roman" w:hAnsi="Times New Roman"/>
          <w:b/>
          <w:bCs/>
          <w:lang w:eastAsia="en-IN"/>
        </w:rPr>
        <w:br w:type="page"/>
      </w:r>
    </w:p>
    <w:p w14:paraId="37E95C07" w14:textId="77777777" w:rsidR="00537318" w:rsidRPr="00014750" w:rsidRDefault="00537318" w:rsidP="00537318">
      <w:pPr>
        <w:spacing w:after="0" w:line="360" w:lineRule="auto"/>
        <w:ind w:left="284"/>
        <w:jc w:val="both"/>
        <w:outlineLvl w:val="1"/>
        <w:rPr>
          <w:rFonts w:ascii="Times New Roman" w:hAnsi="Times New Roman"/>
          <w:b/>
          <w:bCs/>
          <w:lang w:eastAsia="en-IN"/>
        </w:rPr>
      </w:pPr>
      <w:r w:rsidRPr="00014750">
        <w:rPr>
          <w:rFonts w:ascii="Times New Roman" w:hAnsi="Times New Roman"/>
          <w:b/>
          <w:bCs/>
          <w:lang w:eastAsia="en-IN"/>
        </w:rPr>
        <w:lastRenderedPageBreak/>
        <w:t>Table 2. Soil characteristics selected for suitability evaluation for major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1125"/>
        <w:gridCol w:w="995"/>
        <w:gridCol w:w="918"/>
        <w:gridCol w:w="852"/>
        <w:gridCol w:w="1199"/>
        <w:gridCol w:w="1007"/>
        <w:gridCol w:w="630"/>
        <w:gridCol w:w="1277"/>
        <w:gridCol w:w="739"/>
      </w:tblGrid>
      <w:tr w:rsidR="0080392E" w:rsidRPr="00014750" w14:paraId="60F71573" w14:textId="77777777" w:rsidTr="00AF7F6D">
        <w:tc>
          <w:tcPr>
            <w:tcW w:w="435" w:type="pct"/>
            <w:vAlign w:val="center"/>
          </w:tcPr>
          <w:p w14:paraId="0E7C4533"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bCs/>
                <w:sz w:val="20"/>
                <w:szCs w:val="20"/>
                <w:lang w:eastAsia="en-IN"/>
              </w:rPr>
              <w:t>Pedon</w:t>
            </w:r>
          </w:p>
        </w:tc>
        <w:tc>
          <w:tcPr>
            <w:tcW w:w="587" w:type="pct"/>
            <w:vAlign w:val="center"/>
          </w:tcPr>
          <w:p w14:paraId="50776209"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Depth (cm)</w:t>
            </w:r>
          </w:p>
        </w:tc>
        <w:tc>
          <w:tcPr>
            <w:tcW w:w="519" w:type="pct"/>
            <w:vAlign w:val="center"/>
          </w:tcPr>
          <w:p w14:paraId="0EF8C911"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Texture</w:t>
            </w:r>
          </w:p>
        </w:tc>
        <w:tc>
          <w:tcPr>
            <w:tcW w:w="479" w:type="pct"/>
            <w:vAlign w:val="center"/>
          </w:tcPr>
          <w:p w14:paraId="794643D3"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BD</w:t>
            </w:r>
          </w:p>
          <w:p w14:paraId="17A4EDC4" w14:textId="77777777" w:rsidR="0080392E" w:rsidRPr="00014750" w:rsidRDefault="0020295D"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 xml:space="preserve">(g </w:t>
            </w:r>
            <w:r w:rsidR="0080392E" w:rsidRPr="00014750">
              <w:rPr>
                <w:rFonts w:ascii="Times New Roman" w:hAnsi="Times New Roman" w:cs="Times New Roman"/>
                <w:b/>
                <w:sz w:val="20"/>
                <w:szCs w:val="20"/>
              </w:rPr>
              <w:t>cm</w:t>
            </w:r>
            <w:r w:rsidRPr="00014750">
              <w:rPr>
                <w:rFonts w:ascii="Times New Roman" w:hAnsi="Times New Roman" w:cs="Times New Roman"/>
                <w:b/>
                <w:sz w:val="20"/>
                <w:szCs w:val="20"/>
              </w:rPr>
              <w:t>-</w:t>
            </w:r>
            <w:r w:rsidR="0080392E" w:rsidRPr="00014750">
              <w:rPr>
                <w:rFonts w:ascii="Times New Roman" w:hAnsi="Times New Roman" w:cs="Times New Roman"/>
                <w:b/>
                <w:sz w:val="20"/>
                <w:szCs w:val="20"/>
                <w:vertAlign w:val="superscript"/>
              </w:rPr>
              <w:t>3</w:t>
            </w:r>
            <w:r w:rsidR="0080392E" w:rsidRPr="00014750">
              <w:rPr>
                <w:rFonts w:ascii="Times New Roman" w:hAnsi="Times New Roman" w:cs="Times New Roman"/>
                <w:b/>
                <w:sz w:val="20"/>
                <w:szCs w:val="20"/>
              </w:rPr>
              <w:t>)</w:t>
            </w:r>
          </w:p>
        </w:tc>
        <w:tc>
          <w:tcPr>
            <w:tcW w:w="445" w:type="pct"/>
            <w:vAlign w:val="center"/>
          </w:tcPr>
          <w:p w14:paraId="2D423246"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pH</w:t>
            </w:r>
          </w:p>
          <w:p w14:paraId="5F8F7880"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(1:2.5)</w:t>
            </w:r>
          </w:p>
        </w:tc>
        <w:tc>
          <w:tcPr>
            <w:tcW w:w="626" w:type="pct"/>
            <w:vAlign w:val="center"/>
          </w:tcPr>
          <w:p w14:paraId="1E0EB4DF"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Salinity EC</w:t>
            </w:r>
          </w:p>
          <w:p w14:paraId="353D97D8"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(dSm-</w:t>
            </w:r>
            <w:r w:rsidRPr="00014750">
              <w:rPr>
                <w:rFonts w:ascii="Times New Roman" w:hAnsi="Times New Roman" w:cs="Times New Roman"/>
                <w:b/>
                <w:sz w:val="20"/>
                <w:szCs w:val="20"/>
                <w:vertAlign w:val="superscript"/>
              </w:rPr>
              <w:t>1</w:t>
            </w:r>
            <w:r w:rsidRPr="00014750">
              <w:rPr>
                <w:rFonts w:ascii="Times New Roman" w:hAnsi="Times New Roman" w:cs="Times New Roman"/>
                <w:b/>
                <w:sz w:val="20"/>
                <w:szCs w:val="20"/>
              </w:rPr>
              <w:t>)</w:t>
            </w:r>
          </w:p>
        </w:tc>
        <w:tc>
          <w:tcPr>
            <w:tcW w:w="526" w:type="pct"/>
            <w:vAlign w:val="center"/>
          </w:tcPr>
          <w:p w14:paraId="16F7023A"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proofErr w:type="spellStart"/>
            <w:r w:rsidRPr="00014750">
              <w:rPr>
                <w:rFonts w:ascii="Times New Roman" w:hAnsi="Times New Roman" w:cs="Times New Roman"/>
                <w:b/>
                <w:sz w:val="20"/>
                <w:szCs w:val="20"/>
              </w:rPr>
              <w:t>Sodicity</w:t>
            </w:r>
            <w:proofErr w:type="spellEnd"/>
          </w:p>
          <w:p w14:paraId="1D1D2CDC"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(ESP)</w:t>
            </w:r>
          </w:p>
        </w:tc>
        <w:tc>
          <w:tcPr>
            <w:tcW w:w="329" w:type="pct"/>
            <w:vAlign w:val="center"/>
          </w:tcPr>
          <w:p w14:paraId="034EB9D6"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OC</w:t>
            </w:r>
          </w:p>
          <w:p w14:paraId="7E3BE5E9"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w:t>
            </w:r>
          </w:p>
        </w:tc>
        <w:tc>
          <w:tcPr>
            <w:tcW w:w="667" w:type="pct"/>
            <w:vAlign w:val="center"/>
          </w:tcPr>
          <w:p w14:paraId="5AF00B10"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CEC</w:t>
            </w:r>
          </w:p>
          <w:p w14:paraId="45E5597A"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proofErr w:type="spellStart"/>
            <w:r w:rsidRPr="00014750">
              <w:rPr>
                <w:rFonts w:ascii="Times New Roman" w:hAnsi="Times New Roman" w:cs="Times New Roman"/>
                <w:b/>
                <w:sz w:val="20"/>
                <w:szCs w:val="20"/>
              </w:rPr>
              <w:t>cmol</w:t>
            </w:r>
            <w:proofErr w:type="spellEnd"/>
            <w:r w:rsidRPr="00014750">
              <w:rPr>
                <w:rFonts w:ascii="Times New Roman" w:hAnsi="Times New Roman" w:cs="Times New Roman"/>
                <w:b/>
                <w:sz w:val="20"/>
                <w:szCs w:val="20"/>
              </w:rPr>
              <w:t xml:space="preserve"> (p+) kg-</w:t>
            </w:r>
            <w:r w:rsidRPr="00014750">
              <w:rPr>
                <w:rFonts w:ascii="Times New Roman" w:hAnsi="Times New Roman" w:cs="Times New Roman"/>
                <w:b/>
                <w:sz w:val="20"/>
                <w:szCs w:val="20"/>
                <w:vertAlign w:val="superscript"/>
              </w:rPr>
              <w:t>1</w:t>
            </w:r>
          </w:p>
        </w:tc>
        <w:tc>
          <w:tcPr>
            <w:tcW w:w="386" w:type="pct"/>
            <w:vAlign w:val="center"/>
          </w:tcPr>
          <w:p w14:paraId="0AA6700B" w14:textId="77777777" w:rsidR="0080392E" w:rsidRPr="00014750" w:rsidRDefault="0080392E" w:rsidP="00AF7F6D">
            <w:pPr>
              <w:spacing w:after="0" w:line="240" w:lineRule="auto"/>
              <w:jc w:val="center"/>
              <w:outlineLvl w:val="1"/>
              <w:rPr>
                <w:rFonts w:ascii="Times New Roman" w:hAnsi="Times New Roman" w:cs="Times New Roman"/>
                <w:b/>
                <w:sz w:val="20"/>
                <w:szCs w:val="20"/>
              </w:rPr>
            </w:pPr>
            <w:r w:rsidRPr="00014750">
              <w:rPr>
                <w:rFonts w:ascii="Times New Roman" w:hAnsi="Times New Roman" w:cs="Times New Roman"/>
                <w:b/>
                <w:sz w:val="20"/>
                <w:szCs w:val="20"/>
              </w:rPr>
              <w:t>BS</w:t>
            </w:r>
          </w:p>
          <w:p w14:paraId="2E251DDB" w14:textId="77777777" w:rsidR="0080392E" w:rsidRPr="00014750" w:rsidRDefault="0080392E" w:rsidP="00AF7F6D">
            <w:pPr>
              <w:spacing w:after="0" w:line="240" w:lineRule="auto"/>
              <w:jc w:val="center"/>
              <w:outlineLvl w:val="1"/>
              <w:rPr>
                <w:rFonts w:ascii="Times New Roman" w:hAnsi="Times New Roman" w:cs="Times New Roman"/>
                <w:b/>
                <w:bCs/>
                <w:sz w:val="20"/>
                <w:szCs w:val="20"/>
                <w:lang w:eastAsia="en-IN"/>
              </w:rPr>
            </w:pPr>
            <w:r w:rsidRPr="00014750">
              <w:rPr>
                <w:rFonts w:ascii="Times New Roman" w:hAnsi="Times New Roman" w:cs="Times New Roman"/>
                <w:b/>
                <w:sz w:val="20"/>
                <w:szCs w:val="20"/>
              </w:rPr>
              <w:t>(%)</w:t>
            </w:r>
          </w:p>
        </w:tc>
      </w:tr>
      <w:tr w:rsidR="0080392E" w:rsidRPr="00014750" w14:paraId="02C7CC25" w14:textId="77777777" w:rsidTr="00AF7F6D">
        <w:tc>
          <w:tcPr>
            <w:tcW w:w="435" w:type="pct"/>
            <w:vAlign w:val="bottom"/>
          </w:tcPr>
          <w:p w14:paraId="01FED42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w:t>
            </w:r>
          </w:p>
        </w:tc>
        <w:tc>
          <w:tcPr>
            <w:tcW w:w="587" w:type="pct"/>
          </w:tcPr>
          <w:p w14:paraId="281D2A1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w:t>
            </w:r>
          </w:p>
        </w:tc>
        <w:tc>
          <w:tcPr>
            <w:tcW w:w="519" w:type="pct"/>
          </w:tcPr>
          <w:p w14:paraId="01E58D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5E7FC39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1.75</w:t>
            </w:r>
          </w:p>
        </w:tc>
        <w:tc>
          <w:tcPr>
            <w:tcW w:w="445" w:type="pct"/>
            <w:vAlign w:val="bottom"/>
          </w:tcPr>
          <w:p w14:paraId="667EE75F"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6.62</w:t>
            </w:r>
          </w:p>
        </w:tc>
        <w:tc>
          <w:tcPr>
            <w:tcW w:w="626" w:type="pct"/>
            <w:vAlign w:val="center"/>
          </w:tcPr>
          <w:p w14:paraId="2D7F19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526" w:type="pct"/>
          </w:tcPr>
          <w:p w14:paraId="000FA1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5.11</w:t>
            </w:r>
          </w:p>
        </w:tc>
        <w:tc>
          <w:tcPr>
            <w:tcW w:w="329" w:type="pct"/>
          </w:tcPr>
          <w:p w14:paraId="72A350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0.43</w:t>
            </w:r>
          </w:p>
        </w:tc>
        <w:tc>
          <w:tcPr>
            <w:tcW w:w="667" w:type="pct"/>
            <w:vAlign w:val="center"/>
          </w:tcPr>
          <w:p w14:paraId="7E5F04A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6.40</w:t>
            </w:r>
          </w:p>
        </w:tc>
        <w:tc>
          <w:tcPr>
            <w:tcW w:w="386" w:type="pct"/>
            <w:vAlign w:val="center"/>
          </w:tcPr>
          <w:p w14:paraId="1E42C68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67.65</w:t>
            </w:r>
          </w:p>
        </w:tc>
      </w:tr>
      <w:tr w:rsidR="0080392E" w:rsidRPr="00014750" w14:paraId="4F753027" w14:textId="77777777" w:rsidTr="00AF7F6D">
        <w:tc>
          <w:tcPr>
            <w:tcW w:w="435" w:type="pct"/>
            <w:vAlign w:val="bottom"/>
          </w:tcPr>
          <w:p w14:paraId="45EF4E6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w:t>
            </w:r>
          </w:p>
        </w:tc>
        <w:tc>
          <w:tcPr>
            <w:tcW w:w="587" w:type="pct"/>
          </w:tcPr>
          <w:p w14:paraId="089FB0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714871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033CC0A1"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1.66</w:t>
            </w:r>
          </w:p>
        </w:tc>
        <w:tc>
          <w:tcPr>
            <w:tcW w:w="445" w:type="pct"/>
            <w:vAlign w:val="bottom"/>
          </w:tcPr>
          <w:p w14:paraId="4CB6935D"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6.58</w:t>
            </w:r>
          </w:p>
        </w:tc>
        <w:tc>
          <w:tcPr>
            <w:tcW w:w="626" w:type="pct"/>
            <w:vAlign w:val="center"/>
          </w:tcPr>
          <w:p w14:paraId="13403D7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2281DCB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2.46</w:t>
            </w:r>
          </w:p>
        </w:tc>
        <w:tc>
          <w:tcPr>
            <w:tcW w:w="329" w:type="pct"/>
          </w:tcPr>
          <w:p w14:paraId="6AFC0E1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62B5BD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10.43</w:t>
            </w:r>
          </w:p>
        </w:tc>
        <w:tc>
          <w:tcPr>
            <w:tcW w:w="386" w:type="pct"/>
            <w:vAlign w:val="center"/>
          </w:tcPr>
          <w:p w14:paraId="71406BD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58.96</w:t>
            </w:r>
          </w:p>
        </w:tc>
      </w:tr>
      <w:tr w:rsidR="0080392E" w:rsidRPr="00014750" w14:paraId="0C264DEF" w14:textId="77777777" w:rsidTr="00AF7F6D">
        <w:tc>
          <w:tcPr>
            <w:tcW w:w="435" w:type="pct"/>
            <w:vAlign w:val="bottom"/>
          </w:tcPr>
          <w:p w14:paraId="5DC5327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P-3</w:t>
            </w:r>
          </w:p>
        </w:tc>
        <w:tc>
          <w:tcPr>
            <w:tcW w:w="587" w:type="pct"/>
          </w:tcPr>
          <w:p w14:paraId="712EDBF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117</w:t>
            </w:r>
          </w:p>
        </w:tc>
        <w:tc>
          <w:tcPr>
            <w:tcW w:w="519" w:type="pct"/>
          </w:tcPr>
          <w:p w14:paraId="2DB8BA6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22D3625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226FD562"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6.07</w:t>
            </w:r>
          </w:p>
        </w:tc>
        <w:tc>
          <w:tcPr>
            <w:tcW w:w="626" w:type="pct"/>
            <w:vAlign w:val="center"/>
          </w:tcPr>
          <w:p w14:paraId="3759D22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0BE06CA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1.31</w:t>
            </w:r>
          </w:p>
        </w:tc>
        <w:tc>
          <w:tcPr>
            <w:tcW w:w="329" w:type="pct"/>
          </w:tcPr>
          <w:p w14:paraId="3BB408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04A4961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25.76</w:t>
            </w:r>
          </w:p>
        </w:tc>
        <w:tc>
          <w:tcPr>
            <w:tcW w:w="386" w:type="pct"/>
            <w:vAlign w:val="center"/>
          </w:tcPr>
          <w:p w14:paraId="391F986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29.55</w:t>
            </w:r>
          </w:p>
        </w:tc>
      </w:tr>
      <w:tr w:rsidR="0080392E" w:rsidRPr="00014750" w14:paraId="2D062ED8" w14:textId="77777777" w:rsidTr="00AF7F6D">
        <w:tc>
          <w:tcPr>
            <w:tcW w:w="435" w:type="pct"/>
            <w:vAlign w:val="bottom"/>
          </w:tcPr>
          <w:p w14:paraId="34888B3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P-4</w:t>
            </w:r>
          </w:p>
        </w:tc>
        <w:tc>
          <w:tcPr>
            <w:tcW w:w="587" w:type="pct"/>
          </w:tcPr>
          <w:p w14:paraId="75526C9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125</w:t>
            </w:r>
          </w:p>
        </w:tc>
        <w:tc>
          <w:tcPr>
            <w:tcW w:w="519" w:type="pct"/>
          </w:tcPr>
          <w:p w14:paraId="761CB6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46A51BE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1.64</w:t>
            </w:r>
          </w:p>
        </w:tc>
        <w:tc>
          <w:tcPr>
            <w:tcW w:w="445" w:type="pct"/>
            <w:vAlign w:val="bottom"/>
          </w:tcPr>
          <w:p w14:paraId="472BF02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7.85</w:t>
            </w:r>
          </w:p>
        </w:tc>
        <w:tc>
          <w:tcPr>
            <w:tcW w:w="626" w:type="pct"/>
            <w:vAlign w:val="center"/>
          </w:tcPr>
          <w:p w14:paraId="7BA867A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069D2B9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w:t>
            </w:r>
          </w:p>
        </w:tc>
        <w:tc>
          <w:tcPr>
            <w:tcW w:w="329" w:type="pct"/>
          </w:tcPr>
          <w:p w14:paraId="569E03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0.15</w:t>
            </w:r>
          </w:p>
        </w:tc>
        <w:tc>
          <w:tcPr>
            <w:tcW w:w="667" w:type="pct"/>
            <w:vAlign w:val="center"/>
          </w:tcPr>
          <w:p w14:paraId="06E87A6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26.06</w:t>
            </w:r>
          </w:p>
        </w:tc>
        <w:tc>
          <w:tcPr>
            <w:tcW w:w="386" w:type="pct"/>
            <w:vAlign w:val="center"/>
          </w:tcPr>
          <w:p w14:paraId="1FAC38A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43.05</w:t>
            </w:r>
          </w:p>
        </w:tc>
      </w:tr>
      <w:tr w:rsidR="0080392E" w:rsidRPr="00014750" w14:paraId="5EC84A36" w14:textId="77777777" w:rsidTr="00AF7F6D">
        <w:tc>
          <w:tcPr>
            <w:tcW w:w="435" w:type="pct"/>
            <w:vAlign w:val="bottom"/>
          </w:tcPr>
          <w:p w14:paraId="613FD59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P-5</w:t>
            </w:r>
          </w:p>
        </w:tc>
        <w:tc>
          <w:tcPr>
            <w:tcW w:w="587" w:type="pct"/>
          </w:tcPr>
          <w:p w14:paraId="68F1890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103</w:t>
            </w:r>
          </w:p>
        </w:tc>
        <w:tc>
          <w:tcPr>
            <w:tcW w:w="519" w:type="pct"/>
          </w:tcPr>
          <w:p w14:paraId="15237BF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D58383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1.40</w:t>
            </w:r>
          </w:p>
        </w:tc>
        <w:tc>
          <w:tcPr>
            <w:tcW w:w="445" w:type="pct"/>
            <w:vAlign w:val="bottom"/>
          </w:tcPr>
          <w:p w14:paraId="0C72066E"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4.97</w:t>
            </w:r>
          </w:p>
        </w:tc>
        <w:tc>
          <w:tcPr>
            <w:tcW w:w="626" w:type="pct"/>
            <w:vAlign w:val="center"/>
          </w:tcPr>
          <w:p w14:paraId="0D6D590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36FCCA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2.89</w:t>
            </w:r>
          </w:p>
        </w:tc>
        <w:tc>
          <w:tcPr>
            <w:tcW w:w="329" w:type="pct"/>
          </w:tcPr>
          <w:p w14:paraId="1B04324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0B0912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11.05</w:t>
            </w:r>
          </w:p>
        </w:tc>
        <w:tc>
          <w:tcPr>
            <w:tcW w:w="386" w:type="pct"/>
            <w:vAlign w:val="center"/>
          </w:tcPr>
          <w:p w14:paraId="7624045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54.93</w:t>
            </w:r>
          </w:p>
        </w:tc>
      </w:tr>
      <w:tr w:rsidR="0080392E" w:rsidRPr="00014750" w14:paraId="0565A04F" w14:textId="77777777" w:rsidTr="00AF7F6D">
        <w:tc>
          <w:tcPr>
            <w:tcW w:w="435" w:type="pct"/>
            <w:vAlign w:val="bottom"/>
          </w:tcPr>
          <w:p w14:paraId="44D3DF2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P-6</w:t>
            </w:r>
          </w:p>
        </w:tc>
        <w:tc>
          <w:tcPr>
            <w:tcW w:w="587" w:type="pct"/>
          </w:tcPr>
          <w:p w14:paraId="0F246D0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w:t>
            </w:r>
          </w:p>
        </w:tc>
        <w:tc>
          <w:tcPr>
            <w:tcW w:w="519" w:type="pct"/>
          </w:tcPr>
          <w:p w14:paraId="03767BA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7373A48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367B41C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6.51</w:t>
            </w:r>
          </w:p>
        </w:tc>
        <w:tc>
          <w:tcPr>
            <w:tcW w:w="626" w:type="pct"/>
            <w:vAlign w:val="center"/>
          </w:tcPr>
          <w:p w14:paraId="319769C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18C2B6A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1.53</w:t>
            </w:r>
          </w:p>
        </w:tc>
        <w:tc>
          <w:tcPr>
            <w:tcW w:w="329" w:type="pct"/>
          </w:tcPr>
          <w:p w14:paraId="00E56AE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0.44</w:t>
            </w:r>
          </w:p>
        </w:tc>
        <w:tc>
          <w:tcPr>
            <w:tcW w:w="667" w:type="pct"/>
            <w:vAlign w:val="center"/>
          </w:tcPr>
          <w:p w14:paraId="7C42D1A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27.00</w:t>
            </w:r>
          </w:p>
        </w:tc>
        <w:tc>
          <w:tcPr>
            <w:tcW w:w="386" w:type="pct"/>
            <w:vAlign w:val="center"/>
          </w:tcPr>
          <w:p w14:paraId="2A727E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46.30</w:t>
            </w:r>
          </w:p>
        </w:tc>
      </w:tr>
      <w:tr w:rsidR="0080392E" w:rsidRPr="00014750" w14:paraId="73D5661E" w14:textId="77777777" w:rsidTr="00AF7F6D">
        <w:tc>
          <w:tcPr>
            <w:tcW w:w="435" w:type="pct"/>
            <w:vAlign w:val="bottom"/>
          </w:tcPr>
          <w:p w14:paraId="26C39BD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P-7</w:t>
            </w:r>
          </w:p>
        </w:tc>
        <w:tc>
          <w:tcPr>
            <w:tcW w:w="587" w:type="pct"/>
          </w:tcPr>
          <w:p w14:paraId="393F4A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115</w:t>
            </w:r>
          </w:p>
        </w:tc>
        <w:tc>
          <w:tcPr>
            <w:tcW w:w="519" w:type="pct"/>
          </w:tcPr>
          <w:p w14:paraId="4C22621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5E19DFC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21A9A8F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7.01</w:t>
            </w:r>
          </w:p>
        </w:tc>
        <w:tc>
          <w:tcPr>
            <w:tcW w:w="626" w:type="pct"/>
            <w:vAlign w:val="center"/>
          </w:tcPr>
          <w:p w14:paraId="04C3A18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0.06</w:t>
            </w:r>
          </w:p>
        </w:tc>
        <w:tc>
          <w:tcPr>
            <w:tcW w:w="526" w:type="pct"/>
          </w:tcPr>
          <w:p w14:paraId="6018D92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2.91</w:t>
            </w:r>
          </w:p>
        </w:tc>
        <w:tc>
          <w:tcPr>
            <w:tcW w:w="329" w:type="pct"/>
          </w:tcPr>
          <w:p w14:paraId="344F01C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0.32</w:t>
            </w:r>
          </w:p>
        </w:tc>
        <w:tc>
          <w:tcPr>
            <w:tcW w:w="667" w:type="pct"/>
            <w:vAlign w:val="center"/>
          </w:tcPr>
          <w:p w14:paraId="56044F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14.73</w:t>
            </w:r>
          </w:p>
        </w:tc>
        <w:tc>
          <w:tcPr>
            <w:tcW w:w="386" w:type="pct"/>
            <w:vAlign w:val="center"/>
          </w:tcPr>
          <w:p w14:paraId="7E6495D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41.39</w:t>
            </w:r>
          </w:p>
        </w:tc>
      </w:tr>
      <w:tr w:rsidR="0080392E" w:rsidRPr="00014750" w14:paraId="547A6015" w14:textId="77777777" w:rsidTr="00AF7F6D">
        <w:tc>
          <w:tcPr>
            <w:tcW w:w="435" w:type="pct"/>
            <w:vAlign w:val="bottom"/>
          </w:tcPr>
          <w:p w14:paraId="5CBB876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P-8</w:t>
            </w:r>
          </w:p>
        </w:tc>
        <w:tc>
          <w:tcPr>
            <w:tcW w:w="587" w:type="pct"/>
          </w:tcPr>
          <w:p w14:paraId="21467A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w:t>
            </w:r>
          </w:p>
        </w:tc>
        <w:tc>
          <w:tcPr>
            <w:tcW w:w="519" w:type="pct"/>
          </w:tcPr>
          <w:p w14:paraId="27C3F87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41FE79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1.65</w:t>
            </w:r>
          </w:p>
        </w:tc>
        <w:tc>
          <w:tcPr>
            <w:tcW w:w="445" w:type="pct"/>
            <w:vAlign w:val="bottom"/>
          </w:tcPr>
          <w:p w14:paraId="7704571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6.45</w:t>
            </w:r>
          </w:p>
        </w:tc>
        <w:tc>
          <w:tcPr>
            <w:tcW w:w="626" w:type="pct"/>
            <w:vAlign w:val="center"/>
          </w:tcPr>
          <w:p w14:paraId="7C8DA88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188270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2.57</w:t>
            </w:r>
          </w:p>
        </w:tc>
        <w:tc>
          <w:tcPr>
            <w:tcW w:w="329" w:type="pct"/>
          </w:tcPr>
          <w:p w14:paraId="3F4E107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30DB2FD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6.54</w:t>
            </w:r>
          </w:p>
        </w:tc>
        <w:tc>
          <w:tcPr>
            <w:tcW w:w="386" w:type="pct"/>
            <w:vAlign w:val="center"/>
          </w:tcPr>
          <w:p w14:paraId="63C6962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67.71</w:t>
            </w:r>
          </w:p>
        </w:tc>
      </w:tr>
      <w:tr w:rsidR="0080392E" w:rsidRPr="00014750" w14:paraId="55551545" w14:textId="77777777" w:rsidTr="00AF7F6D">
        <w:tc>
          <w:tcPr>
            <w:tcW w:w="435" w:type="pct"/>
            <w:vAlign w:val="bottom"/>
          </w:tcPr>
          <w:p w14:paraId="75C4D54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P-9</w:t>
            </w:r>
          </w:p>
        </w:tc>
        <w:tc>
          <w:tcPr>
            <w:tcW w:w="587" w:type="pct"/>
          </w:tcPr>
          <w:p w14:paraId="1B36E1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2383591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0FE7D1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3E127144"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64900C3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532002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1.06</w:t>
            </w:r>
          </w:p>
        </w:tc>
        <w:tc>
          <w:tcPr>
            <w:tcW w:w="329" w:type="pct"/>
          </w:tcPr>
          <w:p w14:paraId="6A3CFEB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0.50</w:t>
            </w:r>
          </w:p>
        </w:tc>
        <w:tc>
          <w:tcPr>
            <w:tcW w:w="667" w:type="pct"/>
            <w:vAlign w:val="center"/>
          </w:tcPr>
          <w:p w14:paraId="410543F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10.27</w:t>
            </w:r>
          </w:p>
        </w:tc>
        <w:tc>
          <w:tcPr>
            <w:tcW w:w="386" w:type="pct"/>
            <w:vAlign w:val="center"/>
          </w:tcPr>
          <w:p w14:paraId="020D5A7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55.21</w:t>
            </w:r>
          </w:p>
        </w:tc>
      </w:tr>
      <w:tr w:rsidR="0080392E" w:rsidRPr="00014750" w14:paraId="71114E4D" w14:textId="77777777" w:rsidTr="00AF7F6D">
        <w:tc>
          <w:tcPr>
            <w:tcW w:w="435" w:type="pct"/>
            <w:vAlign w:val="bottom"/>
          </w:tcPr>
          <w:p w14:paraId="3C1DEA2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P-10</w:t>
            </w:r>
          </w:p>
        </w:tc>
        <w:tc>
          <w:tcPr>
            <w:tcW w:w="587" w:type="pct"/>
          </w:tcPr>
          <w:p w14:paraId="62ADF00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45DF20E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r</w:t>
            </w:r>
          </w:p>
        </w:tc>
        <w:tc>
          <w:tcPr>
            <w:tcW w:w="479" w:type="pct"/>
          </w:tcPr>
          <w:p w14:paraId="1BFE134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1.48</w:t>
            </w:r>
          </w:p>
        </w:tc>
        <w:tc>
          <w:tcPr>
            <w:tcW w:w="445" w:type="pct"/>
            <w:vAlign w:val="bottom"/>
          </w:tcPr>
          <w:p w14:paraId="7D35C6E8"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7.03</w:t>
            </w:r>
          </w:p>
        </w:tc>
        <w:tc>
          <w:tcPr>
            <w:tcW w:w="626" w:type="pct"/>
            <w:vAlign w:val="center"/>
          </w:tcPr>
          <w:p w14:paraId="131C9CC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4BB6764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w:t>
            </w:r>
          </w:p>
        </w:tc>
        <w:tc>
          <w:tcPr>
            <w:tcW w:w="329" w:type="pct"/>
          </w:tcPr>
          <w:p w14:paraId="31E527D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0.23</w:t>
            </w:r>
          </w:p>
        </w:tc>
        <w:tc>
          <w:tcPr>
            <w:tcW w:w="667" w:type="pct"/>
            <w:vAlign w:val="center"/>
          </w:tcPr>
          <w:p w14:paraId="3F35271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37.69</w:t>
            </w:r>
          </w:p>
        </w:tc>
        <w:tc>
          <w:tcPr>
            <w:tcW w:w="386" w:type="pct"/>
            <w:vAlign w:val="center"/>
          </w:tcPr>
          <w:p w14:paraId="752A412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32.03</w:t>
            </w:r>
          </w:p>
        </w:tc>
      </w:tr>
      <w:tr w:rsidR="0080392E" w:rsidRPr="00014750" w14:paraId="475368E7" w14:textId="77777777" w:rsidTr="00AF7F6D">
        <w:tc>
          <w:tcPr>
            <w:tcW w:w="435" w:type="pct"/>
            <w:vAlign w:val="bottom"/>
          </w:tcPr>
          <w:p w14:paraId="3FF5CC8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P-11</w:t>
            </w:r>
          </w:p>
        </w:tc>
        <w:tc>
          <w:tcPr>
            <w:tcW w:w="587" w:type="pct"/>
          </w:tcPr>
          <w:p w14:paraId="53B4D1F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5AE849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1C61193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1.58</w:t>
            </w:r>
          </w:p>
        </w:tc>
        <w:tc>
          <w:tcPr>
            <w:tcW w:w="445" w:type="pct"/>
            <w:vAlign w:val="bottom"/>
          </w:tcPr>
          <w:p w14:paraId="541253F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6.43</w:t>
            </w:r>
          </w:p>
        </w:tc>
        <w:tc>
          <w:tcPr>
            <w:tcW w:w="626" w:type="pct"/>
            <w:vAlign w:val="center"/>
          </w:tcPr>
          <w:p w14:paraId="5E2BE88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5585171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1.75</w:t>
            </w:r>
          </w:p>
        </w:tc>
        <w:tc>
          <w:tcPr>
            <w:tcW w:w="329" w:type="pct"/>
          </w:tcPr>
          <w:p w14:paraId="6DD33A6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5B74369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14.23</w:t>
            </w:r>
          </w:p>
        </w:tc>
        <w:tc>
          <w:tcPr>
            <w:tcW w:w="386" w:type="pct"/>
            <w:vAlign w:val="center"/>
          </w:tcPr>
          <w:p w14:paraId="1460240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59.88</w:t>
            </w:r>
          </w:p>
        </w:tc>
      </w:tr>
      <w:tr w:rsidR="0080392E" w:rsidRPr="00014750" w14:paraId="7C28707B" w14:textId="77777777" w:rsidTr="00AF7F6D">
        <w:tc>
          <w:tcPr>
            <w:tcW w:w="435" w:type="pct"/>
            <w:vAlign w:val="bottom"/>
          </w:tcPr>
          <w:p w14:paraId="65EC3484"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P-12</w:t>
            </w:r>
          </w:p>
        </w:tc>
        <w:tc>
          <w:tcPr>
            <w:tcW w:w="587" w:type="pct"/>
          </w:tcPr>
          <w:p w14:paraId="31A79A8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74</w:t>
            </w:r>
          </w:p>
        </w:tc>
        <w:tc>
          <w:tcPr>
            <w:tcW w:w="519" w:type="pct"/>
          </w:tcPr>
          <w:p w14:paraId="05E0CA9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BC90BF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0ADD38BC"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5.12</w:t>
            </w:r>
          </w:p>
        </w:tc>
        <w:tc>
          <w:tcPr>
            <w:tcW w:w="626" w:type="pct"/>
            <w:vAlign w:val="center"/>
          </w:tcPr>
          <w:p w14:paraId="63D63FA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2D544B0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3.17</w:t>
            </w:r>
          </w:p>
        </w:tc>
        <w:tc>
          <w:tcPr>
            <w:tcW w:w="329" w:type="pct"/>
          </w:tcPr>
          <w:p w14:paraId="15CEF3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0.35</w:t>
            </w:r>
          </w:p>
        </w:tc>
        <w:tc>
          <w:tcPr>
            <w:tcW w:w="667" w:type="pct"/>
            <w:vAlign w:val="center"/>
          </w:tcPr>
          <w:p w14:paraId="3F6DE7C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9.29</w:t>
            </w:r>
          </w:p>
        </w:tc>
        <w:tc>
          <w:tcPr>
            <w:tcW w:w="386" w:type="pct"/>
            <w:vAlign w:val="center"/>
          </w:tcPr>
          <w:p w14:paraId="7660D71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45.93</w:t>
            </w:r>
          </w:p>
        </w:tc>
      </w:tr>
      <w:tr w:rsidR="0080392E" w:rsidRPr="00014750" w14:paraId="22BEB048" w14:textId="77777777" w:rsidTr="00AF7F6D">
        <w:tc>
          <w:tcPr>
            <w:tcW w:w="435" w:type="pct"/>
            <w:vAlign w:val="bottom"/>
          </w:tcPr>
          <w:p w14:paraId="36702AE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P-13</w:t>
            </w:r>
          </w:p>
        </w:tc>
        <w:tc>
          <w:tcPr>
            <w:tcW w:w="587" w:type="pct"/>
          </w:tcPr>
          <w:p w14:paraId="0829A78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34</w:t>
            </w:r>
          </w:p>
        </w:tc>
        <w:tc>
          <w:tcPr>
            <w:tcW w:w="519" w:type="pct"/>
          </w:tcPr>
          <w:p w14:paraId="410C727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590B85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1.59</w:t>
            </w:r>
          </w:p>
        </w:tc>
        <w:tc>
          <w:tcPr>
            <w:tcW w:w="445" w:type="pct"/>
            <w:vAlign w:val="bottom"/>
          </w:tcPr>
          <w:p w14:paraId="6BFDC64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6.98</w:t>
            </w:r>
          </w:p>
        </w:tc>
        <w:tc>
          <w:tcPr>
            <w:tcW w:w="626" w:type="pct"/>
            <w:vAlign w:val="center"/>
          </w:tcPr>
          <w:p w14:paraId="01ABE99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3B2BD81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w:t>
            </w:r>
          </w:p>
        </w:tc>
        <w:tc>
          <w:tcPr>
            <w:tcW w:w="329" w:type="pct"/>
          </w:tcPr>
          <w:p w14:paraId="1C0E76C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71EE86A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12.69</w:t>
            </w:r>
          </w:p>
        </w:tc>
        <w:tc>
          <w:tcPr>
            <w:tcW w:w="386" w:type="pct"/>
            <w:vAlign w:val="center"/>
          </w:tcPr>
          <w:p w14:paraId="66B0AB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59.45</w:t>
            </w:r>
          </w:p>
        </w:tc>
      </w:tr>
      <w:tr w:rsidR="0080392E" w:rsidRPr="00014750" w14:paraId="0C8DCF7A" w14:textId="77777777" w:rsidTr="00AF7F6D">
        <w:tc>
          <w:tcPr>
            <w:tcW w:w="435" w:type="pct"/>
            <w:vAlign w:val="bottom"/>
          </w:tcPr>
          <w:p w14:paraId="087D6FF5"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P-14</w:t>
            </w:r>
          </w:p>
        </w:tc>
        <w:tc>
          <w:tcPr>
            <w:tcW w:w="587" w:type="pct"/>
          </w:tcPr>
          <w:p w14:paraId="4F3CCD8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6AA50D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590AA60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0891126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5.69</w:t>
            </w:r>
          </w:p>
        </w:tc>
        <w:tc>
          <w:tcPr>
            <w:tcW w:w="626" w:type="pct"/>
            <w:vAlign w:val="center"/>
          </w:tcPr>
          <w:p w14:paraId="407B86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0.01</w:t>
            </w:r>
          </w:p>
        </w:tc>
        <w:tc>
          <w:tcPr>
            <w:tcW w:w="526" w:type="pct"/>
          </w:tcPr>
          <w:p w14:paraId="5DD3A1D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5.40</w:t>
            </w:r>
          </w:p>
        </w:tc>
        <w:tc>
          <w:tcPr>
            <w:tcW w:w="329" w:type="pct"/>
          </w:tcPr>
          <w:p w14:paraId="1AF51A5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47FF3B0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13.47</w:t>
            </w:r>
          </w:p>
        </w:tc>
        <w:tc>
          <w:tcPr>
            <w:tcW w:w="386" w:type="pct"/>
            <w:vAlign w:val="center"/>
          </w:tcPr>
          <w:p w14:paraId="2588CF8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57.87</w:t>
            </w:r>
          </w:p>
        </w:tc>
      </w:tr>
      <w:tr w:rsidR="0080392E" w:rsidRPr="00014750" w14:paraId="0F2BA82B" w14:textId="77777777" w:rsidTr="00AF7F6D">
        <w:tc>
          <w:tcPr>
            <w:tcW w:w="435" w:type="pct"/>
            <w:vAlign w:val="bottom"/>
          </w:tcPr>
          <w:p w14:paraId="375D2A9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P-15</w:t>
            </w:r>
          </w:p>
        </w:tc>
        <w:tc>
          <w:tcPr>
            <w:tcW w:w="587" w:type="pct"/>
          </w:tcPr>
          <w:p w14:paraId="0C38210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w:t>
            </w:r>
          </w:p>
        </w:tc>
        <w:tc>
          <w:tcPr>
            <w:tcW w:w="519" w:type="pct"/>
          </w:tcPr>
          <w:p w14:paraId="6057BD2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100FA3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1.63</w:t>
            </w:r>
          </w:p>
        </w:tc>
        <w:tc>
          <w:tcPr>
            <w:tcW w:w="445" w:type="pct"/>
            <w:vAlign w:val="bottom"/>
          </w:tcPr>
          <w:p w14:paraId="3D8C7A95"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5.11</w:t>
            </w:r>
          </w:p>
        </w:tc>
        <w:tc>
          <w:tcPr>
            <w:tcW w:w="626" w:type="pct"/>
            <w:vAlign w:val="center"/>
          </w:tcPr>
          <w:p w14:paraId="514775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3D64518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0.56</w:t>
            </w:r>
          </w:p>
        </w:tc>
        <w:tc>
          <w:tcPr>
            <w:tcW w:w="329" w:type="pct"/>
          </w:tcPr>
          <w:p w14:paraId="4C98247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0.45</w:t>
            </w:r>
          </w:p>
        </w:tc>
        <w:tc>
          <w:tcPr>
            <w:tcW w:w="667" w:type="pct"/>
            <w:vAlign w:val="center"/>
          </w:tcPr>
          <w:p w14:paraId="03BB0E0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15.08</w:t>
            </w:r>
          </w:p>
        </w:tc>
        <w:tc>
          <w:tcPr>
            <w:tcW w:w="386" w:type="pct"/>
            <w:vAlign w:val="center"/>
          </w:tcPr>
          <w:p w14:paraId="3A1693A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24.16</w:t>
            </w:r>
          </w:p>
        </w:tc>
      </w:tr>
      <w:tr w:rsidR="0080392E" w:rsidRPr="00014750" w14:paraId="2B74F26B" w14:textId="77777777" w:rsidTr="00AF7F6D">
        <w:tc>
          <w:tcPr>
            <w:tcW w:w="435" w:type="pct"/>
            <w:vAlign w:val="bottom"/>
          </w:tcPr>
          <w:p w14:paraId="18DF3112"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P-16</w:t>
            </w:r>
          </w:p>
        </w:tc>
        <w:tc>
          <w:tcPr>
            <w:tcW w:w="587" w:type="pct"/>
          </w:tcPr>
          <w:p w14:paraId="456A42E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w:t>
            </w:r>
          </w:p>
        </w:tc>
        <w:tc>
          <w:tcPr>
            <w:tcW w:w="519" w:type="pct"/>
          </w:tcPr>
          <w:p w14:paraId="189556B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e</w:t>
            </w:r>
          </w:p>
        </w:tc>
        <w:tc>
          <w:tcPr>
            <w:tcW w:w="479" w:type="pct"/>
          </w:tcPr>
          <w:p w14:paraId="342C3FD6"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1.44</w:t>
            </w:r>
          </w:p>
        </w:tc>
        <w:tc>
          <w:tcPr>
            <w:tcW w:w="445" w:type="pct"/>
            <w:vAlign w:val="bottom"/>
          </w:tcPr>
          <w:p w14:paraId="2099C5A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5.04</w:t>
            </w:r>
          </w:p>
        </w:tc>
        <w:tc>
          <w:tcPr>
            <w:tcW w:w="626" w:type="pct"/>
            <w:vAlign w:val="center"/>
          </w:tcPr>
          <w:p w14:paraId="4640EB3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0.07</w:t>
            </w:r>
          </w:p>
        </w:tc>
        <w:tc>
          <w:tcPr>
            <w:tcW w:w="526" w:type="pct"/>
          </w:tcPr>
          <w:p w14:paraId="438B87E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2.44</w:t>
            </w:r>
          </w:p>
        </w:tc>
        <w:tc>
          <w:tcPr>
            <w:tcW w:w="329" w:type="pct"/>
          </w:tcPr>
          <w:p w14:paraId="5AE8646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0.26</w:t>
            </w:r>
          </w:p>
        </w:tc>
        <w:tc>
          <w:tcPr>
            <w:tcW w:w="667" w:type="pct"/>
            <w:vAlign w:val="center"/>
          </w:tcPr>
          <w:p w14:paraId="205FCC6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12.92</w:t>
            </w:r>
          </w:p>
        </w:tc>
        <w:tc>
          <w:tcPr>
            <w:tcW w:w="386" w:type="pct"/>
            <w:vAlign w:val="center"/>
          </w:tcPr>
          <w:p w14:paraId="1632871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67.04</w:t>
            </w:r>
          </w:p>
        </w:tc>
      </w:tr>
      <w:tr w:rsidR="0080392E" w:rsidRPr="00014750" w14:paraId="4C2187DA" w14:textId="77777777" w:rsidTr="00AF7F6D">
        <w:tc>
          <w:tcPr>
            <w:tcW w:w="435" w:type="pct"/>
            <w:vAlign w:val="bottom"/>
          </w:tcPr>
          <w:p w14:paraId="4084B8C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P-17</w:t>
            </w:r>
          </w:p>
        </w:tc>
        <w:tc>
          <w:tcPr>
            <w:tcW w:w="587" w:type="pct"/>
          </w:tcPr>
          <w:p w14:paraId="3EB1963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3DDB9ED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proofErr w:type="spellStart"/>
            <w:r w:rsidRPr="00014750">
              <w:rPr>
                <w:rFonts w:ascii="Times New Roman" w:hAnsi="Times New Roman" w:cs="Times New Roman"/>
                <w:sz w:val="20"/>
                <w:szCs w:val="20"/>
                <w:lang w:eastAsia="en-IN"/>
              </w:rPr>
              <w:t>gd</w:t>
            </w:r>
            <w:proofErr w:type="spellEnd"/>
          </w:p>
        </w:tc>
        <w:tc>
          <w:tcPr>
            <w:tcW w:w="479" w:type="pct"/>
          </w:tcPr>
          <w:p w14:paraId="2D6A153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1.88</w:t>
            </w:r>
          </w:p>
        </w:tc>
        <w:tc>
          <w:tcPr>
            <w:tcW w:w="445" w:type="pct"/>
            <w:vAlign w:val="bottom"/>
          </w:tcPr>
          <w:p w14:paraId="59BCE12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5.72</w:t>
            </w:r>
          </w:p>
        </w:tc>
        <w:tc>
          <w:tcPr>
            <w:tcW w:w="626" w:type="pct"/>
            <w:vAlign w:val="center"/>
          </w:tcPr>
          <w:p w14:paraId="3E159C6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5E1D3CE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22B774C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0.19</w:t>
            </w:r>
          </w:p>
        </w:tc>
        <w:tc>
          <w:tcPr>
            <w:tcW w:w="667" w:type="pct"/>
            <w:vAlign w:val="center"/>
          </w:tcPr>
          <w:p w14:paraId="73084CA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6.79</w:t>
            </w:r>
          </w:p>
        </w:tc>
        <w:tc>
          <w:tcPr>
            <w:tcW w:w="386" w:type="pct"/>
            <w:vAlign w:val="center"/>
          </w:tcPr>
          <w:p w14:paraId="2071E31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21.04</w:t>
            </w:r>
          </w:p>
        </w:tc>
      </w:tr>
      <w:tr w:rsidR="0080392E" w:rsidRPr="00014750" w14:paraId="7B6108BB" w14:textId="77777777" w:rsidTr="00AF7F6D">
        <w:tc>
          <w:tcPr>
            <w:tcW w:w="435" w:type="pct"/>
            <w:vAlign w:val="bottom"/>
          </w:tcPr>
          <w:p w14:paraId="3D658D43"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P-18</w:t>
            </w:r>
          </w:p>
        </w:tc>
        <w:tc>
          <w:tcPr>
            <w:tcW w:w="587" w:type="pct"/>
          </w:tcPr>
          <w:p w14:paraId="7BE91FB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62</w:t>
            </w:r>
          </w:p>
        </w:tc>
        <w:tc>
          <w:tcPr>
            <w:tcW w:w="519" w:type="pct"/>
          </w:tcPr>
          <w:p w14:paraId="3972FAF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0B137C4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1.49</w:t>
            </w:r>
          </w:p>
        </w:tc>
        <w:tc>
          <w:tcPr>
            <w:tcW w:w="445" w:type="pct"/>
            <w:vAlign w:val="bottom"/>
          </w:tcPr>
          <w:p w14:paraId="05936466"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5.77</w:t>
            </w:r>
          </w:p>
        </w:tc>
        <w:tc>
          <w:tcPr>
            <w:tcW w:w="626" w:type="pct"/>
            <w:vAlign w:val="center"/>
          </w:tcPr>
          <w:p w14:paraId="027F3DC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6672A36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2.23</w:t>
            </w:r>
          </w:p>
        </w:tc>
        <w:tc>
          <w:tcPr>
            <w:tcW w:w="329" w:type="pct"/>
          </w:tcPr>
          <w:p w14:paraId="56F3C6FE"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0.25</w:t>
            </w:r>
          </w:p>
        </w:tc>
        <w:tc>
          <w:tcPr>
            <w:tcW w:w="667" w:type="pct"/>
            <w:vAlign w:val="center"/>
          </w:tcPr>
          <w:p w14:paraId="6125D29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10.08</w:t>
            </w:r>
          </w:p>
        </w:tc>
        <w:tc>
          <w:tcPr>
            <w:tcW w:w="386" w:type="pct"/>
            <w:vAlign w:val="center"/>
          </w:tcPr>
          <w:p w14:paraId="030BEB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72.90</w:t>
            </w:r>
          </w:p>
        </w:tc>
      </w:tr>
      <w:tr w:rsidR="0080392E" w:rsidRPr="00014750" w14:paraId="525FFC4D" w14:textId="77777777" w:rsidTr="00AF7F6D">
        <w:tc>
          <w:tcPr>
            <w:tcW w:w="435" w:type="pct"/>
            <w:vAlign w:val="bottom"/>
          </w:tcPr>
          <w:p w14:paraId="5498ED2A"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P-19</w:t>
            </w:r>
          </w:p>
        </w:tc>
        <w:tc>
          <w:tcPr>
            <w:tcW w:w="587" w:type="pct"/>
          </w:tcPr>
          <w:p w14:paraId="09CF3F2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124</w:t>
            </w:r>
          </w:p>
        </w:tc>
        <w:tc>
          <w:tcPr>
            <w:tcW w:w="519" w:type="pct"/>
          </w:tcPr>
          <w:p w14:paraId="6EB654F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3E58DF8"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1.53</w:t>
            </w:r>
          </w:p>
        </w:tc>
        <w:tc>
          <w:tcPr>
            <w:tcW w:w="445" w:type="pct"/>
            <w:vAlign w:val="bottom"/>
          </w:tcPr>
          <w:p w14:paraId="78845D00"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5.64</w:t>
            </w:r>
          </w:p>
        </w:tc>
        <w:tc>
          <w:tcPr>
            <w:tcW w:w="626" w:type="pct"/>
            <w:vAlign w:val="center"/>
          </w:tcPr>
          <w:p w14:paraId="08F0B72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15AEE0E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2.40</w:t>
            </w:r>
          </w:p>
        </w:tc>
        <w:tc>
          <w:tcPr>
            <w:tcW w:w="329" w:type="pct"/>
          </w:tcPr>
          <w:p w14:paraId="70F5FAC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0.22</w:t>
            </w:r>
          </w:p>
        </w:tc>
        <w:tc>
          <w:tcPr>
            <w:tcW w:w="667" w:type="pct"/>
            <w:vAlign w:val="center"/>
          </w:tcPr>
          <w:p w14:paraId="27A31C8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15.71</w:t>
            </w:r>
          </w:p>
        </w:tc>
        <w:tc>
          <w:tcPr>
            <w:tcW w:w="386" w:type="pct"/>
            <w:vAlign w:val="center"/>
          </w:tcPr>
          <w:p w14:paraId="378A5EB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36.12</w:t>
            </w:r>
          </w:p>
        </w:tc>
      </w:tr>
      <w:tr w:rsidR="0080392E" w:rsidRPr="00014750" w14:paraId="33C7CFE3" w14:textId="77777777" w:rsidTr="00AF7F6D">
        <w:tc>
          <w:tcPr>
            <w:tcW w:w="435" w:type="pct"/>
            <w:vAlign w:val="bottom"/>
          </w:tcPr>
          <w:p w14:paraId="475EF8C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P-20</w:t>
            </w:r>
          </w:p>
        </w:tc>
        <w:tc>
          <w:tcPr>
            <w:tcW w:w="587" w:type="pct"/>
          </w:tcPr>
          <w:p w14:paraId="217BC0B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w:t>
            </w:r>
          </w:p>
        </w:tc>
        <w:tc>
          <w:tcPr>
            <w:tcW w:w="519" w:type="pct"/>
          </w:tcPr>
          <w:p w14:paraId="239D0A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5A9802FE"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1.50</w:t>
            </w:r>
          </w:p>
        </w:tc>
        <w:tc>
          <w:tcPr>
            <w:tcW w:w="445" w:type="pct"/>
            <w:vAlign w:val="bottom"/>
          </w:tcPr>
          <w:p w14:paraId="14B7BBC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67AC155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4FBB861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4.59</w:t>
            </w:r>
          </w:p>
        </w:tc>
        <w:tc>
          <w:tcPr>
            <w:tcW w:w="329" w:type="pct"/>
          </w:tcPr>
          <w:p w14:paraId="6814183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0.27</w:t>
            </w:r>
          </w:p>
        </w:tc>
        <w:tc>
          <w:tcPr>
            <w:tcW w:w="667" w:type="pct"/>
            <w:vAlign w:val="center"/>
          </w:tcPr>
          <w:p w14:paraId="65F2CDF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8.91</w:t>
            </w:r>
          </w:p>
        </w:tc>
        <w:tc>
          <w:tcPr>
            <w:tcW w:w="386" w:type="pct"/>
            <w:vAlign w:val="center"/>
          </w:tcPr>
          <w:p w14:paraId="2ED4C64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66.03</w:t>
            </w:r>
          </w:p>
        </w:tc>
      </w:tr>
      <w:tr w:rsidR="0080392E" w:rsidRPr="00014750" w14:paraId="18DEA1A4" w14:textId="77777777" w:rsidTr="00AF7F6D">
        <w:tc>
          <w:tcPr>
            <w:tcW w:w="435" w:type="pct"/>
            <w:vAlign w:val="bottom"/>
          </w:tcPr>
          <w:p w14:paraId="137F0A7D"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P-21</w:t>
            </w:r>
          </w:p>
        </w:tc>
        <w:tc>
          <w:tcPr>
            <w:tcW w:w="587" w:type="pct"/>
          </w:tcPr>
          <w:p w14:paraId="0BC21AC8"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32</w:t>
            </w:r>
          </w:p>
        </w:tc>
        <w:tc>
          <w:tcPr>
            <w:tcW w:w="519" w:type="pct"/>
          </w:tcPr>
          <w:p w14:paraId="308A151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3C56FFA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1.61</w:t>
            </w:r>
          </w:p>
        </w:tc>
        <w:tc>
          <w:tcPr>
            <w:tcW w:w="445" w:type="pct"/>
            <w:vAlign w:val="bottom"/>
          </w:tcPr>
          <w:p w14:paraId="709B42CC"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5.44</w:t>
            </w:r>
          </w:p>
        </w:tc>
        <w:tc>
          <w:tcPr>
            <w:tcW w:w="626" w:type="pct"/>
            <w:vAlign w:val="center"/>
          </w:tcPr>
          <w:p w14:paraId="0F5E79B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0.08</w:t>
            </w:r>
          </w:p>
        </w:tc>
        <w:tc>
          <w:tcPr>
            <w:tcW w:w="526" w:type="pct"/>
          </w:tcPr>
          <w:p w14:paraId="3670CAE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1.83</w:t>
            </w:r>
          </w:p>
        </w:tc>
        <w:tc>
          <w:tcPr>
            <w:tcW w:w="329" w:type="pct"/>
          </w:tcPr>
          <w:p w14:paraId="202412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0.41</w:t>
            </w:r>
          </w:p>
        </w:tc>
        <w:tc>
          <w:tcPr>
            <w:tcW w:w="667" w:type="pct"/>
            <w:vAlign w:val="center"/>
          </w:tcPr>
          <w:p w14:paraId="22ED30C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9.36</w:t>
            </w:r>
          </w:p>
        </w:tc>
        <w:tc>
          <w:tcPr>
            <w:tcW w:w="386" w:type="pct"/>
            <w:vAlign w:val="center"/>
          </w:tcPr>
          <w:p w14:paraId="0074B8B5"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66.50</w:t>
            </w:r>
          </w:p>
        </w:tc>
      </w:tr>
      <w:tr w:rsidR="0080392E" w:rsidRPr="00014750" w14:paraId="754CE4FD" w14:textId="77777777" w:rsidTr="00AF7F6D">
        <w:tc>
          <w:tcPr>
            <w:tcW w:w="435" w:type="pct"/>
            <w:vAlign w:val="bottom"/>
          </w:tcPr>
          <w:p w14:paraId="2FEBD8A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P-22</w:t>
            </w:r>
          </w:p>
        </w:tc>
        <w:tc>
          <w:tcPr>
            <w:tcW w:w="587" w:type="pct"/>
          </w:tcPr>
          <w:p w14:paraId="05E3A6B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68</w:t>
            </w:r>
          </w:p>
        </w:tc>
        <w:tc>
          <w:tcPr>
            <w:tcW w:w="519" w:type="pct"/>
          </w:tcPr>
          <w:p w14:paraId="097ECDF3"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60AFA5D9"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1.60</w:t>
            </w:r>
          </w:p>
        </w:tc>
        <w:tc>
          <w:tcPr>
            <w:tcW w:w="445" w:type="pct"/>
            <w:vAlign w:val="bottom"/>
          </w:tcPr>
          <w:p w14:paraId="4D7A71BA"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6.50</w:t>
            </w:r>
          </w:p>
        </w:tc>
        <w:tc>
          <w:tcPr>
            <w:tcW w:w="626" w:type="pct"/>
            <w:vAlign w:val="center"/>
          </w:tcPr>
          <w:p w14:paraId="6D69C05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0D04A64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1.66</w:t>
            </w:r>
          </w:p>
        </w:tc>
        <w:tc>
          <w:tcPr>
            <w:tcW w:w="329" w:type="pct"/>
          </w:tcPr>
          <w:p w14:paraId="066C5940"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0.24</w:t>
            </w:r>
          </w:p>
        </w:tc>
        <w:tc>
          <w:tcPr>
            <w:tcW w:w="667" w:type="pct"/>
            <w:vAlign w:val="center"/>
          </w:tcPr>
          <w:p w14:paraId="05A8A3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12.68</w:t>
            </w:r>
          </w:p>
        </w:tc>
        <w:tc>
          <w:tcPr>
            <w:tcW w:w="386" w:type="pct"/>
            <w:vAlign w:val="center"/>
          </w:tcPr>
          <w:p w14:paraId="3185CE6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52.59</w:t>
            </w:r>
          </w:p>
        </w:tc>
      </w:tr>
      <w:tr w:rsidR="0080392E" w:rsidRPr="00014750" w14:paraId="1720F1B3" w14:textId="77777777" w:rsidTr="00AF7F6D">
        <w:tc>
          <w:tcPr>
            <w:tcW w:w="435" w:type="pct"/>
            <w:vAlign w:val="bottom"/>
          </w:tcPr>
          <w:p w14:paraId="21F9C35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P-23</w:t>
            </w:r>
          </w:p>
        </w:tc>
        <w:tc>
          <w:tcPr>
            <w:tcW w:w="587" w:type="pct"/>
          </w:tcPr>
          <w:p w14:paraId="05C8673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116</w:t>
            </w:r>
          </w:p>
        </w:tc>
        <w:tc>
          <w:tcPr>
            <w:tcW w:w="519" w:type="pct"/>
          </w:tcPr>
          <w:p w14:paraId="742D0ED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h</w:t>
            </w:r>
          </w:p>
        </w:tc>
        <w:tc>
          <w:tcPr>
            <w:tcW w:w="479" w:type="pct"/>
          </w:tcPr>
          <w:p w14:paraId="7F9FF23F"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1.55</w:t>
            </w:r>
          </w:p>
        </w:tc>
        <w:tc>
          <w:tcPr>
            <w:tcW w:w="445" w:type="pct"/>
            <w:vAlign w:val="bottom"/>
          </w:tcPr>
          <w:p w14:paraId="361D637B"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6.76</w:t>
            </w:r>
          </w:p>
        </w:tc>
        <w:tc>
          <w:tcPr>
            <w:tcW w:w="626" w:type="pct"/>
            <w:vAlign w:val="center"/>
          </w:tcPr>
          <w:p w14:paraId="207E449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0.04</w:t>
            </w:r>
          </w:p>
        </w:tc>
        <w:tc>
          <w:tcPr>
            <w:tcW w:w="526" w:type="pct"/>
          </w:tcPr>
          <w:p w14:paraId="271B408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8.35</w:t>
            </w:r>
          </w:p>
        </w:tc>
        <w:tc>
          <w:tcPr>
            <w:tcW w:w="329" w:type="pct"/>
          </w:tcPr>
          <w:p w14:paraId="5B887BA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0.33</w:t>
            </w:r>
          </w:p>
        </w:tc>
        <w:tc>
          <w:tcPr>
            <w:tcW w:w="667" w:type="pct"/>
            <w:vAlign w:val="center"/>
          </w:tcPr>
          <w:p w14:paraId="1DFC770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15.59</w:t>
            </w:r>
          </w:p>
        </w:tc>
        <w:tc>
          <w:tcPr>
            <w:tcW w:w="386" w:type="pct"/>
            <w:vAlign w:val="center"/>
          </w:tcPr>
          <w:p w14:paraId="796E4A2F"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66.59</w:t>
            </w:r>
          </w:p>
        </w:tc>
      </w:tr>
      <w:tr w:rsidR="0080392E" w:rsidRPr="00014750" w14:paraId="45682249" w14:textId="77777777" w:rsidTr="00AF7F6D">
        <w:tc>
          <w:tcPr>
            <w:tcW w:w="435" w:type="pct"/>
            <w:vAlign w:val="bottom"/>
          </w:tcPr>
          <w:p w14:paraId="65E526FC"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P-24</w:t>
            </w:r>
          </w:p>
        </w:tc>
        <w:tc>
          <w:tcPr>
            <w:tcW w:w="587" w:type="pct"/>
          </w:tcPr>
          <w:p w14:paraId="23156BE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110</w:t>
            </w:r>
          </w:p>
        </w:tc>
        <w:tc>
          <w:tcPr>
            <w:tcW w:w="519" w:type="pct"/>
          </w:tcPr>
          <w:p w14:paraId="07D9A5BC"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c</w:t>
            </w:r>
          </w:p>
        </w:tc>
        <w:tc>
          <w:tcPr>
            <w:tcW w:w="479" w:type="pct"/>
          </w:tcPr>
          <w:p w14:paraId="43B7D9D7"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1.69</w:t>
            </w:r>
          </w:p>
        </w:tc>
        <w:tc>
          <w:tcPr>
            <w:tcW w:w="445" w:type="pct"/>
            <w:vAlign w:val="bottom"/>
          </w:tcPr>
          <w:p w14:paraId="7F2CDDF3"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6.69</w:t>
            </w:r>
          </w:p>
        </w:tc>
        <w:tc>
          <w:tcPr>
            <w:tcW w:w="626" w:type="pct"/>
            <w:vAlign w:val="center"/>
          </w:tcPr>
          <w:p w14:paraId="774BB31A"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0.02</w:t>
            </w:r>
          </w:p>
        </w:tc>
        <w:tc>
          <w:tcPr>
            <w:tcW w:w="526" w:type="pct"/>
          </w:tcPr>
          <w:p w14:paraId="2E22E82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2.18</w:t>
            </w:r>
          </w:p>
        </w:tc>
        <w:tc>
          <w:tcPr>
            <w:tcW w:w="329" w:type="pct"/>
          </w:tcPr>
          <w:p w14:paraId="0C30F5D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0.05</w:t>
            </w:r>
          </w:p>
        </w:tc>
        <w:tc>
          <w:tcPr>
            <w:tcW w:w="667" w:type="pct"/>
            <w:vAlign w:val="center"/>
          </w:tcPr>
          <w:p w14:paraId="4D52F7A4"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3.85</w:t>
            </w:r>
          </w:p>
        </w:tc>
        <w:tc>
          <w:tcPr>
            <w:tcW w:w="386" w:type="pct"/>
            <w:vAlign w:val="center"/>
          </w:tcPr>
          <w:p w14:paraId="02F3289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52.98</w:t>
            </w:r>
          </w:p>
        </w:tc>
      </w:tr>
      <w:tr w:rsidR="0080392E" w:rsidRPr="00014750" w14:paraId="5950663E" w14:textId="77777777" w:rsidTr="00AF7F6D">
        <w:tc>
          <w:tcPr>
            <w:tcW w:w="435" w:type="pct"/>
            <w:vAlign w:val="bottom"/>
          </w:tcPr>
          <w:p w14:paraId="46F81BAB"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P-25</w:t>
            </w:r>
          </w:p>
        </w:tc>
        <w:tc>
          <w:tcPr>
            <w:tcW w:w="587" w:type="pct"/>
          </w:tcPr>
          <w:p w14:paraId="374A5519"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120</w:t>
            </w:r>
          </w:p>
        </w:tc>
        <w:tc>
          <w:tcPr>
            <w:tcW w:w="519" w:type="pct"/>
          </w:tcPr>
          <w:p w14:paraId="39AF8217"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k</w:t>
            </w:r>
          </w:p>
        </w:tc>
        <w:tc>
          <w:tcPr>
            <w:tcW w:w="479" w:type="pct"/>
          </w:tcPr>
          <w:p w14:paraId="1D1E7650" w14:textId="77777777" w:rsidR="0080392E" w:rsidRPr="00014750" w:rsidRDefault="0080392E" w:rsidP="00AF7F6D">
            <w:pPr>
              <w:spacing w:after="0" w:line="240" w:lineRule="auto"/>
              <w:jc w:val="center"/>
              <w:rPr>
                <w:rFonts w:ascii="Times New Roman" w:hAnsi="Times New Roman" w:cs="Times New Roman"/>
                <w:color w:val="000000"/>
                <w:sz w:val="20"/>
                <w:szCs w:val="20"/>
              </w:rPr>
            </w:pPr>
            <w:r w:rsidRPr="00014750">
              <w:rPr>
                <w:rFonts w:ascii="Times New Roman" w:hAnsi="Times New Roman" w:cs="Times New Roman"/>
                <w:color w:val="000000"/>
                <w:sz w:val="20"/>
                <w:szCs w:val="20"/>
              </w:rPr>
              <w:t>1.52</w:t>
            </w:r>
          </w:p>
        </w:tc>
        <w:tc>
          <w:tcPr>
            <w:tcW w:w="445" w:type="pct"/>
            <w:vAlign w:val="bottom"/>
          </w:tcPr>
          <w:p w14:paraId="34AD9941" w14:textId="77777777" w:rsidR="0080392E" w:rsidRPr="00014750" w:rsidRDefault="0080392E" w:rsidP="00AF7F6D">
            <w:pPr>
              <w:spacing w:after="0" w:line="240" w:lineRule="auto"/>
              <w:jc w:val="right"/>
              <w:rPr>
                <w:rFonts w:ascii="Times New Roman" w:hAnsi="Times New Roman" w:cs="Times New Roman"/>
                <w:color w:val="000000"/>
                <w:sz w:val="20"/>
                <w:szCs w:val="20"/>
              </w:rPr>
            </w:pPr>
            <w:r w:rsidRPr="00014750">
              <w:rPr>
                <w:rFonts w:ascii="Times New Roman" w:hAnsi="Times New Roman" w:cs="Times New Roman"/>
                <w:color w:val="000000"/>
                <w:sz w:val="20"/>
                <w:szCs w:val="20"/>
              </w:rPr>
              <w:t>6.23</w:t>
            </w:r>
          </w:p>
        </w:tc>
        <w:tc>
          <w:tcPr>
            <w:tcW w:w="626" w:type="pct"/>
            <w:vAlign w:val="center"/>
          </w:tcPr>
          <w:p w14:paraId="02DD2351"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0.03</w:t>
            </w:r>
          </w:p>
        </w:tc>
        <w:tc>
          <w:tcPr>
            <w:tcW w:w="526" w:type="pct"/>
          </w:tcPr>
          <w:p w14:paraId="78A07F96"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4.21</w:t>
            </w:r>
          </w:p>
        </w:tc>
        <w:tc>
          <w:tcPr>
            <w:tcW w:w="329" w:type="pct"/>
          </w:tcPr>
          <w:p w14:paraId="404BA14B"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0.17</w:t>
            </w:r>
          </w:p>
        </w:tc>
        <w:tc>
          <w:tcPr>
            <w:tcW w:w="667" w:type="pct"/>
            <w:vAlign w:val="center"/>
          </w:tcPr>
          <w:p w14:paraId="30779822"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11.30</w:t>
            </w:r>
          </w:p>
        </w:tc>
        <w:tc>
          <w:tcPr>
            <w:tcW w:w="386" w:type="pct"/>
            <w:vAlign w:val="center"/>
          </w:tcPr>
          <w:p w14:paraId="77141AAD" w14:textId="77777777" w:rsidR="0080392E" w:rsidRPr="00014750" w:rsidRDefault="0080392E" w:rsidP="00AF7F6D">
            <w:pPr>
              <w:spacing w:after="0" w:line="240" w:lineRule="auto"/>
              <w:jc w:val="center"/>
              <w:outlineLvl w:val="1"/>
              <w:rPr>
                <w:rFonts w:ascii="Times New Roman" w:hAnsi="Times New Roman" w:cs="Times New Roman"/>
                <w:sz w:val="20"/>
                <w:szCs w:val="20"/>
                <w:lang w:eastAsia="en-IN"/>
              </w:rPr>
            </w:pPr>
            <w:r w:rsidRPr="00014750">
              <w:rPr>
                <w:rFonts w:ascii="Times New Roman" w:hAnsi="Times New Roman" w:cs="Times New Roman"/>
                <w:sz w:val="20"/>
                <w:szCs w:val="20"/>
                <w:lang w:eastAsia="en-IN"/>
              </w:rPr>
              <w:t>54.64</w:t>
            </w:r>
          </w:p>
        </w:tc>
      </w:tr>
    </w:tbl>
    <w:p w14:paraId="7C6F3B0D" w14:textId="77777777" w:rsidR="00A152B2" w:rsidRPr="00014750" w:rsidRDefault="00E87614" w:rsidP="00A152B2">
      <w:pPr>
        <w:spacing w:after="0" w:line="240" w:lineRule="auto"/>
        <w:ind w:left="284"/>
        <w:jc w:val="both"/>
        <w:outlineLvl w:val="1"/>
        <w:rPr>
          <w:rFonts w:ascii="Times New Roman" w:hAnsi="Times New Roman" w:cs="Times New Roman"/>
          <w:color w:val="000000"/>
          <w:sz w:val="20"/>
          <w:szCs w:val="20"/>
        </w:rPr>
      </w:pPr>
      <w:r w:rsidRPr="00014750">
        <w:rPr>
          <w:rFonts w:ascii="Times New Roman" w:hAnsi="Times New Roman" w:cs="Times New Roman"/>
          <w:b/>
          <w:bCs/>
          <w:sz w:val="20"/>
          <w:szCs w:val="20"/>
          <w:lang w:eastAsia="en-IN"/>
        </w:rPr>
        <w:t>Texture</w:t>
      </w:r>
      <w:r w:rsidRPr="00014750">
        <w:rPr>
          <w:rFonts w:ascii="Times New Roman" w:hAnsi="Times New Roman" w:cs="Times New Roman"/>
          <w:sz w:val="20"/>
          <w:szCs w:val="20"/>
          <w:lang w:eastAsia="en-IN"/>
        </w:rPr>
        <w:t xml:space="preserve">: c-loamy sand, </w:t>
      </w:r>
      <w:proofErr w:type="spellStart"/>
      <w:r w:rsidRPr="00014750">
        <w:rPr>
          <w:rFonts w:ascii="Times New Roman" w:hAnsi="Times New Roman" w:cs="Times New Roman"/>
          <w:sz w:val="20"/>
          <w:szCs w:val="20"/>
          <w:lang w:eastAsia="en-IN"/>
        </w:rPr>
        <w:t>gd</w:t>
      </w:r>
      <w:proofErr w:type="spellEnd"/>
      <w:r w:rsidRPr="00014750">
        <w:rPr>
          <w:rFonts w:ascii="Times New Roman" w:hAnsi="Times New Roman" w:cs="Times New Roman"/>
          <w:sz w:val="20"/>
          <w:szCs w:val="20"/>
          <w:lang w:eastAsia="en-IN"/>
        </w:rPr>
        <w:t>-gravelly sandy loam, e-loam, h-clay loam, k- sandy clay loam, r-clay</w:t>
      </w:r>
    </w:p>
    <w:p w14:paraId="52395C74" w14:textId="77777777" w:rsidR="00537318" w:rsidRPr="00014750" w:rsidRDefault="00537318" w:rsidP="008253BA">
      <w:pPr>
        <w:spacing w:after="0" w:line="240" w:lineRule="auto"/>
        <w:ind w:left="284"/>
        <w:jc w:val="both"/>
        <w:outlineLvl w:val="1"/>
        <w:rPr>
          <w:rFonts w:ascii="Times New Roman" w:hAnsi="Times New Roman" w:cs="Times New Roman"/>
          <w:sz w:val="20"/>
          <w:szCs w:val="20"/>
          <w:lang w:eastAsia="en-IN"/>
        </w:rPr>
      </w:pPr>
    </w:p>
    <w:p w14:paraId="7D9CBC5B" w14:textId="77777777" w:rsidR="006E6866" w:rsidRPr="00014750" w:rsidRDefault="006E6866">
      <w:pPr>
        <w:rPr>
          <w:rFonts w:ascii="Times New Roman" w:hAnsi="Times New Roman"/>
          <w:b/>
          <w:bCs/>
          <w:sz w:val="24"/>
          <w:szCs w:val="24"/>
          <w:lang w:eastAsia="en-IN"/>
        </w:rPr>
      </w:pPr>
    </w:p>
    <w:p w14:paraId="00F2F6AF" w14:textId="77777777" w:rsidR="00EF088B" w:rsidRPr="00014750" w:rsidRDefault="00EF088B">
      <w:pPr>
        <w:rPr>
          <w:rFonts w:ascii="Times New Roman" w:hAnsi="Times New Roman"/>
          <w:b/>
          <w:bCs/>
          <w:sz w:val="24"/>
          <w:szCs w:val="24"/>
          <w:lang w:eastAsia="en-IN"/>
        </w:rPr>
        <w:sectPr w:rsidR="00EF088B" w:rsidRPr="00014750" w:rsidSect="00BA31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pPr>
    </w:p>
    <w:p w14:paraId="03EE425D" w14:textId="77777777" w:rsidR="00EF088B" w:rsidRPr="00014750" w:rsidRDefault="00EF088B" w:rsidP="00EF088B">
      <w:pPr>
        <w:spacing w:after="120"/>
        <w:rPr>
          <w:rFonts w:ascii="Times New Roman" w:hAnsi="Times New Roman"/>
          <w:b/>
          <w:bCs/>
          <w:sz w:val="24"/>
          <w:szCs w:val="24"/>
          <w:lang w:eastAsia="en-IN"/>
        </w:rPr>
      </w:pPr>
      <w:r w:rsidRPr="00014750">
        <w:rPr>
          <w:rFonts w:ascii="Times New Roman" w:hAnsi="Times New Roman"/>
          <w:b/>
          <w:bCs/>
          <w:sz w:val="24"/>
          <w:szCs w:val="24"/>
          <w:lang w:eastAsia="en-IN"/>
        </w:rPr>
        <w:lastRenderedPageBreak/>
        <w:t>Table 3. Description and classification of soils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528"/>
        <w:gridCol w:w="3089"/>
      </w:tblGrid>
      <w:tr w:rsidR="00BA3126" w:rsidRPr="00014750" w14:paraId="6DA53610" w14:textId="77777777" w:rsidTr="001F5AD3">
        <w:tc>
          <w:tcPr>
            <w:tcW w:w="959" w:type="dxa"/>
            <w:hideMark/>
          </w:tcPr>
          <w:p w14:paraId="66749265" w14:textId="77777777" w:rsidR="00BA3126" w:rsidRPr="00014750" w:rsidRDefault="00BA3126" w:rsidP="001F5AD3">
            <w:pPr>
              <w:spacing w:after="0" w:line="240" w:lineRule="auto"/>
              <w:jc w:val="center"/>
              <w:rPr>
                <w:rFonts w:ascii="Times New Roman" w:hAnsi="Times New Roman" w:cs="Times New Roman"/>
                <w:b/>
                <w:bCs/>
                <w:color w:val="000000"/>
              </w:rPr>
            </w:pPr>
            <w:r w:rsidRPr="00014750">
              <w:rPr>
                <w:rFonts w:ascii="Times New Roman" w:hAnsi="Times New Roman" w:cs="Times New Roman"/>
                <w:b/>
                <w:bCs/>
                <w:color w:val="000000"/>
              </w:rPr>
              <w:t>Pedon</w:t>
            </w:r>
          </w:p>
        </w:tc>
        <w:tc>
          <w:tcPr>
            <w:tcW w:w="5528" w:type="dxa"/>
            <w:noWrap/>
            <w:hideMark/>
          </w:tcPr>
          <w:p w14:paraId="21212343"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Series description</w:t>
            </w:r>
          </w:p>
        </w:tc>
        <w:tc>
          <w:tcPr>
            <w:tcW w:w="3089" w:type="dxa"/>
            <w:noWrap/>
            <w:hideMark/>
          </w:tcPr>
          <w:p w14:paraId="0F529184" w14:textId="77777777" w:rsidR="00BA3126" w:rsidRPr="00014750" w:rsidRDefault="00BA3126" w:rsidP="001F5AD3">
            <w:pPr>
              <w:spacing w:after="0" w:line="240" w:lineRule="auto"/>
              <w:jc w:val="both"/>
              <w:rPr>
                <w:rFonts w:ascii="Times New Roman" w:hAnsi="Times New Roman" w:cs="Times New Roman"/>
                <w:b/>
                <w:bCs/>
                <w:color w:val="000000"/>
              </w:rPr>
            </w:pPr>
            <w:r w:rsidRPr="00014750">
              <w:rPr>
                <w:rFonts w:ascii="Times New Roman" w:hAnsi="Times New Roman" w:cs="Times New Roman"/>
                <w:b/>
                <w:bCs/>
                <w:color w:val="000000"/>
              </w:rPr>
              <w:t>Taxonomic classification</w:t>
            </w:r>
          </w:p>
        </w:tc>
      </w:tr>
      <w:tr w:rsidR="00BA3126" w:rsidRPr="00014750" w14:paraId="628A8F87" w14:textId="77777777" w:rsidTr="001F5AD3">
        <w:tc>
          <w:tcPr>
            <w:tcW w:w="959" w:type="dxa"/>
            <w:hideMark/>
          </w:tcPr>
          <w:p w14:paraId="7617FE1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w:t>
            </w:r>
          </w:p>
        </w:tc>
        <w:tc>
          <w:tcPr>
            <w:tcW w:w="5528" w:type="dxa"/>
            <w:noWrap/>
            <w:hideMark/>
          </w:tcPr>
          <w:p w14:paraId="117BC95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Shallow, brown to yellowish brown, loamy skeletal,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4E7FAB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Shallow, Mixed, Hyperthermic, </w:t>
            </w:r>
            <w:proofErr w:type="spellStart"/>
            <w:r w:rsidRPr="00014750">
              <w:rPr>
                <w:rFonts w:ascii="Times New Roman" w:hAnsi="Times New Roman" w:cs="Times New Roman"/>
                <w:color w:val="000000"/>
              </w:rPr>
              <w:t>TypicUstorthents</w:t>
            </w:r>
            <w:proofErr w:type="spellEnd"/>
          </w:p>
        </w:tc>
      </w:tr>
      <w:tr w:rsidR="00BA3126" w:rsidRPr="00014750" w14:paraId="37B5A3B7" w14:textId="77777777" w:rsidTr="001F5AD3">
        <w:tc>
          <w:tcPr>
            <w:tcW w:w="959" w:type="dxa"/>
            <w:hideMark/>
          </w:tcPr>
          <w:p w14:paraId="78B125B3"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w:t>
            </w:r>
          </w:p>
        </w:tc>
        <w:tc>
          <w:tcPr>
            <w:tcW w:w="5528" w:type="dxa"/>
            <w:noWrap/>
            <w:hideMark/>
          </w:tcPr>
          <w:p w14:paraId="3F00474D"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strong brown to yellowish brown, fine loamy, non-calcareous, moderately well to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08BC37C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TypicHaplustalfs</w:t>
            </w:r>
            <w:proofErr w:type="spellEnd"/>
          </w:p>
        </w:tc>
      </w:tr>
      <w:tr w:rsidR="00BA3126" w:rsidRPr="00014750" w14:paraId="37436857" w14:textId="77777777" w:rsidTr="001F5AD3">
        <w:tc>
          <w:tcPr>
            <w:tcW w:w="959" w:type="dxa"/>
            <w:hideMark/>
          </w:tcPr>
          <w:p w14:paraId="4E568111"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P-3</w:t>
            </w:r>
          </w:p>
        </w:tc>
        <w:tc>
          <w:tcPr>
            <w:tcW w:w="5528" w:type="dxa"/>
            <w:noWrap/>
            <w:hideMark/>
          </w:tcPr>
          <w:p w14:paraId="67A23DF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dark yellowish brown, fine loamy textured, non-calcareous, moderately well </w:t>
            </w:r>
            <w:proofErr w:type="spellStart"/>
            <w:r w:rsidRPr="00014750">
              <w:rPr>
                <w:rFonts w:ascii="Times New Roman" w:hAnsi="Times New Roman" w:cs="Times New Roman"/>
                <w:color w:val="000000"/>
              </w:rPr>
              <w:t>drained,very</w:t>
            </w:r>
            <w:proofErr w:type="spellEnd"/>
            <w:r w:rsidRPr="00014750">
              <w:rPr>
                <w:rFonts w:ascii="Times New Roman" w:hAnsi="Times New Roman" w:cs="Times New Roman"/>
                <w:color w:val="000000"/>
              </w:rPr>
              <w:t xml:space="preserve">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6312AC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OxyaquicDystrustepts</w:t>
            </w:r>
            <w:proofErr w:type="spellEnd"/>
          </w:p>
        </w:tc>
      </w:tr>
      <w:tr w:rsidR="00BA3126" w:rsidRPr="00014750" w14:paraId="6BC48949" w14:textId="77777777" w:rsidTr="001F5AD3">
        <w:tc>
          <w:tcPr>
            <w:tcW w:w="959" w:type="dxa"/>
            <w:hideMark/>
          </w:tcPr>
          <w:p w14:paraId="3006AD1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P-4</w:t>
            </w:r>
          </w:p>
        </w:tc>
        <w:tc>
          <w:tcPr>
            <w:tcW w:w="5528" w:type="dxa"/>
            <w:noWrap/>
            <w:hideMark/>
          </w:tcPr>
          <w:p w14:paraId="0B2B433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brown, fine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15BF6CF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VerticDystrustepts</w:t>
            </w:r>
            <w:proofErr w:type="spellEnd"/>
          </w:p>
        </w:tc>
      </w:tr>
      <w:tr w:rsidR="00BA3126" w:rsidRPr="00014750" w14:paraId="360691E7" w14:textId="77777777" w:rsidTr="001F5AD3">
        <w:tc>
          <w:tcPr>
            <w:tcW w:w="959" w:type="dxa"/>
            <w:hideMark/>
          </w:tcPr>
          <w:p w14:paraId="6DD3A6E2"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P-5</w:t>
            </w:r>
          </w:p>
        </w:tc>
        <w:tc>
          <w:tcPr>
            <w:tcW w:w="5528" w:type="dxa"/>
            <w:noWrap/>
            <w:hideMark/>
          </w:tcPr>
          <w:p w14:paraId="6BB6258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light brownish gray to grayish brown, fine loamy textured, non-calcareous, imperfectly </w:t>
            </w:r>
            <w:proofErr w:type="spellStart"/>
            <w:r w:rsidRPr="00014750">
              <w:rPr>
                <w:rFonts w:ascii="Times New Roman" w:hAnsi="Times New Roman" w:cs="Times New Roman"/>
                <w:color w:val="000000"/>
              </w:rPr>
              <w:t>drained,very</w:t>
            </w:r>
            <w:proofErr w:type="spellEnd"/>
            <w:r w:rsidRPr="00014750">
              <w:rPr>
                <w:rFonts w:ascii="Times New Roman" w:hAnsi="Times New Roman" w:cs="Times New Roman"/>
                <w:color w:val="000000"/>
              </w:rPr>
              <w:t xml:space="preserve">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45CBC9B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AericEpiaquepts</w:t>
            </w:r>
            <w:proofErr w:type="spellEnd"/>
          </w:p>
        </w:tc>
      </w:tr>
      <w:tr w:rsidR="00BA3126" w:rsidRPr="00014750" w14:paraId="6ADE4862" w14:textId="77777777" w:rsidTr="001F5AD3">
        <w:tc>
          <w:tcPr>
            <w:tcW w:w="959" w:type="dxa"/>
            <w:hideMark/>
          </w:tcPr>
          <w:p w14:paraId="351820A3"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P-6</w:t>
            </w:r>
          </w:p>
        </w:tc>
        <w:tc>
          <w:tcPr>
            <w:tcW w:w="5528" w:type="dxa"/>
            <w:noWrap/>
            <w:hideMark/>
          </w:tcPr>
          <w:p w14:paraId="79A8DF4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yellowish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E89E33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AquicDystrustepts</w:t>
            </w:r>
            <w:proofErr w:type="spellEnd"/>
          </w:p>
        </w:tc>
      </w:tr>
      <w:tr w:rsidR="00BA3126" w:rsidRPr="00014750" w14:paraId="64B64AF0" w14:textId="77777777" w:rsidTr="001F5AD3">
        <w:tc>
          <w:tcPr>
            <w:tcW w:w="959" w:type="dxa"/>
            <w:hideMark/>
          </w:tcPr>
          <w:p w14:paraId="6C8BD986"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P-7</w:t>
            </w:r>
          </w:p>
        </w:tc>
        <w:tc>
          <w:tcPr>
            <w:tcW w:w="5528" w:type="dxa"/>
            <w:noWrap/>
            <w:hideMark/>
          </w:tcPr>
          <w:p w14:paraId="4C24E8A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grayish brown to dark gray, fine textured, non-calcareous, poorly to imperfectly drained, very gently terraced to gently terraced sloping, depression.</w:t>
            </w:r>
          </w:p>
        </w:tc>
        <w:tc>
          <w:tcPr>
            <w:tcW w:w="3089" w:type="dxa"/>
            <w:hideMark/>
          </w:tcPr>
          <w:p w14:paraId="3EFF56E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TypicEndoaquepts</w:t>
            </w:r>
            <w:proofErr w:type="spellEnd"/>
          </w:p>
        </w:tc>
      </w:tr>
      <w:tr w:rsidR="00BA3126" w:rsidRPr="00014750" w14:paraId="4AF9BFC0" w14:textId="77777777" w:rsidTr="001F5AD3">
        <w:tc>
          <w:tcPr>
            <w:tcW w:w="959" w:type="dxa"/>
            <w:hideMark/>
          </w:tcPr>
          <w:p w14:paraId="4065C3A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P-8</w:t>
            </w:r>
          </w:p>
        </w:tc>
        <w:tc>
          <w:tcPr>
            <w:tcW w:w="5528" w:type="dxa"/>
            <w:noWrap/>
            <w:hideMark/>
          </w:tcPr>
          <w:p w14:paraId="1B10088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very steep sloping, hills side slopes.</w:t>
            </w:r>
          </w:p>
        </w:tc>
        <w:tc>
          <w:tcPr>
            <w:tcW w:w="3089" w:type="dxa"/>
            <w:hideMark/>
          </w:tcPr>
          <w:p w14:paraId="51231C1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Mixed, Hyperthermic, Lithic </w:t>
            </w:r>
            <w:proofErr w:type="spellStart"/>
            <w:r w:rsidRPr="00014750">
              <w:rPr>
                <w:rFonts w:ascii="Times New Roman" w:hAnsi="Times New Roman" w:cs="Times New Roman"/>
                <w:color w:val="000000"/>
              </w:rPr>
              <w:t>Ustorthents</w:t>
            </w:r>
            <w:proofErr w:type="spellEnd"/>
          </w:p>
        </w:tc>
      </w:tr>
      <w:tr w:rsidR="00BA3126" w:rsidRPr="00014750" w14:paraId="3E9EFAE9" w14:textId="77777777" w:rsidTr="001F5AD3">
        <w:tc>
          <w:tcPr>
            <w:tcW w:w="959" w:type="dxa"/>
            <w:hideMark/>
          </w:tcPr>
          <w:p w14:paraId="6A3E0C54"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P-9</w:t>
            </w:r>
          </w:p>
        </w:tc>
        <w:tc>
          <w:tcPr>
            <w:tcW w:w="5528" w:type="dxa"/>
            <w:noWrap/>
            <w:hideMark/>
          </w:tcPr>
          <w:p w14:paraId="696BDBB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Moderately deep, weak red to reddish brown, fine loamy textured, non-calcareous, well drained, gently to moderately sloping, foot hill slopes.</w:t>
            </w:r>
          </w:p>
        </w:tc>
        <w:tc>
          <w:tcPr>
            <w:tcW w:w="3089" w:type="dxa"/>
            <w:hideMark/>
          </w:tcPr>
          <w:p w14:paraId="69D8D63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TypicUstorthents</w:t>
            </w:r>
            <w:proofErr w:type="spellEnd"/>
          </w:p>
        </w:tc>
      </w:tr>
      <w:tr w:rsidR="00BA3126" w:rsidRPr="00014750" w14:paraId="4C48CCCC" w14:textId="77777777" w:rsidTr="001F5AD3">
        <w:tc>
          <w:tcPr>
            <w:tcW w:w="959" w:type="dxa"/>
            <w:hideMark/>
          </w:tcPr>
          <w:p w14:paraId="740C8AF1"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P-10</w:t>
            </w:r>
          </w:p>
        </w:tc>
        <w:tc>
          <w:tcPr>
            <w:tcW w:w="5528" w:type="dxa"/>
            <w:noWrap/>
            <w:hideMark/>
          </w:tcPr>
          <w:p w14:paraId="203B38A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dark gray to brown, fine textured, non-calcareous, poorly to imperfectly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AF88D1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VerticEpiaquepts</w:t>
            </w:r>
            <w:proofErr w:type="spellEnd"/>
          </w:p>
        </w:tc>
      </w:tr>
      <w:tr w:rsidR="00BA3126" w:rsidRPr="00014750" w14:paraId="33FAC36C" w14:textId="77777777" w:rsidTr="001F5AD3">
        <w:tc>
          <w:tcPr>
            <w:tcW w:w="959" w:type="dxa"/>
            <w:hideMark/>
          </w:tcPr>
          <w:p w14:paraId="1FE57F1C"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P-11</w:t>
            </w:r>
          </w:p>
        </w:tc>
        <w:tc>
          <w:tcPr>
            <w:tcW w:w="5528" w:type="dxa"/>
            <w:noWrap/>
            <w:hideMark/>
          </w:tcPr>
          <w:p w14:paraId="424A1636"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F42E29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TypicEpiaqualfs</w:t>
            </w:r>
            <w:proofErr w:type="spellEnd"/>
          </w:p>
        </w:tc>
      </w:tr>
      <w:tr w:rsidR="00BA3126" w:rsidRPr="00014750" w14:paraId="17FE9C6A" w14:textId="77777777" w:rsidTr="001F5AD3">
        <w:tc>
          <w:tcPr>
            <w:tcW w:w="959" w:type="dxa"/>
            <w:hideMark/>
          </w:tcPr>
          <w:p w14:paraId="3627CB8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P-12</w:t>
            </w:r>
          </w:p>
        </w:tc>
        <w:tc>
          <w:tcPr>
            <w:tcW w:w="5528" w:type="dxa"/>
            <w:noWrap/>
            <w:hideMark/>
          </w:tcPr>
          <w:p w14:paraId="2FB86E0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dark yellowish brown, fine loamy textured, non-calcareous, moderately well to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 xml:space="preserve">-plains. </w:t>
            </w:r>
          </w:p>
        </w:tc>
        <w:tc>
          <w:tcPr>
            <w:tcW w:w="3089" w:type="dxa"/>
            <w:hideMark/>
          </w:tcPr>
          <w:p w14:paraId="51612CC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TypicDystrustepts</w:t>
            </w:r>
            <w:proofErr w:type="spellEnd"/>
          </w:p>
        </w:tc>
      </w:tr>
      <w:tr w:rsidR="00BA3126" w:rsidRPr="00014750" w14:paraId="5714571C" w14:textId="77777777" w:rsidTr="001F5AD3">
        <w:tc>
          <w:tcPr>
            <w:tcW w:w="959" w:type="dxa"/>
            <w:hideMark/>
          </w:tcPr>
          <w:p w14:paraId="1DC3601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P-13</w:t>
            </w:r>
          </w:p>
        </w:tc>
        <w:tc>
          <w:tcPr>
            <w:tcW w:w="5528" w:type="dxa"/>
            <w:noWrap/>
            <w:hideMark/>
          </w:tcPr>
          <w:p w14:paraId="6B4ABE3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D70AFC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TypicDystrustepts</w:t>
            </w:r>
            <w:proofErr w:type="spellEnd"/>
          </w:p>
        </w:tc>
      </w:tr>
      <w:tr w:rsidR="00BA3126" w:rsidRPr="00014750" w14:paraId="4B8FBD89" w14:textId="77777777" w:rsidTr="001F5AD3">
        <w:tc>
          <w:tcPr>
            <w:tcW w:w="959" w:type="dxa"/>
            <w:hideMark/>
          </w:tcPr>
          <w:p w14:paraId="425EA3A4"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P-14</w:t>
            </w:r>
          </w:p>
        </w:tc>
        <w:tc>
          <w:tcPr>
            <w:tcW w:w="5528" w:type="dxa"/>
            <w:noWrap/>
            <w:hideMark/>
          </w:tcPr>
          <w:p w14:paraId="43B8959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yellowish brown to brown, fine textured, non-calcareous, imperfectly to moderately well drained, very gently terraced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B4F482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AquicHaplustalfs</w:t>
            </w:r>
            <w:proofErr w:type="spellEnd"/>
          </w:p>
        </w:tc>
      </w:tr>
      <w:tr w:rsidR="00BA3126" w:rsidRPr="00014750" w14:paraId="4BFC681D" w14:textId="77777777" w:rsidTr="001F5AD3">
        <w:tc>
          <w:tcPr>
            <w:tcW w:w="959" w:type="dxa"/>
            <w:hideMark/>
          </w:tcPr>
          <w:p w14:paraId="6467018A"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P-15</w:t>
            </w:r>
          </w:p>
        </w:tc>
        <w:tc>
          <w:tcPr>
            <w:tcW w:w="5528" w:type="dxa"/>
            <w:noWrap/>
            <w:hideMark/>
          </w:tcPr>
          <w:p w14:paraId="5EB303F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Shallow, brown to yellowish brown, loamy skeletal textured, non-calcareous, excessively drained, strongly to moderately steep sloping, hillock.</w:t>
            </w:r>
          </w:p>
        </w:tc>
        <w:tc>
          <w:tcPr>
            <w:tcW w:w="3089" w:type="dxa"/>
            <w:hideMark/>
          </w:tcPr>
          <w:p w14:paraId="14AD009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Lithic </w:t>
            </w:r>
            <w:proofErr w:type="spellStart"/>
            <w:r w:rsidRPr="00014750">
              <w:rPr>
                <w:rFonts w:ascii="Times New Roman" w:hAnsi="Times New Roman" w:cs="Times New Roman"/>
                <w:color w:val="000000"/>
              </w:rPr>
              <w:t>Ustorthents</w:t>
            </w:r>
            <w:proofErr w:type="spellEnd"/>
          </w:p>
        </w:tc>
      </w:tr>
      <w:tr w:rsidR="00BA3126" w:rsidRPr="00014750" w14:paraId="32417482" w14:textId="77777777" w:rsidTr="001F5AD3">
        <w:tc>
          <w:tcPr>
            <w:tcW w:w="959" w:type="dxa"/>
            <w:hideMark/>
          </w:tcPr>
          <w:p w14:paraId="2D32F06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P-16</w:t>
            </w:r>
          </w:p>
        </w:tc>
        <w:tc>
          <w:tcPr>
            <w:tcW w:w="5528" w:type="dxa"/>
            <w:noWrap/>
            <w:hideMark/>
          </w:tcPr>
          <w:p w14:paraId="163DB7C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yellowish brown, loamy </w:t>
            </w:r>
            <w:r w:rsidRPr="00014750">
              <w:rPr>
                <w:rFonts w:ascii="Times New Roman" w:hAnsi="Times New Roman" w:cs="Times New Roman"/>
                <w:color w:val="000000"/>
              </w:rPr>
              <w:lastRenderedPageBreak/>
              <w:t xml:space="preserve">textured, non-calcareous, moderately well drained, very gently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8BEFEC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lastRenderedPageBreak/>
              <w:t xml:space="preserve">Loamy Skeletal Shallow, </w:t>
            </w:r>
            <w:r w:rsidRPr="00014750">
              <w:rPr>
                <w:rFonts w:ascii="Times New Roman" w:hAnsi="Times New Roman" w:cs="Times New Roman"/>
                <w:color w:val="000000"/>
              </w:rPr>
              <w:lastRenderedPageBreak/>
              <w:t xml:space="preserve">Mixed, Hyperthermic, </w:t>
            </w:r>
            <w:proofErr w:type="spellStart"/>
            <w:r w:rsidRPr="00014750">
              <w:rPr>
                <w:rFonts w:ascii="Times New Roman" w:hAnsi="Times New Roman" w:cs="Times New Roman"/>
                <w:color w:val="000000"/>
              </w:rPr>
              <w:t>AquicHaplustepts</w:t>
            </w:r>
            <w:proofErr w:type="spellEnd"/>
          </w:p>
        </w:tc>
      </w:tr>
      <w:tr w:rsidR="00BA3126" w:rsidRPr="00014750" w14:paraId="5B3D8082" w14:textId="77777777" w:rsidTr="001F5AD3">
        <w:tc>
          <w:tcPr>
            <w:tcW w:w="959" w:type="dxa"/>
            <w:hideMark/>
          </w:tcPr>
          <w:p w14:paraId="141F730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lastRenderedPageBreak/>
              <w:t>P-17</w:t>
            </w:r>
          </w:p>
        </w:tc>
        <w:tc>
          <w:tcPr>
            <w:tcW w:w="5528" w:type="dxa"/>
            <w:noWrap/>
            <w:hideMark/>
          </w:tcPr>
          <w:p w14:paraId="158B7D5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brown to dark yellowish brown, loamy skeletal textured, non-calcareous, well drained, gently to moderately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353A71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Skeletal, Mixed, Hyperthermic, </w:t>
            </w:r>
            <w:proofErr w:type="spellStart"/>
            <w:r w:rsidRPr="00014750">
              <w:rPr>
                <w:rFonts w:ascii="Times New Roman" w:hAnsi="Times New Roman" w:cs="Times New Roman"/>
                <w:color w:val="000000"/>
              </w:rPr>
              <w:t>TypicUstorthents</w:t>
            </w:r>
            <w:proofErr w:type="spellEnd"/>
          </w:p>
        </w:tc>
      </w:tr>
      <w:tr w:rsidR="00BA3126" w:rsidRPr="00014750" w14:paraId="386BA408" w14:textId="77777777" w:rsidTr="001F5AD3">
        <w:tc>
          <w:tcPr>
            <w:tcW w:w="959" w:type="dxa"/>
            <w:hideMark/>
          </w:tcPr>
          <w:p w14:paraId="6177D7B0"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P-18</w:t>
            </w:r>
          </w:p>
        </w:tc>
        <w:tc>
          <w:tcPr>
            <w:tcW w:w="5528" w:type="dxa"/>
            <w:noWrap/>
            <w:hideMark/>
          </w:tcPr>
          <w:p w14:paraId="4D9A5A52"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Comprises deep, yellowish brown to brown, fine loamy textured, non-calcareous,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3587DE65"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TypicHaplustepts</w:t>
            </w:r>
            <w:proofErr w:type="spellEnd"/>
          </w:p>
        </w:tc>
      </w:tr>
      <w:tr w:rsidR="00BA3126" w:rsidRPr="00014750" w14:paraId="58298B1C" w14:textId="77777777" w:rsidTr="001F5AD3">
        <w:tc>
          <w:tcPr>
            <w:tcW w:w="959" w:type="dxa"/>
            <w:hideMark/>
          </w:tcPr>
          <w:p w14:paraId="14808A7F"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P-19</w:t>
            </w:r>
          </w:p>
        </w:tc>
        <w:tc>
          <w:tcPr>
            <w:tcW w:w="5528" w:type="dxa"/>
            <w:noWrap/>
            <w:hideMark/>
          </w:tcPr>
          <w:p w14:paraId="224DD778"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weak red to dark red ,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1F4FEC50"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TypicRhodustalfs</w:t>
            </w:r>
            <w:proofErr w:type="spellEnd"/>
          </w:p>
        </w:tc>
      </w:tr>
      <w:tr w:rsidR="00BA3126" w:rsidRPr="00014750" w14:paraId="1B68AFEA" w14:textId="77777777" w:rsidTr="001F5AD3">
        <w:tc>
          <w:tcPr>
            <w:tcW w:w="959" w:type="dxa"/>
            <w:hideMark/>
          </w:tcPr>
          <w:p w14:paraId="4CCA870A"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P-20</w:t>
            </w:r>
          </w:p>
        </w:tc>
        <w:tc>
          <w:tcPr>
            <w:tcW w:w="5528" w:type="dxa"/>
            <w:noWrap/>
            <w:hideMark/>
          </w:tcPr>
          <w:p w14:paraId="10AB6A9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grayish brown to dark grayish brown, fine loamy textured, non-calcareous, poorly to imperfectly drained, very gently terraced to gently terraced sloping, depression. </w:t>
            </w:r>
          </w:p>
        </w:tc>
        <w:tc>
          <w:tcPr>
            <w:tcW w:w="3089" w:type="dxa"/>
            <w:hideMark/>
          </w:tcPr>
          <w:p w14:paraId="1B25FD07"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AericEpiaquepts</w:t>
            </w:r>
            <w:proofErr w:type="spellEnd"/>
          </w:p>
        </w:tc>
      </w:tr>
      <w:tr w:rsidR="00BA3126" w:rsidRPr="00014750" w14:paraId="19B4B4BB" w14:textId="77777777" w:rsidTr="001F5AD3">
        <w:tc>
          <w:tcPr>
            <w:tcW w:w="959" w:type="dxa"/>
            <w:hideMark/>
          </w:tcPr>
          <w:p w14:paraId="1A316A98"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P-21</w:t>
            </w:r>
          </w:p>
        </w:tc>
        <w:tc>
          <w:tcPr>
            <w:tcW w:w="5528" w:type="dxa"/>
            <w:noWrap/>
            <w:hideMark/>
          </w:tcPr>
          <w:p w14:paraId="74D300BD"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Moderately deep, strong brown to yellowish brown, fine loamy textured, non-calcareous, well drained, very gently to gently terraced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5DD0435A"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Loamy Shallow, Mixed, Hyperthermic, </w:t>
            </w:r>
            <w:proofErr w:type="spellStart"/>
            <w:r w:rsidRPr="00014750">
              <w:rPr>
                <w:rFonts w:ascii="Times New Roman" w:hAnsi="Times New Roman" w:cs="Times New Roman"/>
                <w:color w:val="000000"/>
              </w:rPr>
              <w:t>TypicHaplustepts</w:t>
            </w:r>
            <w:proofErr w:type="spellEnd"/>
          </w:p>
        </w:tc>
      </w:tr>
      <w:tr w:rsidR="00BA3126" w:rsidRPr="00014750" w14:paraId="1898DDF9" w14:textId="77777777" w:rsidTr="001F5AD3">
        <w:tc>
          <w:tcPr>
            <w:tcW w:w="959" w:type="dxa"/>
            <w:hideMark/>
          </w:tcPr>
          <w:p w14:paraId="4486260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P-22</w:t>
            </w:r>
          </w:p>
        </w:tc>
        <w:tc>
          <w:tcPr>
            <w:tcW w:w="5528" w:type="dxa"/>
            <w:noWrap/>
            <w:hideMark/>
          </w:tcPr>
          <w:p w14:paraId="696DA7F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Deep, weak red to dusky red, fine loamy textured, non-calcareous, well drained, very gently to gently sloping, upper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ED0BABE"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TypicRhodustalfs</w:t>
            </w:r>
            <w:proofErr w:type="spellEnd"/>
          </w:p>
        </w:tc>
      </w:tr>
      <w:tr w:rsidR="00BA3126" w:rsidRPr="00014750" w14:paraId="198EAC2E" w14:textId="77777777" w:rsidTr="001F5AD3">
        <w:tc>
          <w:tcPr>
            <w:tcW w:w="959" w:type="dxa"/>
            <w:hideMark/>
          </w:tcPr>
          <w:p w14:paraId="3B884FDB"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P-23</w:t>
            </w:r>
          </w:p>
        </w:tc>
        <w:tc>
          <w:tcPr>
            <w:tcW w:w="5528" w:type="dxa"/>
            <w:noWrap/>
            <w:hideMark/>
          </w:tcPr>
          <w:p w14:paraId="776C5973"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dark grayish brown, fine textured, non-calcareous, poorly to imperfectly drained, very gently terraced to gently terraced sloping, depression.</w:t>
            </w:r>
          </w:p>
        </w:tc>
        <w:tc>
          <w:tcPr>
            <w:tcW w:w="3089" w:type="dxa"/>
            <w:hideMark/>
          </w:tcPr>
          <w:p w14:paraId="12B08944"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Mixed, Hyperthermic, </w:t>
            </w:r>
            <w:proofErr w:type="spellStart"/>
            <w:r w:rsidRPr="00014750">
              <w:rPr>
                <w:rFonts w:ascii="Times New Roman" w:hAnsi="Times New Roman" w:cs="Times New Roman"/>
                <w:color w:val="000000"/>
              </w:rPr>
              <w:t>TypicEndoaqualfs</w:t>
            </w:r>
            <w:proofErr w:type="spellEnd"/>
          </w:p>
        </w:tc>
      </w:tr>
      <w:tr w:rsidR="00BA3126" w:rsidRPr="00014750" w14:paraId="79BF9602" w14:textId="77777777" w:rsidTr="001F5AD3">
        <w:tc>
          <w:tcPr>
            <w:tcW w:w="959" w:type="dxa"/>
            <w:hideMark/>
          </w:tcPr>
          <w:p w14:paraId="11701637"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P-24</w:t>
            </w:r>
          </w:p>
        </w:tc>
        <w:tc>
          <w:tcPr>
            <w:tcW w:w="5528" w:type="dxa"/>
            <w:noWrap/>
            <w:hideMark/>
          </w:tcPr>
          <w:p w14:paraId="1410E39F"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Very deep, brown to strong brown, coarse loamy textured, non-calcareous, well drained, very gently to gently sloping, stream banks.</w:t>
            </w:r>
          </w:p>
        </w:tc>
        <w:tc>
          <w:tcPr>
            <w:tcW w:w="3089" w:type="dxa"/>
            <w:hideMark/>
          </w:tcPr>
          <w:p w14:paraId="66F9019B"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Coarse Loamy, Mixed, Hyperthermic, </w:t>
            </w:r>
            <w:proofErr w:type="spellStart"/>
            <w:r w:rsidRPr="00014750">
              <w:rPr>
                <w:rFonts w:ascii="Times New Roman" w:hAnsi="Times New Roman" w:cs="Times New Roman"/>
                <w:color w:val="000000"/>
              </w:rPr>
              <w:t>TypicUstipsamments</w:t>
            </w:r>
            <w:proofErr w:type="spellEnd"/>
          </w:p>
        </w:tc>
      </w:tr>
      <w:tr w:rsidR="00BA3126" w:rsidRPr="00014750" w14:paraId="6D90B60C" w14:textId="77777777" w:rsidTr="001F5AD3">
        <w:tc>
          <w:tcPr>
            <w:tcW w:w="959" w:type="dxa"/>
            <w:hideMark/>
          </w:tcPr>
          <w:p w14:paraId="45EAD0D9" w14:textId="77777777" w:rsidR="00BA3126" w:rsidRPr="00014750" w:rsidRDefault="00BA3126" w:rsidP="001F5AD3">
            <w:pPr>
              <w:spacing w:after="0" w:line="240" w:lineRule="auto"/>
              <w:jc w:val="center"/>
              <w:rPr>
                <w:rFonts w:ascii="Times New Roman" w:hAnsi="Times New Roman" w:cs="Times New Roman"/>
                <w:color w:val="000000"/>
              </w:rPr>
            </w:pPr>
            <w:r w:rsidRPr="00014750">
              <w:rPr>
                <w:rFonts w:ascii="Times New Roman" w:hAnsi="Times New Roman" w:cs="Times New Roman"/>
                <w:color w:val="000000"/>
              </w:rPr>
              <w:t>P-25</w:t>
            </w:r>
          </w:p>
        </w:tc>
        <w:tc>
          <w:tcPr>
            <w:tcW w:w="5528" w:type="dxa"/>
            <w:noWrap/>
            <w:hideMark/>
          </w:tcPr>
          <w:p w14:paraId="5C5AF411"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Very deep, pale brown to brown, fine loamy textured, non-calcareous, imperfectly to moderately well drained, very gently terraced to gently terraced sloping, lower </w:t>
            </w:r>
            <w:proofErr w:type="spellStart"/>
            <w:r w:rsidRPr="00014750">
              <w:rPr>
                <w:rFonts w:ascii="Times New Roman" w:hAnsi="Times New Roman" w:cs="Times New Roman"/>
                <w:color w:val="000000"/>
              </w:rPr>
              <w:t>pedi</w:t>
            </w:r>
            <w:proofErr w:type="spellEnd"/>
            <w:r w:rsidRPr="00014750">
              <w:rPr>
                <w:rFonts w:ascii="Times New Roman" w:hAnsi="Times New Roman" w:cs="Times New Roman"/>
                <w:color w:val="000000"/>
              </w:rPr>
              <w:t>-plains.</w:t>
            </w:r>
          </w:p>
        </w:tc>
        <w:tc>
          <w:tcPr>
            <w:tcW w:w="3089" w:type="dxa"/>
            <w:hideMark/>
          </w:tcPr>
          <w:p w14:paraId="285204D9" w14:textId="77777777" w:rsidR="00BA3126" w:rsidRPr="00014750" w:rsidRDefault="00BA3126" w:rsidP="001F5AD3">
            <w:pPr>
              <w:spacing w:after="0" w:line="240" w:lineRule="auto"/>
              <w:jc w:val="both"/>
              <w:rPr>
                <w:rFonts w:ascii="Times New Roman" w:hAnsi="Times New Roman" w:cs="Times New Roman"/>
                <w:color w:val="000000"/>
              </w:rPr>
            </w:pPr>
            <w:r w:rsidRPr="00014750">
              <w:rPr>
                <w:rFonts w:ascii="Times New Roman" w:hAnsi="Times New Roman" w:cs="Times New Roman"/>
                <w:color w:val="000000"/>
              </w:rPr>
              <w:t xml:space="preserve">Fine Loamy, Mixed, Hyperthermic, </w:t>
            </w:r>
            <w:proofErr w:type="spellStart"/>
            <w:r w:rsidRPr="00014750">
              <w:rPr>
                <w:rFonts w:ascii="Times New Roman" w:hAnsi="Times New Roman" w:cs="Times New Roman"/>
                <w:color w:val="000000"/>
              </w:rPr>
              <w:t>AquicHaplustalfs</w:t>
            </w:r>
            <w:proofErr w:type="spellEnd"/>
          </w:p>
        </w:tc>
      </w:tr>
    </w:tbl>
    <w:p w14:paraId="63A4D38F" w14:textId="77777777" w:rsidR="00BA3126" w:rsidRPr="00014750" w:rsidRDefault="00BA3126" w:rsidP="00EF088B">
      <w:pPr>
        <w:spacing w:after="120"/>
        <w:rPr>
          <w:rFonts w:ascii="Times New Roman" w:hAnsi="Times New Roman"/>
          <w:b/>
          <w:bCs/>
          <w:sz w:val="24"/>
          <w:szCs w:val="24"/>
          <w:lang w:eastAsia="en-IN"/>
        </w:rPr>
      </w:pPr>
    </w:p>
    <w:p w14:paraId="4554EFB0" w14:textId="77777777" w:rsidR="008F18B8" w:rsidRPr="00014750" w:rsidRDefault="008F18B8" w:rsidP="008F18B8">
      <w:pPr>
        <w:spacing w:after="0" w:line="360" w:lineRule="auto"/>
        <w:ind w:left="284"/>
        <w:jc w:val="both"/>
        <w:outlineLvl w:val="1"/>
        <w:rPr>
          <w:rFonts w:ascii="Times New Roman" w:hAnsi="Times New Roman"/>
          <w:b/>
          <w:bCs/>
          <w:sz w:val="24"/>
          <w:szCs w:val="24"/>
          <w:lang w:eastAsia="en-IN"/>
        </w:rPr>
      </w:pPr>
      <w:r w:rsidRPr="00014750">
        <w:rPr>
          <w:rFonts w:ascii="Times New Roman" w:hAnsi="Times New Roman"/>
          <w:b/>
          <w:bCs/>
          <w:sz w:val="24"/>
          <w:szCs w:val="24"/>
          <w:lang w:eastAsia="en-IN"/>
        </w:rPr>
        <w:t>Table 4. Soil-site suitability for different crops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944"/>
        <w:gridCol w:w="1034"/>
        <w:gridCol w:w="1034"/>
        <w:gridCol w:w="1050"/>
        <w:gridCol w:w="1034"/>
        <w:gridCol w:w="1034"/>
        <w:gridCol w:w="1036"/>
      </w:tblGrid>
      <w:tr w:rsidR="004F708E" w:rsidRPr="00014750" w14:paraId="7B7577FA" w14:textId="77777777" w:rsidTr="00AF7F6D">
        <w:tc>
          <w:tcPr>
            <w:tcW w:w="1258" w:type="pct"/>
            <w:vMerge w:val="restart"/>
            <w:vAlign w:val="center"/>
          </w:tcPr>
          <w:p w14:paraId="667C0B80" w14:textId="77777777" w:rsidR="004F708E" w:rsidRPr="00014750" w:rsidRDefault="004F708E"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b/>
                <w:bCs/>
                <w:sz w:val="18"/>
                <w:szCs w:val="18"/>
                <w:lang w:eastAsia="en-IN"/>
              </w:rPr>
              <w:t>Suitability class</w:t>
            </w:r>
          </w:p>
        </w:tc>
        <w:tc>
          <w:tcPr>
            <w:tcW w:w="3742" w:type="pct"/>
            <w:gridSpan w:val="7"/>
            <w:tcBorders>
              <w:right w:val="single" w:sz="4" w:space="0" w:color="auto"/>
            </w:tcBorders>
            <w:vAlign w:val="center"/>
          </w:tcPr>
          <w:p w14:paraId="3FD2222A"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 xml:space="preserve">Different </w:t>
            </w:r>
            <w:r w:rsidRPr="00014750">
              <w:rPr>
                <w:rFonts w:ascii="Times New Roman" w:hAnsi="Times New Roman" w:cs="Times New Roman"/>
                <w:b/>
                <w:bCs/>
                <w:kern w:val="36"/>
                <w:sz w:val="18"/>
                <w:szCs w:val="18"/>
                <w:lang w:bidi="hi-IN"/>
              </w:rPr>
              <w:t>Crop</w:t>
            </w:r>
          </w:p>
        </w:tc>
      </w:tr>
      <w:tr w:rsidR="00CF476F" w:rsidRPr="00014750" w14:paraId="104BC763" w14:textId="77777777" w:rsidTr="00AF7F6D">
        <w:tc>
          <w:tcPr>
            <w:tcW w:w="1258" w:type="pct"/>
            <w:vMerge/>
            <w:vAlign w:val="center"/>
          </w:tcPr>
          <w:p w14:paraId="6488A00A" w14:textId="77777777" w:rsidR="004F708E" w:rsidRPr="00014750" w:rsidRDefault="004F708E" w:rsidP="00AF7F6D">
            <w:pPr>
              <w:spacing w:after="0" w:line="240" w:lineRule="auto"/>
              <w:jc w:val="center"/>
              <w:outlineLvl w:val="1"/>
              <w:rPr>
                <w:rFonts w:ascii="Times New Roman" w:hAnsi="Times New Roman" w:cs="Times New Roman"/>
                <w:sz w:val="18"/>
                <w:szCs w:val="18"/>
              </w:rPr>
            </w:pPr>
          </w:p>
        </w:tc>
        <w:tc>
          <w:tcPr>
            <w:tcW w:w="493" w:type="pct"/>
            <w:vAlign w:val="center"/>
          </w:tcPr>
          <w:p w14:paraId="687080F6"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Paddy</w:t>
            </w:r>
          </w:p>
        </w:tc>
        <w:tc>
          <w:tcPr>
            <w:tcW w:w="540" w:type="pct"/>
            <w:vAlign w:val="center"/>
          </w:tcPr>
          <w:p w14:paraId="3F105BB2"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Potato</w:t>
            </w:r>
          </w:p>
        </w:tc>
        <w:tc>
          <w:tcPr>
            <w:tcW w:w="540" w:type="pct"/>
            <w:vAlign w:val="center"/>
          </w:tcPr>
          <w:p w14:paraId="719A9EF1"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Maize</w:t>
            </w:r>
          </w:p>
        </w:tc>
        <w:tc>
          <w:tcPr>
            <w:tcW w:w="548" w:type="pct"/>
          </w:tcPr>
          <w:p w14:paraId="53D0773D"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Sugarcane</w:t>
            </w:r>
          </w:p>
        </w:tc>
        <w:tc>
          <w:tcPr>
            <w:tcW w:w="540" w:type="pct"/>
          </w:tcPr>
          <w:p w14:paraId="7F7B4A61"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Cotton</w:t>
            </w:r>
          </w:p>
        </w:tc>
        <w:tc>
          <w:tcPr>
            <w:tcW w:w="540" w:type="pct"/>
            <w:vAlign w:val="center"/>
          </w:tcPr>
          <w:p w14:paraId="37E168AB"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Mustard</w:t>
            </w:r>
          </w:p>
        </w:tc>
        <w:tc>
          <w:tcPr>
            <w:tcW w:w="541" w:type="pct"/>
            <w:tcBorders>
              <w:right w:val="single" w:sz="4" w:space="0" w:color="auto"/>
            </w:tcBorders>
            <w:vAlign w:val="center"/>
          </w:tcPr>
          <w:p w14:paraId="5D7944A8"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b/>
                <w:bCs/>
                <w:sz w:val="18"/>
                <w:szCs w:val="18"/>
                <w:lang w:eastAsia="en-IN"/>
              </w:rPr>
              <w:t>Sunflower</w:t>
            </w:r>
          </w:p>
        </w:tc>
      </w:tr>
      <w:tr w:rsidR="00CF476F" w:rsidRPr="00014750" w14:paraId="5318C7C9" w14:textId="77777777" w:rsidTr="00AF7F6D">
        <w:tc>
          <w:tcPr>
            <w:tcW w:w="1258" w:type="pct"/>
            <w:vAlign w:val="center"/>
          </w:tcPr>
          <w:p w14:paraId="462CD916"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Highly suitable (S1)</w:t>
            </w:r>
          </w:p>
        </w:tc>
        <w:tc>
          <w:tcPr>
            <w:tcW w:w="493" w:type="pct"/>
            <w:vAlign w:val="center"/>
          </w:tcPr>
          <w:p w14:paraId="4190FCB4"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1492</w:t>
            </w:r>
          </w:p>
        </w:tc>
        <w:tc>
          <w:tcPr>
            <w:tcW w:w="540" w:type="pct"/>
            <w:vAlign w:val="center"/>
          </w:tcPr>
          <w:p w14:paraId="723B6BD1"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6CA41660"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tcPr>
          <w:p w14:paraId="6DFB5EF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5F7791A2"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091AD496"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655A4513"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r>
      <w:tr w:rsidR="00CF476F" w:rsidRPr="00014750" w14:paraId="78203450" w14:textId="77777777" w:rsidTr="00AF7F6D">
        <w:tc>
          <w:tcPr>
            <w:tcW w:w="1258" w:type="pct"/>
            <w:vAlign w:val="center"/>
          </w:tcPr>
          <w:p w14:paraId="78B55AB5"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Moderately suitable (S2)</w:t>
            </w:r>
          </w:p>
        </w:tc>
        <w:tc>
          <w:tcPr>
            <w:tcW w:w="493" w:type="pct"/>
            <w:vAlign w:val="center"/>
          </w:tcPr>
          <w:p w14:paraId="6065D926"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8849</w:t>
            </w:r>
          </w:p>
        </w:tc>
        <w:tc>
          <w:tcPr>
            <w:tcW w:w="540" w:type="pct"/>
            <w:vAlign w:val="center"/>
          </w:tcPr>
          <w:p w14:paraId="3E486956" w14:textId="77777777" w:rsidR="004F708E"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6262</w:t>
            </w:r>
          </w:p>
        </w:tc>
        <w:tc>
          <w:tcPr>
            <w:tcW w:w="540" w:type="pct"/>
            <w:vAlign w:val="center"/>
          </w:tcPr>
          <w:p w14:paraId="7AFDDC9C"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14049</w:t>
            </w:r>
          </w:p>
        </w:tc>
        <w:tc>
          <w:tcPr>
            <w:tcW w:w="548" w:type="pct"/>
          </w:tcPr>
          <w:p w14:paraId="78053ABD"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4503</w:t>
            </w:r>
          </w:p>
        </w:tc>
        <w:tc>
          <w:tcPr>
            <w:tcW w:w="540" w:type="pct"/>
          </w:tcPr>
          <w:p w14:paraId="7BAB5E6A"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78520F27"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1" w:type="pct"/>
            <w:vAlign w:val="center"/>
          </w:tcPr>
          <w:p w14:paraId="7F1C34BD"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428</w:t>
            </w:r>
          </w:p>
        </w:tc>
      </w:tr>
      <w:tr w:rsidR="00CF476F" w:rsidRPr="00014750" w14:paraId="53879883" w14:textId="77777777" w:rsidTr="00AF7F6D">
        <w:tc>
          <w:tcPr>
            <w:tcW w:w="1258" w:type="pct"/>
            <w:vAlign w:val="center"/>
          </w:tcPr>
          <w:p w14:paraId="0683D26F" w14:textId="77777777" w:rsidR="004F708E" w:rsidRPr="00014750" w:rsidRDefault="004F708E"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Marginally suitable (S3)</w:t>
            </w:r>
          </w:p>
        </w:tc>
        <w:tc>
          <w:tcPr>
            <w:tcW w:w="493" w:type="pct"/>
            <w:vAlign w:val="center"/>
          </w:tcPr>
          <w:p w14:paraId="0A2C990F"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6653</w:t>
            </w:r>
          </w:p>
        </w:tc>
        <w:tc>
          <w:tcPr>
            <w:tcW w:w="540" w:type="pct"/>
            <w:vAlign w:val="center"/>
          </w:tcPr>
          <w:p w14:paraId="6BF898C8"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15133</w:t>
            </w:r>
          </w:p>
        </w:tc>
        <w:tc>
          <w:tcPr>
            <w:tcW w:w="540" w:type="pct"/>
            <w:vAlign w:val="center"/>
          </w:tcPr>
          <w:p w14:paraId="3B0A23AC"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7346</w:t>
            </w:r>
          </w:p>
        </w:tc>
        <w:tc>
          <w:tcPr>
            <w:tcW w:w="548" w:type="pct"/>
          </w:tcPr>
          <w:p w14:paraId="0F07506F"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16892</w:t>
            </w:r>
          </w:p>
        </w:tc>
        <w:tc>
          <w:tcPr>
            <w:tcW w:w="540" w:type="pct"/>
          </w:tcPr>
          <w:p w14:paraId="26A568B9" w14:textId="77777777" w:rsidR="004F708E"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17151</w:t>
            </w:r>
          </w:p>
        </w:tc>
        <w:tc>
          <w:tcPr>
            <w:tcW w:w="540" w:type="pct"/>
            <w:vAlign w:val="center"/>
          </w:tcPr>
          <w:p w14:paraId="32AF561A"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16690 (67)</w:t>
            </w:r>
          </w:p>
        </w:tc>
        <w:tc>
          <w:tcPr>
            <w:tcW w:w="541" w:type="pct"/>
            <w:vAlign w:val="center"/>
          </w:tcPr>
          <w:p w14:paraId="0B86F592" w14:textId="77777777" w:rsidR="004F708E"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17093</w:t>
            </w:r>
          </w:p>
        </w:tc>
      </w:tr>
      <w:tr w:rsidR="00CF476F" w:rsidRPr="00014750" w14:paraId="061CA926" w14:textId="77777777" w:rsidTr="00AF7F6D">
        <w:tc>
          <w:tcPr>
            <w:tcW w:w="1258" w:type="pct"/>
            <w:vAlign w:val="center"/>
          </w:tcPr>
          <w:p w14:paraId="13F2B574" w14:textId="77777777" w:rsidR="00CE6783" w:rsidRPr="00014750" w:rsidRDefault="00CE6783" w:rsidP="00AF7F6D">
            <w:pPr>
              <w:spacing w:after="0" w:line="240" w:lineRule="auto"/>
              <w:jc w:val="center"/>
              <w:outlineLvl w:val="1"/>
              <w:rPr>
                <w:rFonts w:ascii="Times New Roman" w:hAnsi="Times New Roman" w:cs="Times New Roman"/>
                <w:b/>
                <w:bCs/>
                <w:sz w:val="18"/>
                <w:szCs w:val="18"/>
                <w:lang w:eastAsia="en-IN"/>
              </w:rPr>
            </w:pPr>
            <w:r w:rsidRPr="00014750">
              <w:rPr>
                <w:rFonts w:ascii="Times New Roman" w:hAnsi="Times New Roman" w:cs="Times New Roman"/>
                <w:sz w:val="18"/>
                <w:szCs w:val="18"/>
              </w:rPr>
              <w:t>Presently not suitable (N1)</w:t>
            </w:r>
          </w:p>
        </w:tc>
        <w:tc>
          <w:tcPr>
            <w:tcW w:w="493" w:type="pct"/>
            <w:vAlign w:val="center"/>
          </w:tcPr>
          <w:p w14:paraId="6127F124"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4401</w:t>
            </w:r>
          </w:p>
        </w:tc>
        <w:tc>
          <w:tcPr>
            <w:tcW w:w="540" w:type="pct"/>
            <w:vAlign w:val="center"/>
          </w:tcPr>
          <w:p w14:paraId="545ACF4A"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vAlign w:val="center"/>
          </w:tcPr>
          <w:p w14:paraId="3ACF2239"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8" w:type="pct"/>
            <w:vAlign w:val="center"/>
          </w:tcPr>
          <w:p w14:paraId="3760C477"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w:t>
            </w:r>
          </w:p>
        </w:tc>
        <w:tc>
          <w:tcPr>
            <w:tcW w:w="540" w:type="pct"/>
          </w:tcPr>
          <w:p w14:paraId="165DE851" w14:textId="77777777" w:rsidR="00CE6783" w:rsidRPr="00014750" w:rsidRDefault="00CE6783"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4244</w:t>
            </w:r>
          </w:p>
        </w:tc>
        <w:tc>
          <w:tcPr>
            <w:tcW w:w="540" w:type="pct"/>
            <w:vAlign w:val="center"/>
          </w:tcPr>
          <w:p w14:paraId="2BA63229"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4705 (19)</w:t>
            </w:r>
          </w:p>
        </w:tc>
        <w:tc>
          <w:tcPr>
            <w:tcW w:w="541" w:type="pct"/>
            <w:vAlign w:val="center"/>
          </w:tcPr>
          <w:p w14:paraId="21DF145B" w14:textId="77777777" w:rsidR="00CE6783"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3875</w:t>
            </w:r>
          </w:p>
        </w:tc>
      </w:tr>
      <w:tr w:rsidR="00CF476F" w:rsidRPr="00014750" w14:paraId="01E6E248" w14:textId="77777777" w:rsidTr="00AF7F6D">
        <w:tc>
          <w:tcPr>
            <w:tcW w:w="1258" w:type="pct"/>
            <w:vAlign w:val="center"/>
          </w:tcPr>
          <w:p w14:paraId="1491D23A" w14:textId="77777777" w:rsidR="00CF476F" w:rsidRPr="00014750" w:rsidRDefault="00CF476F"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Permanently not suitable (N2)</w:t>
            </w:r>
          </w:p>
        </w:tc>
        <w:tc>
          <w:tcPr>
            <w:tcW w:w="493" w:type="pct"/>
            <w:vAlign w:val="center"/>
          </w:tcPr>
          <w:p w14:paraId="393AB01F"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B835FD1"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9FFA481"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8" w:type="pct"/>
            <w:vAlign w:val="center"/>
          </w:tcPr>
          <w:p w14:paraId="7F569897"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3828CDBF"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0" w:type="pct"/>
            <w:vAlign w:val="center"/>
          </w:tcPr>
          <w:p w14:paraId="1069D9A7"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c>
          <w:tcPr>
            <w:tcW w:w="541" w:type="pct"/>
            <w:vAlign w:val="center"/>
          </w:tcPr>
          <w:p w14:paraId="47CF9729" w14:textId="77777777" w:rsidR="00CF476F" w:rsidRPr="00014750" w:rsidRDefault="00CF476F"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995</w:t>
            </w:r>
          </w:p>
        </w:tc>
      </w:tr>
      <w:tr w:rsidR="00BE18DD" w:rsidRPr="00014750" w14:paraId="11FCDD5E" w14:textId="77777777" w:rsidTr="00AF7F6D">
        <w:tc>
          <w:tcPr>
            <w:tcW w:w="1258" w:type="pct"/>
            <w:vAlign w:val="center"/>
          </w:tcPr>
          <w:p w14:paraId="1183843B"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Waterbodies</w:t>
            </w:r>
          </w:p>
        </w:tc>
        <w:tc>
          <w:tcPr>
            <w:tcW w:w="493" w:type="pct"/>
            <w:vAlign w:val="center"/>
          </w:tcPr>
          <w:p w14:paraId="7D747505"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77BA2A6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3BF9159F"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8" w:type="pct"/>
            <w:vAlign w:val="center"/>
          </w:tcPr>
          <w:p w14:paraId="5DBF3FC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0CFE153A"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0" w:type="pct"/>
            <w:vAlign w:val="center"/>
          </w:tcPr>
          <w:p w14:paraId="0A810F71"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c>
          <w:tcPr>
            <w:tcW w:w="541" w:type="pct"/>
            <w:vAlign w:val="center"/>
          </w:tcPr>
          <w:p w14:paraId="143A0C77"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1443</w:t>
            </w:r>
          </w:p>
        </w:tc>
      </w:tr>
      <w:tr w:rsidR="00BE18DD" w:rsidRPr="00014750" w14:paraId="04FBC3EE" w14:textId="77777777" w:rsidTr="00AF7F6D">
        <w:tc>
          <w:tcPr>
            <w:tcW w:w="1258" w:type="pct"/>
            <w:vAlign w:val="center"/>
          </w:tcPr>
          <w:p w14:paraId="2CC5121A" w14:textId="77777777" w:rsidR="00BE18DD" w:rsidRPr="00014750" w:rsidRDefault="00BE18DD" w:rsidP="00AF7F6D">
            <w:pPr>
              <w:spacing w:after="0" w:line="240" w:lineRule="auto"/>
              <w:jc w:val="center"/>
              <w:outlineLvl w:val="1"/>
              <w:rPr>
                <w:rFonts w:ascii="Times New Roman" w:hAnsi="Times New Roman" w:cs="Times New Roman"/>
                <w:sz w:val="18"/>
                <w:szCs w:val="18"/>
              </w:rPr>
            </w:pPr>
            <w:r w:rsidRPr="00014750">
              <w:rPr>
                <w:rFonts w:ascii="Times New Roman" w:hAnsi="Times New Roman" w:cs="Times New Roman"/>
                <w:sz w:val="18"/>
                <w:szCs w:val="18"/>
              </w:rPr>
              <w:t>Miscellaneous</w:t>
            </w:r>
          </w:p>
        </w:tc>
        <w:tc>
          <w:tcPr>
            <w:tcW w:w="493" w:type="pct"/>
            <w:vAlign w:val="center"/>
          </w:tcPr>
          <w:p w14:paraId="1F5436B4"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7CC36743"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6F5D674E"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8" w:type="pct"/>
            <w:vAlign w:val="center"/>
          </w:tcPr>
          <w:p w14:paraId="6D50FFD0"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5772BEBB"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0" w:type="pct"/>
            <w:vAlign w:val="center"/>
          </w:tcPr>
          <w:p w14:paraId="680BE2A0"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c>
          <w:tcPr>
            <w:tcW w:w="541" w:type="pct"/>
            <w:vAlign w:val="center"/>
          </w:tcPr>
          <w:p w14:paraId="2B01F409" w14:textId="77777777" w:rsidR="00BE18DD" w:rsidRPr="00014750" w:rsidRDefault="00BE18DD" w:rsidP="00AF7F6D">
            <w:pPr>
              <w:spacing w:after="0" w:line="240" w:lineRule="auto"/>
              <w:jc w:val="center"/>
              <w:outlineLvl w:val="1"/>
              <w:rPr>
                <w:rFonts w:ascii="Times New Roman" w:hAnsi="Times New Roman" w:cs="Times New Roman"/>
                <w:bCs/>
                <w:sz w:val="18"/>
                <w:szCs w:val="18"/>
                <w:lang w:eastAsia="en-IN"/>
              </w:rPr>
            </w:pPr>
            <w:r w:rsidRPr="00014750">
              <w:rPr>
                <w:rFonts w:ascii="Times New Roman" w:hAnsi="Times New Roman" w:cs="Times New Roman"/>
                <w:bCs/>
                <w:sz w:val="18"/>
                <w:szCs w:val="18"/>
                <w:lang w:eastAsia="en-IN"/>
              </w:rPr>
              <w:t>1041</w:t>
            </w:r>
          </w:p>
        </w:tc>
      </w:tr>
    </w:tbl>
    <w:p w14:paraId="49983FF3" w14:textId="77777777" w:rsidR="00D025F0" w:rsidRPr="00014750" w:rsidRDefault="007C28BB" w:rsidP="009372FE">
      <w:pPr>
        <w:spacing w:after="120" w:line="360" w:lineRule="auto"/>
        <w:ind w:left="284"/>
        <w:jc w:val="both"/>
        <w:outlineLvl w:val="1"/>
        <w:rPr>
          <w:rFonts w:ascii="Times New Roman" w:hAnsi="Times New Roman" w:cs="Times New Roman"/>
          <w:sz w:val="18"/>
          <w:szCs w:val="18"/>
        </w:rPr>
      </w:pPr>
      <w:r w:rsidRPr="00014750">
        <w:rPr>
          <w:rFonts w:ascii="Times New Roman" w:hAnsi="Times New Roman" w:cs="Times New Roman"/>
          <w:sz w:val="18"/>
          <w:szCs w:val="18"/>
        </w:rPr>
        <w:t>-The observed soil-site characteristics impose limitations that prevent the crop from qualifying for this suitability class.</w:t>
      </w:r>
    </w:p>
    <w:p w14:paraId="70DA39D9" w14:textId="77777777" w:rsidR="0030713F" w:rsidRPr="00014750" w:rsidRDefault="0030713F">
      <w:pPr>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7EEA1B3C" w14:textId="77777777" w:rsidR="001C4021"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22CF5114" wp14:editId="066641B0">
            <wp:extent cx="5796280" cy="5857875"/>
            <wp:effectExtent l="19050" t="19050" r="13970" b="2857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r="30006"/>
                    <a:stretch>
                      <a:fillRect/>
                    </a:stretch>
                  </pic:blipFill>
                  <pic:spPr bwMode="auto">
                    <a:xfrm>
                      <a:off x="0" y="0"/>
                      <a:ext cx="5796280" cy="5857875"/>
                    </a:xfrm>
                    <a:prstGeom prst="rect">
                      <a:avLst/>
                    </a:prstGeom>
                    <a:noFill/>
                    <a:ln w="9525">
                      <a:solidFill>
                        <a:srgbClr val="000000"/>
                      </a:solidFill>
                      <a:miter lim="800000"/>
                      <a:headEnd/>
                      <a:tailEnd/>
                    </a:ln>
                  </pic:spPr>
                </pic:pic>
              </a:graphicData>
            </a:graphic>
          </wp:inline>
        </w:drawing>
      </w:r>
    </w:p>
    <w:p w14:paraId="7623D217" w14:textId="77777777" w:rsidR="00207424" w:rsidRPr="00014750" w:rsidRDefault="00207424">
      <w:pPr>
        <w:rPr>
          <w:rFonts w:ascii="Times New Roman" w:hAnsi="Times New Roman"/>
          <w:b/>
          <w:bCs/>
          <w:sz w:val="24"/>
          <w:szCs w:val="24"/>
          <w:lang w:eastAsia="en-IN"/>
        </w:rPr>
      </w:pPr>
      <w:r w:rsidRPr="00014750">
        <w:rPr>
          <w:rFonts w:ascii="Times New Roman" w:hAnsi="Times New Roman"/>
          <w:b/>
          <w:bCs/>
          <w:sz w:val="24"/>
          <w:szCs w:val="24"/>
          <w:lang w:eastAsia="en-IN"/>
        </w:rPr>
        <w:t>Fig.1. Location map of study area</w:t>
      </w:r>
    </w:p>
    <w:p w14:paraId="573FC1F4" w14:textId="77777777" w:rsidR="000C11D5" w:rsidRPr="00014750" w:rsidRDefault="000C11D5" w:rsidP="000C11D5">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1BF2B31D" wp14:editId="48CE1F86">
            <wp:extent cx="5943600" cy="2905125"/>
            <wp:effectExtent l="0" t="0" r="0"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008262" w14:textId="77777777" w:rsidR="000C11D5" w:rsidRPr="00014750" w:rsidRDefault="000C11D5" w:rsidP="000C11D5">
      <w:pPr>
        <w:rPr>
          <w:rFonts w:ascii="Times New Roman" w:hAnsi="Times New Roman"/>
          <w:b/>
          <w:bCs/>
          <w:sz w:val="24"/>
          <w:szCs w:val="24"/>
          <w:lang w:eastAsia="en-IN"/>
        </w:rPr>
      </w:pPr>
      <w:r w:rsidRPr="00014750">
        <w:rPr>
          <w:rFonts w:ascii="Times New Roman" w:hAnsi="Times New Roman"/>
          <w:b/>
          <w:bCs/>
          <w:sz w:val="24"/>
          <w:szCs w:val="24"/>
          <w:lang w:eastAsia="en-IN"/>
        </w:rPr>
        <w:t>Fig.2. Average meteorological data of study area (2014-2018)</w:t>
      </w:r>
    </w:p>
    <w:p w14:paraId="6296D426" w14:textId="77777777" w:rsidR="000C11D5" w:rsidRPr="00014750" w:rsidRDefault="000C11D5">
      <w:pPr>
        <w:rPr>
          <w:rFonts w:ascii="Times New Roman" w:hAnsi="Times New Roman"/>
          <w:b/>
          <w:bCs/>
          <w:sz w:val="24"/>
          <w:szCs w:val="24"/>
          <w:lang w:eastAsia="en-IN"/>
        </w:rPr>
      </w:pPr>
    </w:p>
    <w:p w14:paraId="4F559AE2" w14:textId="77777777" w:rsidR="00CE59BD" w:rsidRPr="00014750" w:rsidRDefault="00CE59BD">
      <w:pPr>
        <w:spacing w:after="0" w:line="240" w:lineRule="auto"/>
        <w:rPr>
          <w:rFonts w:ascii="Times New Roman" w:hAnsi="Times New Roman"/>
          <w:b/>
          <w:bCs/>
          <w:sz w:val="24"/>
          <w:szCs w:val="24"/>
          <w:lang w:eastAsia="en-IN"/>
        </w:rPr>
      </w:pPr>
      <w:r w:rsidRPr="00014750">
        <w:rPr>
          <w:rFonts w:ascii="Times New Roman" w:hAnsi="Times New Roman"/>
          <w:b/>
          <w:bCs/>
          <w:sz w:val="24"/>
          <w:szCs w:val="24"/>
          <w:lang w:eastAsia="en-IN"/>
        </w:rPr>
        <w:br w:type="page"/>
      </w:r>
    </w:p>
    <w:p w14:paraId="2223AB37" w14:textId="77777777" w:rsidR="00211529" w:rsidRPr="00014750" w:rsidRDefault="00531D99">
      <w:pPr>
        <w:rPr>
          <w:rFonts w:ascii="Times New Roman" w:hAnsi="Times New Roman"/>
          <w:b/>
          <w:bCs/>
          <w:sz w:val="24"/>
          <w:szCs w:val="24"/>
          <w:lang w:eastAsia="en-IN"/>
        </w:rPr>
      </w:pPr>
      <w:r w:rsidRPr="00014750">
        <w:rPr>
          <w:noProof/>
          <w:lang w:val="en-IN" w:eastAsia="en-IN" w:bidi="hi-IN"/>
        </w:rPr>
        <w:lastRenderedPageBreak/>
        <w:drawing>
          <wp:inline distT="0" distB="0" distL="0" distR="0" wp14:anchorId="269C362B" wp14:editId="51D6C4F8">
            <wp:extent cx="5943600" cy="4203700"/>
            <wp:effectExtent l="19050" t="19050" r="1905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203700"/>
                    </a:xfrm>
                    <a:prstGeom prst="rect">
                      <a:avLst/>
                    </a:prstGeom>
                    <a:noFill/>
                    <a:ln w="9525">
                      <a:solidFill>
                        <a:srgbClr val="0D0D0D"/>
                      </a:solidFill>
                      <a:miter lim="800000"/>
                      <a:headEnd/>
                      <a:tailEnd/>
                    </a:ln>
                  </pic:spPr>
                </pic:pic>
              </a:graphicData>
            </a:graphic>
          </wp:inline>
        </w:drawing>
      </w:r>
      <w:r w:rsidR="00546FC9" w:rsidRPr="00014750">
        <w:rPr>
          <w:rFonts w:ascii="Times New Roman" w:hAnsi="Times New Roman"/>
          <w:b/>
          <w:bCs/>
          <w:sz w:val="24"/>
          <w:szCs w:val="24"/>
          <w:lang w:eastAsia="en-IN"/>
        </w:rPr>
        <w:t>Fig. 3</w:t>
      </w:r>
      <w:r w:rsidR="00211529"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 xml:space="preserve">Spatial distribution of </w:t>
      </w:r>
      <w:r w:rsidR="00211529" w:rsidRPr="00014750">
        <w:rPr>
          <w:rFonts w:ascii="Times New Roman" w:hAnsi="Times New Roman"/>
          <w:b/>
          <w:bCs/>
          <w:sz w:val="24"/>
          <w:szCs w:val="24"/>
          <w:lang w:eastAsia="en-IN"/>
        </w:rPr>
        <w:t>Paddy suitability</w:t>
      </w:r>
    </w:p>
    <w:p w14:paraId="4D6C3206"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74F4486" wp14:editId="770487C4">
            <wp:extent cx="5943600" cy="4200525"/>
            <wp:effectExtent l="19050" t="19050" r="19050" b="2857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4AC7F03D" w14:textId="77777777" w:rsidR="00211529" w:rsidRPr="00014750" w:rsidRDefault="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4</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p</w:t>
      </w:r>
      <w:r w:rsidRPr="00014750">
        <w:rPr>
          <w:rFonts w:ascii="Times New Roman" w:hAnsi="Times New Roman"/>
          <w:b/>
          <w:bCs/>
          <w:sz w:val="24"/>
          <w:szCs w:val="24"/>
          <w:lang w:eastAsia="en-IN"/>
        </w:rPr>
        <w:t>otato suitability</w:t>
      </w:r>
    </w:p>
    <w:p w14:paraId="735828C0"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03D96829" wp14:editId="467DAD68">
            <wp:extent cx="5943600" cy="4200525"/>
            <wp:effectExtent l="19050" t="19050" r="19050" b="2857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182050BA"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5</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r w:rsidRPr="00014750">
        <w:rPr>
          <w:rFonts w:ascii="Times New Roman" w:hAnsi="Times New Roman"/>
          <w:b/>
          <w:bCs/>
          <w:sz w:val="24"/>
          <w:szCs w:val="24"/>
          <w:lang w:eastAsia="en-IN"/>
        </w:rPr>
        <w:t>aize suitability</w:t>
      </w:r>
    </w:p>
    <w:p w14:paraId="2AC5B687" w14:textId="77777777" w:rsidR="00211529" w:rsidRPr="00014750" w:rsidRDefault="00531D9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5E7257AE" wp14:editId="639A9370">
            <wp:extent cx="5943600" cy="4200525"/>
            <wp:effectExtent l="19050" t="19050" r="19050" b="28575"/>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7DF83367" w14:textId="77777777" w:rsidR="00211529" w:rsidRPr="00014750" w:rsidRDefault="00546FC9" w:rsidP="00211529">
      <w:pPr>
        <w:rPr>
          <w:rFonts w:ascii="Times New Roman" w:hAnsi="Times New Roman"/>
          <w:b/>
          <w:bCs/>
          <w:sz w:val="24"/>
          <w:szCs w:val="24"/>
          <w:lang w:eastAsia="en-IN"/>
        </w:rPr>
      </w:pPr>
      <w:r w:rsidRPr="00014750">
        <w:rPr>
          <w:rFonts w:ascii="Times New Roman" w:hAnsi="Times New Roman"/>
          <w:b/>
          <w:bCs/>
          <w:sz w:val="24"/>
          <w:szCs w:val="24"/>
          <w:lang w:eastAsia="en-IN"/>
        </w:rPr>
        <w:t>Fig. 6</w:t>
      </w:r>
      <w:r w:rsidR="00211529" w:rsidRPr="00014750">
        <w:rPr>
          <w:rFonts w:ascii="Times New Roman" w:hAnsi="Times New Roman"/>
          <w:b/>
          <w:bCs/>
          <w:sz w:val="24"/>
          <w:szCs w:val="24"/>
          <w:lang w:eastAsia="en-IN"/>
        </w:rPr>
        <w:t xml:space="preserve">. </w:t>
      </w:r>
      <w:r w:rsidRPr="00014750">
        <w:rPr>
          <w:rFonts w:ascii="Times New Roman" w:hAnsi="Times New Roman"/>
          <w:b/>
          <w:bCs/>
          <w:sz w:val="24"/>
          <w:szCs w:val="24"/>
          <w:lang w:eastAsia="en-IN"/>
        </w:rPr>
        <w:t>Spatial distribution of s</w:t>
      </w:r>
      <w:r w:rsidR="00211529" w:rsidRPr="00014750">
        <w:rPr>
          <w:rFonts w:ascii="Times New Roman" w:hAnsi="Times New Roman"/>
          <w:b/>
          <w:bCs/>
          <w:sz w:val="24"/>
          <w:szCs w:val="24"/>
          <w:lang w:eastAsia="en-IN"/>
        </w:rPr>
        <w:t>ugarcane suitability</w:t>
      </w:r>
    </w:p>
    <w:p w14:paraId="35D8F8DE"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C1718BD" wp14:editId="5D1CD776">
            <wp:extent cx="5943600" cy="4200525"/>
            <wp:effectExtent l="19050" t="19050" r="19050" b="28575"/>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5FD03FA1"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7</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c</w:t>
      </w:r>
      <w:r w:rsidRPr="00014750">
        <w:rPr>
          <w:rFonts w:ascii="Times New Roman" w:hAnsi="Times New Roman"/>
          <w:b/>
          <w:bCs/>
          <w:sz w:val="24"/>
          <w:szCs w:val="24"/>
          <w:lang w:eastAsia="en-IN"/>
        </w:rPr>
        <w:t>otton suitability</w:t>
      </w:r>
    </w:p>
    <w:p w14:paraId="5325DB4E"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3682AAAD" wp14:editId="4DDA7C66">
            <wp:extent cx="5943600" cy="4200525"/>
            <wp:effectExtent l="19050" t="19050" r="19050" b="2857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6E5B14AD" w14:textId="77777777" w:rsidR="00211529" w:rsidRPr="00014750"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8</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m</w:t>
      </w:r>
      <w:proofErr w:type="spellStart"/>
      <w:r w:rsidRPr="00014750">
        <w:rPr>
          <w:rFonts w:ascii="Times New Roman" w:hAnsi="Times New Roman"/>
          <w:b/>
          <w:bCs/>
          <w:sz w:val="24"/>
          <w:szCs w:val="24"/>
          <w:lang w:val="en-GB" w:eastAsia="en-IN"/>
        </w:rPr>
        <w:t>ustard</w:t>
      </w:r>
      <w:proofErr w:type="spellEnd"/>
      <w:r w:rsidRPr="00014750">
        <w:rPr>
          <w:rFonts w:ascii="Times New Roman" w:hAnsi="Times New Roman"/>
          <w:b/>
          <w:bCs/>
          <w:sz w:val="24"/>
          <w:szCs w:val="24"/>
          <w:lang w:eastAsia="en-IN"/>
        </w:rPr>
        <w:t xml:space="preserve"> suitability</w:t>
      </w:r>
    </w:p>
    <w:p w14:paraId="37352CC8" w14:textId="77777777" w:rsidR="00211529" w:rsidRPr="00014750" w:rsidRDefault="00531D99" w:rsidP="00211529">
      <w:pPr>
        <w:rPr>
          <w:rFonts w:ascii="Times New Roman" w:hAnsi="Times New Roman"/>
          <w:b/>
          <w:bCs/>
          <w:sz w:val="24"/>
          <w:szCs w:val="24"/>
          <w:lang w:eastAsia="en-IN"/>
        </w:rPr>
      </w:pPr>
      <w:r w:rsidRPr="00014750">
        <w:rPr>
          <w:rFonts w:ascii="Times New Roman" w:hAnsi="Times New Roman"/>
          <w:b/>
          <w:bCs/>
          <w:noProof/>
          <w:sz w:val="24"/>
          <w:szCs w:val="24"/>
          <w:lang w:val="en-IN" w:eastAsia="en-IN" w:bidi="hi-IN"/>
        </w:rPr>
        <w:lastRenderedPageBreak/>
        <w:drawing>
          <wp:inline distT="0" distB="0" distL="0" distR="0" wp14:anchorId="51E32ED1" wp14:editId="1387F8FF">
            <wp:extent cx="5943600" cy="4200525"/>
            <wp:effectExtent l="19050" t="19050" r="19050" b="28575"/>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w="9525" cmpd="sng">
                      <a:solidFill>
                        <a:srgbClr val="0D0D0D"/>
                      </a:solidFill>
                      <a:miter lim="800000"/>
                      <a:headEnd/>
                      <a:tailEnd/>
                    </a:ln>
                    <a:effectLst/>
                  </pic:spPr>
                </pic:pic>
              </a:graphicData>
            </a:graphic>
          </wp:inline>
        </w:drawing>
      </w:r>
    </w:p>
    <w:p w14:paraId="0E03B8EB" w14:textId="77777777" w:rsidR="00932F13" w:rsidRDefault="00211529" w:rsidP="00211529">
      <w:pPr>
        <w:rPr>
          <w:rFonts w:ascii="Times New Roman" w:hAnsi="Times New Roman"/>
          <w:b/>
          <w:bCs/>
          <w:sz w:val="24"/>
          <w:szCs w:val="24"/>
          <w:lang w:eastAsia="en-IN"/>
        </w:rPr>
      </w:pPr>
      <w:r w:rsidRPr="00014750">
        <w:rPr>
          <w:rFonts w:ascii="Times New Roman" w:hAnsi="Times New Roman"/>
          <w:b/>
          <w:bCs/>
          <w:sz w:val="24"/>
          <w:szCs w:val="24"/>
          <w:lang w:eastAsia="en-IN"/>
        </w:rPr>
        <w:t xml:space="preserve">Fig. </w:t>
      </w:r>
      <w:r w:rsidR="00546FC9" w:rsidRPr="00014750">
        <w:rPr>
          <w:rFonts w:ascii="Times New Roman" w:hAnsi="Times New Roman"/>
          <w:b/>
          <w:bCs/>
          <w:sz w:val="24"/>
          <w:szCs w:val="24"/>
          <w:lang w:eastAsia="en-IN"/>
        </w:rPr>
        <w:t>9</w:t>
      </w:r>
      <w:r w:rsidRPr="00014750">
        <w:rPr>
          <w:rFonts w:ascii="Times New Roman" w:hAnsi="Times New Roman"/>
          <w:b/>
          <w:bCs/>
          <w:sz w:val="24"/>
          <w:szCs w:val="24"/>
          <w:lang w:eastAsia="en-IN"/>
        </w:rPr>
        <w:t xml:space="preserve">. </w:t>
      </w:r>
      <w:r w:rsidR="00546FC9" w:rsidRPr="00014750">
        <w:rPr>
          <w:rFonts w:ascii="Times New Roman" w:hAnsi="Times New Roman"/>
          <w:b/>
          <w:bCs/>
          <w:sz w:val="24"/>
          <w:szCs w:val="24"/>
          <w:lang w:eastAsia="en-IN"/>
        </w:rPr>
        <w:t>Spatial distribution of s</w:t>
      </w:r>
      <w:r w:rsidRPr="00014750">
        <w:rPr>
          <w:rFonts w:ascii="Times New Roman" w:hAnsi="Times New Roman"/>
          <w:b/>
          <w:bCs/>
          <w:sz w:val="24"/>
          <w:szCs w:val="24"/>
          <w:lang w:eastAsia="en-IN"/>
        </w:rPr>
        <w:t>unflower suitability</w:t>
      </w:r>
    </w:p>
    <w:p w14:paraId="3FD9D50E" w14:textId="77777777" w:rsidR="00932F13" w:rsidRDefault="00932F13" w:rsidP="00211529">
      <w:pPr>
        <w:rPr>
          <w:rFonts w:ascii="Times New Roman" w:hAnsi="Times New Roman"/>
          <w:b/>
          <w:bCs/>
          <w:sz w:val="24"/>
          <w:szCs w:val="24"/>
          <w:lang w:eastAsia="en-IN"/>
        </w:rPr>
      </w:pPr>
    </w:p>
    <w:sectPr w:rsidR="00932F13" w:rsidSect="00BA312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27AB7" w14:textId="77777777" w:rsidR="00250679" w:rsidRDefault="00250679" w:rsidP="0060071D">
      <w:pPr>
        <w:spacing w:after="0" w:line="240" w:lineRule="auto"/>
      </w:pPr>
      <w:r>
        <w:separator/>
      </w:r>
    </w:p>
  </w:endnote>
  <w:endnote w:type="continuationSeparator" w:id="0">
    <w:p w14:paraId="4AFB6B33" w14:textId="77777777" w:rsidR="00250679" w:rsidRDefault="00250679" w:rsidP="0060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B875" w14:textId="77777777" w:rsidR="00A27CE4" w:rsidRDefault="00A27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238" w14:textId="77777777" w:rsidR="00A27CE4" w:rsidRDefault="00A27C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7899" w14:textId="77777777" w:rsidR="00A27CE4" w:rsidRDefault="00A27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F7E0" w14:textId="77777777" w:rsidR="00250679" w:rsidRDefault="00250679" w:rsidP="0060071D">
      <w:pPr>
        <w:spacing w:after="0" w:line="240" w:lineRule="auto"/>
      </w:pPr>
      <w:r>
        <w:separator/>
      </w:r>
    </w:p>
  </w:footnote>
  <w:footnote w:type="continuationSeparator" w:id="0">
    <w:p w14:paraId="72FF2A36" w14:textId="77777777" w:rsidR="00250679" w:rsidRDefault="00250679" w:rsidP="00600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F447" w14:textId="77777777" w:rsidR="00A27CE4" w:rsidRDefault="00000000">
    <w:pPr>
      <w:pStyle w:val="Header"/>
    </w:pPr>
    <w:r>
      <w:rPr>
        <w:noProof/>
      </w:rPr>
      <w:pict w14:anchorId="01C24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B017" w14:textId="77777777" w:rsidR="00A27CE4" w:rsidRDefault="00000000">
    <w:pPr>
      <w:pStyle w:val="Header"/>
    </w:pPr>
    <w:r>
      <w:rPr>
        <w:noProof/>
      </w:rPr>
      <w:pict w14:anchorId="145455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918C" w14:textId="77777777" w:rsidR="00A27CE4" w:rsidRDefault="00000000">
    <w:pPr>
      <w:pStyle w:val="Header"/>
    </w:pPr>
    <w:r>
      <w:rPr>
        <w:noProof/>
      </w:rPr>
      <w:pict w14:anchorId="026D63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895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802E4"/>
    <w:multiLevelType w:val="multilevel"/>
    <w:tmpl w:val="9D3EC12E"/>
    <w:lvl w:ilvl="0">
      <w:start w:val="1"/>
      <w:numFmt w:val="decimal"/>
      <w:lvlText w:val="%1."/>
      <w:lvlJc w:val="left"/>
      <w:pPr>
        <w:ind w:left="19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C90945"/>
    <w:multiLevelType w:val="hybridMultilevel"/>
    <w:tmpl w:val="86FAC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534812">
    <w:abstractNumId w:val="0"/>
  </w:num>
  <w:num w:numId="2" w16cid:durableId="1794445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3F76"/>
    <w:rsid w:val="00000212"/>
    <w:rsid w:val="00014750"/>
    <w:rsid w:val="00016A94"/>
    <w:rsid w:val="0002220C"/>
    <w:rsid w:val="00036575"/>
    <w:rsid w:val="0004176B"/>
    <w:rsid w:val="000500E5"/>
    <w:rsid w:val="000560CD"/>
    <w:rsid w:val="00066E01"/>
    <w:rsid w:val="00073943"/>
    <w:rsid w:val="000820CE"/>
    <w:rsid w:val="0009565E"/>
    <w:rsid w:val="000A5E2A"/>
    <w:rsid w:val="000B1216"/>
    <w:rsid w:val="000B4EB8"/>
    <w:rsid w:val="000C04A1"/>
    <w:rsid w:val="000C0779"/>
    <w:rsid w:val="000C11D5"/>
    <w:rsid w:val="000D025E"/>
    <w:rsid w:val="000D3A9E"/>
    <w:rsid w:val="000F2FCD"/>
    <w:rsid w:val="0010167B"/>
    <w:rsid w:val="00121B57"/>
    <w:rsid w:val="00131532"/>
    <w:rsid w:val="00132C17"/>
    <w:rsid w:val="00152A63"/>
    <w:rsid w:val="001833D6"/>
    <w:rsid w:val="001B25E0"/>
    <w:rsid w:val="001B6720"/>
    <w:rsid w:val="001C4021"/>
    <w:rsid w:val="001D0771"/>
    <w:rsid w:val="001D7F31"/>
    <w:rsid w:val="001F07FB"/>
    <w:rsid w:val="001F3139"/>
    <w:rsid w:val="001F5AD3"/>
    <w:rsid w:val="0020295D"/>
    <w:rsid w:val="002071BE"/>
    <w:rsid w:val="00207424"/>
    <w:rsid w:val="00211529"/>
    <w:rsid w:val="00224704"/>
    <w:rsid w:val="00250679"/>
    <w:rsid w:val="0025574A"/>
    <w:rsid w:val="002572C4"/>
    <w:rsid w:val="00264FD3"/>
    <w:rsid w:val="00267730"/>
    <w:rsid w:val="00275142"/>
    <w:rsid w:val="00276AD3"/>
    <w:rsid w:val="00276DA0"/>
    <w:rsid w:val="00282564"/>
    <w:rsid w:val="002849AF"/>
    <w:rsid w:val="002956B5"/>
    <w:rsid w:val="002A6B76"/>
    <w:rsid w:val="002C0810"/>
    <w:rsid w:val="002C51EA"/>
    <w:rsid w:val="002E007F"/>
    <w:rsid w:val="002E5F2A"/>
    <w:rsid w:val="0030713F"/>
    <w:rsid w:val="0032247D"/>
    <w:rsid w:val="00336146"/>
    <w:rsid w:val="0034044C"/>
    <w:rsid w:val="003518AC"/>
    <w:rsid w:val="0035244E"/>
    <w:rsid w:val="00363D65"/>
    <w:rsid w:val="00372612"/>
    <w:rsid w:val="003738F8"/>
    <w:rsid w:val="003A58CC"/>
    <w:rsid w:val="003C29CA"/>
    <w:rsid w:val="003C775E"/>
    <w:rsid w:val="003D0D78"/>
    <w:rsid w:val="003D1FC2"/>
    <w:rsid w:val="00415705"/>
    <w:rsid w:val="00423A30"/>
    <w:rsid w:val="00432690"/>
    <w:rsid w:val="004342C6"/>
    <w:rsid w:val="00437237"/>
    <w:rsid w:val="00445072"/>
    <w:rsid w:val="00467778"/>
    <w:rsid w:val="0048314B"/>
    <w:rsid w:val="0049496A"/>
    <w:rsid w:val="00496E99"/>
    <w:rsid w:val="004A539A"/>
    <w:rsid w:val="004A6FCD"/>
    <w:rsid w:val="004A7548"/>
    <w:rsid w:val="004E596A"/>
    <w:rsid w:val="004F3F76"/>
    <w:rsid w:val="004F708E"/>
    <w:rsid w:val="0051485E"/>
    <w:rsid w:val="00531D99"/>
    <w:rsid w:val="005331FD"/>
    <w:rsid w:val="00537318"/>
    <w:rsid w:val="00546FC9"/>
    <w:rsid w:val="005745D8"/>
    <w:rsid w:val="00590E22"/>
    <w:rsid w:val="00596BEC"/>
    <w:rsid w:val="005A3857"/>
    <w:rsid w:val="005A6244"/>
    <w:rsid w:val="005C0902"/>
    <w:rsid w:val="005C463C"/>
    <w:rsid w:val="005D351E"/>
    <w:rsid w:val="005D4271"/>
    <w:rsid w:val="0060071D"/>
    <w:rsid w:val="0062781E"/>
    <w:rsid w:val="00631290"/>
    <w:rsid w:val="0066014C"/>
    <w:rsid w:val="0066615E"/>
    <w:rsid w:val="00672DFB"/>
    <w:rsid w:val="006774B5"/>
    <w:rsid w:val="006845AC"/>
    <w:rsid w:val="006A51EE"/>
    <w:rsid w:val="006B19CB"/>
    <w:rsid w:val="006B761B"/>
    <w:rsid w:val="006C3496"/>
    <w:rsid w:val="006C41A0"/>
    <w:rsid w:val="006E6582"/>
    <w:rsid w:val="006E6866"/>
    <w:rsid w:val="0071794D"/>
    <w:rsid w:val="00722C41"/>
    <w:rsid w:val="00723300"/>
    <w:rsid w:val="00723F44"/>
    <w:rsid w:val="00751E04"/>
    <w:rsid w:val="00752C0A"/>
    <w:rsid w:val="00753C80"/>
    <w:rsid w:val="007544CE"/>
    <w:rsid w:val="007606BD"/>
    <w:rsid w:val="0076229C"/>
    <w:rsid w:val="00764A6E"/>
    <w:rsid w:val="00766ED1"/>
    <w:rsid w:val="00770035"/>
    <w:rsid w:val="007735DC"/>
    <w:rsid w:val="0078560E"/>
    <w:rsid w:val="007911A9"/>
    <w:rsid w:val="007A4D27"/>
    <w:rsid w:val="007B7B7A"/>
    <w:rsid w:val="007C28BB"/>
    <w:rsid w:val="007D5539"/>
    <w:rsid w:val="007D55DA"/>
    <w:rsid w:val="007E117A"/>
    <w:rsid w:val="007E2DE9"/>
    <w:rsid w:val="007F5E24"/>
    <w:rsid w:val="0080219F"/>
    <w:rsid w:val="00803325"/>
    <w:rsid w:val="0080392E"/>
    <w:rsid w:val="00814310"/>
    <w:rsid w:val="00815566"/>
    <w:rsid w:val="008253BA"/>
    <w:rsid w:val="00862658"/>
    <w:rsid w:val="00867EDA"/>
    <w:rsid w:val="00873A83"/>
    <w:rsid w:val="00881C32"/>
    <w:rsid w:val="00885765"/>
    <w:rsid w:val="00892AE0"/>
    <w:rsid w:val="00895AD7"/>
    <w:rsid w:val="008A3034"/>
    <w:rsid w:val="008A6CE2"/>
    <w:rsid w:val="008B0E6B"/>
    <w:rsid w:val="008B355E"/>
    <w:rsid w:val="008C587C"/>
    <w:rsid w:val="008C72AE"/>
    <w:rsid w:val="008E0D51"/>
    <w:rsid w:val="008F18B8"/>
    <w:rsid w:val="008F25C1"/>
    <w:rsid w:val="008F4E2D"/>
    <w:rsid w:val="00932F13"/>
    <w:rsid w:val="00933478"/>
    <w:rsid w:val="00933B0E"/>
    <w:rsid w:val="00934F75"/>
    <w:rsid w:val="009372FE"/>
    <w:rsid w:val="0094347E"/>
    <w:rsid w:val="00956FF3"/>
    <w:rsid w:val="00970308"/>
    <w:rsid w:val="009774E4"/>
    <w:rsid w:val="00994760"/>
    <w:rsid w:val="00997964"/>
    <w:rsid w:val="00997A5A"/>
    <w:rsid w:val="009A03B7"/>
    <w:rsid w:val="009C0C23"/>
    <w:rsid w:val="009C2878"/>
    <w:rsid w:val="009C5572"/>
    <w:rsid w:val="009D6FBA"/>
    <w:rsid w:val="009F5D42"/>
    <w:rsid w:val="00A04265"/>
    <w:rsid w:val="00A04E57"/>
    <w:rsid w:val="00A141FE"/>
    <w:rsid w:val="00A152B2"/>
    <w:rsid w:val="00A2666D"/>
    <w:rsid w:val="00A27900"/>
    <w:rsid w:val="00A27CE4"/>
    <w:rsid w:val="00A51C24"/>
    <w:rsid w:val="00A620CA"/>
    <w:rsid w:val="00A62506"/>
    <w:rsid w:val="00A73EB3"/>
    <w:rsid w:val="00A843D1"/>
    <w:rsid w:val="00A94017"/>
    <w:rsid w:val="00AD6C49"/>
    <w:rsid w:val="00AF0A8E"/>
    <w:rsid w:val="00AF1A03"/>
    <w:rsid w:val="00AF68D8"/>
    <w:rsid w:val="00AF7F6D"/>
    <w:rsid w:val="00B03FDB"/>
    <w:rsid w:val="00B043B1"/>
    <w:rsid w:val="00B4229E"/>
    <w:rsid w:val="00B447B0"/>
    <w:rsid w:val="00B53F41"/>
    <w:rsid w:val="00B706C2"/>
    <w:rsid w:val="00B90F8D"/>
    <w:rsid w:val="00BA3126"/>
    <w:rsid w:val="00BA31F4"/>
    <w:rsid w:val="00BB3C63"/>
    <w:rsid w:val="00BB467D"/>
    <w:rsid w:val="00BB48DC"/>
    <w:rsid w:val="00BE18DD"/>
    <w:rsid w:val="00C051F8"/>
    <w:rsid w:val="00C37417"/>
    <w:rsid w:val="00C43786"/>
    <w:rsid w:val="00C46D0E"/>
    <w:rsid w:val="00C73FE2"/>
    <w:rsid w:val="00C91524"/>
    <w:rsid w:val="00C9173A"/>
    <w:rsid w:val="00CA32A2"/>
    <w:rsid w:val="00CB52E1"/>
    <w:rsid w:val="00CC289C"/>
    <w:rsid w:val="00CD3E6B"/>
    <w:rsid w:val="00CE59BD"/>
    <w:rsid w:val="00CE6783"/>
    <w:rsid w:val="00CF06E9"/>
    <w:rsid w:val="00CF476F"/>
    <w:rsid w:val="00D025F0"/>
    <w:rsid w:val="00D159BB"/>
    <w:rsid w:val="00D30813"/>
    <w:rsid w:val="00D33CDD"/>
    <w:rsid w:val="00D53380"/>
    <w:rsid w:val="00DC4448"/>
    <w:rsid w:val="00DE5FDA"/>
    <w:rsid w:val="00E00E3E"/>
    <w:rsid w:val="00E013E7"/>
    <w:rsid w:val="00E155D4"/>
    <w:rsid w:val="00E24111"/>
    <w:rsid w:val="00E33591"/>
    <w:rsid w:val="00E463C5"/>
    <w:rsid w:val="00E568DF"/>
    <w:rsid w:val="00E62221"/>
    <w:rsid w:val="00E7280D"/>
    <w:rsid w:val="00E866D3"/>
    <w:rsid w:val="00E87614"/>
    <w:rsid w:val="00E9164E"/>
    <w:rsid w:val="00E97CB3"/>
    <w:rsid w:val="00EA441B"/>
    <w:rsid w:val="00EC30B6"/>
    <w:rsid w:val="00EC660A"/>
    <w:rsid w:val="00EE29B2"/>
    <w:rsid w:val="00EF088B"/>
    <w:rsid w:val="00EF42E0"/>
    <w:rsid w:val="00F006F7"/>
    <w:rsid w:val="00F0539B"/>
    <w:rsid w:val="00F11A06"/>
    <w:rsid w:val="00F27B1B"/>
    <w:rsid w:val="00F9231A"/>
    <w:rsid w:val="00FC7BFC"/>
    <w:rsid w:val="00FD2AC6"/>
    <w:rsid w:val="00FD58E6"/>
    <w:rsid w:val="00FD78BD"/>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1DE9C"/>
  <w15:docId w15:val="{28175BA3-2C78-4F95-A6DC-5A3E26BB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Mangal"/>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878"/>
    <w:pPr>
      <w:spacing w:after="200" w:line="276" w:lineRule="auto"/>
    </w:pPr>
    <w:rPr>
      <w:sz w:val="22"/>
      <w:szCs w:val="22"/>
      <w:lang w:val="en-US" w:eastAsia="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F76"/>
    <w:pPr>
      <w:ind w:left="720"/>
      <w:contextualSpacing/>
    </w:pPr>
  </w:style>
  <w:style w:type="paragraph" w:styleId="NormalWeb">
    <w:name w:val="Normal (Web)"/>
    <w:basedOn w:val="Normal"/>
    <w:uiPriority w:val="99"/>
    <w:unhideWhenUsed/>
    <w:rsid w:val="004F3F76"/>
    <w:pPr>
      <w:spacing w:before="100" w:beforeAutospacing="1" w:after="100" w:afterAutospacing="1" w:line="240" w:lineRule="auto"/>
    </w:pPr>
    <w:rPr>
      <w:rFonts w:ascii="Times New Roman" w:hAnsi="Times New Roman" w:cs="Times New Roman"/>
      <w:sz w:val="24"/>
      <w:szCs w:val="24"/>
      <w:lang w:bidi="hi-IN"/>
    </w:rPr>
  </w:style>
  <w:style w:type="character" w:styleId="Emphasis">
    <w:name w:val="Emphasis"/>
    <w:uiPriority w:val="20"/>
    <w:qFormat/>
    <w:rsid w:val="004F3F76"/>
    <w:rPr>
      <w:i/>
      <w:iCs/>
    </w:rPr>
  </w:style>
  <w:style w:type="paragraph" w:customStyle="1" w:styleId="isselectedend">
    <w:name w:val="isselectedend"/>
    <w:basedOn w:val="Normal"/>
    <w:rsid w:val="004F3F76"/>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59"/>
    <w:rsid w:val="00D025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956B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56B5"/>
    <w:rPr>
      <w:rFonts w:ascii="Tahoma" w:hAnsi="Tahoma" w:cs="Tahoma"/>
      <w:sz w:val="16"/>
      <w:szCs w:val="16"/>
    </w:rPr>
  </w:style>
  <w:style w:type="character" w:styleId="Strong">
    <w:name w:val="Strong"/>
    <w:uiPriority w:val="22"/>
    <w:qFormat/>
    <w:rsid w:val="00997964"/>
    <w:rPr>
      <w:b/>
      <w:bCs/>
    </w:rPr>
  </w:style>
  <w:style w:type="character" w:styleId="Hyperlink">
    <w:name w:val="Hyperlink"/>
    <w:basedOn w:val="DefaultParagraphFont"/>
    <w:uiPriority w:val="99"/>
    <w:unhideWhenUsed/>
    <w:rsid w:val="00423A30"/>
    <w:rPr>
      <w:color w:val="0563C1" w:themeColor="hyperlink"/>
      <w:u w:val="single"/>
    </w:rPr>
  </w:style>
  <w:style w:type="character" w:customStyle="1" w:styleId="UnresolvedMention1">
    <w:name w:val="Unresolved Mention1"/>
    <w:basedOn w:val="DefaultParagraphFont"/>
    <w:uiPriority w:val="99"/>
    <w:semiHidden/>
    <w:unhideWhenUsed/>
    <w:rsid w:val="00423A30"/>
    <w:rPr>
      <w:color w:val="605E5C"/>
      <w:shd w:val="clear" w:color="auto" w:fill="E1DFDD"/>
    </w:rPr>
  </w:style>
  <w:style w:type="paragraph" w:styleId="Header">
    <w:name w:val="header"/>
    <w:basedOn w:val="Normal"/>
    <w:link w:val="HeaderChar"/>
    <w:uiPriority w:val="99"/>
    <w:unhideWhenUsed/>
    <w:rsid w:val="00600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71D"/>
    <w:rPr>
      <w:sz w:val="22"/>
      <w:szCs w:val="22"/>
      <w:lang w:val="en-US" w:eastAsia="en-US" w:bidi="ar-SA"/>
    </w:rPr>
  </w:style>
  <w:style w:type="paragraph" w:styleId="Footer">
    <w:name w:val="footer"/>
    <w:basedOn w:val="Normal"/>
    <w:link w:val="FooterChar"/>
    <w:uiPriority w:val="99"/>
    <w:unhideWhenUsed/>
    <w:rsid w:val="00600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71D"/>
    <w:rPr>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9514">
      <w:bodyDiv w:val="1"/>
      <w:marLeft w:val="0"/>
      <w:marRight w:val="0"/>
      <w:marTop w:val="0"/>
      <w:marBottom w:val="0"/>
      <w:divBdr>
        <w:top w:val="none" w:sz="0" w:space="0" w:color="auto"/>
        <w:left w:val="none" w:sz="0" w:space="0" w:color="auto"/>
        <w:bottom w:val="none" w:sz="0" w:space="0" w:color="auto"/>
        <w:right w:val="none" w:sz="0" w:space="0" w:color="auto"/>
      </w:divBdr>
    </w:div>
    <w:div w:id="240911437">
      <w:bodyDiv w:val="1"/>
      <w:marLeft w:val="0"/>
      <w:marRight w:val="0"/>
      <w:marTop w:val="0"/>
      <w:marBottom w:val="0"/>
      <w:divBdr>
        <w:top w:val="none" w:sz="0" w:space="0" w:color="auto"/>
        <w:left w:val="none" w:sz="0" w:space="0" w:color="auto"/>
        <w:bottom w:val="none" w:sz="0" w:space="0" w:color="auto"/>
        <w:right w:val="none" w:sz="0" w:space="0" w:color="auto"/>
      </w:divBdr>
    </w:div>
    <w:div w:id="458769406">
      <w:bodyDiv w:val="1"/>
      <w:marLeft w:val="0"/>
      <w:marRight w:val="0"/>
      <w:marTop w:val="0"/>
      <w:marBottom w:val="0"/>
      <w:divBdr>
        <w:top w:val="none" w:sz="0" w:space="0" w:color="auto"/>
        <w:left w:val="none" w:sz="0" w:space="0" w:color="auto"/>
        <w:bottom w:val="none" w:sz="0" w:space="0" w:color="auto"/>
        <w:right w:val="none" w:sz="0" w:space="0" w:color="auto"/>
      </w:divBdr>
      <w:divsChild>
        <w:div w:id="67118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388344">
      <w:bodyDiv w:val="1"/>
      <w:marLeft w:val="0"/>
      <w:marRight w:val="0"/>
      <w:marTop w:val="0"/>
      <w:marBottom w:val="0"/>
      <w:divBdr>
        <w:top w:val="none" w:sz="0" w:space="0" w:color="auto"/>
        <w:left w:val="none" w:sz="0" w:space="0" w:color="auto"/>
        <w:bottom w:val="none" w:sz="0" w:space="0" w:color="auto"/>
        <w:right w:val="none" w:sz="0" w:space="0" w:color="auto"/>
      </w:divBdr>
    </w:div>
    <w:div w:id="527564874">
      <w:bodyDiv w:val="1"/>
      <w:marLeft w:val="0"/>
      <w:marRight w:val="0"/>
      <w:marTop w:val="0"/>
      <w:marBottom w:val="0"/>
      <w:divBdr>
        <w:top w:val="none" w:sz="0" w:space="0" w:color="auto"/>
        <w:left w:val="none" w:sz="0" w:space="0" w:color="auto"/>
        <w:bottom w:val="none" w:sz="0" w:space="0" w:color="auto"/>
        <w:right w:val="none" w:sz="0" w:space="0" w:color="auto"/>
      </w:divBdr>
    </w:div>
    <w:div w:id="557130321">
      <w:bodyDiv w:val="1"/>
      <w:marLeft w:val="0"/>
      <w:marRight w:val="0"/>
      <w:marTop w:val="0"/>
      <w:marBottom w:val="0"/>
      <w:divBdr>
        <w:top w:val="none" w:sz="0" w:space="0" w:color="auto"/>
        <w:left w:val="none" w:sz="0" w:space="0" w:color="auto"/>
        <w:bottom w:val="none" w:sz="0" w:space="0" w:color="auto"/>
        <w:right w:val="none" w:sz="0" w:space="0" w:color="auto"/>
      </w:divBdr>
    </w:div>
    <w:div w:id="715856712">
      <w:bodyDiv w:val="1"/>
      <w:marLeft w:val="0"/>
      <w:marRight w:val="0"/>
      <w:marTop w:val="0"/>
      <w:marBottom w:val="0"/>
      <w:divBdr>
        <w:top w:val="none" w:sz="0" w:space="0" w:color="auto"/>
        <w:left w:val="none" w:sz="0" w:space="0" w:color="auto"/>
        <w:bottom w:val="none" w:sz="0" w:space="0" w:color="auto"/>
        <w:right w:val="none" w:sz="0" w:space="0" w:color="auto"/>
      </w:divBdr>
    </w:div>
    <w:div w:id="828863429">
      <w:bodyDiv w:val="1"/>
      <w:marLeft w:val="0"/>
      <w:marRight w:val="0"/>
      <w:marTop w:val="0"/>
      <w:marBottom w:val="0"/>
      <w:divBdr>
        <w:top w:val="none" w:sz="0" w:space="0" w:color="auto"/>
        <w:left w:val="none" w:sz="0" w:space="0" w:color="auto"/>
        <w:bottom w:val="none" w:sz="0" w:space="0" w:color="auto"/>
        <w:right w:val="none" w:sz="0" w:space="0" w:color="auto"/>
      </w:divBdr>
    </w:div>
    <w:div w:id="898131395">
      <w:bodyDiv w:val="1"/>
      <w:marLeft w:val="0"/>
      <w:marRight w:val="0"/>
      <w:marTop w:val="0"/>
      <w:marBottom w:val="0"/>
      <w:divBdr>
        <w:top w:val="none" w:sz="0" w:space="0" w:color="auto"/>
        <w:left w:val="none" w:sz="0" w:space="0" w:color="auto"/>
        <w:bottom w:val="none" w:sz="0" w:space="0" w:color="auto"/>
        <w:right w:val="none" w:sz="0" w:space="0" w:color="auto"/>
      </w:divBdr>
    </w:div>
    <w:div w:id="1271662778">
      <w:bodyDiv w:val="1"/>
      <w:marLeft w:val="0"/>
      <w:marRight w:val="0"/>
      <w:marTop w:val="0"/>
      <w:marBottom w:val="0"/>
      <w:divBdr>
        <w:top w:val="none" w:sz="0" w:space="0" w:color="auto"/>
        <w:left w:val="none" w:sz="0" w:space="0" w:color="auto"/>
        <w:bottom w:val="none" w:sz="0" w:space="0" w:color="auto"/>
        <w:right w:val="none" w:sz="0" w:space="0" w:color="auto"/>
      </w:divBdr>
    </w:div>
    <w:div w:id="1303583202">
      <w:bodyDiv w:val="1"/>
      <w:marLeft w:val="0"/>
      <w:marRight w:val="0"/>
      <w:marTop w:val="0"/>
      <w:marBottom w:val="0"/>
      <w:divBdr>
        <w:top w:val="none" w:sz="0" w:space="0" w:color="auto"/>
        <w:left w:val="none" w:sz="0" w:space="0" w:color="auto"/>
        <w:bottom w:val="none" w:sz="0" w:space="0" w:color="auto"/>
        <w:right w:val="none" w:sz="0" w:space="0" w:color="auto"/>
      </w:divBdr>
    </w:div>
    <w:div w:id="1526140798">
      <w:bodyDiv w:val="1"/>
      <w:marLeft w:val="0"/>
      <w:marRight w:val="0"/>
      <w:marTop w:val="0"/>
      <w:marBottom w:val="0"/>
      <w:divBdr>
        <w:top w:val="none" w:sz="0" w:space="0" w:color="auto"/>
        <w:left w:val="none" w:sz="0" w:space="0" w:color="auto"/>
        <w:bottom w:val="none" w:sz="0" w:space="0" w:color="auto"/>
        <w:right w:val="none" w:sz="0" w:space="0" w:color="auto"/>
      </w:divBdr>
    </w:div>
    <w:div w:id="1778986882">
      <w:bodyDiv w:val="1"/>
      <w:marLeft w:val="0"/>
      <w:marRight w:val="0"/>
      <w:marTop w:val="0"/>
      <w:marBottom w:val="0"/>
      <w:divBdr>
        <w:top w:val="none" w:sz="0" w:space="0" w:color="auto"/>
        <w:left w:val="none" w:sz="0" w:space="0" w:color="auto"/>
        <w:bottom w:val="none" w:sz="0" w:space="0" w:color="auto"/>
        <w:right w:val="none" w:sz="0" w:space="0" w:color="auto"/>
      </w:divBdr>
    </w:div>
    <w:div w:id="18870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8.jpeg"/></Relationships>
</file>

<file path=word/charts/_rels/chart1.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Sheet1!$E$3</c:f>
              <c:strCache>
                <c:ptCount val="1"/>
                <c:pt idx="0">
                  <c:v>Temp. Max </c:v>
                </c:pt>
              </c:strCache>
            </c:strRef>
          </c:tx>
          <c:spPr>
            <a:solidFill>
              <a:schemeClr val="accent2"/>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Sheet1!$E$4:$E$15</c:f>
              <c:numCache>
                <c:formatCode>General</c:formatCode>
                <c:ptCount val="12"/>
                <c:pt idx="0" formatCode="0.0">
                  <c:v>28.2</c:v>
                </c:pt>
                <c:pt idx="1">
                  <c:v>32.800000000000004</c:v>
                </c:pt>
                <c:pt idx="2">
                  <c:v>36.4</c:v>
                </c:pt>
                <c:pt idx="3">
                  <c:v>40.800000000000004</c:v>
                </c:pt>
                <c:pt idx="4">
                  <c:v>41.6</c:v>
                </c:pt>
                <c:pt idx="5">
                  <c:v>36</c:v>
                </c:pt>
                <c:pt idx="6">
                  <c:v>31.6</c:v>
                </c:pt>
                <c:pt idx="7">
                  <c:v>31</c:v>
                </c:pt>
                <c:pt idx="8">
                  <c:v>30.8</c:v>
                </c:pt>
                <c:pt idx="9">
                  <c:v>31</c:v>
                </c:pt>
                <c:pt idx="10">
                  <c:v>29.4</c:v>
                </c:pt>
                <c:pt idx="11">
                  <c:v>27.4</c:v>
                </c:pt>
              </c:numCache>
            </c:numRef>
          </c:val>
          <c:extLst>
            <c:ext xmlns:c16="http://schemas.microsoft.com/office/drawing/2014/chart" uri="{C3380CC4-5D6E-409C-BE32-E72D297353CC}">
              <c16:uniqueId val="{00000000-5CA2-4FE2-972F-E6506303CA1F}"/>
            </c:ext>
          </c:extLst>
        </c:ser>
        <c:ser>
          <c:idx val="2"/>
          <c:order val="2"/>
          <c:tx>
            <c:strRef>
              <c:f>Sheet1!$F$3</c:f>
              <c:strCache>
                <c:ptCount val="1"/>
                <c:pt idx="0">
                  <c:v>Temp. Min </c:v>
                </c:pt>
              </c:strCache>
            </c:strRef>
          </c:tx>
          <c:spPr>
            <a:solidFill>
              <a:sysClr val="window" lastClr="FFFFFF">
                <a:lumMod val="75000"/>
              </a:sysClr>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Sheet1!$F$4:$F$15</c:f>
              <c:numCache>
                <c:formatCode>General</c:formatCode>
                <c:ptCount val="12"/>
                <c:pt idx="0">
                  <c:v>12.4</c:v>
                </c:pt>
                <c:pt idx="1">
                  <c:v>15.6</c:v>
                </c:pt>
                <c:pt idx="2">
                  <c:v>20.6</c:v>
                </c:pt>
                <c:pt idx="3">
                  <c:v>24.4</c:v>
                </c:pt>
                <c:pt idx="4">
                  <c:v>26.2</c:v>
                </c:pt>
                <c:pt idx="5">
                  <c:v>26.4</c:v>
                </c:pt>
                <c:pt idx="6">
                  <c:v>24.8</c:v>
                </c:pt>
                <c:pt idx="7">
                  <c:v>24</c:v>
                </c:pt>
                <c:pt idx="8">
                  <c:v>23</c:v>
                </c:pt>
                <c:pt idx="9">
                  <c:v>20.2</c:v>
                </c:pt>
                <c:pt idx="10">
                  <c:v>15.6</c:v>
                </c:pt>
                <c:pt idx="11">
                  <c:v>13</c:v>
                </c:pt>
              </c:numCache>
            </c:numRef>
          </c:val>
          <c:extLst>
            <c:ext xmlns:c16="http://schemas.microsoft.com/office/drawing/2014/chart" uri="{C3380CC4-5D6E-409C-BE32-E72D297353CC}">
              <c16:uniqueId val="{00000001-5CA2-4FE2-972F-E6506303CA1F}"/>
            </c:ext>
          </c:extLst>
        </c:ser>
        <c:ser>
          <c:idx val="3"/>
          <c:order val="3"/>
          <c:tx>
            <c:strRef>
              <c:f>Sheet1!$G$3</c:f>
              <c:strCache>
                <c:ptCount val="1"/>
                <c:pt idx="0">
                  <c:v>Temp. Mean</c:v>
                </c:pt>
              </c:strCache>
            </c:strRef>
          </c:tx>
          <c:spPr>
            <a:solidFill>
              <a:schemeClr val="accent4"/>
            </a:solidFill>
            <a:ln>
              <a:solidFill>
                <a:sysClr val="windowText" lastClr="00000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Sheet1!$G$4:$G$15</c:f>
              <c:numCache>
                <c:formatCode>General</c:formatCode>
                <c:ptCount val="12"/>
                <c:pt idx="0">
                  <c:v>20.3</c:v>
                </c:pt>
                <c:pt idx="1">
                  <c:v>24.2</c:v>
                </c:pt>
                <c:pt idx="2">
                  <c:v>28.5</c:v>
                </c:pt>
                <c:pt idx="3">
                  <c:v>32.6</c:v>
                </c:pt>
                <c:pt idx="4">
                  <c:v>33.9</c:v>
                </c:pt>
                <c:pt idx="5">
                  <c:v>31.2</c:v>
                </c:pt>
                <c:pt idx="6">
                  <c:v>28.2</c:v>
                </c:pt>
                <c:pt idx="7">
                  <c:v>27.5</c:v>
                </c:pt>
                <c:pt idx="8">
                  <c:v>26.9</c:v>
                </c:pt>
                <c:pt idx="9">
                  <c:v>25.6</c:v>
                </c:pt>
                <c:pt idx="10">
                  <c:v>22.5</c:v>
                </c:pt>
                <c:pt idx="11">
                  <c:v>20.2</c:v>
                </c:pt>
              </c:numCache>
            </c:numRef>
          </c:val>
          <c:extLst>
            <c:ext xmlns:c16="http://schemas.microsoft.com/office/drawing/2014/chart" uri="{C3380CC4-5D6E-409C-BE32-E72D297353CC}">
              <c16:uniqueId val="{00000002-5CA2-4FE2-972F-E6506303CA1F}"/>
            </c:ext>
          </c:extLst>
        </c:ser>
        <c:dLbls>
          <c:showLegendKey val="0"/>
          <c:showVal val="0"/>
          <c:showCatName val="0"/>
          <c:showSerName val="0"/>
          <c:showPercent val="0"/>
          <c:showBubbleSize val="0"/>
        </c:dLbls>
        <c:gapWidth val="219"/>
        <c:overlap val="-27"/>
        <c:axId val="272805536"/>
        <c:axId val="272804448"/>
      </c:barChart>
      <c:lineChart>
        <c:grouping val="standard"/>
        <c:varyColors val="0"/>
        <c:ser>
          <c:idx val="0"/>
          <c:order val="0"/>
          <c:tx>
            <c:strRef>
              <c:f>Sheet1!$D$3</c:f>
              <c:strCache>
                <c:ptCount val="1"/>
                <c:pt idx="0">
                  <c:v> Rainfall </c:v>
                </c:pt>
              </c:strCache>
            </c:strRef>
          </c:tx>
          <c:spPr>
            <a:ln w="19050" cap="rnd">
              <a:solidFill>
                <a:srgbClr val="70AD47">
                  <a:lumMod val="75000"/>
                </a:srgbClr>
              </a:solidFill>
              <a:round/>
            </a:ln>
            <a:effectLst/>
          </c:spPr>
          <c:marker>
            <c:symbol val="none"/>
          </c:marker>
          <c:errBars>
            <c:errDir val="y"/>
            <c:errBarType val="both"/>
            <c:errValType val="percentage"/>
            <c:noEndCap val="0"/>
            <c:val val="5"/>
            <c:spPr>
              <a:noFill/>
              <a:ln w="9525" cap="flat" cmpd="sng" algn="ctr">
                <a:solidFill>
                  <a:schemeClr val="tx1">
                    <a:lumMod val="65000"/>
                    <a:lumOff val="35000"/>
                  </a:schemeClr>
                </a:solidFill>
                <a:round/>
              </a:ln>
              <a:effectLst/>
            </c:spPr>
          </c:errBars>
          <c:cat>
            <c:strRef>
              <c:f>Sheet1!$C$4:$C$15</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Sheet1!$D$4:$D$15</c:f>
              <c:numCache>
                <c:formatCode>General</c:formatCode>
                <c:ptCount val="12"/>
                <c:pt idx="0" formatCode="0.0">
                  <c:v>3.3</c:v>
                </c:pt>
                <c:pt idx="1">
                  <c:v>1.9000000000000001</c:v>
                </c:pt>
                <c:pt idx="2">
                  <c:v>10.56</c:v>
                </c:pt>
                <c:pt idx="3">
                  <c:v>15.38</c:v>
                </c:pt>
                <c:pt idx="4">
                  <c:v>58.08</c:v>
                </c:pt>
                <c:pt idx="5">
                  <c:v>138.18</c:v>
                </c:pt>
                <c:pt idx="6">
                  <c:v>451.3</c:v>
                </c:pt>
                <c:pt idx="7">
                  <c:v>404.02</c:v>
                </c:pt>
                <c:pt idx="8">
                  <c:v>274.39999999999986</c:v>
                </c:pt>
                <c:pt idx="9">
                  <c:v>70.61999999999999</c:v>
                </c:pt>
                <c:pt idx="10">
                  <c:v>0.5</c:v>
                </c:pt>
                <c:pt idx="11">
                  <c:v>18.5</c:v>
                </c:pt>
              </c:numCache>
            </c:numRef>
          </c:val>
          <c:smooth val="0"/>
          <c:extLst>
            <c:ext xmlns:c16="http://schemas.microsoft.com/office/drawing/2014/chart" uri="{C3380CC4-5D6E-409C-BE32-E72D297353CC}">
              <c16:uniqueId val="{00000003-5CA2-4FE2-972F-E6506303CA1F}"/>
            </c:ext>
          </c:extLst>
        </c:ser>
        <c:dLbls>
          <c:showLegendKey val="0"/>
          <c:showVal val="0"/>
          <c:showCatName val="0"/>
          <c:showSerName val="0"/>
          <c:showPercent val="0"/>
          <c:showBubbleSize val="0"/>
        </c:dLbls>
        <c:marker val="1"/>
        <c:smooth val="0"/>
        <c:axId val="272806080"/>
        <c:axId val="272801184"/>
      </c:lineChart>
      <c:catAx>
        <c:axId val="272806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1184"/>
        <c:crosses val="autoZero"/>
        <c:auto val="1"/>
        <c:lblAlgn val="ctr"/>
        <c:lblOffset val="100"/>
        <c:noMultiLvlLbl val="0"/>
      </c:catAx>
      <c:valAx>
        <c:axId val="272801184"/>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Rainfall (mm)</a:t>
                </a:r>
              </a:p>
            </c:rich>
          </c:tx>
          <c:overlay val="0"/>
          <c:spPr>
            <a:noFill/>
            <a:ln>
              <a:noFill/>
            </a:ln>
            <a:effectLst/>
          </c:sp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6080"/>
        <c:crosses val="autoZero"/>
        <c:crossBetween val="between"/>
        <c:majorUnit val="100"/>
      </c:valAx>
      <c:valAx>
        <c:axId val="272804448"/>
        <c:scaling>
          <c:orientation val="minMax"/>
          <c:max val="5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Temp. (°C) </a:t>
                </a:r>
              </a:p>
            </c:rich>
          </c:tx>
          <c:overlay val="0"/>
          <c:spPr>
            <a:noFill/>
            <a:ln>
              <a:noFill/>
            </a:ln>
            <a:effectLst/>
          </c:sp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2805536"/>
        <c:crosses val="max"/>
        <c:crossBetween val="between"/>
        <c:majorUnit val="10"/>
      </c:valAx>
      <c:catAx>
        <c:axId val="272805536"/>
        <c:scaling>
          <c:orientation val="minMax"/>
        </c:scaling>
        <c:delete val="1"/>
        <c:axPos val="b"/>
        <c:numFmt formatCode="General" sourceLinked="1"/>
        <c:majorTickMark val="out"/>
        <c:minorTickMark val="none"/>
        <c:tickLblPos val="nextTo"/>
        <c:crossAx val="272804448"/>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FA20-07A0-4CFB-A918-B3E9B1E3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34</Pages>
  <Words>9577</Words>
  <Characters>54595</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Thanikpad T490s</dc:creator>
  <cp:lastModifiedBy>SDI 1022</cp:lastModifiedBy>
  <cp:revision>11</cp:revision>
  <dcterms:created xsi:type="dcterms:W3CDTF">2026-08-21T09:28:00Z</dcterms:created>
  <dcterms:modified xsi:type="dcterms:W3CDTF">2026-08-25T08:27:00Z</dcterms:modified>
</cp:coreProperties>
</file>