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FED0" w14:textId="77777777" w:rsidR="00960E11" w:rsidRPr="00513A9E" w:rsidRDefault="00000000" w:rsidP="00DD3A77">
      <w:pPr>
        <w:spacing w:before="120" w:after="120" w:line="360" w:lineRule="auto"/>
        <w:jc w:val="center"/>
        <w:rPr>
          <w:rFonts w:ascii="Times New Roman" w:hAnsi="Times New Roman" w:cs="Times New Roman"/>
          <w:lang w:val="en-US"/>
        </w:rPr>
      </w:pPr>
      <w:r w:rsidRPr="00513A9E">
        <w:rPr>
          <w:rFonts w:ascii="Times New Roman" w:hAnsi="Times New Roman" w:cs="Times New Roman"/>
          <w:b/>
          <w:bCs/>
          <w:sz w:val="26"/>
          <w:szCs w:val="26"/>
          <w:lang w:val="en-US"/>
        </w:rPr>
        <w:t>Comparative effects of four liquid fertilizers on the growth and yield of pepper (</w:t>
      </w:r>
      <w:r w:rsidRPr="00513A9E">
        <w:rPr>
          <w:rFonts w:ascii="Times New Roman" w:hAnsi="Times New Roman" w:cs="Times New Roman"/>
          <w:b/>
          <w:bCs/>
          <w:i/>
          <w:iCs/>
          <w:sz w:val="26"/>
          <w:szCs w:val="26"/>
          <w:lang w:val="en-US"/>
        </w:rPr>
        <w:t>Capsicum annuum</w:t>
      </w:r>
      <w:r w:rsidRPr="00513A9E">
        <w:rPr>
          <w:rFonts w:ascii="Times New Roman" w:hAnsi="Times New Roman" w:cs="Times New Roman"/>
          <w:b/>
          <w:bCs/>
          <w:sz w:val="26"/>
          <w:szCs w:val="26"/>
          <w:lang w:val="en-US"/>
        </w:rPr>
        <w:t xml:space="preserve"> L.) under soilless cultivation in southern Côte d’Ivoire</w:t>
      </w:r>
    </w:p>
    <w:p w14:paraId="20ED6E78" w14:textId="77777777" w:rsidR="00565CC6" w:rsidRPr="00513A9E" w:rsidRDefault="00565CC6" w:rsidP="00DD3A77">
      <w:pPr>
        <w:spacing w:before="120" w:after="120" w:line="360" w:lineRule="auto"/>
        <w:rPr>
          <w:rFonts w:ascii="Times New Roman" w:hAnsi="Times New Roman" w:cs="Times New Roman"/>
          <w:b/>
          <w:bCs/>
          <w:i/>
          <w:iCs/>
          <w:lang w:val="en-US"/>
        </w:rPr>
      </w:pPr>
    </w:p>
    <w:p w14:paraId="4FB3C391" w14:textId="77777777" w:rsidR="00465BAE" w:rsidRPr="00465BAE" w:rsidRDefault="00465BAE" w:rsidP="00DD3A77">
      <w:pPr>
        <w:spacing w:before="120" w:after="120" w:line="360" w:lineRule="auto"/>
        <w:rPr>
          <w:rFonts w:ascii="Times New Roman" w:hAnsi="Times New Roman" w:cs="Times New Roman"/>
          <w:b/>
          <w:bCs/>
          <w:sz w:val="24"/>
          <w:szCs w:val="24"/>
          <w:lang w:val="en-US"/>
        </w:rPr>
      </w:pPr>
    </w:p>
    <w:p w14:paraId="3E626093" w14:textId="77777777" w:rsidR="00960E11" w:rsidRPr="00513A9E" w:rsidRDefault="00000000" w:rsidP="00DD3A77">
      <w:pPr>
        <w:spacing w:before="120" w:after="120" w:line="360" w:lineRule="auto"/>
        <w:rPr>
          <w:rFonts w:ascii="Times New Roman" w:hAnsi="Times New Roman" w:cs="Times New Roman"/>
          <w:sz w:val="24"/>
          <w:szCs w:val="24"/>
          <w:lang w:val="en-US"/>
        </w:rPr>
      </w:pPr>
      <w:r w:rsidRPr="00513A9E">
        <w:rPr>
          <w:rFonts w:ascii="Times New Roman" w:hAnsi="Times New Roman" w:cs="Times New Roman"/>
          <w:b/>
          <w:bCs/>
          <w:sz w:val="24"/>
          <w:szCs w:val="24"/>
          <w:lang w:val="en-US"/>
        </w:rPr>
        <w:t>Abstract</w:t>
      </w:r>
    </w:p>
    <w:p w14:paraId="5F1FCB81"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highlight w:val="yellow"/>
          <w:lang w:val="en-US"/>
        </w:rPr>
        <w:t>In</w:t>
      </w:r>
      <w:r>
        <w:rPr>
          <w:rFonts w:ascii="Times New Roman" w:hAnsi="Times New Roman" w:cs="Times New Roman"/>
          <w:lang w:val="en-US"/>
        </w:rPr>
        <w:t xml:space="preserve"> </w:t>
      </w:r>
      <w:r>
        <w:rPr>
          <w:rFonts w:ascii="Times New Roman" w:hAnsi="Times New Roman" w:cs="Times New Roman"/>
          <w:highlight w:val="yellow"/>
          <w:lang w:val="en-US"/>
        </w:rPr>
        <w:t>the face of</w:t>
      </w:r>
      <w:r>
        <w:rPr>
          <w:rFonts w:ascii="Times New Roman" w:hAnsi="Times New Roman" w:cs="Times New Roman"/>
          <w:lang w:val="en-US"/>
        </w:rPr>
        <w:t xml:space="preserve"> growing demand for vegetable crops, particularly solanaceous species, the excessive use of synthetic </w:t>
      </w:r>
      <w:r>
        <w:rPr>
          <w:rFonts w:ascii="Times New Roman" w:hAnsi="Times New Roman" w:cs="Times New Roman"/>
          <w:highlight w:val="yellow"/>
          <w:lang w:val="en-US"/>
        </w:rPr>
        <w:t>fertilisers</w:t>
      </w:r>
      <w:r>
        <w:rPr>
          <w:rFonts w:ascii="Times New Roman" w:hAnsi="Times New Roman" w:cs="Times New Roman"/>
          <w:lang w:val="en-US"/>
        </w:rPr>
        <w:t xml:space="preserve"> and the degradation of arable soils are major constraints on agricultural production in West African urban and peri-urban areas. Soilless cultivation is therefore gaining importance as an alternative production system </w:t>
      </w:r>
      <w:r>
        <w:rPr>
          <w:rFonts w:ascii="Times New Roman" w:hAnsi="Times New Roman" w:cs="Times New Roman"/>
          <w:highlight w:val="yellow"/>
          <w:lang w:val="en-US"/>
        </w:rPr>
        <w:t xml:space="preserve">that is </w:t>
      </w:r>
      <w:r>
        <w:rPr>
          <w:rFonts w:ascii="Times New Roman" w:hAnsi="Times New Roman" w:cs="Times New Roman"/>
          <w:lang w:val="en-US"/>
        </w:rPr>
        <w:t xml:space="preserve">less dependent on soil quality. This study compared the effects of four liquid </w:t>
      </w:r>
      <w:r>
        <w:rPr>
          <w:rFonts w:ascii="Times New Roman" w:hAnsi="Times New Roman" w:cs="Times New Roman"/>
          <w:highlight w:val="yellow"/>
          <w:lang w:val="en-US"/>
        </w:rPr>
        <w:t>fertilisers</w:t>
      </w:r>
      <w:r>
        <w:rPr>
          <w:rFonts w:ascii="Times New Roman" w:hAnsi="Times New Roman" w:cs="Times New Roman"/>
          <w:lang w:val="en-US"/>
        </w:rPr>
        <w:t xml:space="preserve"> - two organic (a poultry manure extract and a manure-based </w:t>
      </w:r>
      <w:r>
        <w:rPr>
          <w:rFonts w:ascii="Times New Roman" w:hAnsi="Times New Roman" w:cs="Times New Roman"/>
          <w:highlight w:val="yellow"/>
          <w:lang w:val="en-US"/>
        </w:rPr>
        <w:t>fertiliser</w:t>
      </w:r>
      <w:r>
        <w:rPr>
          <w:rFonts w:ascii="Times New Roman" w:hAnsi="Times New Roman" w:cs="Times New Roman"/>
          <w:lang w:val="en-US"/>
        </w:rPr>
        <w:t xml:space="preserve">) and two </w:t>
      </w:r>
      <w:r>
        <w:rPr>
          <w:rFonts w:ascii="Times New Roman" w:hAnsi="Times New Roman" w:cs="Times New Roman"/>
          <w:highlight w:val="yellow"/>
          <w:lang w:val="en-US"/>
        </w:rPr>
        <w:t>mineral fertilisers</w:t>
      </w:r>
      <w:r>
        <w:rPr>
          <w:rFonts w:ascii="Times New Roman" w:hAnsi="Times New Roman" w:cs="Times New Roman"/>
          <w:lang w:val="en-US"/>
        </w:rPr>
        <w:t xml:space="preserve"> (Nutrigofol 8-8-8 and NPK 12-22-22</w:t>
      </w:r>
      <w:r>
        <w:rPr>
          <w:rFonts w:ascii="Times New Roman" w:hAnsi="Times New Roman" w:cs="Times New Roman"/>
          <w:highlight w:val="yellow"/>
          <w:lang w:val="en-US"/>
        </w:rPr>
        <w:t>, with the latter serving</w:t>
      </w:r>
      <w:r>
        <w:rPr>
          <w:rFonts w:ascii="Times New Roman" w:hAnsi="Times New Roman" w:cs="Times New Roman"/>
          <w:lang w:val="en-US"/>
        </w:rPr>
        <w:t xml:space="preserve"> as </w:t>
      </w:r>
      <w:r>
        <w:rPr>
          <w:rFonts w:ascii="Times New Roman" w:hAnsi="Times New Roman" w:cs="Times New Roman"/>
          <w:highlight w:val="yellow"/>
          <w:lang w:val="en-US"/>
        </w:rPr>
        <w:t xml:space="preserve">the </w:t>
      </w:r>
      <w:r>
        <w:rPr>
          <w:rFonts w:ascii="Times New Roman" w:hAnsi="Times New Roman" w:cs="Times New Roman"/>
          <w:lang w:val="en-US"/>
        </w:rPr>
        <w:t>control)</w:t>
      </w:r>
      <w:r>
        <w:rPr>
          <w:rFonts w:ascii="Times New Roman" w:hAnsi="Times New Roman" w:cs="Times New Roman"/>
          <w:highlight w:val="yellow"/>
          <w:lang w:val="en-US"/>
        </w:rPr>
        <w:t xml:space="preserve"> -</w:t>
      </w:r>
      <w:r>
        <w:rPr>
          <w:rFonts w:ascii="Times New Roman" w:hAnsi="Times New Roman" w:cs="Times New Roman"/>
          <w:lang w:val="en-US"/>
        </w:rPr>
        <w:t xml:space="preserve"> on the growth and yield of pepper grown under soilless conditions, with the broader aim of identifying nutrient solutions that could reduce growers’ dependence on chemical </w:t>
      </w:r>
      <w:r>
        <w:rPr>
          <w:rFonts w:ascii="Times New Roman" w:hAnsi="Times New Roman" w:cs="Times New Roman"/>
          <w:highlight w:val="yellow"/>
          <w:lang w:val="en-US"/>
        </w:rPr>
        <w:t>fertilisers</w:t>
      </w:r>
      <w:r>
        <w:rPr>
          <w:rFonts w:ascii="Times New Roman" w:hAnsi="Times New Roman" w:cs="Times New Roman"/>
          <w:lang w:val="en-US"/>
        </w:rPr>
        <w:t xml:space="preserve">. The trial followed a </w:t>
      </w:r>
      <w:r>
        <w:rPr>
          <w:rFonts w:ascii="Times New Roman" w:hAnsi="Times New Roman" w:cs="Times New Roman"/>
          <w:highlight w:val="yellow"/>
          <w:lang w:val="en-US"/>
        </w:rPr>
        <w:t>randomised</w:t>
      </w:r>
      <w:r>
        <w:rPr>
          <w:rFonts w:ascii="Times New Roman" w:hAnsi="Times New Roman" w:cs="Times New Roman"/>
          <w:lang w:val="en-US"/>
        </w:rPr>
        <w:t xml:space="preserve"> complete block design with four replicates. Treatment had a significant effect on most growth and yield parameters (p &lt; 0.001). The organic </w:t>
      </w:r>
      <w:r>
        <w:rPr>
          <w:rFonts w:ascii="Times New Roman" w:hAnsi="Times New Roman" w:cs="Times New Roman"/>
          <w:highlight w:val="yellow"/>
          <w:lang w:val="en-US"/>
        </w:rPr>
        <w:t>fertilisers</w:t>
      </w:r>
      <w:r>
        <w:rPr>
          <w:rFonts w:ascii="Times New Roman" w:hAnsi="Times New Roman" w:cs="Times New Roman"/>
          <w:lang w:val="en-US"/>
        </w:rPr>
        <w:t xml:space="preserve">, particularly the poultry manure extract, produced significantly higher values than the mineral </w:t>
      </w:r>
      <w:r>
        <w:rPr>
          <w:rFonts w:ascii="Times New Roman" w:hAnsi="Times New Roman" w:cs="Times New Roman"/>
          <w:highlight w:val="yellow"/>
          <w:lang w:val="en-US"/>
        </w:rPr>
        <w:t>fertilisers</w:t>
      </w:r>
      <w:r>
        <w:rPr>
          <w:rFonts w:ascii="Times New Roman" w:hAnsi="Times New Roman" w:cs="Times New Roman"/>
          <w:lang w:val="en-US"/>
        </w:rPr>
        <w:t xml:space="preserve"> for floral bud number, fruit number, fruit mass, and estimated yield. Estimated yield reached 5.11 t ha⁻¹ with the poultry manure extract, followed by the manure-based </w:t>
      </w:r>
      <w:r>
        <w:rPr>
          <w:rFonts w:ascii="Times New Roman" w:hAnsi="Times New Roman" w:cs="Times New Roman"/>
          <w:highlight w:val="yellow"/>
          <w:lang w:val="en-US"/>
        </w:rPr>
        <w:t>fertiliser</w:t>
      </w:r>
      <w:r>
        <w:rPr>
          <w:rFonts w:ascii="Times New Roman" w:hAnsi="Times New Roman" w:cs="Times New Roman"/>
          <w:lang w:val="en-US"/>
        </w:rPr>
        <w:t xml:space="preserve"> (3.69 t ha⁻¹), Nutrigofol 8-8-8 (2.81 t ha⁻¹), and NPK 12-22-22 (2.64 t ha⁻¹). Because no </w:t>
      </w:r>
      <w:r>
        <w:rPr>
          <w:rFonts w:ascii="Times New Roman" w:hAnsi="Times New Roman" w:cs="Times New Roman"/>
          <w:highlight w:val="yellow"/>
          <w:lang w:val="en-US"/>
        </w:rPr>
        <w:t>unfertilised</w:t>
      </w:r>
      <w:r>
        <w:rPr>
          <w:rFonts w:ascii="Times New Roman" w:hAnsi="Times New Roman" w:cs="Times New Roman"/>
          <w:lang w:val="en-US"/>
        </w:rPr>
        <w:t xml:space="preserve"> control was included, these results describe the relative performance of the four </w:t>
      </w:r>
      <w:r>
        <w:rPr>
          <w:rFonts w:ascii="Times New Roman" w:hAnsi="Times New Roman" w:cs="Times New Roman"/>
          <w:highlight w:val="yellow"/>
          <w:lang w:val="en-US"/>
        </w:rPr>
        <w:t>fertilisers</w:t>
      </w:r>
      <w:r>
        <w:rPr>
          <w:rFonts w:ascii="Times New Roman" w:hAnsi="Times New Roman" w:cs="Times New Roman"/>
          <w:lang w:val="en-US"/>
        </w:rPr>
        <w:t xml:space="preserve"> rather than their absolute agronomic efficiency. Within this comparative scope, the findings indicate that organic nutrient solutions derived from locally available livestock waste can support pepper productivity in soilless systems at least as well as</w:t>
      </w:r>
      <w:r>
        <w:rPr>
          <w:rFonts w:ascii="Times New Roman" w:hAnsi="Times New Roman" w:cs="Times New Roman"/>
          <w:highlight w:val="yellow"/>
          <w:lang w:val="en-US"/>
        </w:rPr>
        <w:t>,</w:t>
      </w:r>
      <w:r>
        <w:rPr>
          <w:rFonts w:ascii="Times New Roman" w:hAnsi="Times New Roman" w:cs="Times New Roman"/>
          <w:lang w:val="en-US"/>
        </w:rPr>
        <w:t xml:space="preserve"> and for several parameters better than</w:t>
      </w:r>
      <w:r>
        <w:rPr>
          <w:rFonts w:ascii="Times New Roman" w:hAnsi="Times New Roman" w:cs="Times New Roman"/>
          <w:highlight w:val="yellow"/>
          <w:lang w:val="en-US"/>
        </w:rPr>
        <w:t>,</w:t>
      </w:r>
      <w:r>
        <w:rPr>
          <w:rFonts w:ascii="Times New Roman" w:hAnsi="Times New Roman" w:cs="Times New Roman"/>
          <w:lang w:val="en-US"/>
        </w:rPr>
        <w:t xml:space="preserve"> the mineral </w:t>
      </w:r>
      <w:r>
        <w:rPr>
          <w:rFonts w:ascii="Times New Roman" w:hAnsi="Times New Roman" w:cs="Times New Roman"/>
          <w:highlight w:val="yellow"/>
          <w:lang w:val="en-US"/>
        </w:rPr>
        <w:t>fertilisers</w:t>
      </w:r>
      <w:r>
        <w:rPr>
          <w:rFonts w:ascii="Times New Roman" w:hAnsi="Times New Roman" w:cs="Times New Roman"/>
          <w:lang w:val="en-US"/>
        </w:rPr>
        <w:t xml:space="preserve"> tested. </w:t>
      </w:r>
      <w:r>
        <w:rPr>
          <w:rFonts w:ascii="Times New Roman" w:hAnsi="Times New Roman" w:cs="Times New Roman"/>
          <w:highlight w:val="yellow"/>
          <w:lang w:val="en-US"/>
        </w:rPr>
        <w:t>Valorising</w:t>
      </w:r>
      <w:r>
        <w:rPr>
          <w:rFonts w:ascii="Times New Roman" w:hAnsi="Times New Roman" w:cs="Times New Roman"/>
          <w:lang w:val="en-US"/>
        </w:rPr>
        <w:t xml:space="preserve"> such organic waste as low-cost </w:t>
      </w:r>
      <w:r>
        <w:rPr>
          <w:rFonts w:ascii="Times New Roman" w:hAnsi="Times New Roman" w:cs="Times New Roman"/>
          <w:highlight w:val="yellow"/>
          <w:lang w:val="en-US"/>
        </w:rPr>
        <w:t>biofertilisers</w:t>
      </w:r>
      <w:r>
        <w:rPr>
          <w:rFonts w:ascii="Times New Roman" w:hAnsi="Times New Roman" w:cs="Times New Roman"/>
          <w:lang w:val="en-US"/>
        </w:rPr>
        <w:t xml:space="preserve"> could contribute to more affordable and resilient vegetable production for expanding West African cities, provided these trends are confirmed against an </w:t>
      </w:r>
      <w:r>
        <w:rPr>
          <w:rFonts w:ascii="Times New Roman" w:hAnsi="Times New Roman" w:cs="Times New Roman"/>
          <w:highlight w:val="yellow"/>
          <w:lang w:val="en-US"/>
        </w:rPr>
        <w:t>unfertilised</w:t>
      </w:r>
      <w:r>
        <w:rPr>
          <w:rFonts w:ascii="Times New Roman" w:hAnsi="Times New Roman" w:cs="Times New Roman"/>
          <w:lang w:val="en-US"/>
        </w:rPr>
        <w:t xml:space="preserve"> control and under real production conditions.</w:t>
      </w:r>
    </w:p>
    <w:p w14:paraId="61CF077A"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b/>
          <w:bCs/>
          <w:lang w:val="en-US"/>
        </w:rPr>
        <w:t xml:space="preserve">Keywords: </w:t>
      </w:r>
      <w:r w:rsidRPr="00513A9E">
        <w:rPr>
          <w:rFonts w:ascii="Times New Roman" w:hAnsi="Times New Roman" w:cs="Times New Roman"/>
          <w:lang w:val="en-US"/>
        </w:rPr>
        <w:t xml:space="preserve">Fertilizers, </w:t>
      </w:r>
      <w:r w:rsidR="00465BAE">
        <w:rPr>
          <w:rFonts w:ascii="Times New Roman" w:hAnsi="Times New Roman" w:cs="Times New Roman"/>
          <w:lang w:val="en-US"/>
        </w:rPr>
        <w:t>p</w:t>
      </w:r>
      <w:r w:rsidRPr="00513A9E">
        <w:rPr>
          <w:rFonts w:ascii="Times New Roman" w:hAnsi="Times New Roman" w:cs="Times New Roman"/>
          <w:lang w:val="en-US"/>
        </w:rPr>
        <w:t xml:space="preserve">epper, </w:t>
      </w:r>
      <w:r w:rsidR="00465BAE">
        <w:rPr>
          <w:rFonts w:ascii="Times New Roman" w:hAnsi="Times New Roman" w:cs="Times New Roman"/>
          <w:lang w:val="en-US"/>
        </w:rPr>
        <w:t>y</w:t>
      </w:r>
      <w:r w:rsidRPr="00513A9E">
        <w:rPr>
          <w:rFonts w:ascii="Times New Roman" w:hAnsi="Times New Roman" w:cs="Times New Roman"/>
          <w:lang w:val="en-US"/>
        </w:rPr>
        <w:t xml:space="preserve">ield, </w:t>
      </w:r>
      <w:r w:rsidR="00465BAE">
        <w:rPr>
          <w:rFonts w:ascii="Times New Roman" w:hAnsi="Times New Roman" w:cs="Times New Roman"/>
          <w:lang w:val="en-US"/>
        </w:rPr>
        <w:t>s</w:t>
      </w:r>
      <w:r w:rsidRPr="00513A9E">
        <w:rPr>
          <w:rFonts w:ascii="Times New Roman" w:hAnsi="Times New Roman" w:cs="Times New Roman"/>
          <w:lang w:val="en-US"/>
        </w:rPr>
        <w:t xml:space="preserve">oilless cultivation, </w:t>
      </w:r>
      <w:r w:rsidR="00465BAE">
        <w:rPr>
          <w:rFonts w:ascii="Times New Roman" w:hAnsi="Times New Roman" w:cs="Times New Roman"/>
          <w:lang w:val="en-US"/>
        </w:rPr>
        <w:t>v</w:t>
      </w:r>
      <w:r w:rsidRPr="00513A9E">
        <w:rPr>
          <w:rFonts w:ascii="Times New Roman" w:hAnsi="Times New Roman" w:cs="Times New Roman"/>
          <w:lang w:val="en-US"/>
        </w:rPr>
        <w:t>egetable</w:t>
      </w:r>
    </w:p>
    <w:p w14:paraId="5E5EB793" w14:textId="77777777" w:rsidR="00565CC6" w:rsidRPr="00513A9E" w:rsidRDefault="00565CC6" w:rsidP="00D412ED">
      <w:pPr>
        <w:rPr>
          <w:rFonts w:ascii="Times New Roman" w:hAnsi="Times New Roman" w:cs="Times New Roman"/>
          <w:b/>
          <w:bCs/>
          <w:color w:val="2E74B5"/>
          <w:sz w:val="24"/>
          <w:szCs w:val="24"/>
          <w:lang w:val="en-US"/>
        </w:rPr>
      </w:pPr>
      <w:r w:rsidRPr="00513A9E">
        <w:rPr>
          <w:rFonts w:ascii="Times New Roman" w:hAnsi="Times New Roman" w:cs="Times New Roman"/>
          <w:b/>
          <w:bCs/>
          <w:sz w:val="24"/>
          <w:szCs w:val="24"/>
          <w:lang w:val="en-US"/>
        </w:rPr>
        <w:br w:type="page"/>
      </w:r>
    </w:p>
    <w:p w14:paraId="72B55D96" w14:textId="77777777" w:rsidR="00D412ED"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lastRenderedPageBreak/>
        <w:t>Introduction</w:t>
      </w:r>
    </w:p>
    <w:p w14:paraId="32D445DE"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Rapid demographic growth is intensifying food-security challenges worldwide. Nearly 98% of undernourished people live in developing countries, mainly in sub-Saharan Africa (Wudil et al., 2022), where food insecurity is closely linked to climate change and its adverse effects on established agricultural production models. In Côte d’Ivoire, climate variability is already affecting the country’s various agricultural production systems (Timité et al., 2022). Current production models therefore need to be reconsidered to meet the food needs of the population</w:t>
      </w:r>
      <w:r>
        <w:rPr>
          <w:rFonts w:ascii="Times New Roman" w:hAnsi="Times New Roman" w:cs="Times New Roman"/>
          <w:highlight w:val="yellow"/>
          <w:lang w:val="en-US"/>
        </w:rPr>
        <w:t>,</w:t>
      </w:r>
      <w:r>
        <w:rPr>
          <w:rFonts w:ascii="Times New Roman" w:hAnsi="Times New Roman" w:cs="Times New Roman"/>
          <w:lang w:val="en-US"/>
        </w:rPr>
        <w:t xml:space="preserve"> particularly urban populations</w:t>
      </w:r>
      <w:r>
        <w:rPr>
          <w:rFonts w:ascii="Times New Roman" w:hAnsi="Times New Roman" w:cs="Times New Roman"/>
          <w:highlight w:val="yellow"/>
          <w:lang w:val="en-US"/>
        </w:rPr>
        <w:t>,</w:t>
      </w:r>
      <w:r>
        <w:rPr>
          <w:rFonts w:ascii="Times New Roman" w:hAnsi="Times New Roman" w:cs="Times New Roman"/>
          <w:lang w:val="en-US"/>
        </w:rPr>
        <w:t xml:space="preserve"> in both quantity and quality.</w:t>
      </w:r>
    </w:p>
    <w:p w14:paraId="14893197" w14:textId="576E1670"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Côte d’Ivoire has committed to a more dynamic agricultural sector built on renewed production systems (</w:t>
      </w:r>
      <w:r>
        <w:rPr>
          <w:rFonts w:ascii="Times New Roman" w:hAnsi="Times New Roman" w:cs="Times New Roman"/>
          <w:highlight w:val="yellow"/>
          <w:lang w:val="en-US"/>
        </w:rPr>
        <w:t>United Nations Industrial Development Organization</w:t>
      </w:r>
      <w:r>
        <w:rPr>
          <w:rFonts w:ascii="Times New Roman" w:hAnsi="Times New Roman" w:cs="Times New Roman"/>
          <w:lang w:val="en-US"/>
        </w:rPr>
        <w:t>, 202</w:t>
      </w:r>
      <w:r w:rsidR="004C74E5">
        <w:rPr>
          <w:rFonts w:ascii="Times New Roman" w:hAnsi="Times New Roman" w:cs="Times New Roman"/>
          <w:lang w:val="en-US"/>
        </w:rPr>
        <w:t>2</w:t>
      </w:r>
      <w:r>
        <w:rPr>
          <w:rFonts w:ascii="Times New Roman" w:hAnsi="Times New Roman" w:cs="Times New Roman"/>
          <w:lang w:val="en-US"/>
        </w:rPr>
        <w:t>). Production systems historically centred on export crops such as cocoa, coffee, oil palm, rubber, and timber are being transformed through the introduction of technological farm-monitoring tools and diversified through agroecological, permanent market-gardening systems. These systems contribute to urban greening and to the health of urban and peri-urban populations, while also helping to mitigate and adapt to climate change, reduce carbon footprints, strengthen urban-rural links, and support sustainable urban development.</w:t>
      </w:r>
    </w:p>
    <w:p w14:paraId="6E401C75"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This diversification also gives urban populations access to fresh, nutritious food. It does so at a lower cost than food transported over long distances. Among the vegetables whose production needs to expand in urban areas, sweet pepper (</w:t>
      </w:r>
      <w:r>
        <w:rPr>
          <w:rFonts w:ascii="Times New Roman" w:hAnsi="Times New Roman" w:cs="Times New Roman"/>
          <w:i/>
          <w:iCs/>
          <w:lang w:val="en-US"/>
        </w:rPr>
        <w:t>Capsicum annuum</w:t>
      </w:r>
      <w:r>
        <w:rPr>
          <w:rFonts w:ascii="Times New Roman" w:hAnsi="Times New Roman" w:cs="Times New Roman"/>
          <w:lang w:val="en-US"/>
        </w:rPr>
        <w:t xml:space="preserve"> L.), commonly known as capsicum, still occupies a marginal position (Diarra et al., 2018). Pepper production in Côte d’Ivoire is limited by several abiotic and biotic constraints that reduce yields (</w:t>
      </w:r>
      <w:r>
        <w:rPr>
          <w:rFonts w:ascii="Times New Roman" w:hAnsi="Times New Roman" w:cs="Times New Roman"/>
          <w:highlight w:val="yellow"/>
          <w:lang w:val="en-US"/>
        </w:rPr>
        <w:t xml:space="preserve">Gnimassoun et al., 2020; </w:t>
      </w:r>
      <w:r>
        <w:rPr>
          <w:rFonts w:ascii="Times New Roman" w:hAnsi="Times New Roman" w:cs="Times New Roman"/>
          <w:lang w:val="en-US"/>
        </w:rPr>
        <w:t xml:space="preserve">Yarou et al., 2017), including (i) the degradation and loss of arable land through soil </w:t>
      </w:r>
      <w:r>
        <w:rPr>
          <w:rFonts w:ascii="Times New Roman" w:hAnsi="Times New Roman" w:cs="Times New Roman"/>
          <w:highlight w:val="yellow"/>
          <w:lang w:val="en-US"/>
        </w:rPr>
        <w:t>artificialisation</w:t>
      </w:r>
      <w:r>
        <w:rPr>
          <w:rFonts w:ascii="Times New Roman" w:hAnsi="Times New Roman" w:cs="Times New Roman"/>
          <w:lang w:val="en-US"/>
        </w:rPr>
        <w:t>; (ii) pest pressure; (iii) the seasonal nature of production; and (iv) long distribution chains for perishable produce. The over-exploitation of arable land linked to population growth and shortened fallow cycles is also driving yield decline (Kassin, 2013). Fallowing remains the main natural mechanism for restoring soil fertility (Mosier et al., 2021), but high pressure on land tenure makes it increasingly difficult to leave land fallow.</w:t>
      </w:r>
    </w:p>
    <w:p w14:paraId="2C90B3F5"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Restoring the fertility of agricultural land</w:t>
      </w:r>
      <w:r>
        <w:rPr>
          <w:rFonts w:ascii="Times New Roman" w:hAnsi="Times New Roman" w:cs="Times New Roman"/>
          <w:highlight w:val="yellow"/>
          <w:lang w:val="en-US"/>
        </w:rPr>
        <w:t>,</w:t>
      </w:r>
      <w:r>
        <w:rPr>
          <w:rFonts w:ascii="Times New Roman" w:hAnsi="Times New Roman" w:cs="Times New Roman"/>
          <w:lang w:val="en-US"/>
        </w:rPr>
        <w:t xml:space="preserve"> for instance through fast-growing trees, ground-cover legumes, or other soil-improvement practices</w:t>
      </w:r>
      <w:r>
        <w:rPr>
          <w:rFonts w:ascii="Times New Roman" w:hAnsi="Times New Roman" w:cs="Times New Roman"/>
          <w:highlight w:val="yellow"/>
          <w:lang w:val="en-US"/>
        </w:rPr>
        <w:t>,</w:t>
      </w:r>
      <w:r>
        <w:rPr>
          <w:rFonts w:ascii="Times New Roman" w:hAnsi="Times New Roman" w:cs="Times New Roman"/>
          <w:lang w:val="en-US"/>
        </w:rPr>
        <w:t xml:space="preserve"> is one way to offset falling yields. Another common response is to intensify production, generally through heavy use of chemical </w:t>
      </w:r>
      <w:r>
        <w:rPr>
          <w:rFonts w:ascii="Times New Roman" w:hAnsi="Times New Roman" w:cs="Times New Roman"/>
          <w:highlight w:val="yellow"/>
          <w:lang w:val="en-US"/>
        </w:rPr>
        <w:t>fertilisers</w:t>
      </w:r>
      <w:r>
        <w:rPr>
          <w:rFonts w:ascii="Times New Roman" w:hAnsi="Times New Roman" w:cs="Times New Roman"/>
          <w:lang w:val="en-US"/>
        </w:rPr>
        <w:t xml:space="preserve"> and pesticides to boost short-term yields (Kopittke et al., 2019). However, the overuse of mineral </w:t>
      </w:r>
      <w:r>
        <w:rPr>
          <w:rFonts w:ascii="Times New Roman" w:hAnsi="Times New Roman" w:cs="Times New Roman"/>
          <w:highlight w:val="yellow"/>
          <w:lang w:val="en-US"/>
        </w:rPr>
        <w:t>fertilisers</w:t>
      </w:r>
      <w:r>
        <w:rPr>
          <w:rFonts w:ascii="Times New Roman" w:hAnsi="Times New Roman" w:cs="Times New Roman"/>
          <w:lang w:val="en-US"/>
        </w:rPr>
        <w:t xml:space="preserve"> tends to acidify and </w:t>
      </w:r>
      <w:r>
        <w:rPr>
          <w:rFonts w:ascii="Times New Roman" w:hAnsi="Times New Roman" w:cs="Times New Roman"/>
          <w:highlight w:val="yellow"/>
          <w:lang w:val="en-US"/>
        </w:rPr>
        <w:t>salinise</w:t>
      </w:r>
      <w:r>
        <w:rPr>
          <w:rFonts w:ascii="Times New Roman" w:hAnsi="Times New Roman" w:cs="Times New Roman"/>
          <w:lang w:val="en-US"/>
        </w:rPr>
        <w:t xml:space="preserve"> the soil, accelerating rather than reversing the loss of fertility (Wang et al., 2022). Efficient techniques that overcome these constraints are therefore needed. Intensive urban soilless cultivation is one such alternative and could be extended to several vegetable crops, provided accessible, low-cost solutions are developed for growers</w:t>
      </w:r>
      <w:r>
        <w:rPr>
          <w:rFonts w:ascii="Times New Roman" w:hAnsi="Times New Roman" w:cs="Times New Roman"/>
          <w:highlight w:val="yellow"/>
          <w:lang w:val="en-US"/>
        </w:rPr>
        <w:t>,</w:t>
      </w:r>
      <w:r>
        <w:rPr>
          <w:rFonts w:ascii="Times New Roman" w:hAnsi="Times New Roman" w:cs="Times New Roman"/>
          <w:lang w:val="en-US"/>
        </w:rPr>
        <w:t xml:space="preserve"> notably efficient nutrient solutions adapted to local conditions and the use of organic matter to manage substrate fertility. In urban and peri-urban areas, manure and other organic residues from animal husbandry are regularly discarded near production sites instead of being recycled, even though their nutrient content makes them potentially valuable </w:t>
      </w:r>
      <w:r>
        <w:rPr>
          <w:rFonts w:ascii="Times New Roman" w:hAnsi="Times New Roman" w:cs="Times New Roman"/>
          <w:highlight w:val="yellow"/>
          <w:lang w:val="en-US"/>
        </w:rPr>
        <w:t>fertilisers</w:t>
      </w:r>
      <w:r>
        <w:rPr>
          <w:rFonts w:ascii="Times New Roman" w:hAnsi="Times New Roman" w:cs="Times New Roman"/>
          <w:lang w:val="en-US"/>
        </w:rPr>
        <w:t xml:space="preserve"> for quality vegetable production.</w:t>
      </w:r>
    </w:p>
    <w:p w14:paraId="465496CB" w14:textId="77777777" w:rsidR="00D94435" w:rsidRPr="00F95D77" w:rsidRDefault="00000000">
      <w:pPr>
        <w:spacing w:before="120" w:after="120" w:line="360" w:lineRule="auto"/>
        <w:jc w:val="both"/>
        <w:rPr>
          <w:rFonts w:ascii="Times New Roman" w:hAnsi="Times New Roman" w:cs="Times New Roman"/>
          <w:bCs/>
          <w:lang w:val="en-US"/>
        </w:rPr>
      </w:pPr>
      <w:r w:rsidRPr="00F95D77">
        <w:rPr>
          <w:rFonts w:ascii="Times New Roman" w:hAnsi="Times New Roman"/>
          <w:bCs/>
          <w:highlight w:val="yellow"/>
        </w:rPr>
        <w:lastRenderedPageBreak/>
        <w:t xml:space="preserve">Recent evidence from soilless and protected </w:t>
      </w:r>
      <w:r w:rsidRPr="00F95D77">
        <w:rPr>
          <w:rFonts w:ascii="Times New Roman" w:hAnsi="Times New Roman"/>
          <w:bCs/>
          <w:i/>
          <w:highlight w:val="yellow"/>
        </w:rPr>
        <w:t>Capsicum</w:t>
      </w:r>
      <w:r w:rsidRPr="00F95D77">
        <w:rPr>
          <w:rFonts w:ascii="Times New Roman" w:hAnsi="Times New Roman"/>
          <w:bCs/>
          <w:highlight w:val="yellow"/>
        </w:rPr>
        <w:t xml:space="preserve"> production indicates that biofertiliser-supported nutrient management can reduce reliance on conventional mineral fertilisation while maintaining crop performance, whereas excessive fertigation does not necessarily improve greenhouse capsicum performance (Dasgan et al., </w:t>
      </w:r>
      <w:proofErr w:type="gramStart"/>
      <w:r w:rsidRPr="00F95D77">
        <w:rPr>
          <w:rFonts w:ascii="Times New Roman" w:hAnsi="Times New Roman"/>
          <w:bCs/>
          <w:highlight w:val="yellow"/>
        </w:rPr>
        <w:t>2023;</w:t>
      </w:r>
      <w:proofErr w:type="gramEnd"/>
      <w:r w:rsidRPr="00F95D77">
        <w:rPr>
          <w:rFonts w:ascii="Times New Roman" w:hAnsi="Times New Roman"/>
          <w:bCs/>
          <w:highlight w:val="yellow"/>
        </w:rPr>
        <w:t xml:space="preserve"> Dauda et al., 2025). A recent study in pepper further showed that corn steep liquor, an agro-industrial by-product, can support vegetative growth under reduced nitrogen supply (Navarro-Morillo et al., 2024). Field studies with sweet pepper have also documented positive growth and yield responses to poultry manure and other organic manures (Rufa’i et al., </w:t>
      </w:r>
      <w:proofErr w:type="gramStart"/>
      <w:r w:rsidRPr="00F95D77">
        <w:rPr>
          <w:rFonts w:ascii="Times New Roman" w:hAnsi="Times New Roman"/>
          <w:bCs/>
          <w:highlight w:val="yellow"/>
        </w:rPr>
        <w:t>2024;</w:t>
      </w:r>
      <w:proofErr w:type="gramEnd"/>
      <w:r w:rsidRPr="00F95D77">
        <w:rPr>
          <w:rFonts w:ascii="Times New Roman" w:hAnsi="Times New Roman"/>
          <w:bCs/>
          <w:highlight w:val="yellow"/>
        </w:rPr>
        <w:t xml:space="preserve"> Rosyara et al., 2025).</w:t>
      </w:r>
    </w:p>
    <w:p w14:paraId="3629CCF4" w14:textId="327E54AC" w:rsidR="00960E11" w:rsidRPr="00F95D77" w:rsidRDefault="00000000" w:rsidP="00DD3A77">
      <w:pPr>
        <w:spacing w:before="120" w:after="120" w:line="360" w:lineRule="auto"/>
        <w:jc w:val="both"/>
        <w:rPr>
          <w:rFonts w:ascii="Times New Roman" w:hAnsi="Times New Roman" w:cs="Times New Roman"/>
          <w:bCs/>
          <w:lang w:val="en-US"/>
        </w:rPr>
      </w:pPr>
      <w:r w:rsidRPr="00F95D77">
        <w:rPr>
          <w:rFonts w:ascii="Times New Roman" w:hAnsi="Times New Roman" w:cs="Times New Roman"/>
          <w:bCs/>
          <w:lang w:val="en-US"/>
        </w:rPr>
        <w:t xml:space="preserve">Organic matter is </w:t>
      </w:r>
      <w:r w:rsidRPr="00F95D77">
        <w:rPr>
          <w:rFonts w:ascii="Times New Roman" w:hAnsi="Times New Roman" w:cs="Times New Roman"/>
          <w:bCs/>
          <w:highlight w:val="yellow"/>
          <w:lang w:val="en-US"/>
        </w:rPr>
        <w:t>recognised</w:t>
      </w:r>
      <w:r w:rsidRPr="00F95D77">
        <w:rPr>
          <w:rFonts w:ascii="Times New Roman" w:hAnsi="Times New Roman" w:cs="Times New Roman"/>
          <w:bCs/>
          <w:lang w:val="en-US"/>
        </w:rPr>
        <w:t xml:space="preserve"> to play a key role in the soil fertility of urban vegetable systems (Gnimassoun, </w:t>
      </w:r>
      <w:r w:rsidRPr="00F95D77">
        <w:rPr>
          <w:rFonts w:ascii="Times New Roman" w:hAnsi="Times New Roman" w:cs="Times New Roman"/>
          <w:bCs/>
          <w:highlight w:val="yellow"/>
          <w:lang w:val="en-US"/>
        </w:rPr>
        <w:t>Bolou-Bi, &amp; Konan, 2024</w:t>
      </w:r>
      <w:r w:rsidRPr="00F95D77">
        <w:rPr>
          <w:rFonts w:ascii="Times New Roman" w:hAnsi="Times New Roman" w:cs="Times New Roman"/>
          <w:bCs/>
          <w:lang w:val="en-US"/>
        </w:rPr>
        <w:t>; Kuma, 202</w:t>
      </w:r>
      <w:r w:rsidR="004C74E5">
        <w:rPr>
          <w:rFonts w:ascii="Times New Roman" w:hAnsi="Times New Roman" w:cs="Times New Roman"/>
          <w:bCs/>
          <w:lang w:val="en-US"/>
        </w:rPr>
        <w:t>4</w:t>
      </w:r>
      <w:r w:rsidRPr="00F95D77">
        <w:rPr>
          <w:rFonts w:ascii="Times New Roman" w:hAnsi="Times New Roman" w:cs="Times New Roman"/>
          <w:bCs/>
          <w:lang w:val="en-US"/>
        </w:rPr>
        <w:t xml:space="preserve">). However, urban farmers in Côte d’Ivoire remain reluctant to use these organic residues because of the long duration of the composting process. </w:t>
      </w:r>
      <w:r w:rsidRPr="00F95D77">
        <w:rPr>
          <w:rFonts w:ascii="Times New Roman" w:hAnsi="Times New Roman"/>
          <w:bCs/>
          <w:highlight w:val="yellow"/>
        </w:rPr>
        <w:t xml:space="preserve">Despite this potential, the literature summarised above provides limited evidence on the comparative performance of a locally prepared liquid poultry-manure fertiliser against both organic and mineral nutrient solutions for soilless pepper production under urban conditions in southern Côte d’Ivoire. </w:t>
      </w:r>
      <w:r w:rsidRPr="00F95D77">
        <w:rPr>
          <w:rFonts w:ascii="Times New Roman" w:hAnsi="Times New Roman"/>
          <w:bCs/>
        </w:rPr>
        <w:t xml:space="preserve">This study therefore aimed to assess the agronomic effectiveness of a liquid organic </w:t>
      </w:r>
      <w:r w:rsidRPr="00F95D77">
        <w:rPr>
          <w:rFonts w:ascii="Times New Roman" w:hAnsi="Times New Roman"/>
          <w:bCs/>
          <w:highlight w:val="yellow"/>
        </w:rPr>
        <w:t>fertiliser</w:t>
      </w:r>
      <w:r w:rsidRPr="00F95D77">
        <w:rPr>
          <w:rFonts w:ascii="Times New Roman" w:hAnsi="Times New Roman"/>
          <w:bCs/>
        </w:rPr>
        <w:t xml:space="preserve"> derived from poultry-farming waste</w:t>
      </w:r>
      <w:r w:rsidRPr="00F95D77">
        <w:rPr>
          <w:rFonts w:ascii="Times New Roman" w:hAnsi="Times New Roman"/>
          <w:bCs/>
          <w:highlight w:val="yellow"/>
        </w:rPr>
        <w:t xml:space="preserve"> by comparing it with other organic and mineral nutrient solutions already available to growers</w:t>
      </w:r>
      <w:r w:rsidRPr="00F95D77">
        <w:rPr>
          <w:rFonts w:ascii="Times New Roman" w:hAnsi="Times New Roman"/>
          <w:bCs/>
        </w:rPr>
        <w:t>, with a view to improving pepper production in urban areas of Côte d’Ivoire.</w:t>
      </w:r>
    </w:p>
    <w:p w14:paraId="7CA872FF"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Materials and methods</w:t>
      </w:r>
    </w:p>
    <w:p w14:paraId="65508FFA"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Study area</w:t>
      </w:r>
    </w:p>
    <w:p w14:paraId="5EB06706"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The study area is located in the district of Abidjan, in southern Côte d’Ivoire, West Africa. The trial was carried out in an experimental growing shelter at the Université </w:t>
      </w:r>
      <w:proofErr w:type="spellStart"/>
      <w:r w:rsidRPr="00513A9E">
        <w:rPr>
          <w:rFonts w:ascii="Times New Roman" w:hAnsi="Times New Roman" w:cs="Times New Roman"/>
          <w:lang w:val="en-US"/>
        </w:rPr>
        <w:t>Nangui</w:t>
      </w:r>
      <w:proofErr w:type="spellEnd"/>
      <w:r w:rsidRPr="00513A9E">
        <w:rPr>
          <w:rFonts w:ascii="Times New Roman" w:hAnsi="Times New Roman" w:cs="Times New Roman"/>
          <w:lang w:val="en-US"/>
        </w:rPr>
        <w:t xml:space="preserve"> </w:t>
      </w:r>
      <w:proofErr w:type="spellStart"/>
      <w:r w:rsidRPr="00513A9E">
        <w:rPr>
          <w:rFonts w:ascii="Times New Roman" w:hAnsi="Times New Roman" w:cs="Times New Roman"/>
          <w:lang w:val="en-US"/>
        </w:rPr>
        <w:t>Abrogoua</w:t>
      </w:r>
      <w:proofErr w:type="spellEnd"/>
      <w:r w:rsidRPr="00513A9E">
        <w:rPr>
          <w:rFonts w:ascii="Times New Roman" w:hAnsi="Times New Roman" w:cs="Times New Roman"/>
          <w:lang w:val="en-US"/>
        </w:rPr>
        <w:t xml:space="preserve"> (UNA), located between 5°17’ and 5°3’ N and 3°45’ and 4°22’ W. The UNA campus is bounded to the north by the commune of </w:t>
      </w:r>
      <w:proofErr w:type="spellStart"/>
      <w:r w:rsidRPr="00513A9E">
        <w:rPr>
          <w:rFonts w:ascii="Times New Roman" w:hAnsi="Times New Roman" w:cs="Times New Roman"/>
          <w:lang w:val="en-US"/>
        </w:rPr>
        <w:t>Abobo</w:t>
      </w:r>
      <w:proofErr w:type="spellEnd"/>
      <w:r w:rsidRPr="00513A9E">
        <w:rPr>
          <w:rFonts w:ascii="Times New Roman" w:hAnsi="Times New Roman" w:cs="Times New Roman"/>
          <w:lang w:val="en-US"/>
        </w:rPr>
        <w:t>, near the Banco Forest (Figure 1).</w:t>
      </w:r>
    </w:p>
    <w:p w14:paraId="306D3F07"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B4DECE6" wp14:editId="27863209">
            <wp:extent cx="3171825" cy="26955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171825" cy="2695575"/>
                    </a:xfrm>
                    <a:prstGeom prst="rect">
                      <a:avLst/>
                    </a:prstGeom>
                  </pic:spPr>
                </pic:pic>
              </a:graphicData>
            </a:graphic>
          </wp:inline>
        </w:drawing>
      </w:r>
    </w:p>
    <w:p w14:paraId="6A17ADF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1. </w:t>
      </w:r>
      <w:r w:rsidRPr="00513A9E">
        <w:rPr>
          <w:rFonts w:ascii="Times New Roman" w:hAnsi="Times New Roman" w:cs="Times New Roman"/>
          <w:lang w:val="en-US"/>
        </w:rPr>
        <w:t>Location of the study site.</w:t>
      </w:r>
    </w:p>
    <w:p w14:paraId="2979759C" w14:textId="77777777" w:rsidR="00D412ED" w:rsidRPr="00513A9E" w:rsidRDefault="00D412ED" w:rsidP="00D412ED">
      <w:pPr>
        <w:rPr>
          <w:rFonts w:ascii="Times New Roman" w:hAnsi="Times New Roman" w:cs="Times New Roman"/>
          <w:b/>
          <w:bCs/>
          <w:lang w:val="en-US"/>
        </w:rPr>
      </w:pPr>
    </w:p>
    <w:p w14:paraId="33A1A0D6"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Nutrient solution preparation</w:t>
      </w:r>
    </w:p>
    <w:p w14:paraId="5AA4104D"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poultry-manure-based broth was prepared in a 100 L container. Five kilograms of poultry droppings, 1 kg of fresh neem leaves, 500 g of green papaya leaves, 1 kg of chopped lemongrass leaves, 4 garlic cloves, and 200 g of </w:t>
      </w:r>
      <w:r>
        <w:rPr>
          <w:rFonts w:ascii="Times New Roman" w:hAnsi="Times New Roman" w:cs="Times New Roman"/>
          <w:highlight w:val="yellow"/>
          <w:lang w:val="en-US"/>
        </w:rPr>
        <w:t>chilli</w:t>
      </w:r>
      <w:r>
        <w:rPr>
          <w:rFonts w:ascii="Times New Roman" w:hAnsi="Times New Roman" w:cs="Times New Roman"/>
          <w:lang w:val="en-US"/>
        </w:rPr>
        <w:t xml:space="preserve"> powder were successively added to the container and topped up with 100 L of water. The mixture was </w:t>
      </w:r>
      <w:r>
        <w:rPr>
          <w:rFonts w:ascii="Times New Roman" w:hAnsi="Times New Roman" w:cs="Times New Roman"/>
          <w:highlight w:val="yellow"/>
          <w:lang w:val="en-US"/>
        </w:rPr>
        <w:t>homogenised</w:t>
      </w:r>
      <w:r>
        <w:rPr>
          <w:rFonts w:ascii="Times New Roman" w:hAnsi="Times New Roman" w:cs="Times New Roman"/>
          <w:lang w:val="en-US"/>
        </w:rPr>
        <w:t xml:space="preserve">, and the container was sealed hermetically to allow fermentation for 7 days. After fermentation, the solution was filtered through a 0.5 mm mesh and diluted to 20% before use as a plant nutrient solution. Because it combines neem, garlic, and </w:t>
      </w:r>
      <w:r>
        <w:rPr>
          <w:rFonts w:ascii="Times New Roman" w:hAnsi="Times New Roman" w:cs="Times New Roman"/>
          <w:highlight w:val="yellow"/>
          <w:lang w:val="en-US"/>
        </w:rPr>
        <w:t>chilli</w:t>
      </w:r>
      <w:r>
        <w:rPr>
          <w:rFonts w:ascii="Times New Roman" w:hAnsi="Times New Roman" w:cs="Times New Roman"/>
          <w:lang w:val="en-US"/>
        </w:rPr>
        <w:t xml:space="preserve"> - ingredients also </w:t>
      </w:r>
      <w:r>
        <w:rPr>
          <w:rFonts w:ascii="Times New Roman" w:hAnsi="Times New Roman" w:cs="Times New Roman"/>
          <w:highlight w:val="yellow"/>
          <w:lang w:val="en-US"/>
        </w:rPr>
        <w:t>recognised</w:t>
      </w:r>
      <w:r>
        <w:rPr>
          <w:rFonts w:ascii="Times New Roman" w:hAnsi="Times New Roman" w:cs="Times New Roman"/>
          <w:lang w:val="en-US"/>
        </w:rPr>
        <w:t xml:space="preserve"> for their pest-repellent properties - this broth is likely to provide biopesticidal as well as </w:t>
      </w:r>
      <w:r>
        <w:rPr>
          <w:rFonts w:ascii="Times New Roman" w:hAnsi="Times New Roman" w:cs="Times New Roman"/>
          <w:highlight w:val="yellow"/>
          <w:lang w:val="en-US"/>
        </w:rPr>
        <w:t>fertilising</w:t>
      </w:r>
      <w:r>
        <w:rPr>
          <w:rFonts w:ascii="Times New Roman" w:hAnsi="Times New Roman" w:cs="Times New Roman"/>
          <w:lang w:val="en-US"/>
        </w:rPr>
        <w:t xml:space="preserve"> benefits, although the present study did not evaluate its effect on pest incidence.</w:t>
      </w:r>
    </w:p>
    <w:p w14:paraId="63123CA7"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The other nutrient solutions were obtained by diluting the respective </w:t>
      </w:r>
      <w:r>
        <w:rPr>
          <w:rFonts w:ascii="Times New Roman" w:hAnsi="Times New Roman" w:cs="Times New Roman"/>
          <w:highlight w:val="yellow"/>
          <w:lang w:val="en-US"/>
        </w:rPr>
        <w:t>fertilisers</w:t>
      </w:r>
      <w:r>
        <w:rPr>
          <w:rFonts w:ascii="Times New Roman" w:hAnsi="Times New Roman" w:cs="Times New Roman"/>
          <w:lang w:val="en-US"/>
        </w:rPr>
        <w:t xml:space="preserve"> in water, and all solutions were applied to irrigate plants in the growing pots following the manufacturers’ recommendations. The doses used were</w:t>
      </w:r>
      <w:r>
        <w:rPr>
          <w:rFonts w:ascii="Times New Roman" w:hAnsi="Times New Roman" w:cs="Times New Roman"/>
          <w:highlight w:val="yellow"/>
          <w:lang w:val="en-US"/>
        </w:rPr>
        <w:t xml:space="preserve"> as follows</w:t>
      </w:r>
      <w:r>
        <w:rPr>
          <w:rFonts w:ascii="Times New Roman" w:hAnsi="Times New Roman" w:cs="Times New Roman"/>
          <w:lang w:val="en-US"/>
        </w:rPr>
        <w:t xml:space="preserve">: (i) nutrient solution based on liquid organic </w:t>
      </w:r>
      <w:r>
        <w:rPr>
          <w:rFonts w:ascii="Times New Roman" w:hAnsi="Times New Roman" w:cs="Times New Roman"/>
          <w:highlight w:val="yellow"/>
          <w:lang w:val="en-US"/>
        </w:rPr>
        <w:t>fertiliser</w:t>
      </w:r>
      <w:r>
        <w:rPr>
          <w:rFonts w:ascii="Times New Roman" w:hAnsi="Times New Roman" w:cs="Times New Roman"/>
          <w:lang w:val="en-US"/>
        </w:rPr>
        <w:t xml:space="preserve"> selected from purins, applied at 5% (50 mL of stock solution diluted in 1 L of water); (ii) nutrient solution based on Nutrigofol 8-8-8 liquid mineral </w:t>
      </w:r>
      <w:r>
        <w:rPr>
          <w:rFonts w:ascii="Times New Roman" w:hAnsi="Times New Roman" w:cs="Times New Roman"/>
          <w:highlight w:val="yellow"/>
          <w:lang w:val="en-US"/>
        </w:rPr>
        <w:t>fertiliser</w:t>
      </w:r>
      <w:r>
        <w:rPr>
          <w:rFonts w:ascii="Times New Roman" w:hAnsi="Times New Roman" w:cs="Times New Roman"/>
          <w:lang w:val="en-US"/>
        </w:rPr>
        <w:t xml:space="preserve">, applied at 1% (10 mL of stock solution diluted in 1 L of water); and (iii) nutrient solution based on NPK 12-22-22 mineral </w:t>
      </w:r>
      <w:r>
        <w:rPr>
          <w:rFonts w:ascii="Times New Roman" w:hAnsi="Times New Roman" w:cs="Times New Roman"/>
          <w:highlight w:val="yellow"/>
          <w:lang w:val="en-US"/>
        </w:rPr>
        <w:t>fertiliser</w:t>
      </w:r>
      <w:r>
        <w:rPr>
          <w:rFonts w:ascii="Times New Roman" w:hAnsi="Times New Roman" w:cs="Times New Roman"/>
          <w:lang w:val="en-US"/>
        </w:rPr>
        <w:t xml:space="preserve"> as</w:t>
      </w:r>
      <w:r>
        <w:rPr>
          <w:rFonts w:ascii="Times New Roman" w:hAnsi="Times New Roman" w:cs="Times New Roman"/>
          <w:highlight w:val="yellow"/>
          <w:lang w:val="en-US"/>
        </w:rPr>
        <w:t xml:space="preserve"> the</w:t>
      </w:r>
      <w:r>
        <w:rPr>
          <w:rFonts w:ascii="Times New Roman" w:hAnsi="Times New Roman" w:cs="Times New Roman"/>
          <w:lang w:val="en-US"/>
        </w:rPr>
        <w:t xml:space="preserve"> control, applied at 1.4 g dissolved in 1 L of water.</w:t>
      </w:r>
    </w:p>
    <w:p w14:paraId="4DADB4F9"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Experimental set-up</w:t>
      </w:r>
    </w:p>
    <w:p w14:paraId="1C049A49"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The study evaluated the effect of nutrient solutions derived from different organic and mineral </w:t>
      </w:r>
      <w:r>
        <w:rPr>
          <w:rFonts w:ascii="Times New Roman" w:hAnsi="Times New Roman" w:cs="Times New Roman"/>
          <w:highlight w:val="yellow"/>
          <w:lang w:val="en-US"/>
        </w:rPr>
        <w:t>fertilisers</w:t>
      </w:r>
      <w:r>
        <w:rPr>
          <w:rFonts w:ascii="Times New Roman" w:hAnsi="Times New Roman" w:cs="Times New Roman"/>
          <w:lang w:val="en-US"/>
        </w:rPr>
        <w:t xml:space="preserve"> on the growth and yield of pepper. Four treatments were applied: TM (NPK 12-22-22 mineral </w:t>
      </w:r>
      <w:r>
        <w:rPr>
          <w:rFonts w:ascii="Times New Roman" w:hAnsi="Times New Roman" w:cs="Times New Roman"/>
          <w:highlight w:val="yellow"/>
          <w:lang w:val="en-US"/>
        </w:rPr>
        <w:t>fertiliser</w:t>
      </w:r>
      <w:r>
        <w:rPr>
          <w:rFonts w:ascii="Times New Roman" w:hAnsi="Times New Roman" w:cs="Times New Roman"/>
          <w:lang w:val="en-US"/>
        </w:rPr>
        <w:t>, as</w:t>
      </w:r>
      <w:r>
        <w:rPr>
          <w:rFonts w:ascii="Times New Roman" w:hAnsi="Times New Roman" w:cs="Times New Roman"/>
          <w:highlight w:val="yellow"/>
          <w:lang w:val="en-US"/>
        </w:rPr>
        <w:t xml:space="preserve"> the</w:t>
      </w:r>
      <w:r>
        <w:rPr>
          <w:rFonts w:ascii="Times New Roman" w:hAnsi="Times New Roman" w:cs="Times New Roman"/>
          <w:lang w:val="en-US"/>
        </w:rPr>
        <w:t xml:space="preserve"> control), TC (poultry manure-based broth), TN (Nutrigofol 8-8-8 mineral </w:t>
      </w:r>
      <w:r>
        <w:rPr>
          <w:rFonts w:ascii="Times New Roman" w:hAnsi="Times New Roman" w:cs="Times New Roman"/>
          <w:highlight w:val="yellow"/>
          <w:lang w:val="en-US"/>
        </w:rPr>
        <w:t>fertiliser</w:t>
      </w:r>
      <w:r>
        <w:rPr>
          <w:rFonts w:ascii="Times New Roman" w:hAnsi="Times New Roman" w:cs="Times New Roman"/>
          <w:lang w:val="en-US"/>
        </w:rPr>
        <w:t xml:space="preserve">), and TP (organic </w:t>
      </w:r>
      <w:r>
        <w:rPr>
          <w:rFonts w:ascii="Times New Roman" w:hAnsi="Times New Roman" w:cs="Times New Roman"/>
          <w:highlight w:val="yellow"/>
          <w:lang w:val="en-US"/>
        </w:rPr>
        <w:t>fertiliser</w:t>
      </w:r>
      <w:r>
        <w:rPr>
          <w:rFonts w:ascii="Times New Roman" w:hAnsi="Times New Roman" w:cs="Times New Roman"/>
          <w:lang w:val="en-US"/>
        </w:rPr>
        <w:t xml:space="preserve"> selected from liquid manure). The trial followed a </w:t>
      </w:r>
      <w:r>
        <w:rPr>
          <w:rFonts w:ascii="Times New Roman" w:hAnsi="Times New Roman" w:cs="Times New Roman"/>
          <w:highlight w:val="yellow"/>
          <w:lang w:val="en-US"/>
        </w:rPr>
        <w:t>randomised</w:t>
      </w:r>
      <w:r>
        <w:rPr>
          <w:rFonts w:ascii="Times New Roman" w:hAnsi="Times New Roman" w:cs="Times New Roman"/>
          <w:lang w:val="en-US"/>
        </w:rPr>
        <w:t xml:space="preserve"> complete block design with 4 replicates of 16 individual plants per treatment (Figure 2), grown in pots filled with inert sand.</w:t>
      </w:r>
    </w:p>
    <w:p w14:paraId="779FB696" w14:textId="77777777" w:rsidR="00D412ED" w:rsidRPr="00513A9E" w:rsidRDefault="00D412ED" w:rsidP="00D412ED">
      <w:pPr>
        <w:jc w:val="both"/>
        <w:rPr>
          <w:rFonts w:ascii="Times New Roman" w:hAnsi="Times New Roman" w:cs="Times New Roman"/>
          <w:lang w:val="en-US"/>
        </w:rPr>
      </w:pPr>
    </w:p>
    <w:p w14:paraId="452C910D"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23A4E1F" wp14:editId="71D3E6B5">
            <wp:extent cx="3448050" cy="199072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448050" cy="1990725"/>
                    </a:xfrm>
                    <a:prstGeom prst="rect">
                      <a:avLst/>
                    </a:prstGeom>
                  </pic:spPr>
                </pic:pic>
              </a:graphicData>
            </a:graphic>
          </wp:inline>
        </w:drawing>
      </w:r>
    </w:p>
    <w:p w14:paraId="59C5839A" w14:textId="77777777" w:rsidR="00DD3A77" w:rsidRDefault="00DD3A77" w:rsidP="00D412ED">
      <w:pPr>
        <w:jc w:val="center"/>
        <w:rPr>
          <w:rFonts w:ascii="Times New Roman" w:hAnsi="Times New Roman" w:cs="Times New Roman"/>
          <w:b/>
          <w:bCs/>
          <w:lang w:val="en-US"/>
        </w:rPr>
      </w:pPr>
    </w:p>
    <w:p w14:paraId="095689A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2. </w:t>
      </w:r>
      <w:r w:rsidRPr="00513A9E">
        <w:rPr>
          <w:rFonts w:ascii="Times New Roman" w:hAnsi="Times New Roman" w:cs="Times New Roman"/>
          <w:lang w:val="en-US"/>
        </w:rPr>
        <w:t>Experimental set-up with the four replicates (green: TM; grey: TC; blue: TN; orange: TP). Circles represent individual pepper plants within each growing pot.</w:t>
      </w:r>
    </w:p>
    <w:p w14:paraId="57EBBC49" w14:textId="77777777" w:rsidR="00D412ED" w:rsidRPr="00513A9E" w:rsidRDefault="00D412ED" w:rsidP="00D412ED">
      <w:pPr>
        <w:jc w:val="both"/>
        <w:rPr>
          <w:rFonts w:ascii="Times New Roman" w:hAnsi="Times New Roman" w:cs="Times New Roman"/>
          <w:lang w:val="en-US"/>
        </w:rPr>
      </w:pPr>
    </w:p>
    <w:p w14:paraId="09A31696"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Measurements of agromorphological parameters began two weeks after transplanting, using the four pepper plants located at the </w:t>
      </w:r>
      <w:proofErr w:type="spellStart"/>
      <w:r w:rsidRPr="00513A9E">
        <w:rPr>
          <w:rFonts w:ascii="Times New Roman" w:hAnsi="Times New Roman" w:cs="Times New Roman"/>
          <w:lang w:val="en-US"/>
        </w:rPr>
        <w:t>centre</w:t>
      </w:r>
      <w:proofErr w:type="spellEnd"/>
      <w:r w:rsidRPr="00513A9E">
        <w:rPr>
          <w:rFonts w:ascii="Times New Roman" w:hAnsi="Times New Roman" w:cs="Times New Roman"/>
          <w:lang w:val="en-US"/>
        </w:rPr>
        <w:t xml:space="preserve"> of each replicate. The parameters recorded were plant height, collar diameter, number of green leaves, number of branches, number of floral buds and flowers, fruit circumference, fruit mass, number of fruits harvested per treatment, and yield. Yield was estimated as:</w:t>
      </w:r>
    </w:p>
    <w:p w14:paraId="50A638B4" w14:textId="77777777" w:rsidR="00960E11" w:rsidRPr="00465BAE" w:rsidRDefault="00000000" w:rsidP="00DD3A77">
      <w:pPr>
        <w:spacing w:before="120" w:after="120" w:line="360" w:lineRule="auto"/>
        <w:jc w:val="center"/>
        <w:rPr>
          <w:rFonts w:ascii="Times New Roman" w:hAnsi="Times New Roman" w:cs="Times New Roman"/>
          <w:b/>
          <w:bCs/>
          <w:lang w:val="en-US"/>
        </w:rPr>
      </w:pPr>
      <w:r w:rsidRPr="00465BAE">
        <w:rPr>
          <w:rFonts w:ascii="Times New Roman" w:hAnsi="Times New Roman" w:cs="Times New Roman"/>
          <w:b/>
          <w:bCs/>
          <w:i/>
          <w:iCs/>
          <w:lang w:val="en-US"/>
        </w:rPr>
        <w:lastRenderedPageBreak/>
        <w:t>Yield (kg ha⁻¹) = [yield (g plant⁻¹) × total plants per ha] / 1000</w:t>
      </w:r>
    </w:p>
    <w:p w14:paraId="13DA44C9"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Data analysis</w:t>
      </w:r>
    </w:p>
    <w:p w14:paraId="378D7C02"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Data normality was </w:t>
      </w:r>
      <w:r>
        <w:rPr>
          <w:rFonts w:ascii="Times New Roman" w:hAnsi="Times New Roman" w:cs="Times New Roman"/>
          <w:highlight w:val="yellow"/>
          <w:lang w:val="en-US"/>
        </w:rPr>
        <w:t>assessed</w:t>
      </w:r>
      <w:r>
        <w:rPr>
          <w:rFonts w:ascii="Times New Roman" w:hAnsi="Times New Roman" w:cs="Times New Roman"/>
          <w:lang w:val="en-US"/>
        </w:rPr>
        <w:t xml:space="preserve"> </w:t>
      </w:r>
      <w:r>
        <w:rPr>
          <w:rFonts w:ascii="Times New Roman" w:hAnsi="Times New Roman" w:cs="Times New Roman"/>
          <w:highlight w:val="yellow"/>
          <w:lang w:val="en-US"/>
        </w:rPr>
        <w:t>using</w:t>
      </w:r>
      <w:r>
        <w:rPr>
          <w:rFonts w:ascii="Times New Roman" w:hAnsi="Times New Roman" w:cs="Times New Roman"/>
          <w:lang w:val="en-US"/>
        </w:rPr>
        <w:t xml:space="preserve"> the Shapiro-Wilk test and </w:t>
      </w:r>
      <w:r>
        <w:rPr>
          <w:rFonts w:ascii="Times New Roman" w:hAnsi="Times New Roman" w:cs="Times New Roman"/>
          <w:highlight w:val="yellow"/>
          <w:lang w:val="en-US"/>
        </w:rPr>
        <w:t xml:space="preserve">homogeneity of </w:t>
      </w:r>
      <w:r>
        <w:rPr>
          <w:rFonts w:ascii="Times New Roman" w:hAnsi="Times New Roman" w:cs="Times New Roman"/>
          <w:lang w:val="en-US"/>
        </w:rPr>
        <w:t xml:space="preserve">variance </w:t>
      </w:r>
      <w:r>
        <w:rPr>
          <w:rFonts w:ascii="Times New Roman" w:hAnsi="Times New Roman" w:cs="Times New Roman"/>
          <w:highlight w:val="yellow"/>
          <w:lang w:val="en-US"/>
        </w:rPr>
        <w:t>using</w:t>
      </w:r>
      <w:r>
        <w:rPr>
          <w:rFonts w:ascii="Times New Roman" w:hAnsi="Times New Roman" w:cs="Times New Roman"/>
          <w:lang w:val="en-US"/>
        </w:rPr>
        <w:t xml:space="preserve"> Levene’s test. One-way analysis of variance (ANOVA) was then performed on normally distributed data and the Kruskal-Wallis test on non-parametric data, at a significance threshold of 0.05. Statistical analyses were performed in R (version 4.1.3, 64-bit). Where a significant treatment effect was detected (p &lt; α, α = 0.05), means were compared pairwise using Tukey’s test to identify the treatment(s) responsible for the difference.</w:t>
      </w:r>
    </w:p>
    <w:p w14:paraId="49DB19EA" w14:textId="77777777" w:rsidR="00DD3A77" w:rsidRDefault="00DD3A77" w:rsidP="00DD3A77">
      <w:pPr>
        <w:spacing w:before="120" w:after="120" w:line="360" w:lineRule="auto"/>
        <w:rPr>
          <w:rFonts w:ascii="Times New Roman" w:hAnsi="Times New Roman" w:cs="Times New Roman"/>
          <w:b/>
          <w:bCs/>
          <w:sz w:val="24"/>
          <w:szCs w:val="24"/>
          <w:lang w:val="en-US"/>
        </w:rPr>
      </w:pPr>
    </w:p>
    <w:p w14:paraId="757E00E5" w14:textId="77777777" w:rsidR="00DD3A77" w:rsidRDefault="00DD3A77" w:rsidP="00DD3A77">
      <w:pPr>
        <w:spacing w:before="120" w:after="120" w:line="360" w:lineRule="auto"/>
        <w:rPr>
          <w:rFonts w:ascii="Times New Roman" w:hAnsi="Times New Roman" w:cs="Times New Roman"/>
          <w:b/>
          <w:bCs/>
          <w:sz w:val="24"/>
          <w:szCs w:val="24"/>
          <w:lang w:val="en-US"/>
        </w:rPr>
      </w:pPr>
    </w:p>
    <w:p w14:paraId="7DF537B1"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Results</w:t>
      </w:r>
    </w:p>
    <w:p w14:paraId="43666DB9" w14:textId="77777777" w:rsidR="00960E11" w:rsidRPr="00513A9E" w:rsidRDefault="00000000" w:rsidP="00DD3A77">
      <w:pPr>
        <w:spacing w:before="120" w:after="120" w:line="360" w:lineRule="auto"/>
        <w:rPr>
          <w:rFonts w:ascii="Times New Roman" w:hAnsi="Times New Roman" w:cs="Times New Roman"/>
          <w:b/>
          <w:bCs/>
          <w:lang w:val="en-US"/>
        </w:rPr>
      </w:pPr>
      <w:r w:rsidRPr="00513A9E">
        <w:rPr>
          <w:rFonts w:ascii="Times New Roman" w:hAnsi="Times New Roman" w:cs="Times New Roman"/>
          <w:b/>
          <w:bCs/>
          <w:lang w:val="en-US"/>
        </w:rPr>
        <w:t>Chemical composition of the poultry-manure-based broth</w:t>
      </w:r>
    </w:p>
    <w:p w14:paraId="4B8C25C0" w14:textId="2ABEF5C9"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 xml:space="preserve">Table </w:t>
      </w:r>
      <w:r w:rsidR="00043E13">
        <w:rPr>
          <w:rFonts w:ascii="Times New Roman" w:hAnsi="Times New Roman" w:cs="Times New Roman"/>
          <w:lang w:val="en-US"/>
        </w:rPr>
        <w:t>1</w:t>
      </w:r>
      <w:r w:rsidRPr="00513A9E">
        <w:rPr>
          <w:rFonts w:ascii="Times New Roman" w:hAnsi="Times New Roman" w:cs="Times New Roman"/>
          <w:lang w:val="en-US"/>
        </w:rPr>
        <w:t xml:space="preserve"> shows the chemical composition of the poultry-manure-based broth obtained after fermentation of the organic matter. The broth was close to neutral pH and contained good levels of K, Ca, and Mg. Nitrogen and organic carbon contents were high, with a C/N ratio of 7.84 ± 1.84.</w:t>
      </w:r>
    </w:p>
    <w:p w14:paraId="5A9124E5" w14:textId="77777777" w:rsidR="00D412ED" w:rsidRPr="00513A9E" w:rsidRDefault="00D412ED" w:rsidP="00DD3A77">
      <w:pPr>
        <w:spacing w:line="360" w:lineRule="auto"/>
        <w:jc w:val="both"/>
        <w:rPr>
          <w:rFonts w:ascii="Times New Roman" w:hAnsi="Times New Roman" w:cs="Times New Roman"/>
          <w:lang w:val="en-US"/>
        </w:rPr>
      </w:pPr>
    </w:p>
    <w:p w14:paraId="0D413F7C" w14:textId="2E8EF3EF" w:rsidR="00960E11" w:rsidRPr="00513A9E" w:rsidRDefault="00000000" w:rsidP="00DD3A77">
      <w:pPr>
        <w:spacing w:line="360" w:lineRule="auto"/>
        <w:jc w:val="both"/>
        <w:rPr>
          <w:rFonts w:ascii="Times New Roman" w:hAnsi="Times New Roman" w:cs="Times New Roman"/>
          <w:lang w:val="en-US"/>
        </w:rPr>
      </w:pPr>
      <w:r w:rsidRPr="00513A9E">
        <w:rPr>
          <w:rFonts w:ascii="Times New Roman" w:hAnsi="Times New Roman" w:cs="Times New Roman"/>
          <w:b/>
          <w:bCs/>
          <w:lang w:val="en-US"/>
        </w:rPr>
        <w:t xml:space="preserve">Table </w:t>
      </w:r>
      <w:r w:rsidR="00043E13">
        <w:rPr>
          <w:rFonts w:ascii="Times New Roman" w:hAnsi="Times New Roman" w:cs="Times New Roman"/>
          <w:b/>
          <w:bCs/>
          <w:lang w:val="en-US"/>
        </w:rPr>
        <w:t>1</w:t>
      </w:r>
      <w:r w:rsidRPr="00513A9E">
        <w:rPr>
          <w:rFonts w:ascii="Times New Roman" w:hAnsi="Times New Roman" w:cs="Times New Roman"/>
          <w:b/>
          <w:bCs/>
          <w:lang w:val="en-US"/>
        </w:rPr>
        <w:t xml:space="preserve">. </w:t>
      </w:r>
      <w:r w:rsidRPr="00513A9E">
        <w:rPr>
          <w:rFonts w:ascii="Times New Roman" w:hAnsi="Times New Roman" w:cs="Times New Roman"/>
          <w:lang w:val="en-US"/>
        </w:rPr>
        <w:t>Chemical composition of the poultry-manure-based broth.</w:t>
      </w:r>
    </w:p>
    <w:p w14:paraId="1B2D26CE" w14:textId="77777777" w:rsidR="00D412ED" w:rsidRPr="00513A9E" w:rsidRDefault="00D412ED" w:rsidP="00D412ED">
      <w:pPr>
        <w:jc w:val="both"/>
        <w:rPr>
          <w:rFonts w:ascii="Times New Roman" w:hAnsi="Times New Roman" w:cs="Times New Roman"/>
          <w:lang w:val="en-US"/>
        </w:rPr>
      </w:pPr>
    </w:p>
    <w:tbl>
      <w:tblPr>
        <w:tblW w:w="9676" w:type="dxa"/>
        <w:tblCellMar>
          <w:left w:w="10" w:type="dxa"/>
          <w:right w:w="10" w:type="dxa"/>
        </w:tblCellMar>
        <w:tblLook w:val="04A0" w:firstRow="1" w:lastRow="0" w:firstColumn="1" w:lastColumn="0" w:noHBand="0" w:noVBand="1"/>
      </w:tblPr>
      <w:tblGrid>
        <w:gridCol w:w="1276"/>
        <w:gridCol w:w="1200"/>
        <w:gridCol w:w="1200"/>
        <w:gridCol w:w="1600"/>
        <w:gridCol w:w="1600"/>
        <w:gridCol w:w="1400"/>
        <w:gridCol w:w="1400"/>
      </w:tblGrid>
      <w:tr w:rsidR="00960E11" w:rsidRPr="00513A9E" w14:paraId="08D2CE03" w14:textId="77777777" w:rsidTr="00D412ED">
        <w:tc>
          <w:tcPr>
            <w:tcW w:w="1276"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2E366D80"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pH</w:t>
            </w:r>
          </w:p>
        </w:tc>
        <w:tc>
          <w:tcPr>
            <w:tcW w:w="12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91397F8"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 (%)</w:t>
            </w:r>
          </w:p>
        </w:tc>
        <w:tc>
          <w:tcPr>
            <w:tcW w:w="12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FBA0871"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N (%)</w:t>
            </w:r>
          </w:p>
        </w:tc>
        <w:tc>
          <w:tcPr>
            <w:tcW w:w="16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1EE2C0ED"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P (mg L⁻¹)</w:t>
            </w:r>
          </w:p>
        </w:tc>
        <w:tc>
          <w:tcPr>
            <w:tcW w:w="16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C1010E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K (mg L⁻¹)</w:t>
            </w:r>
          </w:p>
        </w:tc>
        <w:tc>
          <w:tcPr>
            <w:tcW w:w="14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0F65285E"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Ca (mg L⁻¹)</w:t>
            </w:r>
          </w:p>
        </w:tc>
        <w:tc>
          <w:tcPr>
            <w:tcW w:w="1400"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36CA4556"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Mg (mg L⁻¹)</w:t>
            </w:r>
          </w:p>
        </w:tc>
      </w:tr>
      <w:tr w:rsidR="00960E11" w:rsidRPr="00513A9E" w14:paraId="707031D5" w14:textId="77777777" w:rsidTr="00D412ED">
        <w:tc>
          <w:tcPr>
            <w:tcW w:w="1276" w:type="dxa"/>
            <w:tcBorders>
              <w:top w:val="single" w:sz="4" w:space="0" w:color="auto"/>
              <w:bottom w:val="single" w:sz="4" w:space="0" w:color="auto"/>
            </w:tcBorders>
            <w:tcMar>
              <w:top w:w="60" w:type="dxa"/>
              <w:left w:w="80" w:type="dxa"/>
              <w:bottom w:w="60" w:type="dxa"/>
              <w:right w:w="80" w:type="dxa"/>
            </w:tcMar>
            <w:vAlign w:val="center"/>
          </w:tcPr>
          <w:p w14:paraId="1A35ED6F"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7.57 ± 0.28</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21E2727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2.43 ± 0.53</w:t>
            </w:r>
          </w:p>
        </w:tc>
        <w:tc>
          <w:tcPr>
            <w:tcW w:w="1200" w:type="dxa"/>
            <w:tcBorders>
              <w:top w:val="single" w:sz="4" w:space="0" w:color="auto"/>
              <w:bottom w:val="single" w:sz="4" w:space="0" w:color="auto"/>
            </w:tcBorders>
            <w:tcMar>
              <w:top w:w="60" w:type="dxa"/>
              <w:left w:w="80" w:type="dxa"/>
              <w:bottom w:w="60" w:type="dxa"/>
              <w:right w:w="80" w:type="dxa"/>
            </w:tcMar>
            <w:vAlign w:val="center"/>
          </w:tcPr>
          <w:p w14:paraId="074E59D0"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0.32 ± 0.08</w:t>
            </w:r>
          </w:p>
        </w:tc>
        <w:tc>
          <w:tcPr>
            <w:tcW w:w="1600" w:type="dxa"/>
            <w:tcBorders>
              <w:top w:val="single" w:sz="4" w:space="0" w:color="auto"/>
              <w:bottom w:val="single" w:sz="4" w:space="0" w:color="auto"/>
            </w:tcBorders>
            <w:tcMar>
              <w:top w:w="60" w:type="dxa"/>
              <w:left w:w="80" w:type="dxa"/>
              <w:bottom w:w="60" w:type="dxa"/>
              <w:right w:w="80" w:type="dxa"/>
            </w:tcMar>
            <w:vAlign w:val="center"/>
          </w:tcPr>
          <w:p w14:paraId="63D8297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2.13 ± 0.29</w:t>
            </w:r>
          </w:p>
        </w:tc>
        <w:tc>
          <w:tcPr>
            <w:tcW w:w="1600" w:type="dxa"/>
            <w:tcBorders>
              <w:top w:val="single" w:sz="4" w:space="0" w:color="auto"/>
              <w:bottom w:val="single" w:sz="4" w:space="0" w:color="auto"/>
            </w:tcBorders>
            <w:tcMar>
              <w:top w:w="60" w:type="dxa"/>
              <w:left w:w="80" w:type="dxa"/>
              <w:bottom w:w="60" w:type="dxa"/>
              <w:right w:w="80" w:type="dxa"/>
            </w:tcMar>
            <w:vAlign w:val="center"/>
          </w:tcPr>
          <w:p w14:paraId="76BBE78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207.89 ± 21.55</w:t>
            </w:r>
          </w:p>
        </w:tc>
        <w:tc>
          <w:tcPr>
            <w:tcW w:w="1400" w:type="dxa"/>
            <w:tcBorders>
              <w:top w:val="single" w:sz="4" w:space="0" w:color="auto"/>
              <w:bottom w:val="single" w:sz="4" w:space="0" w:color="auto"/>
            </w:tcBorders>
            <w:tcMar>
              <w:top w:w="60" w:type="dxa"/>
              <w:left w:w="80" w:type="dxa"/>
              <w:bottom w:w="60" w:type="dxa"/>
              <w:right w:w="80" w:type="dxa"/>
            </w:tcMar>
            <w:vAlign w:val="center"/>
          </w:tcPr>
          <w:p w14:paraId="21AE782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74.00 ± 6.51</w:t>
            </w:r>
          </w:p>
        </w:tc>
        <w:tc>
          <w:tcPr>
            <w:tcW w:w="1400" w:type="dxa"/>
            <w:tcBorders>
              <w:top w:val="single" w:sz="4" w:space="0" w:color="auto"/>
              <w:bottom w:val="single" w:sz="4" w:space="0" w:color="auto"/>
            </w:tcBorders>
            <w:tcMar>
              <w:top w:w="60" w:type="dxa"/>
              <w:left w:w="80" w:type="dxa"/>
              <w:bottom w:w="60" w:type="dxa"/>
              <w:right w:w="80" w:type="dxa"/>
            </w:tcMar>
            <w:vAlign w:val="center"/>
          </w:tcPr>
          <w:p w14:paraId="3D43E33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lang w:val="en-US"/>
              </w:rPr>
              <w:t>29.66 ± 2.67</w:t>
            </w:r>
          </w:p>
        </w:tc>
      </w:tr>
    </w:tbl>
    <w:p w14:paraId="1B34A075" w14:textId="77777777" w:rsidR="00960E11" w:rsidRPr="00513A9E" w:rsidRDefault="00960E11" w:rsidP="00D412ED">
      <w:pPr>
        <w:rPr>
          <w:rFonts w:ascii="Times New Roman" w:hAnsi="Times New Roman" w:cs="Times New Roman"/>
          <w:lang w:val="en-US"/>
        </w:rPr>
      </w:pPr>
    </w:p>
    <w:p w14:paraId="4CFC6785" w14:textId="77777777" w:rsidR="00960E11" w:rsidRPr="00DD3A77" w:rsidRDefault="00000000" w:rsidP="00DD3A77">
      <w:pPr>
        <w:spacing w:before="120" w:after="120" w:line="360" w:lineRule="auto"/>
        <w:rPr>
          <w:rFonts w:ascii="Times New Roman" w:hAnsi="Times New Roman" w:cs="Times New Roman"/>
          <w:lang w:val="en-US"/>
        </w:rPr>
      </w:pPr>
      <w:r>
        <w:rPr>
          <w:rFonts w:ascii="Times New Roman" w:hAnsi="Times New Roman" w:cs="Times New Roman"/>
          <w:b/>
          <w:bCs/>
          <w:lang w:val="en-US"/>
        </w:rPr>
        <w:t xml:space="preserve">Effect of </w:t>
      </w:r>
      <w:r>
        <w:rPr>
          <w:rFonts w:ascii="Times New Roman" w:hAnsi="Times New Roman" w:cs="Times New Roman"/>
          <w:b/>
          <w:bCs/>
          <w:highlight w:val="yellow"/>
          <w:lang w:val="en-US"/>
        </w:rPr>
        <w:t>fertilisers</w:t>
      </w:r>
      <w:r>
        <w:rPr>
          <w:rFonts w:ascii="Times New Roman" w:hAnsi="Times New Roman" w:cs="Times New Roman"/>
          <w:b/>
          <w:bCs/>
          <w:lang w:val="en-US"/>
        </w:rPr>
        <w:t xml:space="preserve"> on vegetative parameters</w:t>
      </w:r>
    </w:p>
    <w:p w14:paraId="0A1C29F1"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Figure 3 shows changes in plant height after transplanting. Plants receiving the manure-based broth (TC) reached the greatest average heights, followed by those receiving liquid manure (TP), in contrast to plants </w:t>
      </w:r>
      <w:r>
        <w:rPr>
          <w:rFonts w:ascii="Times New Roman" w:hAnsi="Times New Roman" w:cs="Times New Roman"/>
          <w:highlight w:val="yellow"/>
          <w:lang w:val="en-US"/>
        </w:rPr>
        <w:t>fertilised</w:t>
      </w:r>
      <w:r>
        <w:rPr>
          <w:rFonts w:ascii="Times New Roman" w:hAnsi="Times New Roman" w:cs="Times New Roman"/>
          <w:lang w:val="en-US"/>
        </w:rPr>
        <w:t xml:space="preserve"> with Nutrigofol (TN) and NPK (TM). However, analysis of variance showed no statistically significant difference in plant height among treatments (p = 0.17).</w:t>
      </w:r>
    </w:p>
    <w:p w14:paraId="7581C71B"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lastRenderedPageBreak/>
        <w:drawing>
          <wp:inline distT="0" distB="0" distL="0" distR="0" wp14:anchorId="694699B9" wp14:editId="1D7AD47D">
            <wp:extent cx="4774513" cy="3041650"/>
            <wp:effectExtent l="0" t="0" r="7620"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l="2042" t="11360" r="9085" b="4240"/>
                    <a:stretch/>
                  </pic:blipFill>
                  <pic:spPr bwMode="auto">
                    <a:xfrm>
                      <a:off x="0" y="0"/>
                      <a:ext cx="4789801" cy="3051389"/>
                    </a:xfrm>
                    <a:prstGeom prst="rect">
                      <a:avLst/>
                    </a:prstGeom>
                    <a:ln>
                      <a:noFill/>
                    </a:ln>
                    <a:extLst>
                      <a:ext uri="{53640926-AAD7-44D8-BBD7-CCE9431645EC}">
                        <a14:shadowObscured xmlns:a14="http://schemas.microsoft.com/office/drawing/2010/main"/>
                      </a:ext>
                    </a:extLst>
                  </pic:spPr>
                </pic:pic>
              </a:graphicData>
            </a:graphic>
          </wp:inline>
        </w:drawing>
      </w:r>
    </w:p>
    <w:p w14:paraId="0EC05EBB"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3. </w:t>
      </w:r>
      <w:r w:rsidRPr="00513A9E">
        <w:rPr>
          <w:rFonts w:ascii="Times New Roman" w:hAnsi="Times New Roman" w:cs="Times New Roman"/>
          <w:i/>
          <w:iCs/>
          <w:lang w:val="en-US"/>
        </w:rPr>
        <w:t>Evolution of average pepper plant height as a function of treatment over time. TM: NPK mineral fertilizer (1.4 g L⁻¹); TN: Nutrigofol 8-8-8 (1%); TP: purin liquid organic fertilizer (5%); TC: liquid compost (20%).</w:t>
      </w:r>
    </w:p>
    <w:p w14:paraId="04FEF298" w14:textId="77777777" w:rsidR="00D412ED" w:rsidRPr="00513A9E" w:rsidRDefault="00D412ED" w:rsidP="00D412ED">
      <w:pPr>
        <w:jc w:val="both"/>
        <w:rPr>
          <w:rFonts w:ascii="Times New Roman" w:hAnsi="Times New Roman" w:cs="Times New Roman"/>
          <w:lang w:val="en-US"/>
        </w:rPr>
      </w:pPr>
    </w:p>
    <w:p w14:paraId="43AD6FB6"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Changes in stem diameter are shown in Figure 4. Plants receiving the manure-based broth had the greatest average stem diameter, followed by those receiving liquid manure, </w:t>
      </w:r>
      <w:r>
        <w:rPr>
          <w:rFonts w:ascii="Times New Roman" w:hAnsi="Times New Roman" w:cs="Times New Roman"/>
          <w:highlight w:val="yellow"/>
          <w:lang w:val="en-US"/>
        </w:rPr>
        <w:t>whereas</w:t>
      </w:r>
      <w:r>
        <w:rPr>
          <w:rFonts w:ascii="Times New Roman" w:hAnsi="Times New Roman" w:cs="Times New Roman"/>
          <w:lang w:val="en-US"/>
        </w:rPr>
        <w:t xml:space="preserve"> plants </w:t>
      </w:r>
      <w:r>
        <w:rPr>
          <w:rFonts w:ascii="Times New Roman" w:hAnsi="Times New Roman" w:cs="Times New Roman"/>
          <w:highlight w:val="yellow"/>
          <w:lang w:val="en-US"/>
        </w:rPr>
        <w:t>fertilised</w:t>
      </w:r>
      <w:r>
        <w:rPr>
          <w:rFonts w:ascii="Times New Roman" w:hAnsi="Times New Roman" w:cs="Times New Roman"/>
          <w:lang w:val="en-US"/>
        </w:rPr>
        <w:t xml:space="preserve"> with Nutrigofol and NPK</w:t>
      </w:r>
      <w:r>
        <w:rPr>
          <w:rFonts w:ascii="Times New Roman" w:hAnsi="Times New Roman" w:cs="Times New Roman"/>
          <w:highlight w:val="yellow"/>
          <w:lang w:val="en-US"/>
        </w:rPr>
        <w:t xml:space="preserve"> had smaller average stem diameters</w:t>
      </w:r>
      <w:r>
        <w:rPr>
          <w:rFonts w:ascii="Times New Roman" w:hAnsi="Times New Roman" w:cs="Times New Roman"/>
          <w:lang w:val="en-US"/>
        </w:rPr>
        <w:t xml:space="preserve">. </w:t>
      </w:r>
      <w:r>
        <w:rPr>
          <w:rFonts w:ascii="Times New Roman" w:hAnsi="Times New Roman" w:cs="Times New Roman"/>
          <w:highlight w:val="yellow"/>
          <w:lang w:val="en-US"/>
        </w:rPr>
        <w:t>In contrast to</w:t>
      </w:r>
      <w:r>
        <w:rPr>
          <w:rFonts w:ascii="Times New Roman" w:hAnsi="Times New Roman" w:cs="Times New Roman"/>
          <w:lang w:val="en-US"/>
        </w:rPr>
        <w:t xml:space="preserve"> plant height, </w:t>
      </w:r>
      <w:r>
        <w:rPr>
          <w:rFonts w:ascii="Times New Roman" w:hAnsi="Times New Roman" w:cs="Times New Roman"/>
          <w:highlight w:val="yellow"/>
          <w:lang w:val="en-US"/>
        </w:rPr>
        <w:t>collar</w:t>
      </w:r>
      <w:r>
        <w:rPr>
          <w:rFonts w:ascii="Times New Roman" w:hAnsi="Times New Roman" w:cs="Times New Roman"/>
          <w:lang w:val="en-US"/>
        </w:rPr>
        <w:t xml:space="preserve"> </w:t>
      </w:r>
      <w:r>
        <w:rPr>
          <w:rFonts w:ascii="Times New Roman" w:hAnsi="Times New Roman" w:cs="Times New Roman"/>
          <w:highlight w:val="yellow"/>
          <w:lang w:val="en-US"/>
        </w:rPr>
        <w:t>diameter</w:t>
      </w:r>
      <w:r>
        <w:rPr>
          <w:rFonts w:ascii="Times New Roman" w:hAnsi="Times New Roman" w:cs="Times New Roman"/>
          <w:lang w:val="en-US"/>
        </w:rPr>
        <w:t xml:space="preserve"> showed a significant treatment effect from the first to the sixth week of cultivation (p &lt; 0.05).</w:t>
      </w:r>
    </w:p>
    <w:p w14:paraId="6FA35F53"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714B34A0" wp14:editId="2D12AA1F">
            <wp:extent cx="4106096" cy="2851150"/>
            <wp:effectExtent l="0" t="0" r="889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110381" cy="2854126"/>
                    </a:xfrm>
                    <a:prstGeom prst="rect">
                      <a:avLst/>
                    </a:prstGeom>
                  </pic:spPr>
                </pic:pic>
              </a:graphicData>
            </a:graphic>
          </wp:inline>
        </w:drawing>
      </w:r>
    </w:p>
    <w:p w14:paraId="698CD48F"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4. </w:t>
      </w:r>
      <w:r w:rsidRPr="00513A9E">
        <w:rPr>
          <w:rFonts w:ascii="Times New Roman" w:hAnsi="Times New Roman" w:cs="Times New Roman"/>
          <w:i/>
          <w:iCs/>
          <w:lang w:val="en-US"/>
        </w:rPr>
        <w:t>Changes in stem diameter of pepper plants as a function of treatment over time. TM: NPK mineral fertilizer (1.4 g L⁻¹); TN: Nutrigofol 8-8-8 (1%); TP: purin liquid organic fertilizer (5%); TC: liquid compost (20%).</w:t>
      </w:r>
    </w:p>
    <w:p w14:paraId="5AC350E2" w14:textId="77777777" w:rsidR="00D412ED" w:rsidRPr="00513A9E" w:rsidRDefault="00D412ED" w:rsidP="00D412ED">
      <w:pPr>
        <w:jc w:val="both"/>
        <w:rPr>
          <w:rFonts w:ascii="Times New Roman" w:hAnsi="Times New Roman" w:cs="Times New Roman"/>
          <w:lang w:val="en-US"/>
        </w:rPr>
      </w:pPr>
    </w:p>
    <w:p w14:paraId="1202CD43"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Figure 5 shows the average number of branches per plant at 77 days after transplanting. </w:t>
      </w:r>
      <w:r>
        <w:rPr>
          <w:rFonts w:ascii="Times New Roman" w:hAnsi="Times New Roman" w:cs="Times New Roman"/>
          <w:highlight w:val="yellow"/>
          <w:lang w:val="en-US"/>
        </w:rPr>
        <w:t>Fertiliser</w:t>
      </w:r>
      <w:r>
        <w:rPr>
          <w:rFonts w:ascii="Times New Roman" w:hAnsi="Times New Roman" w:cs="Times New Roman"/>
          <w:lang w:val="en-US"/>
        </w:rPr>
        <w:t xml:space="preserve"> had a significant effect on branch number (p &lt; 0.05): TC gave the highest mean number of branches and TM the lowest, while TP was statistically intermediate and not significantly different from TN.</w:t>
      </w:r>
    </w:p>
    <w:p w14:paraId="1089510B" w14:textId="77777777" w:rsidR="00960E11" w:rsidRPr="00513A9E" w:rsidRDefault="00000000" w:rsidP="00D412ED">
      <w:pPr>
        <w:spacing w:before="120" w:after="120"/>
        <w:jc w:val="center"/>
        <w:rPr>
          <w:rFonts w:ascii="Times New Roman" w:hAnsi="Times New Roman" w:cs="Times New Roman"/>
          <w:lang w:val="en-US"/>
        </w:rPr>
      </w:pPr>
      <w:r w:rsidRPr="00513A9E">
        <w:rPr>
          <w:rFonts w:ascii="Times New Roman" w:hAnsi="Times New Roman" w:cs="Times New Roman"/>
          <w:noProof/>
          <w:lang w:val="en-US"/>
        </w:rPr>
        <w:lastRenderedPageBreak/>
        <w:drawing>
          <wp:inline distT="0" distB="0" distL="0" distR="0" wp14:anchorId="39CF115E" wp14:editId="46B0CDEC">
            <wp:extent cx="4248600" cy="27813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53541" cy="2784534"/>
                    </a:xfrm>
                    <a:prstGeom prst="rect">
                      <a:avLst/>
                    </a:prstGeom>
                  </pic:spPr>
                </pic:pic>
              </a:graphicData>
            </a:graphic>
          </wp:inline>
        </w:drawing>
      </w:r>
    </w:p>
    <w:p w14:paraId="7EF6D454"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5. </w:t>
      </w:r>
      <w:r w:rsidRPr="00513A9E">
        <w:rPr>
          <w:rFonts w:ascii="Times New Roman" w:hAnsi="Times New Roman" w:cs="Times New Roman"/>
          <w:i/>
          <w:iCs/>
          <w:lang w:val="en-US"/>
        </w:rPr>
        <w:t>Change in number of branches as a function of treatment at 77 days after transplanting. Means sharing the same letter are not significantly different at the 5% level.</w:t>
      </w:r>
    </w:p>
    <w:p w14:paraId="5E3CA9B4" w14:textId="77777777" w:rsidR="00D412ED" w:rsidRPr="00513A9E" w:rsidRDefault="00D412ED" w:rsidP="00D412ED">
      <w:pPr>
        <w:jc w:val="both"/>
        <w:rPr>
          <w:rFonts w:ascii="Times New Roman" w:hAnsi="Times New Roman" w:cs="Times New Roman"/>
          <w:lang w:val="en-US"/>
        </w:rPr>
      </w:pPr>
    </w:p>
    <w:p w14:paraId="58473CB9"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Leaf production per plant over the growing period is shown in Figure 6. Leaf number increased from about 6 to 25 between </w:t>
      </w:r>
      <w:r>
        <w:rPr>
          <w:rFonts w:ascii="Times New Roman" w:hAnsi="Times New Roman" w:cs="Times New Roman"/>
          <w:highlight w:val="yellow"/>
          <w:lang w:val="en-US"/>
        </w:rPr>
        <w:t>weeks</w:t>
      </w:r>
      <w:r>
        <w:rPr>
          <w:rFonts w:ascii="Times New Roman" w:hAnsi="Times New Roman" w:cs="Times New Roman"/>
          <w:lang w:val="en-US"/>
        </w:rPr>
        <w:t xml:space="preserve"> 1 and 10 across all treatments, with the highest mean values recorded for plants receiving the manure-based broth and the lowest for those receiving NPK. However, this difference was not statistically significant (p &gt; 0.05).</w:t>
      </w:r>
    </w:p>
    <w:p w14:paraId="3FF17959"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noProof/>
          <w:lang w:val="en-US"/>
        </w:rPr>
        <w:drawing>
          <wp:inline distT="0" distB="0" distL="0" distR="0" wp14:anchorId="6426F822" wp14:editId="125DB611">
            <wp:extent cx="4394046" cy="2901950"/>
            <wp:effectExtent l="0" t="0" r="698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398975" cy="2905205"/>
                    </a:xfrm>
                    <a:prstGeom prst="rect">
                      <a:avLst/>
                    </a:prstGeom>
                  </pic:spPr>
                </pic:pic>
              </a:graphicData>
            </a:graphic>
          </wp:inline>
        </w:drawing>
      </w:r>
    </w:p>
    <w:p w14:paraId="2DC913A4"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 xml:space="preserve">Figure 6. </w:t>
      </w:r>
      <w:r w:rsidRPr="00513A9E">
        <w:rPr>
          <w:rFonts w:ascii="Times New Roman" w:hAnsi="Times New Roman" w:cs="Times New Roman"/>
          <w:i/>
          <w:iCs/>
          <w:lang w:val="en-US"/>
        </w:rPr>
        <w:t>Evolution of the average number of leaves as a function of treatment over time.</w:t>
      </w:r>
    </w:p>
    <w:p w14:paraId="160338EC" w14:textId="77777777" w:rsidR="00D412ED" w:rsidRPr="00513A9E" w:rsidRDefault="00D412ED" w:rsidP="00D412ED">
      <w:pPr>
        <w:rPr>
          <w:rFonts w:ascii="Times New Roman" w:hAnsi="Times New Roman" w:cs="Times New Roman"/>
          <w:b/>
          <w:bCs/>
          <w:lang w:val="en-US"/>
        </w:rPr>
      </w:pPr>
    </w:p>
    <w:p w14:paraId="14AB6E02" w14:textId="77777777" w:rsidR="00960E11" w:rsidRPr="00513A9E" w:rsidRDefault="00000000" w:rsidP="00DD3A77">
      <w:pPr>
        <w:spacing w:before="120" w:after="120" w:line="360" w:lineRule="auto"/>
        <w:rPr>
          <w:rFonts w:ascii="Times New Roman" w:hAnsi="Times New Roman" w:cs="Times New Roman"/>
          <w:b/>
          <w:bCs/>
          <w:lang w:val="en-US"/>
        </w:rPr>
      </w:pPr>
      <w:r>
        <w:rPr>
          <w:rFonts w:ascii="Times New Roman" w:hAnsi="Times New Roman" w:cs="Times New Roman"/>
          <w:b/>
          <w:bCs/>
          <w:lang w:val="en-US"/>
        </w:rPr>
        <w:t xml:space="preserve">Effect of </w:t>
      </w:r>
      <w:r>
        <w:rPr>
          <w:rFonts w:ascii="Times New Roman" w:hAnsi="Times New Roman" w:cs="Times New Roman"/>
          <w:b/>
          <w:bCs/>
          <w:highlight w:val="yellow"/>
          <w:lang w:val="en-US"/>
        </w:rPr>
        <w:t>fertilisers</w:t>
      </w:r>
      <w:r>
        <w:rPr>
          <w:rFonts w:ascii="Times New Roman" w:hAnsi="Times New Roman" w:cs="Times New Roman"/>
          <w:b/>
          <w:bCs/>
          <w:lang w:val="en-US"/>
        </w:rPr>
        <w:t xml:space="preserve"> on yield parameters</w:t>
      </w:r>
    </w:p>
    <w:p w14:paraId="0FA80604" w14:textId="3F5A6950"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Table </w:t>
      </w:r>
      <w:r w:rsidR="00043E13">
        <w:rPr>
          <w:rFonts w:ascii="Times New Roman" w:hAnsi="Times New Roman" w:cs="Times New Roman"/>
          <w:lang w:val="en-US"/>
        </w:rPr>
        <w:t>2</w:t>
      </w:r>
      <w:r>
        <w:rPr>
          <w:rFonts w:ascii="Times New Roman" w:hAnsi="Times New Roman" w:cs="Times New Roman"/>
          <w:lang w:val="en-US"/>
        </w:rPr>
        <w:t xml:space="preserve"> </w:t>
      </w:r>
      <w:proofErr w:type="spellStart"/>
      <w:r>
        <w:rPr>
          <w:rFonts w:ascii="Times New Roman" w:hAnsi="Times New Roman" w:cs="Times New Roman"/>
          <w:highlight w:val="yellow"/>
          <w:lang w:val="en-US"/>
        </w:rPr>
        <w:t>summarises</w:t>
      </w:r>
      <w:proofErr w:type="spellEnd"/>
      <w:r>
        <w:rPr>
          <w:rFonts w:ascii="Times New Roman" w:hAnsi="Times New Roman" w:cs="Times New Roman"/>
          <w:lang w:val="en-US"/>
        </w:rPr>
        <w:t xml:space="preserve"> pepper production parameters at 77 days after transplanting. Treatment had a highly significant effect on floral bud number and flower number (p &lt; 0.001 for both). For both parameters, TC differed significantly from all other treatments (increases of </w:t>
      </w:r>
      <w:r>
        <w:rPr>
          <w:rFonts w:ascii="Times New Roman" w:hAnsi="Times New Roman" w:cs="Times New Roman"/>
          <w:highlight w:val="yellow"/>
          <w:lang w:val="en-US"/>
        </w:rPr>
        <w:t>76–155</w:t>
      </w:r>
      <w:r>
        <w:rPr>
          <w:rFonts w:ascii="Times New Roman" w:hAnsi="Times New Roman" w:cs="Times New Roman"/>
          <w:lang w:val="en-US"/>
        </w:rPr>
        <w:t xml:space="preserve">% for buds and </w:t>
      </w:r>
      <w:r>
        <w:rPr>
          <w:rFonts w:ascii="Times New Roman" w:hAnsi="Times New Roman" w:cs="Times New Roman"/>
          <w:highlight w:val="yellow"/>
          <w:lang w:val="en-US"/>
        </w:rPr>
        <w:t>72–192</w:t>
      </w:r>
      <w:r>
        <w:rPr>
          <w:rFonts w:ascii="Times New Roman" w:hAnsi="Times New Roman" w:cs="Times New Roman"/>
          <w:lang w:val="en-US"/>
        </w:rPr>
        <w:t xml:space="preserve">% for flowers </w:t>
      </w:r>
      <w:r>
        <w:rPr>
          <w:rFonts w:ascii="Times New Roman" w:hAnsi="Times New Roman" w:cs="Times New Roman"/>
          <w:lang w:val="en-US"/>
        </w:rPr>
        <w:lastRenderedPageBreak/>
        <w:t>relative to the other treatments), TP differed significantly from TM, and TN did not differ significantly from either TM or TP.</w:t>
      </w:r>
    </w:p>
    <w:p w14:paraId="3BFB7F46"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The number of fruits harvested per plant also differed significantly among treatments (p &lt; 0.001). TC (26.50 ± 1.91) produced significantly more fruit than TM and TN (</w:t>
      </w:r>
      <w:r>
        <w:rPr>
          <w:rFonts w:ascii="Times New Roman" w:hAnsi="Times New Roman" w:cs="Times New Roman"/>
          <w:highlight w:val="yellow"/>
          <w:lang w:val="en-US"/>
        </w:rPr>
        <w:t>33–139</w:t>
      </w:r>
      <w:r>
        <w:rPr>
          <w:rFonts w:ascii="Times New Roman" w:hAnsi="Times New Roman" w:cs="Times New Roman"/>
          <w:lang w:val="en-US"/>
        </w:rPr>
        <w:t>% more) but was not significantly different from TP. TP itself did not differ significantly from either TM or TN, despite numerically higher mean values (</w:t>
      </w:r>
      <w:r>
        <w:rPr>
          <w:rFonts w:ascii="Times New Roman" w:hAnsi="Times New Roman" w:cs="Times New Roman"/>
          <w:highlight w:val="yellow"/>
          <w:lang w:val="en-US"/>
        </w:rPr>
        <w:t>66–81</w:t>
      </w:r>
      <w:r>
        <w:rPr>
          <w:rFonts w:ascii="Times New Roman" w:hAnsi="Times New Roman" w:cs="Times New Roman"/>
          <w:lang w:val="en-US"/>
        </w:rPr>
        <w:t>% higher).</w:t>
      </w:r>
    </w:p>
    <w:p w14:paraId="3A4E86A2"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Fruit diameter differed significantly among treatments overall (p = 0.029), but the pairwise comparisons showed a more nuanced pattern than for the other parameters: only TC differed significantly from TM, with TC producing larger fruit. TN and TP were statistically intermediate, </w:t>
      </w:r>
      <w:r>
        <w:rPr>
          <w:rFonts w:ascii="Times New Roman" w:hAnsi="Times New Roman" w:cs="Times New Roman"/>
          <w:highlight w:val="yellow"/>
          <w:lang w:val="en-US"/>
        </w:rPr>
        <w:t xml:space="preserve">not </w:t>
      </w:r>
      <w:r>
        <w:rPr>
          <w:rFonts w:ascii="Times New Roman" w:hAnsi="Times New Roman" w:cs="Times New Roman"/>
          <w:lang w:val="en-US"/>
        </w:rPr>
        <w:t xml:space="preserve">differing significantly from </w:t>
      </w:r>
      <w:r>
        <w:rPr>
          <w:rFonts w:ascii="Times New Roman" w:hAnsi="Times New Roman" w:cs="Times New Roman"/>
          <w:highlight w:val="yellow"/>
          <w:lang w:val="en-US"/>
        </w:rPr>
        <w:t>either</w:t>
      </w:r>
      <w:r>
        <w:rPr>
          <w:rFonts w:ascii="Times New Roman" w:hAnsi="Times New Roman" w:cs="Times New Roman"/>
          <w:lang w:val="en-US"/>
        </w:rPr>
        <w:t xml:space="preserve"> TM </w:t>
      </w:r>
      <w:r>
        <w:rPr>
          <w:rFonts w:ascii="Times New Roman" w:hAnsi="Times New Roman" w:cs="Times New Roman"/>
          <w:highlight w:val="yellow"/>
          <w:lang w:val="en-US"/>
        </w:rPr>
        <w:t>or</w:t>
      </w:r>
      <w:r>
        <w:rPr>
          <w:rFonts w:ascii="Times New Roman" w:hAnsi="Times New Roman" w:cs="Times New Roman"/>
          <w:lang w:val="en-US"/>
        </w:rPr>
        <w:t xml:space="preserve"> TC.</w:t>
      </w:r>
    </w:p>
    <w:p w14:paraId="718FC566"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Fruit mass differed significantly among treatments (p &lt; 0.001). TC produced significantly heavier fruit than all other treatments. TP produced significantly heavier fruit than TM but was not significantly different from TN. TN and TM did not differ significantly from each other.</w:t>
      </w:r>
    </w:p>
    <w:p w14:paraId="3394BE03"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Estimated yield differed significantly among treatments (p &lt; 0.001). TC gave the highest yield, significantly greater than all other treatments</w:t>
      </w:r>
      <w:r>
        <w:rPr>
          <w:rFonts w:ascii="Times New Roman" w:hAnsi="Times New Roman" w:cs="Times New Roman"/>
          <w:highlight w:val="yellow"/>
          <w:lang w:val="en-US"/>
        </w:rPr>
        <w:t>:</w:t>
      </w:r>
      <w:r>
        <w:rPr>
          <w:rFonts w:ascii="Times New Roman" w:hAnsi="Times New Roman" w:cs="Times New Roman"/>
          <w:lang w:val="en-US"/>
        </w:rPr>
        <w:t xml:space="preserve"> 38%, 82%, and 94% higher than TP, TN, and TM, respectively. TP gave a significantly higher yield than TM (40% higher) but was not significantly different from TN, despite a 31% numerical advantage. TN and TM did not differ significantly from each other.</w:t>
      </w:r>
    </w:p>
    <w:p w14:paraId="6C4A388D" w14:textId="77777777" w:rsidR="00D412ED" w:rsidRPr="00513A9E" w:rsidRDefault="00D412ED" w:rsidP="00D412ED">
      <w:pPr>
        <w:jc w:val="both"/>
        <w:rPr>
          <w:rFonts w:ascii="Times New Roman" w:hAnsi="Times New Roman" w:cs="Times New Roman"/>
          <w:lang w:val="en-US"/>
        </w:rPr>
      </w:pPr>
    </w:p>
    <w:p w14:paraId="766873A7" w14:textId="77777777" w:rsidR="00D412ED" w:rsidRPr="00513A9E" w:rsidRDefault="00D412ED">
      <w:pPr>
        <w:rPr>
          <w:rFonts w:ascii="Times New Roman" w:hAnsi="Times New Roman" w:cs="Times New Roman"/>
          <w:b/>
          <w:bCs/>
          <w:lang w:val="en-US"/>
        </w:rPr>
      </w:pPr>
      <w:r w:rsidRPr="00513A9E">
        <w:rPr>
          <w:rFonts w:ascii="Times New Roman" w:hAnsi="Times New Roman" w:cs="Times New Roman"/>
          <w:b/>
          <w:bCs/>
          <w:lang w:val="en-US"/>
        </w:rPr>
        <w:br w:type="page"/>
      </w:r>
    </w:p>
    <w:p w14:paraId="2029C661" w14:textId="165E5F0D" w:rsidR="00960E11" w:rsidRPr="00513A9E" w:rsidRDefault="00000000" w:rsidP="00D412ED">
      <w:pPr>
        <w:jc w:val="both"/>
        <w:rPr>
          <w:rFonts w:ascii="Times New Roman" w:hAnsi="Times New Roman" w:cs="Times New Roman"/>
          <w:lang w:val="en-US"/>
        </w:rPr>
      </w:pPr>
      <w:r w:rsidRPr="00513A9E">
        <w:rPr>
          <w:rFonts w:ascii="Times New Roman" w:hAnsi="Times New Roman" w:cs="Times New Roman"/>
          <w:b/>
          <w:bCs/>
          <w:lang w:val="en-US"/>
        </w:rPr>
        <w:lastRenderedPageBreak/>
        <w:t xml:space="preserve">Table </w:t>
      </w:r>
      <w:r w:rsidR="00043E13">
        <w:rPr>
          <w:rFonts w:ascii="Times New Roman" w:hAnsi="Times New Roman" w:cs="Times New Roman"/>
          <w:b/>
          <w:bCs/>
          <w:lang w:val="en-US"/>
        </w:rPr>
        <w:t>2</w:t>
      </w:r>
      <w:r w:rsidRPr="00513A9E">
        <w:rPr>
          <w:rFonts w:ascii="Times New Roman" w:hAnsi="Times New Roman" w:cs="Times New Roman"/>
          <w:b/>
          <w:bCs/>
          <w:lang w:val="en-US"/>
        </w:rPr>
        <w:t xml:space="preserve">. </w:t>
      </w:r>
      <w:r w:rsidRPr="00513A9E">
        <w:rPr>
          <w:rFonts w:ascii="Times New Roman" w:hAnsi="Times New Roman" w:cs="Times New Roman"/>
          <w:lang w:val="en-US"/>
        </w:rPr>
        <w:t>Descriptive statistics of pepper production parameters at 77 days after transplanting under the four experimental treatments.</w:t>
      </w:r>
    </w:p>
    <w:p w14:paraId="7DAC42B0" w14:textId="77777777" w:rsidR="00D412ED" w:rsidRPr="00513A9E" w:rsidRDefault="00D412ED" w:rsidP="00D412ED">
      <w:pPr>
        <w:jc w:val="both"/>
        <w:rPr>
          <w:rFonts w:ascii="Times New Roman" w:hAnsi="Times New Roman" w:cs="Times New Roman"/>
          <w:lang w:val="en-US"/>
        </w:rPr>
      </w:pPr>
    </w:p>
    <w:tbl>
      <w:tblPr>
        <w:tblW w:w="9578" w:type="dxa"/>
        <w:tblCellMar>
          <w:left w:w="10" w:type="dxa"/>
          <w:right w:w="10" w:type="dxa"/>
        </w:tblCellMar>
        <w:tblLook w:val="04A0" w:firstRow="1" w:lastRow="0" w:firstColumn="1" w:lastColumn="0" w:noHBand="0" w:noVBand="1"/>
      </w:tblPr>
      <w:tblGrid>
        <w:gridCol w:w="2231"/>
        <w:gridCol w:w="1272"/>
        <w:gridCol w:w="2052"/>
        <w:gridCol w:w="1087"/>
        <w:gridCol w:w="968"/>
        <w:gridCol w:w="984"/>
        <w:gridCol w:w="984"/>
      </w:tblGrid>
      <w:tr w:rsidR="00D412ED" w:rsidRPr="00513A9E" w14:paraId="2843C921" w14:textId="77777777" w:rsidTr="00465BAE">
        <w:trPr>
          <w:tblHeader/>
        </w:trPr>
        <w:tc>
          <w:tcPr>
            <w:tcW w:w="2231"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548756C4"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Variable</w:t>
            </w:r>
          </w:p>
        </w:tc>
        <w:tc>
          <w:tcPr>
            <w:tcW w:w="1272"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67188EB8"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Treatment*</w:t>
            </w:r>
          </w:p>
        </w:tc>
        <w:tc>
          <w:tcPr>
            <w:tcW w:w="2052"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342809CD"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Mean ± SD**</w:t>
            </w:r>
          </w:p>
        </w:tc>
        <w:tc>
          <w:tcPr>
            <w:tcW w:w="1087"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7F0CD8F5"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CV (%)</w:t>
            </w:r>
          </w:p>
        </w:tc>
        <w:tc>
          <w:tcPr>
            <w:tcW w:w="968"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2AEC26E4"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n</w:t>
            </w:r>
          </w:p>
        </w:tc>
        <w:tc>
          <w:tcPr>
            <w:tcW w:w="984"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409CC448"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Min</w:t>
            </w:r>
          </w:p>
        </w:tc>
        <w:tc>
          <w:tcPr>
            <w:tcW w:w="984" w:type="dxa"/>
            <w:tcBorders>
              <w:top w:val="single" w:sz="4" w:space="0" w:color="auto"/>
              <w:bottom w:val="single" w:sz="4" w:space="0" w:color="auto"/>
            </w:tcBorders>
            <w:shd w:val="clear" w:color="auto" w:fill="F2F2F2" w:themeFill="background1" w:themeFillShade="F2"/>
            <w:tcMar>
              <w:top w:w="60" w:type="dxa"/>
              <w:left w:w="80" w:type="dxa"/>
              <w:bottom w:w="60" w:type="dxa"/>
              <w:right w:w="80" w:type="dxa"/>
            </w:tcMar>
            <w:vAlign w:val="center"/>
          </w:tcPr>
          <w:p w14:paraId="5922D49F" w14:textId="77777777" w:rsidR="00960E11" w:rsidRPr="00513A9E" w:rsidRDefault="00000000" w:rsidP="00D412ED">
            <w:pPr>
              <w:jc w:val="center"/>
              <w:rPr>
                <w:rFonts w:ascii="Times New Roman" w:hAnsi="Times New Roman" w:cs="Times New Roman"/>
                <w:lang w:val="en-US"/>
              </w:rPr>
            </w:pPr>
            <w:r w:rsidRPr="00513A9E">
              <w:rPr>
                <w:rFonts w:ascii="Times New Roman" w:hAnsi="Times New Roman" w:cs="Times New Roman"/>
                <w:b/>
                <w:bCs/>
                <w:lang w:val="en-US"/>
              </w:rPr>
              <w:t>Max</w:t>
            </w:r>
          </w:p>
        </w:tc>
      </w:tr>
      <w:tr w:rsidR="00565CC6" w:rsidRPr="00513A9E" w14:paraId="24F622AB" w14:textId="77777777" w:rsidTr="00465BAE">
        <w:trPr>
          <w:trHeight w:val="214"/>
        </w:trPr>
        <w:tc>
          <w:tcPr>
            <w:tcW w:w="2231" w:type="dxa"/>
            <w:vMerge w:val="restart"/>
            <w:tcBorders>
              <w:top w:val="single" w:sz="4" w:space="0" w:color="auto"/>
            </w:tcBorders>
            <w:tcMar>
              <w:top w:w="60" w:type="dxa"/>
              <w:left w:w="80" w:type="dxa"/>
              <w:bottom w:w="60" w:type="dxa"/>
              <w:right w:w="80" w:type="dxa"/>
            </w:tcMar>
            <w:vAlign w:val="center"/>
          </w:tcPr>
          <w:p w14:paraId="4B87CA0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floral buds</w:t>
            </w:r>
          </w:p>
        </w:tc>
        <w:tc>
          <w:tcPr>
            <w:tcW w:w="1272" w:type="dxa"/>
            <w:tcBorders>
              <w:top w:val="single" w:sz="4" w:space="0" w:color="auto"/>
            </w:tcBorders>
            <w:tcMar>
              <w:top w:w="60" w:type="dxa"/>
              <w:left w:w="80" w:type="dxa"/>
              <w:bottom w:w="60" w:type="dxa"/>
              <w:right w:w="80" w:type="dxa"/>
            </w:tcMar>
            <w:vAlign w:val="center"/>
          </w:tcPr>
          <w:p w14:paraId="335D927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27C8634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17.75 ± 1.00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4D956D4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5.56</w:t>
            </w:r>
          </w:p>
        </w:tc>
        <w:tc>
          <w:tcPr>
            <w:tcW w:w="968" w:type="dxa"/>
            <w:tcBorders>
              <w:top w:val="single" w:sz="4" w:space="0" w:color="auto"/>
            </w:tcBorders>
            <w:tcMar>
              <w:top w:w="60" w:type="dxa"/>
              <w:left w:w="80" w:type="dxa"/>
              <w:bottom w:w="60" w:type="dxa"/>
              <w:right w:w="80" w:type="dxa"/>
            </w:tcMar>
            <w:vAlign w:val="center"/>
          </w:tcPr>
          <w:p w14:paraId="788E893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0F3230C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c>
          <w:tcPr>
            <w:tcW w:w="984" w:type="dxa"/>
            <w:tcBorders>
              <w:top w:val="single" w:sz="4" w:space="0" w:color="auto"/>
            </w:tcBorders>
            <w:tcMar>
              <w:top w:w="60" w:type="dxa"/>
              <w:left w:w="80" w:type="dxa"/>
              <w:bottom w:w="60" w:type="dxa"/>
              <w:right w:w="80" w:type="dxa"/>
            </w:tcMar>
            <w:vAlign w:val="center"/>
          </w:tcPr>
          <w:p w14:paraId="13865EF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19.00</w:t>
            </w:r>
          </w:p>
        </w:tc>
      </w:tr>
      <w:tr w:rsidR="00565CC6" w:rsidRPr="00513A9E" w14:paraId="1867233D" w14:textId="77777777" w:rsidTr="00465BAE">
        <w:tc>
          <w:tcPr>
            <w:tcW w:w="2231" w:type="dxa"/>
            <w:vMerge/>
            <w:tcMar>
              <w:top w:w="60" w:type="dxa"/>
              <w:left w:w="80" w:type="dxa"/>
              <w:bottom w:w="60" w:type="dxa"/>
              <w:right w:w="80" w:type="dxa"/>
            </w:tcMar>
            <w:vAlign w:val="center"/>
          </w:tcPr>
          <w:p w14:paraId="119CB40B"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43B3CD2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63D1619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 ± 5.00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729A190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27.78</w:t>
            </w:r>
          </w:p>
        </w:tc>
        <w:tc>
          <w:tcPr>
            <w:tcW w:w="968" w:type="dxa"/>
            <w:tcMar>
              <w:top w:w="60" w:type="dxa"/>
              <w:left w:w="80" w:type="dxa"/>
              <w:bottom w:w="60" w:type="dxa"/>
              <w:right w:w="80" w:type="dxa"/>
            </w:tcMar>
            <w:vAlign w:val="center"/>
          </w:tcPr>
          <w:p w14:paraId="1CBEF15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643D81A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13.00</w:t>
            </w:r>
          </w:p>
        </w:tc>
        <w:tc>
          <w:tcPr>
            <w:tcW w:w="984" w:type="dxa"/>
            <w:tcMar>
              <w:top w:w="60" w:type="dxa"/>
              <w:left w:w="80" w:type="dxa"/>
              <w:bottom w:w="60" w:type="dxa"/>
              <w:right w:w="80" w:type="dxa"/>
            </w:tcMar>
            <w:vAlign w:val="center"/>
          </w:tcPr>
          <w:p w14:paraId="26A4B95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23.00</w:t>
            </w:r>
          </w:p>
        </w:tc>
      </w:tr>
      <w:tr w:rsidR="00565CC6" w:rsidRPr="00513A9E" w14:paraId="456776E1" w14:textId="77777777" w:rsidTr="00465BAE">
        <w:tc>
          <w:tcPr>
            <w:tcW w:w="2231" w:type="dxa"/>
            <w:vMerge/>
            <w:tcMar>
              <w:top w:w="60" w:type="dxa"/>
              <w:left w:w="80" w:type="dxa"/>
              <w:bottom w:w="60" w:type="dxa"/>
              <w:right w:w="80" w:type="dxa"/>
            </w:tcMar>
            <w:vAlign w:val="center"/>
          </w:tcPr>
          <w:p w14:paraId="47BF8C76"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1A7C78A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342CE30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26.25 ± 3.00</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390E46E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11.54</w:t>
            </w:r>
          </w:p>
        </w:tc>
        <w:tc>
          <w:tcPr>
            <w:tcW w:w="968" w:type="dxa"/>
            <w:tcMar>
              <w:top w:w="60" w:type="dxa"/>
              <w:left w:w="80" w:type="dxa"/>
              <w:bottom w:w="60" w:type="dxa"/>
              <w:right w:w="80" w:type="dxa"/>
            </w:tcMar>
            <w:vAlign w:val="center"/>
          </w:tcPr>
          <w:p w14:paraId="73C2F11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18A7219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23.00</w:t>
            </w:r>
          </w:p>
        </w:tc>
        <w:tc>
          <w:tcPr>
            <w:tcW w:w="984" w:type="dxa"/>
            <w:tcMar>
              <w:top w:w="60" w:type="dxa"/>
              <w:left w:w="80" w:type="dxa"/>
              <w:bottom w:w="60" w:type="dxa"/>
              <w:right w:w="80" w:type="dxa"/>
            </w:tcMar>
            <w:vAlign w:val="center"/>
          </w:tcPr>
          <w:p w14:paraId="5EC1A1C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29.00</w:t>
            </w:r>
          </w:p>
        </w:tc>
      </w:tr>
      <w:tr w:rsidR="00565CC6" w:rsidRPr="00513A9E" w14:paraId="690E3BA9" w14:textId="77777777" w:rsidTr="00465BAE">
        <w:tc>
          <w:tcPr>
            <w:tcW w:w="2231" w:type="dxa"/>
            <w:vMerge/>
            <w:tcMar>
              <w:top w:w="60" w:type="dxa"/>
              <w:left w:w="80" w:type="dxa"/>
              <w:bottom w:w="60" w:type="dxa"/>
              <w:right w:w="80" w:type="dxa"/>
            </w:tcMar>
            <w:vAlign w:val="center"/>
          </w:tcPr>
          <w:p w14:paraId="2D4862B1"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4CFEE8A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6A3146E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45.50 ± 2.00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7F79269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4.35</w:t>
            </w:r>
          </w:p>
        </w:tc>
        <w:tc>
          <w:tcPr>
            <w:tcW w:w="968" w:type="dxa"/>
            <w:tcBorders>
              <w:bottom w:val="single" w:sz="4" w:space="0" w:color="auto"/>
            </w:tcBorders>
            <w:tcMar>
              <w:top w:w="60" w:type="dxa"/>
              <w:left w:w="80" w:type="dxa"/>
              <w:bottom w:w="60" w:type="dxa"/>
              <w:right w:w="80" w:type="dxa"/>
            </w:tcMar>
            <w:vAlign w:val="center"/>
          </w:tcPr>
          <w:p w14:paraId="65CB3F0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413EFD3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44.00</w:t>
            </w:r>
          </w:p>
        </w:tc>
        <w:tc>
          <w:tcPr>
            <w:tcW w:w="984" w:type="dxa"/>
            <w:tcBorders>
              <w:bottom w:val="single" w:sz="4" w:space="0" w:color="auto"/>
            </w:tcBorders>
            <w:tcMar>
              <w:top w:w="60" w:type="dxa"/>
              <w:left w:w="80" w:type="dxa"/>
              <w:bottom w:w="60" w:type="dxa"/>
              <w:right w:w="80" w:type="dxa"/>
            </w:tcMar>
            <w:vAlign w:val="center"/>
          </w:tcPr>
          <w:p w14:paraId="2883F30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48.00</w:t>
            </w:r>
          </w:p>
        </w:tc>
      </w:tr>
      <w:tr w:rsidR="00565CC6" w:rsidRPr="00513A9E" w14:paraId="714B2F69" w14:textId="77777777" w:rsidTr="00465BAE">
        <w:tc>
          <w:tcPr>
            <w:tcW w:w="2231" w:type="dxa"/>
            <w:vMerge w:val="restart"/>
            <w:tcMar>
              <w:top w:w="60" w:type="dxa"/>
              <w:left w:w="80" w:type="dxa"/>
              <w:bottom w:w="60" w:type="dxa"/>
              <w:right w:w="80" w:type="dxa"/>
            </w:tcMar>
            <w:vAlign w:val="center"/>
          </w:tcPr>
          <w:p w14:paraId="6213BB7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flowers</w:t>
            </w:r>
          </w:p>
        </w:tc>
        <w:tc>
          <w:tcPr>
            <w:tcW w:w="1272" w:type="dxa"/>
            <w:tcBorders>
              <w:top w:val="single" w:sz="4" w:space="0" w:color="auto"/>
            </w:tcBorders>
            <w:tcMar>
              <w:top w:w="60" w:type="dxa"/>
              <w:left w:w="80" w:type="dxa"/>
              <w:bottom w:w="60" w:type="dxa"/>
              <w:right w:w="80" w:type="dxa"/>
            </w:tcMar>
            <w:vAlign w:val="center"/>
          </w:tcPr>
          <w:p w14:paraId="2A0C258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2F09006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13.25 ± 5.05</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0760CD5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38.46</w:t>
            </w:r>
          </w:p>
        </w:tc>
        <w:tc>
          <w:tcPr>
            <w:tcW w:w="968" w:type="dxa"/>
            <w:tcBorders>
              <w:top w:val="single" w:sz="4" w:space="0" w:color="auto"/>
            </w:tcBorders>
            <w:tcMar>
              <w:top w:w="60" w:type="dxa"/>
              <w:left w:w="80" w:type="dxa"/>
              <w:bottom w:w="60" w:type="dxa"/>
              <w:right w:w="80" w:type="dxa"/>
            </w:tcMar>
            <w:vAlign w:val="center"/>
          </w:tcPr>
          <w:p w14:paraId="27B1D08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6B9AA48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8.00</w:t>
            </w:r>
          </w:p>
        </w:tc>
        <w:tc>
          <w:tcPr>
            <w:tcW w:w="984" w:type="dxa"/>
            <w:tcBorders>
              <w:top w:val="single" w:sz="4" w:space="0" w:color="auto"/>
            </w:tcBorders>
            <w:tcMar>
              <w:top w:w="60" w:type="dxa"/>
              <w:left w:w="80" w:type="dxa"/>
              <w:bottom w:w="60" w:type="dxa"/>
              <w:right w:w="80" w:type="dxa"/>
            </w:tcMar>
            <w:vAlign w:val="center"/>
          </w:tcPr>
          <w:p w14:paraId="26A70A8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w:t>
            </w:r>
          </w:p>
        </w:tc>
      </w:tr>
      <w:tr w:rsidR="00565CC6" w:rsidRPr="00513A9E" w14:paraId="3202494D" w14:textId="77777777" w:rsidTr="00465BAE">
        <w:tc>
          <w:tcPr>
            <w:tcW w:w="2231" w:type="dxa"/>
            <w:vMerge/>
            <w:tcMar>
              <w:top w:w="60" w:type="dxa"/>
              <w:left w:w="80" w:type="dxa"/>
              <w:bottom w:w="60" w:type="dxa"/>
              <w:right w:w="80" w:type="dxa"/>
            </w:tcMar>
            <w:vAlign w:val="center"/>
          </w:tcPr>
          <w:p w14:paraId="6C66B798"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3B9E242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3CDDAF3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 ± 2.92</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1F9833B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13.33</w:t>
            </w:r>
          </w:p>
        </w:tc>
        <w:tc>
          <w:tcPr>
            <w:tcW w:w="968" w:type="dxa"/>
            <w:tcMar>
              <w:top w:w="60" w:type="dxa"/>
              <w:left w:w="80" w:type="dxa"/>
              <w:bottom w:w="60" w:type="dxa"/>
              <w:right w:w="80" w:type="dxa"/>
            </w:tcMar>
            <w:vAlign w:val="center"/>
          </w:tcPr>
          <w:p w14:paraId="2D04BFA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2A3A6C0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13.00</w:t>
            </w:r>
          </w:p>
        </w:tc>
        <w:tc>
          <w:tcPr>
            <w:tcW w:w="984" w:type="dxa"/>
            <w:tcMar>
              <w:top w:w="60" w:type="dxa"/>
              <w:left w:w="80" w:type="dxa"/>
              <w:bottom w:w="60" w:type="dxa"/>
              <w:right w:w="80" w:type="dxa"/>
            </w:tcMar>
            <w:vAlign w:val="center"/>
          </w:tcPr>
          <w:p w14:paraId="1E4E042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r>
      <w:tr w:rsidR="00565CC6" w:rsidRPr="00513A9E" w14:paraId="7146B7EB" w14:textId="77777777" w:rsidTr="00465BAE">
        <w:tc>
          <w:tcPr>
            <w:tcW w:w="2231" w:type="dxa"/>
            <w:vMerge/>
            <w:tcMar>
              <w:top w:w="60" w:type="dxa"/>
              <w:left w:w="80" w:type="dxa"/>
              <w:bottom w:w="60" w:type="dxa"/>
              <w:right w:w="80" w:type="dxa"/>
            </w:tcMar>
            <w:vAlign w:val="center"/>
          </w:tcPr>
          <w:p w14:paraId="1CC2CF7D"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789EB0F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7AF7192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22.25 ± 4.57</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748C633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22.73</w:t>
            </w:r>
          </w:p>
        </w:tc>
        <w:tc>
          <w:tcPr>
            <w:tcW w:w="968" w:type="dxa"/>
            <w:tcMar>
              <w:top w:w="60" w:type="dxa"/>
              <w:left w:w="80" w:type="dxa"/>
              <w:bottom w:w="60" w:type="dxa"/>
              <w:right w:w="80" w:type="dxa"/>
            </w:tcMar>
            <w:vAlign w:val="center"/>
          </w:tcPr>
          <w:p w14:paraId="48C695B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056B310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17.00</w:t>
            </w:r>
          </w:p>
        </w:tc>
        <w:tc>
          <w:tcPr>
            <w:tcW w:w="984" w:type="dxa"/>
            <w:tcMar>
              <w:top w:w="60" w:type="dxa"/>
              <w:left w:w="80" w:type="dxa"/>
              <w:bottom w:w="60" w:type="dxa"/>
              <w:right w:w="80" w:type="dxa"/>
            </w:tcMar>
            <w:vAlign w:val="center"/>
          </w:tcPr>
          <w:p w14:paraId="7C44AA5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27.00</w:t>
            </w:r>
          </w:p>
        </w:tc>
      </w:tr>
      <w:tr w:rsidR="00565CC6" w:rsidRPr="00513A9E" w14:paraId="0A22E315" w14:textId="77777777" w:rsidTr="00465BAE">
        <w:tc>
          <w:tcPr>
            <w:tcW w:w="2231" w:type="dxa"/>
            <w:vMerge/>
            <w:tcMar>
              <w:top w:w="60" w:type="dxa"/>
              <w:left w:w="80" w:type="dxa"/>
              <w:bottom w:w="60" w:type="dxa"/>
              <w:right w:w="80" w:type="dxa"/>
            </w:tcMar>
            <w:vAlign w:val="center"/>
          </w:tcPr>
          <w:p w14:paraId="410AB220"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526043E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521AADD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38.25 ± 0.50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648B192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2.63</w:t>
            </w:r>
          </w:p>
        </w:tc>
        <w:tc>
          <w:tcPr>
            <w:tcW w:w="968" w:type="dxa"/>
            <w:tcBorders>
              <w:bottom w:val="single" w:sz="4" w:space="0" w:color="auto"/>
            </w:tcBorders>
            <w:tcMar>
              <w:top w:w="60" w:type="dxa"/>
              <w:left w:w="80" w:type="dxa"/>
              <w:bottom w:w="60" w:type="dxa"/>
              <w:right w:w="80" w:type="dxa"/>
            </w:tcMar>
            <w:vAlign w:val="center"/>
          </w:tcPr>
          <w:p w14:paraId="475081B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768C810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37.00</w:t>
            </w:r>
          </w:p>
        </w:tc>
        <w:tc>
          <w:tcPr>
            <w:tcW w:w="984" w:type="dxa"/>
            <w:tcBorders>
              <w:bottom w:val="single" w:sz="4" w:space="0" w:color="auto"/>
            </w:tcBorders>
            <w:tcMar>
              <w:top w:w="60" w:type="dxa"/>
              <w:left w:w="80" w:type="dxa"/>
              <w:bottom w:w="60" w:type="dxa"/>
              <w:right w:w="80" w:type="dxa"/>
            </w:tcMar>
            <w:vAlign w:val="center"/>
          </w:tcPr>
          <w:p w14:paraId="073EAA9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39.00</w:t>
            </w:r>
          </w:p>
        </w:tc>
      </w:tr>
      <w:tr w:rsidR="00565CC6" w:rsidRPr="00513A9E" w14:paraId="27B0CD13" w14:textId="77777777" w:rsidTr="00465BAE">
        <w:tc>
          <w:tcPr>
            <w:tcW w:w="2231" w:type="dxa"/>
            <w:vMerge w:val="restart"/>
            <w:tcMar>
              <w:top w:w="60" w:type="dxa"/>
              <w:left w:w="80" w:type="dxa"/>
              <w:bottom w:w="60" w:type="dxa"/>
              <w:right w:w="80" w:type="dxa"/>
            </w:tcMar>
            <w:vAlign w:val="center"/>
          </w:tcPr>
          <w:p w14:paraId="776E650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Number of fruits harvested</w:t>
            </w:r>
          </w:p>
        </w:tc>
        <w:tc>
          <w:tcPr>
            <w:tcW w:w="1272" w:type="dxa"/>
            <w:tcBorders>
              <w:top w:val="single" w:sz="4" w:space="0" w:color="auto"/>
            </w:tcBorders>
            <w:tcMar>
              <w:top w:w="60" w:type="dxa"/>
              <w:left w:w="80" w:type="dxa"/>
              <w:bottom w:w="60" w:type="dxa"/>
              <w:right w:w="80" w:type="dxa"/>
            </w:tcMar>
            <w:vAlign w:val="center"/>
          </w:tcPr>
          <w:p w14:paraId="6125E96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0677C8A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11.00 ± 7.00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3C592C9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63.64</w:t>
            </w:r>
          </w:p>
        </w:tc>
        <w:tc>
          <w:tcPr>
            <w:tcW w:w="968" w:type="dxa"/>
            <w:tcBorders>
              <w:top w:val="single" w:sz="4" w:space="0" w:color="auto"/>
            </w:tcBorders>
            <w:tcMar>
              <w:top w:w="60" w:type="dxa"/>
              <w:left w:w="80" w:type="dxa"/>
              <w:bottom w:w="60" w:type="dxa"/>
              <w:right w:w="80" w:type="dxa"/>
            </w:tcMar>
            <w:vAlign w:val="center"/>
          </w:tcPr>
          <w:p w14:paraId="440FB39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29692D1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4.00</w:t>
            </w:r>
          </w:p>
        </w:tc>
        <w:tc>
          <w:tcPr>
            <w:tcW w:w="984" w:type="dxa"/>
            <w:tcBorders>
              <w:top w:val="single" w:sz="4" w:space="0" w:color="auto"/>
            </w:tcBorders>
            <w:tcMar>
              <w:top w:w="60" w:type="dxa"/>
              <w:left w:w="80" w:type="dxa"/>
              <w:bottom w:w="60" w:type="dxa"/>
              <w:right w:w="80" w:type="dxa"/>
            </w:tcMar>
            <w:vAlign w:val="center"/>
          </w:tcPr>
          <w:p w14:paraId="42F40D5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18.00</w:t>
            </w:r>
          </w:p>
        </w:tc>
      </w:tr>
      <w:tr w:rsidR="00565CC6" w:rsidRPr="00513A9E" w14:paraId="5D41EAE9" w14:textId="77777777" w:rsidTr="00465BAE">
        <w:tc>
          <w:tcPr>
            <w:tcW w:w="2231" w:type="dxa"/>
            <w:vMerge/>
            <w:tcMar>
              <w:top w:w="60" w:type="dxa"/>
              <w:left w:w="80" w:type="dxa"/>
              <w:bottom w:w="60" w:type="dxa"/>
              <w:right w:w="80" w:type="dxa"/>
            </w:tcMar>
            <w:vAlign w:val="center"/>
          </w:tcPr>
          <w:p w14:paraId="44B81F27"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668FFF6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3D46AD6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12.00 ± 2.44</w:t>
            </w:r>
            <w:r w:rsidRPr="00513A9E">
              <w:rPr>
                <w:rFonts w:ascii="Times New Roman" w:hAnsi="Times New Roman" w:cs="Times New Roman"/>
                <w:vertAlign w:val="superscript"/>
                <w:lang w:val="en-US"/>
              </w:rPr>
              <w:t>a</w:t>
            </w:r>
          </w:p>
        </w:tc>
        <w:tc>
          <w:tcPr>
            <w:tcW w:w="1087" w:type="dxa"/>
            <w:tcMar>
              <w:top w:w="60" w:type="dxa"/>
              <w:left w:w="80" w:type="dxa"/>
              <w:bottom w:w="60" w:type="dxa"/>
              <w:right w:w="80" w:type="dxa"/>
            </w:tcMar>
            <w:vAlign w:val="center"/>
          </w:tcPr>
          <w:p w14:paraId="5B77E43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16.67</w:t>
            </w:r>
          </w:p>
        </w:tc>
        <w:tc>
          <w:tcPr>
            <w:tcW w:w="968" w:type="dxa"/>
            <w:tcMar>
              <w:top w:w="60" w:type="dxa"/>
              <w:left w:w="80" w:type="dxa"/>
              <w:bottom w:w="60" w:type="dxa"/>
              <w:right w:w="80" w:type="dxa"/>
            </w:tcMar>
            <w:vAlign w:val="center"/>
          </w:tcPr>
          <w:p w14:paraId="217C20D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3204139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84" w:type="dxa"/>
            <w:tcMar>
              <w:top w:w="60" w:type="dxa"/>
              <w:left w:w="80" w:type="dxa"/>
              <w:bottom w:w="60" w:type="dxa"/>
              <w:right w:w="80" w:type="dxa"/>
            </w:tcMar>
            <w:vAlign w:val="center"/>
          </w:tcPr>
          <w:p w14:paraId="617193D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w:t>
            </w:r>
          </w:p>
        </w:tc>
      </w:tr>
      <w:tr w:rsidR="00565CC6" w:rsidRPr="00513A9E" w14:paraId="6C575731" w14:textId="77777777" w:rsidTr="00465BAE">
        <w:tc>
          <w:tcPr>
            <w:tcW w:w="2231" w:type="dxa"/>
            <w:vMerge/>
            <w:tcMar>
              <w:top w:w="60" w:type="dxa"/>
              <w:left w:w="80" w:type="dxa"/>
              <w:bottom w:w="60" w:type="dxa"/>
              <w:right w:w="80" w:type="dxa"/>
            </w:tcMar>
            <w:vAlign w:val="center"/>
          </w:tcPr>
          <w:p w14:paraId="44DDC8E2"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0B70509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6ED02CB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20.00 ± 5.41</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4351028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68" w:type="dxa"/>
            <w:tcMar>
              <w:top w:w="60" w:type="dxa"/>
              <w:left w:w="80" w:type="dxa"/>
              <w:bottom w:w="60" w:type="dxa"/>
              <w:right w:w="80" w:type="dxa"/>
            </w:tcMar>
            <w:vAlign w:val="center"/>
          </w:tcPr>
          <w:p w14:paraId="15DA29B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6D8022C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w:t>
            </w:r>
          </w:p>
        </w:tc>
        <w:tc>
          <w:tcPr>
            <w:tcW w:w="984" w:type="dxa"/>
            <w:tcMar>
              <w:top w:w="60" w:type="dxa"/>
              <w:left w:w="80" w:type="dxa"/>
              <w:bottom w:w="60" w:type="dxa"/>
              <w:right w:w="80" w:type="dxa"/>
            </w:tcMar>
            <w:vAlign w:val="center"/>
          </w:tcPr>
          <w:p w14:paraId="67C42F4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r>
      <w:tr w:rsidR="00565CC6" w:rsidRPr="00513A9E" w14:paraId="7ADF7175" w14:textId="77777777" w:rsidTr="00465BAE">
        <w:tc>
          <w:tcPr>
            <w:tcW w:w="2231" w:type="dxa"/>
            <w:vMerge/>
            <w:tcMar>
              <w:top w:w="60" w:type="dxa"/>
              <w:left w:w="80" w:type="dxa"/>
              <w:bottom w:w="60" w:type="dxa"/>
              <w:right w:w="80" w:type="dxa"/>
            </w:tcMar>
            <w:vAlign w:val="center"/>
          </w:tcPr>
          <w:p w14:paraId="6DB8D1CF"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6655D85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0658D82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26.50 ± 1.91</w:t>
            </w:r>
            <w:r w:rsidRPr="00513A9E">
              <w:rPr>
                <w:rFonts w:ascii="Times New Roman" w:hAnsi="Times New Roman" w:cs="Times New Roman"/>
                <w:vertAlign w:val="superscript"/>
                <w:lang w:val="en-US"/>
              </w:rPr>
              <w:t>b</w:t>
            </w:r>
          </w:p>
        </w:tc>
        <w:tc>
          <w:tcPr>
            <w:tcW w:w="1087" w:type="dxa"/>
            <w:tcBorders>
              <w:bottom w:val="single" w:sz="4" w:space="0" w:color="auto"/>
            </w:tcBorders>
            <w:tcMar>
              <w:top w:w="60" w:type="dxa"/>
              <w:left w:w="80" w:type="dxa"/>
              <w:bottom w:w="60" w:type="dxa"/>
              <w:right w:w="80" w:type="dxa"/>
            </w:tcMar>
            <w:vAlign w:val="center"/>
          </w:tcPr>
          <w:p w14:paraId="1969D8A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5.80</w:t>
            </w:r>
          </w:p>
        </w:tc>
        <w:tc>
          <w:tcPr>
            <w:tcW w:w="968" w:type="dxa"/>
            <w:tcBorders>
              <w:bottom w:val="single" w:sz="4" w:space="0" w:color="auto"/>
            </w:tcBorders>
            <w:tcMar>
              <w:top w:w="60" w:type="dxa"/>
              <w:left w:w="80" w:type="dxa"/>
              <w:bottom w:w="60" w:type="dxa"/>
              <w:right w:w="80" w:type="dxa"/>
            </w:tcMar>
            <w:vAlign w:val="center"/>
          </w:tcPr>
          <w:p w14:paraId="0CA9D2F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6A0E319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84" w:type="dxa"/>
            <w:tcBorders>
              <w:bottom w:val="single" w:sz="4" w:space="0" w:color="auto"/>
            </w:tcBorders>
            <w:tcMar>
              <w:top w:w="60" w:type="dxa"/>
              <w:left w:w="80" w:type="dxa"/>
              <w:bottom w:w="60" w:type="dxa"/>
              <w:right w:w="80" w:type="dxa"/>
            </w:tcMar>
            <w:vAlign w:val="center"/>
          </w:tcPr>
          <w:p w14:paraId="3D90E64A"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28.00</w:t>
            </w:r>
          </w:p>
        </w:tc>
      </w:tr>
      <w:tr w:rsidR="00565CC6" w:rsidRPr="00513A9E" w14:paraId="0E4759C9" w14:textId="77777777" w:rsidTr="00465BAE">
        <w:tc>
          <w:tcPr>
            <w:tcW w:w="2231" w:type="dxa"/>
            <w:vMerge w:val="restart"/>
            <w:tcMar>
              <w:top w:w="60" w:type="dxa"/>
              <w:left w:w="80" w:type="dxa"/>
              <w:bottom w:w="60" w:type="dxa"/>
              <w:right w:w="80" w:type="dxa"/>
            </w:tcMar>
            <w:vAlign w:val="center"/>
          </w:tcPr>
          <w:p w14:paraId="691087C4" w14:textId="77777777"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Fruit diameter</w:t>
            </w:r>
          </w:p>
          <w:p w14:paraId="3A356A8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(cm)</w:t>
            </w:r>
          </w:p>
        </w:tc>
        <w:tc>
          <w:tcPr>
            <w:tcW w:w="1272" w:type="dxa"/>
            <w:tcBorders>
              <w:top w:val="single" w:sz="4" w:space="0" w:color="auto"/>
            </w:tcBorders>
            <w:tcMar>
              <w:top w:w="60" w:type="dxa"/>
              <w:left w:w="80" w:type="dxa"/>
              <w:bottom w:w="60" w:type="dxa"/>
              <w:right w:w="80" w:type="dxa"/>
            </w:tcMar>
            <w:vAlign w:val="center"/>
          </w:tcPr>
          <w:p w14:paraId="2E45A93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4178B450"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14.56 ± 0.89a</w:t>
            </w:r>
          </w:p>
        </w:tc>
        <w:tc>
          <w:tcPr>
            <w:tcW w:w="1087" w:type="dxa"/>
            <w:tcBorders>
              <w:top w:val="single" w:sz="4" w:space="0" w:color="auto"/>
            </w:tcBorders>
            <w:tcMar>
              <w:top w:w="60" w:type="dxa"/>
              <w:left w:w="80" w:type="dxa"/>
              <w:bottom w:w="60" w:type="dxa"/>
              <w:right w:w="80" w:type="dxa"/>
            </w:tcMar>
            <w:vAlign w:val="center"/>
          </w:tcPr>
          <w:p w14:paraId="4EAA300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5.52</w:t>
            </w:r>
          </w:p>
        </w:tc>
        <w:tc>
          <w:tcPr>
            <w:tcW w:w="968" w:type="dxa"/>
            <w:tcBorders>
              <w:top w:val="single" w:sz="4" w:space="0" w:color="auto"/>
            </w:tcBorders>
            <w:tcMar>
              <w:top w:w="60" w:type="dxa"/>
              <w:left w:w="80" w:type="dxa"/>
              <w:bottom w:w="60" w:type="dxa"/>
              <w:right w:w="80" w:type="dxa"/>
            </w:tcMar>
            <w:vAlign w:val="center"/>
          </w:tcPr>
          <w:p w14:paraId="7201B45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46705D1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13.70</w:t>
            </w:r>
          </w:p>
        </w:tc>
        <w:tc>
          <w:tcPr>
            <w:tcW w:w="984" w:type="dxa"/>
            <w:tcBorders>
              <w:top w:val="single" w:sz="4" w:space="0" w:color="auto"/>
            </w:tcBorders>
            <w:tcMar>
              <w:top w:w="60" w:type="dxa"/>
              <w:left w:w="80" w:type="dxa"/>
              <w:bottom w:w="60" w:type="dxa"/>
              <w:right w:w="80" w:type="dxa"/>
            </w:tcMar>
            <w:vAlign w:val="center"/>
          </w:tcPr>
          <w:p w14:paraId="5FB06CB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15.30</w:t>
            </w:r>
          </w:p>
        </w:tc>
      </w:tr>
      <w:tr w:rsidR="00565CC6" w:rsidRPr="00513A9E" w14:paraId="7F29495E" w14:textId="77777777" w:rsidTr="00465BAE">
        <w:tc>
          <w:tcPr>
            <w:tcW w:w="2231" w:type="dxa"/>
            <w:vMerge/>
            <w:tcMar>
              <w:top w:w="60" w:type="dxa"/>
              <w:left w:w="80" w:type="dxa"/>
              <w:bottom w:w="60" w:type="dxa"/>
              <w:right w:w="80" w:type="dxa"/>
            </w:tcMar>
            <w:vAlign w:val="center"/>
          </w:tcPr>
          <w:p w14:paraId="624C3B6D"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2190A26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44B3598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14.70 ± 0.70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2F7D8F0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4.76</w:t>
            </w:r>
          </w:p>
        </w:tc>
        <w:tc>
          <w:tcPr>
            <w:tcW w:w="968" w:type="dxa"/>
            <w:tcMar>
              <w:top w:w="60" w:type="dxa"/>
              <w:left w:w="80" w:type="dxa"/>
              <w:bottom w:w="60" w:type="dxa"/>
              <w:right w:w="80" w:type="dxa"/>
            </w:tcMar>
            <w:vAlign w:val="center"/>
          </w:tcPr>
          <w:p w14:paraId="7EE46E8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1C714EB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w:t>
            </w:r>
          </w:p>
        </w:tc>
        <w:tc>
          <w:tcPr>
            <w:tcW w:w="984" w:type="dxa"/>
            <w:tcMar>
              <w:top w:w="60" w:type="dxa"/>
              <w:left w:w="80" w:type="dxa"/>
              <w:bottom w:w="60" w:type="dxa"/>
              <w:right w:w="80" w:type="dxa"/>
            </w:tcMar>
            <w:vAlign w:val="center"/>
          </w:tcPr>
          <w:p w14:paraId="41E4BCB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15.40</w:t>
            </w:r>
          </w:p>
        </w:tc>
      </w:tr>
      <w:tr w:rsidR="00565CC6" w:rsidRPr="00513A9E" w14:paraId="3085FCA7" w14:textId="77777777" w:rsidTr="00465BAE">
        <w:tc>
          <w:tcPr>
            <w:tcW w:w="2231" w:type="dxa"/>
            <w:vMerge/>
            <w:tcMar>
              <w:top w:w="60" w:type="dxa"/>
              <w:left w:w="80" w:type="dxa"/>
              <w:bottom w:w="60" w:type="dxa"/>
              <w:right w:w="80" w:type="dxa"/>
            </w:tcMar>
            <w:vAlign w:val="center"/>
          </w:tcPr>
          <w:p w14:paraId="6DF08984"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3FD87C3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6F22668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14.90 ± 1.62</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15C34DD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68" w:type="dxa"/>
            <w:tcMar>
              <w:top w:w="60" w:type="dxa"/>
              <w:left w:w="80" w:type="dxa"/>
              <w:bottom w:w="60" w:type="dxa"/>
              <w:right w:w="80" w:type="dxa"/>
            </w:tcMar>
            <w:vAlign w:val="center"/>
          </w:tcPr>
          <w:p w14:paraId="008ED97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0338D32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13.50</w:t>
            </w:r>
          </w:p>
        </w:tc>
        <w:tc>
          <w:tcPr>
            <w:tcW w:w="984" w:type="dxa"/>
            <w:tcMar>
              <w:top w:w="60" w:type="dxa"/>
              <w:left w:w="80" w:type="dxa"/>
              <w:bottom w:w="60" w:type="dxa"/>
              <w:right w:w="80" w:type="dxa"/>
            </w:tcMar>
            <w:vAlign w:val="center"/>
          </w:tcPr>
          <w:p w14:paraId="3609C98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16.50</w:t>
            </w:r>
          </w:p>
        </w:tc>
      </w:tr>
      <w:tr w:rsidR="00565CC6" w:rsidRPr="00513A9E" w14:paraId="0529CDA2" w14:textId="77777777" w:rsidTr="00465BAE">
        <w:tc>
          <w:tcPr>
            <w:tcW w:w="2231" w:type="dxa"/>
            <w:vMerge/>
            <w:tcMar>
              <w:top w:w="60" w:type="dxa"/>
              <w:left w:w="80" w:type="dxa"/>
              <w:bottom w:w="60" w:type="dxa"/>
              <w:right w:w="80" w:type="dxa"/>
            </w:tcMar>
            <w:vAlign w:val="center"/>
          </w:tcPr>
          <w:p w14:paraId="1F3A5668"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1C118F0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68A9B33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16.93 ± 0.68</w:t>
            </w:r>
            <w:r w:rsidRPr="00513A9E">
              <w:rPr>
                <w:rFonts w:ascii="Times New Roman" w:hAnsi="Times New Roman" w:cs="Times New Roman"/>
                <w:vertAlign w:val="superscript"/>
                <w:lang w:val="en-US"/>
              </w:rPr>
              <w:t>b</w:t>
            </w:r>
          </w:p>
        </w:tc>
        <w:tc>
          <w:tcPr>
            <w:tcW w:w="1087" w:type="dxa"/>
            <w:tcBorders>
              <w:bottom w:val="single" w:sz="4" w:space="0" w:color="auto"/>
            </w:tcBorders>
            <w:tcMar>
              <w:top w:w="60" w:type="dxa"/>
              <w:left w:w="80" w:type="dxa"/>
              <w:bottom w:w="60" w:type="dxa"/>
              <w:right w:w="80" w:type="dxa"/>
            </w:tcMar>
            <w:vAlign w:val="center"/>
          </w:tcPr>
          <w:p w14:paraId="514C7E5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3.53</w:t>
            </w:r>
          </w:p>
        </w:tc>
        <w:tc>
          <w:tcPr>
            <w:tcW w:w="968" w:type="dxa"/>
            <w:tcBorders>
              <w:bottom w:val="single" w:sz="4" w:space="0" w:color="auto"/>
            </w:tcBorders>
            <w:tcMar>
              <w:top w:w="60" w:type="dxa"/>
              <w:left w:w="80" w:type="dxa"/>
              <w:bottom w:w="60" w:type="dxa"/>
              <w:right w:w="80" w:type="dxa"/>
            </w:tcMar>
            <w:vAlign w:val="center"/>
          </w:tcPr>
          <w:p w14:paraId="7E9704F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02A6C7F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16.40</w:t>
            </w:r>
          </w:p>
        </w:tc>
        <w:tc>
          <w:tcPr>
            <w:tcW w:w="984" w:type="dxa"/>
            <w:tcBorders>
              <w:bottom w:val="single" w:sz="4" w:space="0" w:color="auto"/>
            </w:tcBorders>
            <w:tcMar>
              <w:top w:w="60" w:type="dxa"/>
              <w:left w:w="80" w:type="dxa"/>
              <w:bottom w:w="60" w:type="dxa"/>
              <w:right w:w="80" w:type="dxa"/>
            </w:tcMar>
            <w:vAlign w:val="center"/>
          </w:tcPr>
          <w:p w14:paraId="5351D37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17.60</w:t>
            </w:r>
          </w:p>
        </w:tc>
      </w:tr>
      <w:tr w:rsidR="00565CC6" w:rsidRPr="00513A9E" w14:paraId="3E1AE17E" w14:textId="77777777" w:rsidTr="00465BAE">
        <w:tc>
          <w:tcPr>
            <w:tcW w:w="2231" w:type="dxa"/>
            <w:vMerge w:val="restart"/>
            <w:tcMar>
              <w:top w:w="60" w:type="dxa"/>
              <w:left w:w="80" w:type="dxa"/>
              <w:bottom w:w="60" w:type="dxa"/>
              <w:right w:w="80" w:type="dxa"/>
            </w:tcMar>
            <w:vAlign w:val="center"/>
          </w:tcPr>
          <w:p w14:paraId="2FC264B8" w14:textId="77777777"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Fruit mass</w:t>
            </w:r>
          </w:p>
          <w:p w14:paraId="4F9EA86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(g)</w:t>
            </w:r>
          </w:p>
        </w:tc>
        <w:tc>
          <w:tcPr>
            <w:tcW w:w="1272" w:type="dxa"/>
            <w:tcBorders>
              <w:top w:val="single" w:sz="4" w:space="0" w:color="auto"/>
            </w:tcBorders>
            <w:tcMar>
              <w:top w:w="60" w:type="dxa"/>
              <w:left w:w="80" w:type="dxa"/>
              <w:bottom w:w="60" w:type="dxa"/>
              <w:right w:w="80" w:type="dxa"/>
            </w:tcMar>
            <w:vAlign w:val="center"/>
          </w:tcPr>
          <w:p w14:paraId="14AF752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2A2E04B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75.37 ± 18.72</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4277355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24.00</w:t>
            </w:r>
          </w:p>
        </w:tc>
        <w:tc>
          <w:tcPr>
            <w:tcW w:w="968" w:type="dxa"/>
            <w:tcBorders>
              <w:top w:val="single" w:sz="4" w:space="0" w:color="auto"/>
            </w:tcBorders>
            <w:tcMar>
              <w:top w:w="60" w:type="dxa"/>
              <w:left w:w="80" w:type="dxa"/>
              <w:bottom w:w="60" w:type="dxa"/>
              <w:right w:w="80" w:type="dxa"/>
            </w:tcMar>
            <w:vAlign w:val="center"/>
          </w:tcPr>
          <w:p w14:paraId="7245730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6D5A2D5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57.00</w:t>
            </w:r>
          </w:p>
        </w:tc>
        <w:tc>
          <w:tcPr>
            <w:tcW w:w="984" w:type="dxa"/>
            <w:tcBorders>
              <w:top w:val="single" w:sz="4" w:space="0" w:color="auto"/>
            </w:tcBorders>
            <w:tcMar>
              <w:top w:w="60" w:type="dxa"/>
              <w:left w:w="80" w:type="dxa"/>
              <w:bottom w:w="60" w:type="dxa"/>
              <w:right w:w="80" w:type="dxa"/>
            </w:tcMar>
            <w:vAlign w:val="center"/>
          </w:tcPr>
          <w:p w14:paraId="3789D77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93.00</w:t>
            </w:r>
          </w:p>
        </w:tc>
      </w:tr>
      <w:tr w:rsidR="00565CC6" w:rsidRPr="00513A9E" w14:paraId="77E3BD48" w14:textId="77777777" w:rsidTr="00465BAE">
        <w:tc>
          <w:tcPr>
            <w:tcW w:w="2231" w:type="dxa"/>
            <w:vMerge/>
            <w:tcMar>
              <w:top w:w="60" w:type="dxa"/>
              <w:left w:w="80" w:type="dxa"/>
              <w:bottom w:w="60" w:type="dxa"/>
              <w:right w:w="80" w:type="dxa"/>
            </w:tcMar>
            <w:vAlign w:val="center"/>
          </w:tcPr>
          <w:p w14:paraId="284977A4"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257F926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2A1FC89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80.34 ± 8.88</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205E2C0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10.00</w:t>
            </w:r>
          </w:p>
        </w:tc>
        <w:tc>
          <w:tcPr>
            <w:tcW w:w="968" w:type="dxa"/>
            <w:tcMar>
              <w:top w:w="60" w:type="dxa"/>
              <w:left w:w="80" w:type="dxa"/>
              <w:bottom w:w="60" w:type="dxa"/>
              <w:right w:w="80" w:type="dxa"/>
            </w:tcMar>
            <w:vAlign w:val="center"/>
          </w:tcPr>
          <w:p w14:paraId="57CC021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4878849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72.00</w:t>
            </w:r>
          </w:p>
        </w:tc>
        <w:tc>
          <w:tcPr>
            <w:tcW w:w="984" w:type="dxa"/>
            <w:tcMar>
              <w:top w:w="60" w:type="dxa"/>
              <w:left w:w="80" w:type="dxa"/>
              <w:bottom w:w="60" w:type="dxa"/>
              <w:right w:w="80" w:type="dxa"/>
            </w:tcMar>
            <w:vAlign w:val="center"/>
          </w:tcPr>
          <w:p w14:paraId="52829D9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88.00</w:t>
            </w:r>
          </w:p>
        </w:tc>
      </w:tr>
      <w:tr w:rsidR="00565CC6" w:rsidRPr="00513A9E" w14:paraId="3F06F215" w14:textId="77777777" w:rsidTr="00465BAE">
        <w:tc>
          <w:tcPr>
            <w:tcW w:w="2231" w:type="dxa"/>
            <w:vMerge/>
            <w:tcMar>
              <w:top w:w="60" w:type="dxa"/>
              <w:left w:w="80" w:type="dxa"/>
              <w:bottom w:w="60" w:type="dxa"/>
              <w:right w:w="80" w:type="dxa"/>
            </w:tcMar>
            <w:vAlign w:val="center"/>
          </w:tcPr>
          <w:p w14:paraId="76E16BCA" w14:textId="77777777" w:rsidR="00565CC6" w:rsidRPr="00513A9E" w:rsidRDefault="00565CC6" w:rsidP="00D412ED">
            <w:pPr>
              <w:jc w:val="center"/>
              <w:rPr>
                <w:rFonts w:ascii="Times New Roman" w:hAnsi="Times New Roman" w:cs="Times New Roman"/>
                <w:lang w:val="en-US"/>
              </w:rPr>
            </w:pPr>
          </w:p>
        </w:tc>
        <w:tc>
          <w:tcPr>
            <w:tcW w:w="1272" w:type="dxa"/>
            <w:tcMar>
              <w:top w:w="60" w:type="dxa"/>
              <w:left w:w="80" w:type="dxa"/>
              <w:bottom w:w="60" w:type="dxa"/>
              <w:right w:w="80" w:type="dxa"/>
            </w:tcMar>
            <w:vAlign w:val="center"/>
          </w:tcPr>
          <w:p w14:paraId="40F10F4E"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7AE504F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105.57 ± 12.28</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3EFC6B9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11.43</w:t>
            </w:r>
          </w:p>
        </w:tc>
        <w:tc>
          <w:tcPr>
            <w:tcW w:w="968" w:type="dxa"/>
            <w:tcMar>
              <w:top w:w="60" w:type="dxa"/>
              <w:left w:w="80" w:type="dxa"/>
              <w:bottom w:w="60" w:type="dxa"/>
              <w:right w:w="80" w:type="dxa"/>
            </w:tcMar>
            <w:vAlign w:val="center"/>
          </w:tcPr>
          <w:p w14:paraId="74B792F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418EAA4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93.00</w:t>
            </w:r>
          </w:p>
        </w:tc>
        <w:tc>
          <w:tcPr>
            <w:tcW w:w="984" w:type="dxa"/>
            <w:tcMar>
              <w:top w:w="60" w:type="dxa"/>
              <w:left w:w="80" w:type="dxa"/>
              <w:bottom w:w="60" w:type="dxa"/>
              <w:right w:w="80" w:type="dxa"/>
            </w:tcMar>
            <w:vAlign w:val="center"/>
          </w:tcPr>
          <w:p w14:paraId="19286DB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117.00</w:t>
            </w:r>
          </w:p>
        </w:tc>
      </w:tr>
      <w:tr w:rsidR="00565CC6" w:rsidRPr="00513A9E" w14:paraId="17FBEB01" w14:textId="77777777" w:rsidTr="00465BAE">
        <w:tc>
          <w:tcPr>
            <w:tcW w:w="2231" w:type="dxa"/>
            <w:vMerge/>
            <w:tcMar>
              <w:top w:w="60" w:type="dxa"/>
              <w:left w:w="80" w:type="dxa"/>
              <w:bottom w:w="60" w:type="dxa"/>
              <w:right w:w="80" w:type="dxa"/>
            </w:tcMar>
            <w:vAlign w:val="center"/>
          </w:tcPr>
          <w:p w14:paraId="0881E43A" w14:textId="77777777" w:rsidR="00565CC6" w:rsidRPr="00513A9E" w:rsidRDefault="00565CC6" w:rsidP="00D412ED">
            <w:pPr>
              <w:jc w:val="cente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7A1D3B5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4E797FB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145.90 ± 4.66</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26269CD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3.45</w:t>
            </w:r>
          </w:p>
        </w:tc>
        <w:tc>
          <w:tcPr>
            <w:tcW w:w="968" w:type="dxa"/>
            <w:tcBorders>
              <w:bottom w:val="single" w:sz="4" w:space="0" w:color="auto"/>
            </w:tcBorders>
            <w:tcMar>
              <w:top w:w="60" w:type="dxa"/>
              <w:left w:w="80" w:type="dxa"/>
              <w:bottom w:w="60" w:type="dxa"/>
              <w:right w:w="80" w:type="dxa"/>
            </w:tcMar>
            <w:vAlign w:val="center"/>
          </w:tcPr>
          <w:p w14:paraId="325B2DB5"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6EF5578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140.00</w:t>
            </w:r>
          </w:p>
        </w:tc>
        <w:tc>
          <w:tcPr>
            <w:tcW w:w="984" w:type="dxa"/>
            <w:tcBorders>
              <w:bottom w:val="single" w:sz="4" w:space="0" w:color="auto"/>
            </w:tcBorders>
            <w:tcMar>
              <w:top w:w="60" w:type="dxa"/>
              <w:left w:w="80" w:type="dxa"/>
              <w:bottom w:w="60" w:type="dxa"/>
              <w:right w:w="80" w:type="dxa"/>
            </w:tcMar>
            <w:vAlign w:val="center"/>
          </w:tcPr>
          <w:p w14:paraId="552C1A5B"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150.00</w:t>
            </w:r>
          </w:p>
        </w:tc>
      </w:tr>
      <w:tr w:rsidR="00565CC6" w:rsidRPr="00513A9E" w14:paraId="57B70242" w14:textId="77777777" w:rsidTr="00465BAE">
        <w:tc>
          <w:tcPr>
            <w:tcW w:w="2231" w:type="dxa"/>
            <w:vMerge w:val="restart"/>
            <w:tcMar>
              <w:top w:w="60" w:type="dxa"/>
              <w:left w:w="80" w:type="dxa"/>
              <w:bottom w:w="60" w:type="dxa"/>
              <w:right w:w="80" w:type="dxa"/>
            </w:tcMar>
            <w:vAlign w:val="center"/>
          </w:tcPr>
          <w:p w14:paraId="367345F4" w14:textId="77777777" w:rsidR="00565CC6" w:rsidRPr="00513A9E" w:rsidRDefault="00565CC6" w:rsidP="00D412ED">
            <w:pPr>
              <w:jc w:val="center"/>
              <w:rPr>
                <w:rFonts w:ascii="Times New Roman" w:hAnsi="Times New Roman" w:cs="Times New Roman"/>
                <w:b/>
                <w:bCs/>
                <w:lang w:val="en-US"/>
              </w:rPr>
            </w:pPr>
            <w:r w:rsidRPr="00513A9E">
              <w:rPr>
                <w:rFonts w:ascii="Times New Roman" w:hAnsi="Times New Roman" w:cs="Times New Roman"/>
                <w:b/>
                <w:bCs/>
                <w:lang w:val="en-US"/>
              </w:rPr>
              <w:t>Estimated yield</w:t>
            </w:r>
          </w:p>
          <w:p w14:paraId="7F4F6B24"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b/>
                <w:bCs/>
                <w:lang w:val="en-US"/>
              </w:rPr>
              <w:t>(kg ha⁻¹)</w:t>
            </w:r>
          </w:p>
        </w:tc>
        <w:tc>
          <w:tcPr>
            <w:tcW w:w="1272" w:type="dxa"/>
            <w:tcBorders>
              <w:top w:val="single" w:sz="4" w:space="0" w:color="auto"/>
            </w:tcBorders>
            <w:tcMar>
              <w:top w:w="60" w:type="dxa"/>
              <w:left w:w="80" w:type="dxa"/>
              <w:bottom w:w="60" w:type="dxa"/>
              <w:right w:w="80" w:type="dxa"/>
            </w:tcMar>
            <w:vAlign w:val="center"/>
          </w:tcPr>
          <w:p w14:paraId="24CE4B8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TM</w:t>
            </w:r>
          </w:p>
        </w:tc>
        <w:tc>
          <w:tcPr>
            <w:tcW w:w="2052" w:type="dxa"/>
            <w:tcBorders>
              <w:top w:val="single" w:sz="4" w:space="0" w:color="auto"/>
            </w:tcBorders>
            <w:tcMar>
              <w:top w:w="60" w:type="dxa"/>
              <w:left w:w="80" w:type="dxa"/>
              <w:bottom w:w="60" w:type="dxa"/>
              <w:right w:w="80" w:type="dxa"/>
            </w:tcMar>
            <w:vAlign w:val="center"/>
          </w:tcPr>
          <w:p w14:paraId="1935234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2605.70 ± 700</w:t>
            </w:r>
            <w:r w:rsidRPr="00513A9E">
              <w:rPr>
                <w:rFonts w:ascii="Times New Roman" w:hAnsi="Times New Roman" w:cs="Times New Roman"/>
                <w:vertAlign w:val="superscript"/>
                <w:lang w:val="en-US"/>
              </w:rPr>
              <w:t>a</w:t>
            </w:r>
          </w:p>
        </w:tc>
        <w:tc>
          <w:tcPr>
            <w:tcW w:w="1087" w:type="dxa"/>
            <w:tcBorders>
              <w:top w:val="single" w:sz="4" w:space="0" w:color="auto"/>
            </w:tcBorders>
            <w:tcMar>
              <w:top w:w="60" w:type="dxa"/>
              <w:left w:w="80" w:type="dxa"/>
              <w:bottom w:w="60" w:type="dxa"/>
              <w:right w:w="80" w:type="dxa"/>
            </w:tcMar>
            <w:vAlign w:val="center"/>
          </w:tcPr>
          <w:p w14:paraId="269770C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26.92</w:t>
            </w:r>
          </w:p>
        </w:tc>
        <w:tc>
          <w:tcPr>
            <w:tcW w:w="968" w:type="dxa"/>
            <w:tcBorders>
              <w:top w:val="single" w:sz="4" w:space="0" w:color="auto"/>
            </w:tcBorders>
            <w:tcMar>
              <w:top w:w="60" w:type="dxa"/>
              <w:left w:w="80" w:type="dxa"/>
              <w:bottom w:w="60" w:type="dxa"/>
              <w:right w:w="80" w:type="dxa"/>
            </w:tcMar>
            <w:vAlign w:val="center"/>
          </w:tcPr>
          <w:p w14:paraId="1ACF34A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top w:val="single" w:sz="4" w:space="0" w:color="auto"/>
            </w:tcBorders>
            <w:tcMar>
              <w:top w:w="60" w:type="dxa"/>
              <w:left w:w="80" w:type="dxa"/>
              <w:bottom w:w="60" w:type="dxa"/>
              <w:right w:w="80" w:type="dxa"/>
            </w:tcMar>
            <w:vAlign w:val="center"/>
          </w:tcPr>
          <w:p w14:paraId="1A24A04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1900</w:t>
            </w:r>
          </w:p>
        </w:tc>
        <w:tc>
          <w:tcPr>
            <w:tcW w:w="984" w:type="dxa"/>
            <w:tcBorders>
              <w:top w:val="single" w:sz="4" w:space="0" w:color="auto"/>
            </w:tcBorders>
            <w:tcMar>
              <w:top w:w="60" w:type="dxa"/>
              <w:left w:w="80" w:type="dxa"/>
              <w:bottom w:w="60" w:type="dxa"/>
              <w:right w:w="80" w:type="dxa"/>
            </w:tcMar>
            <w:vAlign w:val="center"/>
          </w:tcPr>
          <w:p w14:paraId="0A25659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3300</w:t>
            </w:r>
          </w:p>
        </w:tc>
      </w:tr>
      <w:tr w:rsidR="00565CC6" w:rsidRPr="00513A9E" w14:paraId="4351092C" w14:textId="77777777" w:rsidTr="00465BAE">
        <w:tc>
          <w:tcPr>
            <w:tcW w:w="2231" w:type="dxa"/>
            <w:vMerge/>
            <w:tcMar>
              <w:top w:w="60" w:type="dxa"/>
              <w:left w:w="80" w:type="dxa"/>
              <w:bottom w:w="60" w:type="dxa"/>
              <w:right w:w="80" w:type="dxa"/>
            </w:tcMar>
            <w:vAlign w:val="center"/>
          </w:tcPr>
          <w:p w14:paraId="22DE84DB" w14:textId="77777777" w:rsidR="00565CC6" w:rsidRPr="00513A9E" w:rsidRDefault="00565CC6" w:rsidP="00D412ED">
            <w:pPr>
              <w:rPr>
                <w:rFonts w:ascii="Times New Roman" w:hAnsi="Times New Roman" w:cs="Times New Roman"/>
                <w:lang w:val="en-US"/>
              </w:rPr>
            </w:pPr>
          </w:p>
        </w:tc>
        <w:tc>
          <w:tcPr>
            <w:tcW w:w="1272" w:type="dxa"/>
            <w:tcMar>
              <w:top w:w="60" w:type="dxa"/>
              <w:left w:w="80" w:type="dxa"/>
              <w:bottom w:w="60" w:type="dxa"/>
              <w:right w:w="80" w:type="dxa"/>
            </w:tcMar>
            <w:vAlign w:val="center"/>
          </w:tcPr>
          <w:p w14:paraId="4D9B881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TN</w:t>
            </w:r>
          </w:p>
        </w:tc>
        <w:tc>
          <w:tcPr>
            <w:tcW w:w="2052" w:type="dxa"/>
            <w:tcMar>
              <w:top w:w="60" w:type="dxa"/>
              <w:left w:w="80" w:type="dxa"/>
              <w:bottom w:w="60" w:type="dxa"/>
              <w:right w:w="80" w:type="dxa"/>
            </w:tcMar>
            <w:vAlign w:val="center"/>
          </w:tcPr>
          <w:p w14:paraId="62C0E5F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2811.90 ± 400</w:t>
            </w:r>
            <w:r w:rsidRPr="00513A9E">
              <w:rPr>
                <w:rFonts w:ascii="Times New Roman" w:hAnsi="Times New Roman" w:cs="Times New Roman"/>
                <w:vertAlign w:val="superscript"/>
                <w:lang w:val="en-US"/>
              </w:rPr>
              <w:t>ab</w:t>
            </w:r>
          </w:p>
        </w:tc>
        <w:tc>
          <w:tcPr>
            <w:tcW w:w="1087" w:type="dxa"/>
            <w:tcMar>
              <w:top w:w="60" w:type="dxa"/>
              <w:left w:w="80" w:type="dxa"/>
              <w:bottom w:w="60" w:type="dxa"/>
              <w:right w:w="80" w:type="dxa"/>
            </w:tcMar>
            <w:vAlign w:val="center"/>
          </w:tcPr>
          <w:p w14:paraId="1D425DF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10.71</w:t>
            </w:r>
          </w:p>
        </w:tc>
        <w:tc>
          <w:tcPr>
            <w:tcW w:w="968" w:type="dxa"/>
            <w:tcMar>
              <w:top w:w="60" w:type="dxa"/>
              <w:left w:w="80" w:type="dxa"/>
              <w:bottom w:w="60" w:type="dxa"/>
              <w:right w:w="80" w:type="dxa"/>
            </w:tcMar>
            <w:vAlign w:val="center"/>
          </w:tcPr>
          <w:p w14:paraId="161B998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3BDDD737"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2500</w:t>
            </w:r>
          </w:p>
        </w:tc>
        <w:tc>
          <w:tcPr>
            <w:tcW w:w="984" w:type="dxa"/>
            <w:tcMar>
              <w:top w:w="60" w:type="dxa"/>
              <w:left w:w="80" w:type="dxa"/>
              <w:bottom w:w="60" w:type="dxa"/>
              <w:right w:w="80" w:type="dxa"/>
            </w:tcMar>
            <w:vAlign w:val="center"/>
          </w:tcPr>
          <w:p w14:paraId="48962688"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3100</w:t>
            </w:r>
          </w:p>
        </w:tc>
      </w:tr>
      <w:tr w:rsidR="00565CC6" w:rsidRPr="00513A9E" w14:paraId="6358D73F" w14:textId="77777777" w:rsidTr="00465BAE">
        <w:tc>
          <w:tcPr>
            <w:tcW w:w="2231" w:type="dxa"/>
            <w:vMerge/>
            <w:tcMar>
              <w:top w:w="60" w:type="dxa"/>
              <w:left w:w="80" w:type="dxa"/>
              <w:bottom w:w="60" w:type="dxa"/>
              <w:right w:w="80" w:type="dxa"/>
            </w:tcMar>
            <w:vAlign w:val="center"/>
          </w:tcPr>
          <w:p w14:paraId="16D9A7B1" w14:textId="77777777" w:rsidR="00565CC6" w:rsidRPr="00513A9E" w:rsidRDefault="00565CC6" w:rsidP="00D412ED">
            <w:pPr>
              <w:rPr>
                <w:rFonts w:ascii="Times New Roman" w:hAnsi="Times New Roman" w:cs="Times New Roman"/>
                <w:lang w:val="en-US"/>
              </w:rPr>
            </w:pPr>
          </w:p>
        </w:tc>
        <w:tc>
          <w:tcPr>
            <w:tcW w:w="1272" w:type="dxa"/>
            <w:tcMar>
              <w:top w:w="60" w:type="dxa"/>
              <w:left w:w="80" w:type="dxa"/>
              <w:bottom w:w="60" w:type="dxa"/>
              <w:right w:w="80" w:type="dxa"/>
            </w:tcMar>
            <w:vAlign w:val="center"/>
          </w:tcPr>
          <w:p w14:paraId="3702E87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TP</w:t>
            </w:r>
          </w:p>
        </w:tc>
        <w:tc>
          <w:tcPr>
            <w:tcW w:w="2052" w:type="dxa"/>
            <w:tcMar>
              <w:top w:w="60" w:type="dxa"/>
              <w:left w:w="80" w:type="dxa"/>
              <w:bottom w:w="60" w:type="dxa"/>
              <w:right w:w="80" w:type="dxa"/>
            </w:tcMar>
            <w:vAlign w:val="center"/>
          </w:tcPr>
          <w:p w14:paraId="059C51A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3694.95 ± 400</w:t>
            </w:r>
            <w:r w:rsidRPr="00513A9E">
              <w:rPr>
                <w:rFonts w:ascii="Times New Roman" w:hAnsi="Times New Roman" w:cs="Times New Roman"/>
                <w:vertAlign w:val="superscript"/>
                <w:lang w:val="en-US"/>
              </w:rPr>
              <w:t>b</w:t>
            </w:r>
          </w:p>
        </w:tc>
        <w:tc>
          <w:tcPr>
            <w:tcW w:w="1087" w:type="dxa"/>
            <w:tcMar>
              <w:top w:w="60" w:type="dxa"/>
              <w:left w:w="80" w:type="dxa"/>
              <w:bottom w:w="60" w:type="dxa"/>
              <w:right w:w="80" w:type="dxa"/>
            </w:tcMar>
            <w:vAlign w:val="center"/>
          </w:tcPr>
          <w:p w14:paraId="58F45CC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10.81</w:t>
            </w:r>
          </w:p>
        </w:tc>
        <w:tc>
          <w:tcPr>
            <w:tcW w:w="968" w:type="dxa"/>
            <w:tcMar>
              <w:top w:w="60" w:type="dxa"/>
              <w:left w:w="80" w:type="dxa"/>
              <w:bottom w:w="60" w:type="dxa"/>
              <w:right w:w="80" w:type="dxa"/>
            </w:tcMar>
            <w:vAlign w:val="center"/>
          </w:tcPr>
          <w:p w14:paraId="3197856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Mar>
              <w:top w:w="60" w:type="dxa"/>
              <w:left w:w="80" w:type="dxa"/>
              <w:bottom w:w="60" w:type="dxa"/>
              <w:right w:w="80" w:type="dxa"/>
            </w:tcMar>
            <w:vAlign w:val="center"/>
          </w:tcPr>
          <w:p w14:paraId="1CE65F3F"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3300</w:t>
            </w:r>
          </w:p>
        </w:tc>
        <w:tc>
          <w:tcPr>
            <w:tcW w:w="984" w:type="dxa"/>
            <w:tcMar>
              <w:top w:w="60" w:type="dxa"/>
              <w:left w:w="80" w:type="dxa"/>
              <w:bottom w:w="60" w:type="dxa"/>
              <w:right w:w="80" w:type="dxa"/>
            </w:tcMar>
            <w:vAlign w:val="center"/>
          </w:tcPr>
          <w:p w14:paraId="4CE0B3A6"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4100</w:t>
            </w:r>
          </w:p>
        </w:tc>
      </w:tr>
      <w:tr w:rsidR="00565CC6" w:rsidRPr="00513A9E" w14:paraId="7FBD430D" w14:textId="77777777" w:rsidTr="00465BAE">
        <w:tc>
          <w:tcPr>
            <w:tcW w:w="2231" w:type="dxa"/>
            <w:vMerge/>
            <w:tcBorders>
              <w:bottom w:val="single" w:sz="4" w:space="0" w:color="auto"/>
            </w:tcBorders>
            <w:tcMar>
              <w:top w:w="60" w:type="dxa"/>
              <w:left w:w="80" w:type="dxa"/>
              <w:bottom w:w="60" w:type="dxa"/>
              <w:right w:w="80" w:type="dxa"/>
            </w:tcMar>
            <w:vAlign w:val="center"/>
          </w:tcPr>
          <w:p w14:paraId="624673F6" w14:textId="77777777" w:rsidR="00565CC6" w:rsidRPr="00513A9E" w:rsidRDefault="00565CC6" w:rsidP="00D412ED">
            <w:pPr>
              <w:rPr>
                <w:rFonts w:ascii="Times New Roman" w:hAnsi="Times New Roman" w:cs="Times New Roman"/>
                <w:lang w:val="en-US"/>
              </w:rPr>
            </w:pPr>
          </w:p>
        </w:tc>
        <w:tc>
          <w:tcPr>
            <w:tcW w:w="1272" w:type="dxa"/>
            <w:tcBorders>
              <w:bottom w:val="single" w:sz="4" w:space="0" w:color="auto"/>
            </w:tcBorders>
            <w:tcMar>
              <w:top w:w="60" w:type="dxa"/>
              <w:left w:w="80" w:type="dxa"/>
              <w:bottom w:w="60" w:type="dxa"/>
              <w:right w:w="80" w:type="dxa"/>
            </w:tcMar>
            <w:vAlign w:val="center"/>
          </w:tcPr>
          <w:p w14:paraId="43DB89AC"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TC</w:t>
            </w:r>
          </w:p>
        </w:tc>
        <w:tc>
          <w:tcPr>
            <w:tcW w:w="2052" w:type="dxa"/>
            <w:tcBorders>
              <w:bottom w:val="single" w:sz="4" w:space="0" w:color="auto"/>
            </w:tcBorders>
            <w:tcMar>
              <w:top w:w="60" w:type="dxa"/>
              <w:left w:w="80" w:type="dxa"/>
              <w:bottom w:w="60" w:type="dxa"/>
              <w:right w:w="80" w:type="dxa"/>
            </w:tcMar>
            <w:vAlign w:val="center"/>
          </w:tcPr>
          <w:p w14:paraId="583D5523"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5106.76 ± 200</w:t>
            </w:r>
            <w:r w:rsidRPr="00513A9E">
              <w:rPr>
                <w:rFonts w:ascii="Times New Roman" w:hAnsi="Times New Roman" w:cs="Times New Roman"/>
                <w:vertAlign w:val="superscript"/>
                <w:lang w:val="en-US"/>
              </w:rPr>
              <w:t>c</w:t>
            </w:r>
          </w:p>
        </w:tc>
        <w:tc>
          <w:tcPr>
            <w:tcW w:w="1087" w:type="dxa"/>
            <w:tcBorders>
              <w:bottom w:val="single" w:sz="4" w:space="0" w:color="auto"/>
            </w:tcBorders>
            <w:tcMar>
              <w:top w:w="60" w:type="dxa"/>
              <w:left w:w="80" w:type="dxa"/>
              <w:bottom w:w="60" w:type="dxa"/>
              <w:right w:w="80" w:type="dxa"/>
            </w:tcMar>
            <w:vAlign w:val="center"/>
          </w:tcPr>
          <w:p w14:paraId="43F80EC2"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4.00</w:t>
            </w:r>
          </w:p>
        </w:tc>
        <w:tc>
          <w:tcPr>
            <w:tcW w:w="968" w:type="dxa"/>
            <w:tcBorders>
              <w:bottom w:val="single" w:sz="4" w:space="0" w:color="auto"/>
            </w:tcBorders>
            <w:tcMar>
              <w:top w:w="60" w:type="dxa"/>
              <w:left w:w="80" w:type="dxa"/>
              <w:bottom w:w="60" w:type="dxa"/>
              <w:right w:w="80" w:type="dxa"/>
            </w:tcMar>
            <w:vAlign w:val="center"/>
          </w:tcPr>
          <w:p w14:paraId="1E5B09A9"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w:t>
            </w:r>
          </w:p>
        </w:tc>
        <w:tc>
          <w:tcPr>
            <w:tcW w:w="984" w:type="dxa"/>
            <w:tcBorders>
              <w:bottom w:val="single" w:sz="4" w:space="0" w:color="auto"/>
            </w:tcBorders>
            <w:tcMar>
              <w:top w:w="60" w:type="dxa"/>
              <w:left w:w="80" w:type="dxa"/>
              <w:bottom w:w="60" w:type="dxa"/>
              <w:right w:w="80" w:type="dxa"/>
            </w:tcMar>
            <w:vAlign w:val="center"/>
          </w:tcPr>
          <w:p w14:paraId="258E626D"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4800</w:t>
            </w:r>
          </w:p>
        </w:tc>
        <w:tc>
          <w:tcPr>
            <w:tcW w:w="984" w:type="dxa"/>
            <w:tcBorders>
              <w:bottom w:val="single" w:sz="4" w:space="0" w:color="auto"/>
            </w:tcBorders>
            <w:tcMar>
              <w:top w:w="60" w:type="dxa"/>
              <w:left w:w="80" w:type="dxa"/>
              <w:bottom w:w="60" w:type="dxa"/>
              <w:right w:w="80" w:type="dxa"/>
            </w:tcMar>
            <w:vAlign w:val="center"/>
          </w:tcPr>
          <w:p w14:paraId="6262B4C1" w14:textId="77777777" w:rsidR="00565CC6" w:rsidRPr="00513A9E" w:rsidRDefault="00565CC6" w:rsidP="00D412ED">
            <w:pPr>
              <w:jc w:val="center"/>
              <w:rPr>
                <w:rFonts w:ascii="Times New Roman" w:hAnsi="Times New Roman" w:cs="Times New Roman"/>
                <w:lang w:val="en-US"/>
              </w:rPr>
            </w:pPr>
            <w:r w:rsidRPr="00513A9E">
              <w:rPr>
                <w:rFonts w:ascii="Times New Roman" w:hAnsi="Times New Roman" w:cs="Times New Roman"/>
                <w:lang w:val="en-US"/>
              </w:rPr>
              <w:t>5200</w:t>
            </w:r>
          </w:p>
        </w:tc>
      </w:tr>
    </w:tbl>
    <w:p w14:paraId="1AC23BFE" w14:textId="77777777" w:rsidR="00960E11" w:rsidRPr="00513A9E" w:rsidRDefault="00000000" w:rsidP="00D412ED">
      <w:pPr>
        <w:rPr>
          <w:rFonts w:ascii="Times New Roman" w:hAnsi="Times New Roman" w:cs="Times New Roman"/>
          <w:lang w:val="en-US"/>
        </w:rPr>
      </w:pPr>
      <w:r w:rsidRPr="00513A9E">
        <w:rPr>
          <w:rFonts w:ascii="Times New Roman" w:hAnsi="Times New Roman" w:cs="Times New Roman"/>
          <w:lang w:val="en-US"/>
        </w:rPr>
        <w:t>*TM: NPK mineral fertilizer (1.4 g L⁻¹); TN: Nutrigofol 8-8-8 liquid mineral fertilizer (1%); TP: purin liquid organic fertilizer (5%); TC: liquid compost (20%). **Means followed by the same letter, within a parameter, are not significantly different at the 5% probability level (Tukey’s test).</w:t>
      </w:r>
    </w:p>
    <w:p w14:paraId="288432E7" w14:textId="77777777" w:rsidR="00D412ED" w:rsidRPr="00513A9E" w:rsidRDefault="00D412ED" w:rsidP="00F33D6B">
      <w:pPr>
        <w:spacing w:before="120" w:after="120"/>
        <w:rPr>
          <w:rFonts w:ascii="Times New Roman" w:hAnsi="Times New Roman" w:cs="Times New Roman"/>
          <w:lang w:val="en-US"/>
        </w:rPr>
      </w:pPr>
    </w:p>
    <w:p w14:paraId="72A18129"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Discussion</w:t>
      </w:r>
    </w:p>
    <w:p w14:paraId="38E4F968"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Plant height and leaf number did not differ significantly among treatments. This could reflect either a genuinely similar effect of the different nutrient solutions on these two parameters or insufficient statistical power given the number of replicates. Zadi et al. (2018) similarly found that coconut seedlings </w:t>
      </w:r>
      <w:r>
        <w:rPr>
          <w:rFonts w:ascii="Times New Roman" w:hAnsi="Times New Roman" w:cs="Times New Roman"/>
          <w:highlight w:val="yellow"/>
          <w:lang w:val="en-US"/>
        </w:rPr>
        <w:t>fertilised</w:t>
      </w:r>
      <w:r>
        <w:rPr>
          <w:rFonts w:ascii="Times New Roman" w:hAnsi="Times New Roman" w:cs="Times New Roman"/>
          <w:lang w:val="en-US"/>
        </w:rPr>
        <w:t xml:space="preserve"> organically at an average dose of 839 g grew at rates comparable to those receiving chemical </w:t>
      </w:r>
      <w:r>
        <w:rPr>
          <w:rFonts w:ascii="Times New Roman" w:hAnsi="Times New Roman" w:cs="Times New Roman"/>
          <w:highlight w:val="yellow"/>
          <w:lang w:val="en-US"/>
        </w:rPr>
        <w:t>fertiliser</w:t>
      </w:r>
      <w:r>
        <w:rPr>
          <w:rFonts w:ascii="Times New Roman" w:hAnsi="Times New Roman" w:cs="Times New Roman"/>
          <w:lang w:val="en-US"/>
        </w:rPr>
        <w:t xml:space="preserve">. Stem diameter and branch number, by contrast, differed significantly among treatments, with organic </w:t>
      </w:r>
      <w:r>
        <w:rPr>
          <w:rFonts w:ascii="Times New Roman" w:hAnsi="Times New Roman" w:cs="Times New Roman"/>
          <w:highlight w:val="yellow"/>
          <w:lang w:val="en-US"/>
        </w:rPr>
        <w:t>fertilisers</w:t>
      </w:r>
      <w:r>
        <w:rPr>
          <w:rFonts w:ascii="Times New Roman" w:hAnsi="Times New Roman" w:cs="Times New Roman"/>
          <w:lang w:val="en-US"/>
        </w:rPr>
        <w:t xml:space="preserve"> (manure-based broth and liquid manure) outperforming the mineral </w:t>
      </w:r>
      <w:r>
        <w:rPr>
          <w:rFonts w:ascii="Times New Roman" w:hAnsi="Times New Roman" w:cs="Times New Roman"/>
          <w:highlight w:val="yellow"/>
          <w:lang w:val="en-US"/>
        </w:rPr>
        <w:t>fertilisers</w:t>
      </w:r>
      <w:r>
        <w:rPr>
          <w:rFonts w:ascii="Times New Roman" w:hAnsi="Times New Roman" w:cs="Times New Roman"/>
          <w:lang w:val="en-US"/>
        </w:rPr>
        <w:t xml:space="preserve">. This is consistent with the more readily </w:t>
      </w:r>
      <w:r>
        <w:rPr>
          <w:rFonts w:ascii="Times New Roman" w:hAnsi="Times New Roman" w:cs="Times New Roman"/>
          <w:lang w:val="en-US"/>
        </w:rPr>
        <w:lastRenderedPageBreak/>
        <w:t xml:space="preserve">available nutrients that organic amendments typically supply at early growth stages (Zhou et al., 2022). Wang et al. (2020) likewise found that organic </w:t>
      </w:r>
      <w:r>
        <w:rPr>
          <w:rFonts w:ascii="Times New Roman" w:hAnsi="Times New Roman" w:cs="Times New Roman"/>
          <w:highlight w:val="yellow"/>
          <w:lang w:val="en-US"/>
        </w:rPr>
        <w:t>fertiliser</w:t>
      </w:r>
      <w:r>
        <w:rPr>
          <w:rFonts w:ascii="Times New Roman" w:hAnsi="Times New Roman" w:cs="Times New Roman"/>
          <w:lang w:val="en-US"/>
        </w:rPr>
        <w:t xml:space="preserve"> improved vegetative growth in maize, and Gnimassoun</w:t>
      </w:r>
      <w:r>
        <w:rPr>
          <w:rFonts w:ascii="Times New Roman" w:hAnsi="Times New Roman" w:cs="Times New Roman"/>
          <w:highlight w:val="yellow"/>
          <w:lang w:val="en-US"/>
        </w:rPr>
        <w:t>,</w:t>
      </w:r>
      <w:r>
        <w:rPr>
          <w:rFonts w:ascii="Times New Roman" w:hAnsi="Times New Roman" w:cs="Times New Roman"/>
          <w:lang w:val="en-US"/>
        </w:rPr>
        <w:t xml:space="preserve"> </w:t>
      </w:r>
      <w:r>
        <w:rPr>
          <w:rFonts w:ascii="Times New Roman" w:hAnsi="Times New Roman" w:cs="Times New Roman"/>
          <w:highlight w:val="yellow"/>
          <w:lang w:val="en-US"/>
        </w:rPr>
        <w:t>Bolou-Bi,</w:t>
      </w:r>
      <w:r>
        <w:rPr>
          <w:rFonts w:ascii="Times New Roman" w:hAnsi="Times New Roman" w:cs="Times New Roman"/>
          <w:lang w:val="en-US"/>
        </w:rPr>
        <w:t xml:space="preserve"> </w:t>
      </w:r>
      <w:r>
        <w:rPr>
          <w:rFonts w:ascii="Times New Roman" w:hAnsi="Times New Roman" w:cs="Times New Roman"/>
          <w:highlight w:val="yellow"/>
          <w:lang w:val="en-US"/>
        </w:rPr>
        <w:t>and Ouattara</w:t>
      </w:r>
      <w:r>
        <w:rPr>
          <w:rFonts w:ascii="Times New Roman" w:hAnsi="Times New Roman" w:cs="Times New Roman"/>
          <w:lang w:val="en-US"/>
        </w:rPr>
        <w:t xml:space="preserve"> (</w:t>
      </w:r>
      <w:r>
        <w:rPr>
          <w:rFonts w:ascii="Times New Roman" w:hAnsi="Times New Roman" w:cs="Times New Roman"/>
          <w:highlight w:val="yellow"/>
          <w:lang w:val="en-US"/>
        </w:rPr>
        <w:t>2024</w:t>
      </w:r>
      <w:r>
        <w:rPr>
          <w:rFonts w:ascii="Times New Roman" w:hAnsi="Times New Roman" w:cs="Times New Roman"/>
          <w:lang w:val="en-US"/>
        </w:rPr>
        <w:t>) and Berhe et al. (2022) reported comparable results for pepper. Within the category of organic amendments, poultry droppings in particular have been shown to promote branching in pistachio (</w:t>
      </w:r>
      <w:r>
        <w:rPr>
          <w:rFonts w:ascii="Times New Roman" w:hAnsi="Times New Roman" w:cs="Times New Roman"/>
          <w:highlight w:val="yellow"/>
          <w:lang w:val="en-US"/>
        </w:rPr>
        <w:t xml:space="preserve">Mahmoudi </w:t>
      </w:r>
      <w:r>
        <w:rPr>
          <w:rFonts w:ascii="Times New Roman" w:hAnsi="Times New Roman" w:cs="Times New Roman"/>
          <w:lang w:val="en-US"/>
        </w:rPr>
        <w:t>Meimand et al., 2018), an effect attributed to the gradual release of minerals from poultry manure, which keeps nutrients available throughout much of the crop cycle (Thepsilvisut et al., 2022).</w:t>
      </w:r>
    </w:p>
    <w:p w14:paraId="4340D9D5"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highlight w:val="yellow"/>
          <w:lang w:val="en-US"/>
        </w:rPr>
        <w:t>Fertiliser</w:t>
      </w:r>
      <w:r>
        <w:rPr>
          <w:rFonts w:ascii="Times New Roman" w:hAnsi="Times New Roman" w:cs="Times New Roman"/>
          <w:lang w:val="en-US"/>
        </w:rPr>
        <w:t xml:space="preserve"> type also had a significant effect on yield parameters and fruit quality, with organic </w:t>
      </w:r>
      <w:r>
        <w:rPr>
          <w:rFonts w:ascii="Times New Roman" w:hAnsi="Times New Roman" w:cs="Times New Roman"/>
          <w:highlight w:val="yellow"/>
          <w:lang w:val="en-US"/>
        </w:rPr>
        <w:t>fertilisation</w:t>
      </w:r>
      <w:r>
        <w:rPr>
          <w:rFonts w:ascii="Times New Roman" w:hAnsi="Times New Roman" w:cs="Times New Roman"/>
          <w:lang w:val="en-US"/>
        </w:rPr>
        <w:t xml:space="preserve"> generally </w:t>
      </w:r>
      <w:r>
        <w:rPr>
          <w:rFonts w:ascii="Times New Roman" w:hAnsi="Times New Roman" w:cs="Times New Roman"/>
          <w:highlight w:val="yellow"/>
          <w:lang w:val="en-US"/>
        </w:rPr>
        <w:t>favouring</w:t>
      </w:r>
      <w:r>
        <w:rPr>
          <w:rFonts w:ascii="Times New Roman" w:hAnsi="Times New Roman" w:cs="Times New Roman"/>
          <w:lang w:val="en-US"/>
        </w:rPr>
        <w:t xml:space="preserve"> bud, flower, and fruit production over mineral </w:t>
      </w:r>
      <w:r>
        <w:rPr>
          <w:rFonts w:ascii="Times New Roman" w:hAnsi="Times New Roman" w:cs="Times New Roman"/>
          <w:highlight w:val="yellow"/>
          <w:lang w:val="en-US"/>
        </w:rPr>
        <w:t>fertilisation</w:t>
      </w:r>
      <w:r>
        <w:rPr>
          <w:rFonts w:ascii="Times New Roman" w:hAnsi="Times New Roman" w:cs="Times New Roman"/>
          <w:lang w:val="en-US"/>
        </w:rPr>
        <w:t xml:space="preserve">. In the present study, the highest values were obtained with the poultry-manure-based broth (TC, applied at 20%), followed by the liquid-manure </w:t>
      </w:r>
      <w:r>
        <w:rPr>
          <w:rFonts w:ascii="Times New Roman" w:hAnsi="Times New Roman" w:cs="Times New Roman"/>
          <w:highlight w:val="yellow"/>
          <w:lang w:val="en-US"/>
        </w:rPr>
        <w:t>fertiliser</w:t>
      </w:r>
      <w:r>
        <w:rPr>
          <w:rFonts w:ascii="Times New Roman" w:hAnsi="Times New Roman" w:cs="Times New Roman"/>
          <w:lang w:val="en-US"/>
        </w:rPr>
        <w:t xml:space="preserve"> (TP, applied at 5%). Organic </w:t>
      </w:r>
      <w:r>
        <w:rPr>
          <w:rFonts w:ascii="Times New Roman" w:hAnsi="Times New Roman" w:cs="Times New Roman"/>
          <w:highlight w:val="yellow"/>
          <w:lang w:val="en-US"/>
        </w:rPr>
        <w:t>fertilisers</w:t>
      </w:r>
      <w:r>
        <w:rPr>
          <w:rFonts w:ascii="Times New Roman" w:hAnsi="Times New Roman" w:cs="Times New Roman"/>
          <w:lang w:val="en-US"/>
        </w:rPr>
        <w:t xml:space="preserve"> are generally more soluble and therefore more readily assimilated by the plant (</w:t>
      </w:r>
      <w:r>
        <w:rPr>
          <w:rFonts w:ascii="Times New Roman" w:hAnsi="Times New Roman" w:cs="Times New Roman"/>
          <w:highlight w:val="yellow"/>
          <w:lang w:val="en-US"/>
        </w:rPr>
        <w:t>Shaji</w:t>
      </w:r>
      <w:r>
        <w:rPr>
          <w:rFonts w:ascii="Times New Roman" w:hAnsi="Times New Roman" w:cs="Times New Roman"/>
          <w:lang w:val="en-US"/>
        </w:rPr>
        <w:t xml:space="preserve"> et al., 2021), which is consistent with several previous reports: Eze et al. (2024) found that compost enriched with poultry droppings significantly increased carrot yields; Gnimassoun (2021) and </w:t>
      </w:r>
      <w:r>
        <w:rPr>
          <w:rFonts w:ascii="Times New Roman" w:hAnsi="Times New Roman" w:cs="Times New Roman"/>
          <w:highlight w:val="yellow"/>
          <w:lang w:val="en-US"/>
        </w:rPr>
        <w:t xml:space="preserve">Nejati </w:t>
      </w:r>
      <w:r>
        <w:rPr>
          <w:rFonts w:ascii="Times New Roman" w:hAnsi="Times New Roman" w:cs="Times New Roman"/>
          <w:lang w:val="en-US"/>
        </w:rPr>
        <w:t xml:space="preserve">Sini et al. (2024) reported that organic </w:t>
      </w:r>
      <w:r>
        <w:rPr>
          <w:rFonts w:ascii="Times New Roman" w:hAnsi="Times New Roman" w:cs="Times New Roman"/>
          <w:highlight w:val="yellow"/>
          <w:lang w:val="en-US"/>
        </w:rPr>
        <w:t>fertilisation</w:t>
      </w:r>
      <w:r>
        <w:rPr>
          <w:rFonts w:ascii="Times New Roman" w:hAnsi="Times New Roman" w:cs="Times New Roman"/>
          <w:lang w:val="en-US"/>
        </w:rPr>
        <w:t xml:space="preserve"> of pepper increased fresh and dry fruit weight, fruit number, and yield per plant; and Okoli et al. (2021) showed that organic </w:t>
      </w:r>
      <w:r>
        <w:rPr>
          <w:rFonts w:ascii="Times New Roman" w:hAnsi="Times New Roman" w:cs="Times New Roman"/>
          <w:highlight w:val="yellow"/>
          <w:lang w:val="en-US"/>
        </w:rPr>
        <w:t>fertilisation</w:t>
      </w:r>
      <w:r>
        <w:rPr>
          <w:rFonts w:ascii="Times New Roman" w:hAnsi="Times New Roman" w:cs="Times New Roman"/>
          <w:lang w:val="en-US"/>
        </w:rPr>
        <w:t xml:space="preserve"> with pig dung and poultry droppings significantly increased the growth and yield of fluted pumpkin (</w:t>
      </w:r>
      <w:r>
        <w:rPr>
          <w:rFonts w:ascii="Times New Roman" w:hAnsi="Times New Roman" w:cs="Times New Roman"/>
          <w:i/>
          <w:highlight w:val="yellow"/>
          <w:lang w:val="en-US"/>
        </w:rPr>
        <w:t>Telfairia occidentalis</w:t>
      </w:r>
      <w:r>
        <w:rPr>
          <w:rFonts w:ascii="Times New Roman" w:hAnsi="Times New Roman" w:cs="Times New Roman"/>
          <w:lang w:val="en-US"/>
        </w:rPr>
        <w:t xml:space="preserve">) compared with NPK. Babu et al. (2021) attributed the high agronomic value of poultry manure to the fact that </w:t>
      </w:r>
      <w:r>
        <w:rPr>
          <w:rFonts w:ascii="Times New Roman" w:hAnsi="Times New Roman" w:cs="Times New Roman"/>
          <w:highlight w:val="yellow"/>
          <w:lang w:val="en-US"/>
        </w:rPr>
        <w:t>60–90</w:t>
      </w:r>
      <w:r>
        <w:rPr>
          <w:rFonts w:ascii="Times New Roman" w:hAnsi="Times New Roman" w:cs="Times New Roman"/>
          <w:lang w:val="en-US"/>
        </w:rPr>
        <w:t xml:space="preserve">% of its nitrogen content is already in mineral form and therefore directly available to the plant. Because Gnimassoun (2021), Okoli et al. (2021), and </w:t>
      </w:r>
      <w:r>
        <w:rPr>
          <w:rFonts w:ascii="Times New Roman" w:hAnsi="Times New Roman" w:cs="Times New Roman"/>
          <w:highlight w:val="yellow"/>
          <w:lang w:val="en-US"/>
        </w:rPr>
        <w:t xml:space="preserve">Nejati </w:t>
      </w:r>
      <w:r>
        <w:rPr>
          <w:rFonts w:ascii="Times New Roman" w:hAnsi="Times New Roman" w:cs="Times New Roman"/>
          <w:lang w:val="en-US"/>
        </w:rPr>
        <w:t>Sini et al. (2024) each derived dosage guidelines for organic livestock residues applied to other vegetable species</w:t>
      </w:r>
      <w:r>
        <w:rPr>
          <w:rFonts w:ascii="Times New Roman" w:hAnsi="Times New Roman" w:cs="Times New Roman"/>
          <w:highlight w:val="yellow"/>
          <w:lang w:val="en-US"/>
        </w:rPr>
        <w:t>,</w:t>
      </w:r>
      <w:r>
        <w:rPr>
          <w:rFonts w:ascii="Times New Roman" w:hAnsi="Times New Roman" w:cs="Times New Roman"/>
          <w:lang w:val="en-US"/>
        </w:rPr>
        <w:t xml:space="preserve"> guidelines that the present study also followed</w:t>
      </w:r>
      <w:r>
        <w:rPr>
          <w:rFonts w:ascii="Times New Roman" w:hAnsi="Times New Roman" w:cs="Times New Roman"/>
          <w:highlight w:val="yellow"/>
          <w:lang w:val="en-US"/>
        </w:rPr>
        <w:t>,</w:t>
      </w:r>
      <w:r>
        <w:rPr>
          <w:rFonts w:ascii="Times New Roman" w:hAnsi="Times New Roman" w:cs="Times New Roman"/>
          <w:lang w:val="en-US"/>
        </w:rPr>
        <w:t xml:space="preserve"> it is plausible that other vegetable crops grown in similar soils or substrates could benefit from comparable organic amendments; </w:t>
      </w:r>
      <w:r>
        <w:rPr>
          <w:rFonts w:ascii="Times New Roman" w:hAnsi="Times New Roman" w:cs="Times New Roman"/>
          <w:highlight w:val="yellow"/>
          <w:lang w:val="en-US"/>
        </w:rPr>
        <w:t>this</w:t>
      </w:r>
      <w:r>
        <w:rPr>
          <w:rFonts w:ascii="Times New Roman" w:hAnsi="Times New Roman" w:cs="Times New Roman"/>
          <w:lang w:val="en-US"/>
        </w:rPr>
        <w:t xml:space="preserve"> warrants dedicated testing rather than extrapolation from the present dataset.</w:t>
      </w:r>
    </w:p>
    <w:p w14:paraId="29F18C0F"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These findings should, however, be interpreted within the limits of the experimental design. The trial did not include an </w:t>
      </w:r>
      <w:r>
        <w:rPr>
          <w:rFonts w:ascii="Times New Roman" w:hAnsi="Times New Roman" w:cs="Times New Roman"/>
          <w:highlight w:val="yellow"/>
          <w:lang w:val="en-US"/>
        </w:rPr>
        <w:t>unfertilised</w:t>
      </w:r>
      <w:r>
        <w:rPr>
          <w:rFonts w:ascii="Times New Roman" w:hAnsi="Times New Roman" w:cs="Times New Roman"/>
          <w:lang w:val="en-US"/>
        </w:rPr>
        <w:t xml:space="preserve"> absolute control, so the four treatments can only be ranked relative to one another (TC &gt; TP &gt; TN ≈ TM for most reproductive and yield parameters); the data do not indicate whether, or to what extent, any of the </w:t>
      </w:r>
      <w:r>
        <w:rPr>
          <w:rFonts w:ascii="Times New Roman" w:hAnsi="Times New Roman" w:cs="Times New Roman"/>
          <w:highlight w:val="yellow"/>
          <w:lang w:val="en-US"/>
        </w:rPr>
        <w:t>fertilisers</w:t>
      </w:r>
      <w:r>
        <w:rPr>
          <w:rFonts w:ascii="Times New Roman" w:hAnsi="Times New Roman" w:cs="Times New Roman"/>
          <w:lang w:val="en-US"/>
        </w:rPr>
        <w:t xml:space="preserve"> improved growth or yield compared with </w:t>
      </w:r>
      <w:r>
        <w:rPr>
          <w:rFonts w:ascii="Times New Roman" w:hAnsi="Times New Roman" w:cs="Times New Roman"/>
          <w:highlight w:val="yellow"/>
          <w:lang w:val="en-US"/>
        </w:rPr>
        <w:t>unfertilised</w:t>
      </w:r>
      <w:r>
        <w:rPr>
          <w:rFonts w:ascii="Times New Roman" w:hAnsi="Times New Roman" w:cs="Times New Roman"/>
          <w:lang w:val="en-US"/>
        </w:rPr>
        <w:t xml:space="preserve"> plants, nor do they establish the </w:t>
      </w:r>
      <w:r>
        <w:rPr>
          <w:rFonts w:ascii="Times New Roman" w:hAnsi="Times New Roman" w:cs="Times New Roman"/>
          <w:highlight w:val="yellow"/>
          <w:lang w:val="en-US"/>
        </w:rPr>
        <w:t>fertilisers’</w:t>
      </w:r>
      <w:r>
        <w:rPr>
          <w:rFonts w:ascii="Times New Roman" w:hAnsi="Times New Roman" w:cs="Times New Roman"/>
          <w:lang w:val="en-US"/>
        </w:rPr>
        <w:t xml:space="preserve"> absolute agronomic efficiency. No economic analysis was performed either, so claims about the cost-effectiveness or profitability of the organic </w:t>
      </w:r>
      <w:r>
        <w:rPr>
          <w:rFonts w:ascii="Times New Roman" w:hAnsi="Times New Roman" w:cs="Times New Roman"/>
          <w:highlight w:val="yellow"/>
          <w:lang w:val="en-US"/>
        </w:rPr>
        <w:t>fertilisers</w:t>
      </w:r>
      <w:r>
        <w:rPr>
          <w:rFonts w:ascii="Times New Roman" w:hAnsi="Times New Roman" w:cs="Times New Roman"/>
          <w:lang w:val="en-US"/>
        </w:rPr>
        <w:t xml:space="preserve"> relative to the mineral </w:t>
      </w:r>
      <w:r>
        <w:rPr>
          <w:rFonts w:ascii="Times New Roman" w:hAnsi="Times New Roman" w:cs="Times New Roman"/>
          <w:highlight w:val="yellow"/>
          <w:lang w:val="en-US"/>
        </w:rPr>
        <w:t>fertilisers</w:t>
      </w:r>
      <w:r>
        <w:rPr>
          <w:rFonts w:ascii="Times New Roman" w:hAnsi="Times New Roman" w:cs="Times New Roman"/>
          <w:lang w:val="en-US"/>
        </w:rPr>
        <w:t xml:space="preserve"> cannot yet be supported. Confirming the agronomic and economic value of the poultry-manure-based broth will require follow-up trials that include an absolute control and a cost-benefit assessment, ideally conducted under real production conditions rather than in an experimental shelter.</w:t>
      </w:r>
    </w:p>
    <w:p w14:paraId="3296E076"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Conclusion</w:t>
      </w:r>
    </w:p>
    <w:p w14:paraId="612DCD81" w14:textId="77777777" w:rsidR="00960E11" w:rsidRPr="00513A9E"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This study compared four liquid </w:t>
      </w:r>
      <w:r>
        <w:rPr>
          <w:rFonts w:ascii="Times New Roman" w:hAnsi="Times New Roman" w:cs="Times New Roman"/>
          <w:highlight w:val="yellow"/>
          <w:lang w:val="en-US"/>
        </w:rPr>
        <w:t>fertilisers</w:t>
      </w:r>
      <w:r>
        <w:rPr>
          <w:rFonts w:ascii="Times New Roman" w:hAnsi="Times New Roman" w:cs="Times New Roman"/>
          <w:lang w:val="en-US"/>
        </w:rPr>
        <w:t xml:space="preserve"> - two organic and two mineral - as nutrient solutions for pepper grown under soilless conditions in urban Côte d’Ivoire. The poultry-manure-based broth (TC) had a favourable chemical composition (near-neutral pH, adequate C/N ratio, and good K, Ca, and Mg content) and, among the four treatments tested, was consistently associated with the highest values for most reproductive and yield parameters - floral bud number, flower number, fruit number, fruit mass, and estimated yield - followed by the liquid-manure </w:t>
      </w:r>
      <w:r>
        <w:rPr>
          <w:rFonts w:ascii="Times New Roman" w:hAnsi="Times New Roman" w:cs="Times New Roman"/>
          <w:highlight w:val="yellow"/>
          <w:lang w:val="en-US"/>
        </w:rPr>
        <w:t>fertiliser</w:t>
      </w:r>
      <w:r>
        <w:rPr>
          <w:rFonts w:ascii="Times New Roman" w:hAnsi="Times New Roman" w:cs="Times New Roman"/>
          <w:lang w:val="en-US"/>
        </w:rPr>
        <w:t xml:space="preserve"> (TP), while the two mineral </w:t>
      </w:r>
      <w:r>
        <w:rPr>
          <w:rFonts w:ascii="Times New Roman" w:hAnsi="Times New Roman" w:cs="Times New Roman"/>
          <w:highlight w:val="yellow"/>
          <w:lang w:val="en-US"/>
        </w:rPr>
        <w:t>fertilisers</w:t>
      </w:r>
      <w:r>
        <w:rPr>
          <w:rFonts w:ascii="Times New Roman" w:hAnsi="Times New Roman" w:cs="Times New Roman"/>
          <w:lang w:val="en-US"/>
        </w:rPr>
        <w:t xml:space="preserve"> (TN and TM) generally gave the lowest values. </w:t>
      </w:r>
      <w:r>
        <w:rPr>
          <w:rFonts w:ascii="Times New Roman" w:hAnsi="Times New Roman" w:cs="Times New Roman"/>
          <w:lang w:val="en-US"/>
        </w:rPr>
        <w:lastRenderedPageBreak/>
        <w:t xml:space="preserve">This pattern is consistent with the more readily available nutrients typically supplied by organic </w:t>
      </w:r>
      <w:r>
        <w:rPr>
          <w:rFonts w:ascii="Times New Roman" w:hAnsi="Times New Roman" w:cs="Times New Roman"/>
          <w:highlight w:val="yellow"/>
          <w:lang w:val="en-US"/>
        </w:rPr>
        <w:t>fertilisers</w:t>
      </w:r>
      <w:r>
        <w:rPr>
          <w:rFonts w:ascii="Times New Roman" w:hAnsi="Times New Roman" w:cs="Times New Roman"/>
          <w:lang w:val="en-US"/>
        </w:rPr>
        <w:t xml:space="preserve"> at early growth stages, as reported in other pepper and vegetable studies.</w:t>
      </w:r>
    </w:p>
    <w:p w14:paraId="3531C85F" w14:textId="77777777" w:rsidR="00960E11" w:rsidRDefault="00000000" w:rsidP="00DD3A77">
      <w:pPr>
        <w:spacing w:before="120" w:after="120" w:line="360" w:lineRule="auto"/>
        <w:jc w:val="both"/>
        <w:rPr>
          <w:rFonts w:ascii="Times New Roman" w:hAnsi="Times New Roman" w:cs="Times New Roman"/>
          <w:lang w:val="en-US"/>
        </w:rPr>
      </w:pPr>
      <w:r>
        <w:rPr>
          <w:rFonts w:ascii="Times New Roman" w:hAnsi="Times New Roman" w:cs="Times New Roman"/>
          <w:lang w:val="en-US"/>
        </w:rPr>
        <w:t xml:space="preserve">Because the trial did not include an </w:t>
      </w:r>
      <w:r>
        <w:rPr>
          <w:rFonts w:ascii="Times New Roman" w:hAnsi="Times New Roman" w:cs="Times New Roman"/>
          <w:highlight w:val="yellow"/>
          <w:lang w:val="en-US"/>
        </w:rPr>
        <w:t>unfertilised</w:t>
      </w:r>
      <w:r>
        <w:rPr>
          <w:rFonts w:ascii="Times New Roman" w:hAnsi="Times New Roman" w:cs="Times New Roman"/>
          <w:lang w:val="en-US"/>
        </w:rPr>
        <w:t xml:space="preserve"> control, these conclusions describe the relative ranking of the four </w:t>
      </w:r>
      <w:r>
        <w:rPr>
          <w:rFonts w:ascii="Times New Roman" w:hAnsi="Times New Roman" w:cs="Times New Roman"/>
          <w:highlight w:val="yellow"/>
          <w:lang w:val="en-US"/>
        </w:rPr>
        <w:t>fertilisers</w:t>
      </w:r>
      <w:r>
        <w:rPr>
          <w:rFonts w:ascii="Times New Roman" w:hAnsi="Times New Roman" w:cs="Times New Roman"/>
          <w:lang w:val="en-US"/>
        </w:rPr>
        <w:t xml:space="preserve"> and should not be read as evidence that any of them improves pepper growth or yield in absolute terms, nor as a demonstration of soil-fertility restoration, which was not directly assessed here. Within this comparative scope, the results nonetheless suggest that liquid organic </w:t>
      </w:r>
      <w:r>
        <w:rPr>
          <w:rFonts w:ascii="Times New Roman" w:hAnsi="Times New Roman" w:cs="Times New Roman"/>
          <w:highlight w:val="yellow"/>
          <w:lang w:val="en-US"/>
        </w:rPr>
        <w:t>fertilisers</w:t>
      </w:r>
      <w:r>
        <w:rPr>
          <w:rFonts w:ascii="Times New Roman" w:hAnsi="Times New Roman" w:cs="Times New Roman"/>
          <w:lang w:val="en-US"/>
        </w:rPr>
        <w:t xml:space="preserve"> derived from locally available poultry waste are promising, low-cost </w:t>
      </w:r>
      <w:r>
        <w:rPr>
          <w:rFonts w:ascii="Times New Roman" w:hAnsi="Times New Roman" w:cs="Times New Roman"/>
          <w:highlight w:val="yellow"/>
          <w:lang w:val="en-US"/>
        </w:rPr>
        <w:t>alternatives</w:t>
      </w:r>
      <w:r>
        <w:rPr>
          <w:rFonts w:ascii="Times New Roman" w:hAnsi="Times New Roman" w:cs="Times New Roman"/>
          <w:lang w:val="en-US"/>
        </w:rPr>
        <w:t xml:space="preserve"> to the mineral </w:t>
      </w:r>
      <w:r>
        <w:rPr>
          <w:rFonts w:ascii="Times New Roman" w:hAnsi="Times New Roman" w:cs="Times New Roman"/>
          <w:highlight w:val="yellow"/>
          <w:lang w:val="en-US"/>
        </w:rPr>
        <w:t>fertilisers</w:t>
      </w:r>
      <w:r>
        <w:rPr>
          <w:rFonts w:ascii="Times New Roman" w:hAnsi="Times New Roman" w:cs="Times New Roman"/>
          <w:lang w:val="en-US"/>
        </w:rPr>
        <w:t xml:space="preserve"> currently used by soilless growers in and around Ivorian cities. Confirming this potential</w:t>
      </w:r>
      <w:r>
        <w:rPr>
          <w:rFonts w:ascii="Times New Roman" w:hAnsi="Times New Roman" w:cs="Times New Roman"/>
          <w:highlight w:val="yellow"/>
          <w:lang w:val="en-US"/>
        </w:rPr>
        <w:t>,</w:t>
      </w:r>
      <w:r>
        <w:rPr>
          <w:rFonts w:ascii="Times New Roman" w:hAnsi="Times New Roman" w:cs="Times New Roman"/>
          <w:lang w:val="en-US"/>
        </w:rPr>
        <w:t xml:space="preserve"> together with its implications for organic-waste </w:t>
      </w:r>
      <w:r>
        <w:rPr>
          <w:rFonts w:ascii="Times New Roman" w:hAnsi="Times New Roman" w:cs="Times New Roman"/>
          <w:highlight w:val="yellow"/>
          <w:lang w:val="en-US"/>
        </w:rPr>
        <w:t>valorisation</w:t>
      </w:r>
      <w:r>
        <w:rPr>
          <w:rFonts w:ascii="Times New Roman" w:hAnsi="Times New Roman" w:cs="Times New Roman"/>
          <w:lang w:val="en-US"/>
        </w:rPr>
        <w:t>, production costs, and eco-friendly urban agriculture in Côte d’Ivoire and other tropical contexts</w:t>
      </w:r>
      <w:r>
        <w:rPr>
          <w:rFonts w:ascii="Times New Roman" w:hAnsi="Times New Roman" w:cs="Times New Roman"/>
          <w:highlight w:val="yellow"/>
          <w:lang w:val="en-US"/>
        </w:rPr>
        <w:t>,</w:t>
      </w:r>
      <w:r>
        <w:rPr>
          <w:rFonts w:ascii="Times New Roman" w:hAnsi="Times New Roman" w:cs="Times New Roman"/>
          <w:lang w:val="en-US"/>
        </w:rPr>
        <w:t xml:space="preserve"> will require further trials that include an absolute control, an economic evaluation, and testing under real production conditions.</w:t>
      </w:r>
    </w:p>
    <w:p w14:paraId="2BD29E14" w14:textId="7456B7DF" w:rsidR="00F95D77" w:rsidRPr="00F95D77" w:rsidRDefault="00F95D77" w:rsidP="00DD3A77">
      <w:pPr>
        <w:spacing w:before="120" w:after="120" w:line="360" w:lineRule="auto"/>
        <w:jc w:val="both"/>
        <w:rPr>
          <w:rFonts w:ascii="Times New Roman" w:hAnsi="Times New Roman" w:cs="Times New Roman"/>
          <w:b/>
          <w:bCs/>
          <w:lang w:val="en-US"/>
        </w:rPr>
      </w:pPr>
      <w:r w:rsidRPr="00F95D77">
        <w:rPr>
          <w:rFonts w:ascii="Times New Roman" w:hAnsi="Times New Roman" w:cs="Times New Roman"/>
          <w:b/>
          <w:bCs/>
          <w:lang w:val="en-US"/>
        </w:rPr>
        <w:t>Limitations</w:t>
      </w:r>
    </w:p>
    <w:p w14:paraId="326A1B75" w14:textId="77777777" w:rsidR="00F95D77" w:rsidRDefault="00F95D77" w:rsidP="00F95D77">
      <w:pPr>
        <w:pStyle w:val="pdq2pgselectionanchorcontainer"/>
        <w:jc w:val="both"/>
      </w:pPr>
      <w:r>
        <w:t xml:space="preserve">The experiment compared four </w:t>
      </w:r>
      <w:proofErr w:type="spellStart"/>
      <w:r>
        <w:t>fertiliser</w:t>
      </w:r>
      <w:proofErr w:type="spellEnd"/>
      <w:r>
        <w:t xml:space="preserve"> treatments without an </w:t>
      </w:r>
      <w:proofErr w:type="spellStart"/>
      <w:r>
        <w:t>unfertilised</w:t>
      </w:r>
      <w:proofErr w:type="spellEnd"/>
      <w:r>
        <w:t xml:space="preserve"> control; therefore, it establishes only their relative performance and not absolute agronomic efficiency. The study was conducted in an experimental growing shelter rather than under commercial production conditions, and no economic analysis was undertaken. In addition, the potential </w:t>
      </w:r>
      <w:proofErr w:type="spellStart"/>
      <w:r>
        <w:t>biopesticidal</w:t>
      </w:r>
      <w:proofErr w:type="spellEnd"/>
      <w:r>
        <w:t xml:space="preserve"> effect of the poultry-manure-based broth was not evaluated. These constraints limit conclusions concerning absolute yield benefits, profitability, and performance under real production conditions.</w:t>
      </w:r>
    </w:p>
    <w:p w14:paraId="4363D08E" w14:textId="77777777" w:rsidR="00F95D77" w:rsidRPr="00513A9E" w:rsidRDefault="00F95D77" w:rsidP="00DD3A77">
      <w:pPr>
        <w:spacing w:before="120" w:after="120" w:line="360" w:lineRule="auto"/>
        <w:jc w:val="both"/>
        <w:rPr>
          <w:rFonts w:ascii="Times New Roman" w:hAnsi="Times New Roman" w:cs="Times New Roman"/>
          <w:lang w:val="en-US"/>
        </w:rPr>
      </w:pPr>
    </w:p>
    <w:p w14:paraId="51E0BDAD"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Competing interests</w:t>
      </w:r>
    </w:p>
    <w:p w14:paraId="35D97588"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authors declare no conflicts of interest.</w:t>
      </w:r>
    </w:p>
    <w:p w14:paraId="727EBA85" w14:textId="77777777" w:rsidR="00960E11" w:rsidRPr="00513A9E" w:rsidRDefault="00000000" w:rsidP="00DD3A77">
      <w:pPr>
        <w:spacing w:before="120" w:after="120" w:line="360" w:lineRule="auto"/>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Data availability statement</w:t>
      </w:r>
    </w:p>
    <w:p w14:paraId="02C6718A" w14:textId="77777777" w:rsidR="00960E11" w:rsidRPr="00513A9E" w:rsidRDefault="00000000" w:rsidP="00DD3A77">
      <w:pPr>
        <w:spacing w:before="120" w:after="120" w:line="360" w:lineRule="auto"/>
        <w:jc w:val="both"/>
        <w:rPr>
          <w:rFonts w:ascii="Times New Roman" w:hAnsi="Times New Roman" w:cs="Times New Roman"/>
          <w:lang w:val="en-US"/>
        </w:rPr>
      </w:pPr>
      <w:r w:rsidRPr="00513A9E">
        <w:rPr>
          <w:rFonts w:ascii="Times New Roman" w:hAnsi="Times New Roman" w:cs="Times New Roman"/>
          <w:lang w:val="en-US"/>
        </w:rPr>
        <w:t>The data presented in the tables and figures are available on request.</w:t>
      </w:r>
    </w:p>
    <w:p w14:paraId="7CBC7E89" w14:textId="77777777" w:rsidR="00FD134C" w:rsidRDefault="00FD134C" w:rsidP="00FD134C">
      <w:pPr>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664F44FA" w14:textId="77777777" w:rsidR="00FD134C" w:rsidRDefault="00FD134C" w:rsidP="00FD134C">
      <w:pPr>
        <w:rPr>
          <w:rFonts w:ascii="Times New Roman" w:hAnsi="Times New Roman" w:cs="Times New Roman"/>
          <w:b/>
        </w:rPr>
      </w:pPr>
    </w:p>
    <w:p w14:paraId="0A162ABA" w14:textId="77777777" w:rsidR="00FD134C" w:rsidRDefault="00FD134C" w:rsidP="00FD134C">
      <w:pPr>
        <w:rPr>
          <w:rFonts w:ascii="Times New Roman" w:hAnsi="Times New Roman" w:cs="Times New Roman"/>
          <w:b/>
        </w:rPr>
      </w:pPr>
    </w:p>
    <w:p w14:paraId="0F71D75F" w14:textId="77777777" w:rsidR="00FD134C" w:rsidRDefault="00FD134C" w:rsidP="00FD134C">
      <w:pPr>
        <w:rPr>
          <w:rFonts w:ascii="Times New Roman" w:hAnsi="Times New Roman" w:cs="Times New Roman"/>
          <w:b/>
        </w:rPr>
      </w:pPr>
    </w:p>
    <w:p w14:paraId="1D601B06" w14:textId="77777777" w:rsidR="00FD134C" w:rsidRPr="002D08AC" w:rsidRDefault="00FD134C" w:rsidP="00FD134C">
      <w:pPr>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0AF981E9" w14:textId="77777777" w:rsidR="00FD134C" w:rsidRPr="00513A9E" w:rsidRDefault="00FD134C" w:rsidP="00DD3A77">
      <w:pPr>
        <w:spacing w:before="120" w:after="120" w:line="360" w:lineRule="auto"/>
        <w:jc w:val="both"/>
        <w:rPr>
          <w:rFonts w:ascii="Times New Roman" w:hAnsi="Times New Roman" w:cs="Times New Roman"/>
          <w:lang w:val="en-US"/>
        </w:rPr>
      </w:pPr>
    </w:p>
    <w:p w14:paraId="20F97B1F" w14:textId="77777777" w:rsidR="00960E11" w:rsidRDefault="00000000" w:rsidP="00F33D6B">
      <w:pPr>
        <w:spacing w:before="120" w:after="120"/>
        <w:rPr>
          <w:rFonts w:ascii="Times New Roman" w:hAnsi="Times New Roman" w:cs="Times New Roman"/>
          <w:b/>
          <w:bCs/>
          <w:sz w:val="24"/>
          <w:szCs w:val="24"/>
          <w:lang w:val="en-US"/>
        </w:rPr>
      </w:pPr>
      <w:r w:rsidRPr="00513A9E">
        <w:rPr>
          <w:rFonts w:ascii="Times New Roman" w:hAnsi="Times New Roman" w:cs="Times New Roman"/>
          <w:b/>
          <w:bCs/>
          <w:sz w:val="24"/>
          <w:szCs w:val="24"/>
          <w:lang w:val="en-US"/>
        </w:rPr>
        <w:t>References</w:t>
      </w:r>
    </w:p>
    <w:p w14:paraId="2D625016"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Babu, A., </w:t>
      </w:r>
      <w:proofErr w:type="spellStart"/>
      <w:r w:rsidRPr="004C74E5">
        <w:rPr>
          <w:rFonts w:ascii="Times New Roman" w:eastAsia="Times New Roman" w:hAnsi="Times New Roman" w:cs="Times New Roman"/>
          <w:sz w:val="24"/>
          <w:szCs w:val="24"/>
          <w:lang w:val="en-US" w:eastAsia="en-US"/>
        </w:rPr>
        <w:t>Dadrwal</w:t>
      </w:r>
      <w:proofErr w:type="spellEnd"/>
      <w:r w:rsidRPr="004C74E5">
        <w:rPr>
          <w:rFonts w:ascii="Times New Roman" w:eastAsia="Times New Roman" w:hAnsi="Times New Roman" w:cs="Times New Roman"/>
          <w:sz w:val="24"/>
          <w:szCs w:val="24"/>
          <w:lang w:val="en-US" w:eastAsia="en-US"/>
        </w:rPr>
        <w:t xml:space="preserve">, B. K., Singh, U. P., Jakhar, R. K., &amp; Meena, R. (2021). Use of poultry manure as organic fertilizer in different crops. </w:t>
      </w:r>
      <w:r w:rsidRPr="004C74E5">
        <w:rPr>
          <w:rFonts w:ascii="Times New Roman" w:eastAsia="Times New Roman" w:hAnsi="Times New Roman" w:cs="Times New Roman"/>
          <w:i/>
          <w:iCs/>
          <w:sz w:val="24"/>
          <w:szCs w:val="24"/>
          <w:lang w:val="en-US" w:eastAsia="en-US"/>
        </w:rPr>
        <w:t>The Agriculture Magazine, 1</w:t>
      </w:r>
      <w:r w:rsidRPr="004C74E5">
        <w:rPr>
          <w:rFonts w:ascii="Times New Roman" w:eastAsia="Times New Roman" w:hAnsi="Times New Roman" w:cs="Times New Roman"/>
          <w:sz w:val="24"/>
          <w:szCs w:val="24"/>
          <w:lang w:val="en-US" w:eastAsia="en-US"/>
        </w:rPr>
        <w:t xml:space="preserve">(1), 14–15. </w:t>
      </w:r>
      <w:hyperlink r:id="rId13" w:history="1">
        <w:r w:rsidRPr="004C74E5">
          <w:rPr>
            <w:rFonts w:ascii="Times New Roman" w:eastAsia="Times New Roman" w:hAnsi="Times New Roman" w:cs="Times New Roman"/>
            <w:color w:val="0000FF"/>
            <w:sz w:val="24"/>
            <w:szCs w:val="24"/>
            <w:u w:val="single"/>
            <w:lang w:val="en-US" w:eastAsia="en-US"/>
          </w:rPr>
          <w:t>https://theagricultureonline.com/wp-content/uploads/2021/12/8.pdf</w:t>
        </w:r>
      </w:hyperlink>
    </w:p>
    <w:p w14:paraId="2FA715FD"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lastRenderedPageBreak/>
        <w:t xml:space="preserve">Berhe, D. T., </w:t>
      </w:r>
      <w:proofErr w:type="spellStart"/>
      <w:r w:rsidRPr="004C74E5">
        <w:rPr>
          <w:rFonts w:ascii="Times New Roman" w:eastAsia="Times New Roman" w:hAnsi="Times New Roman" w:cs="Times New Roman"/>
          <w:sz w:val="24"/>
          <w:szCs w:val="24"/>
          <w:lang w:val="en-US" w:eastAsia="en-US"/>
        </w:rPr>
        <w:t>Zergaw</w:t>
      </w:r>
      <w:proofErr w:type="spellEnd"/>
      <w:r w:rsidRPr="004C74E5">
        <w:rPr>
          <w:rFonts w:ascii="Times New Roman" w:eastAsia="Times New Roman" w:hAnsi="Times New Roman" w:cs="Times New Roman"/>
          <w:sz w:val="24"/>
          <w:szCs w:val="24"/>
          <w:lang w:val="en-US" w:eastAsia="en-US"/>
        </w:rPr>
        <w:t xml:space="preserve">, Y., &amp; Kebede, T. (2022). Organic amendments: Direct application and residual effects on vegetative and reproductive growth of hot pepper. </w:t>
      </w:r>
      <w:r w:rsidRPr="004C74E5">
        <w:rPr>
          <w:rFonts w:ascii="Times New Roman" w:eastAsia="Times New Roman" w:hAnsi="Times New Roman" w:cs="Times New Roman"/>
          <w:i/>
          <w:iCs/>
          <w:sz w:val="24"/>
          <w:szCs w:val="24"/>
          <w:lang w:val="en-US" w:eastAsia="en-US"/>
        </w:rPr>
        <w:t>The Scientific World Journal, 2022</w:t>
      </w:r>
      <w:r w:rsidRPr="004C74E5">
        <w:rPr>
          <w:rFonts w:ascii="Times New Roman" w:eastAsia="Times New Roman" w:hAnsi="Times New Roman" w:cs="Times New Roman"/>
          <w:sz w:val="24"/>
          <w:szCs w:val="24"/>
          <w:lang w:val="en-US" w:eastAsia="en-US"/>
        </w:rPr>
        <w:t xml:space="preserve">, Article 2805004. </w:t>
      </w:r>
      <w:hyperlink r:id="rId14" w:history="1">
        <w:r w:rsidRPr="004C74E5">
          <w:rPr>
            <w:rFonts w:ascii="Times New Roman" w:eastAsia="Times New Roman" w:hAnsi="Times New Roman" w:cs="Times New Roman"/>
            <w:color w:val="0000FF"/>
            <w:sz w:val="24"/>
            <w:szCs w:val="24"/>
            <w:u w:val="single"/>
            <w:lang w:val="en-US" w:eastAsia="en-US"/>
          </w:rPr>
          <w:t>https://doi.org/10.1155/2022/2805004</w:t>
        </w:r>
      </w:hyperlink>
    </w:p>
    <w:p w14:paraId="38035504"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Dasgan</w:t>
      </w:r>
      <w:proofErr w:type="spellEnd"/>
      <w:r w:rsidRPr="004C74E5">
        <w:rPr>
          <w:rFonts w:ascii="Times New Roman" w:eastAsia="Times New Roman" w:hAnsi="Times New Roman" w:cs="Times New Roman"/>
          <w:sz w:val="24"/>
          <w:szCs w:val="24"/>
          <w:lang w:val="en-US" w:eastAsia="en-US"/>
        </w:rPr>
        <w:t xml:space="preserve">, H. Y., Yilmaz, M., Dere, S., </w:t>
      </w:r>
      <w:proofErr w:type="spellStart"/>
      <w:r w:rsidRPr="004C74E5">
        <w:rPr>
          <w:rFonts w:ascii="Times New Roman" w:eastAsia="Times New Roman" w:hAnsi="Times New Roman" w:cs="Times New Roman"/>
          <w:sz w:val="24"/>
          <w:szCs w:val="24"/>
          <w:lang w:val="en-US" w:eastAsia="en-US"/>
        </w:rPr>
        <w:t>Ikiz</w:t>
      </w:r>
      <w:proofErr w:type="spellEnd"/>
      <w:r w:rsidRPr="004C74E5">
        <w:rPr>
          <w:rFonts w:ascii="Times New Roman" w:eastAsia="Times New Roman" w:hAnsi="Times New Roman" w:cs="Times New Roman"/>
          <w:sz w:val="24"/>
          <w:szCs w:val="24"/>
          <w:lang w:val="en-US" w:eastAsia="en-US"/>
        </w:rPr>
        <w:t xml:space="preserve">, B., &amp; Gruda, N. S. (2023). Bio-fertilizers reduced the need for mineral fertilizers in soilless-grown </w:t>
      </w:r>
      <w:proofErr w:type="spellStart"/>
      <w:r w:rsidRPr="004C74E5">
        <w:rPr>
          <w:rFonts w:ascii="Times New Roman" w:eastAsia="Times New Roman" w:hAnsi="Times New Roman" w:cs="Times New Roman"/>
          <w:sz w:val="24"/>
          <w:szCs w:val="24"/>
          <w:lang w:val="en-US" w:eastAsia="en-US"/>
        </w:rPr>
        <w:t>capia</w:t>
      </w:r>
      <w:proofErr w:type="spellEnd"/>
      <w:r w:rsidRPr="004C74E5">
        <w:rPr>
          <w:rFonts w:ascii="Times New Roman" w:eastAsia="Times New Roman" w:hAnsi="Times New Roman" w:cs="Times New Roman"/>
          <w:sz w:val="24"/>
          <w:szCs w:val="24"/>
          <w:lang w:val="en-US" w:eastAsia="en-US"/>
        </w:rPr>
        <w:t xml:space="preserve"> pepper. </w:t>
      </w:r>
      <w:proofErr w:type="spellStart"/>
      <w:r w:rsidRPr="004C74E5">
        <w:rPr>
          <w:rFonts w:ascii="Times New Roman" w:eastAsia="Times New Roman" w:hAnsi="Times New Roman" w:cs="Times New Roman"/>
          <w:i/>
          <w:iCs/>
          <w:sz w:val="24"/>
          <w:szCs w:val="24"/>
          <w:lang w:val="en-US" w:eastAsia="en-US"/>
        </w:rPr>
        <w:t>Horticulturae</w:t>
      </w:r>
      <w:proofErr w:type="spellEnd"/>
      <w:r w:rsidRPr="004C74E5">
        <w:rPr>
          <w:rFonts w:ascii="Times New Roman" w:eastAsia="Times New Roman" w:hAnsi="Times New Roman" w:cs="Times New Roman"/>
          <w:i/>
          <w:iCs/>
          <w:sz w:val="24"/>
          <w:szCs w:val="24"/>
          <w:lang w:val="en-US" w:eastAsia="en-US"/>
        </w:rPr>
        <w:t>, 9</w:t>
      </w:r>
      <w:r w:rsidRPr="004C74E5">
        <w:rPr>
          <w:rFonts w:ascii="Times New Roman" w:eastAsia="Times New Roman" w:hAnsi="Times New Roman" w:cs="Times New Roman"/>
          <w:sz w:val="24"/>
          <w:szCs w:val="24"/>
          <w:lang w:val="en-US" w:eastAsia="en-US"/>
        </w:rPr>
        <w:t xml:space="preserve">(2), 188. </w:t>
      </w:r>
      <w:hyperlink r:id="rId15" w:history="1">
        <w:r w:rsidRPr="004C74E5">
          <w:rPr>
            <w:rFonts w:ascii="Times New Roman" w:eastAsia="Times New Roman" w:hAnsi="Times New Roman" w:cs="Times New Roman"/>
            <w:color w:val="0000FF"/>
            <w:sz w:val="24"/>
            <w:szCs w:val="24"/>
            <w:u w:val="single"/>
            <w:lang w:val="en-US" w:eastAsia="en-US"/>
          </w:rPr>
          <w:t>https://doi.org/10.3390/horticulturae9020188</w:t>
        </w:r>
      </w:hyperlink>
    </w:p>
    <w:p w14:paraId="72E14694"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Dauda, S. O., Cortellazzi, C., Panchal, S. K., Yong, M., </w:t>
      </w:r>
      <w:proofErr w:type="spellStart"/>
      <w:r w:rsidRPr="004C74E5">
        <w:rPr>
          <w:rFonts w:ascii="Times New Roman" w:eastAsia="Times New Roman" w:hAnsi="Times New Roman" w:cs="Times New Roman"/>
          <w:sz w:val="24"/>
          <w:szCs w:val="24"/>
          <w:lang w:val="en-US" w:eastAsia="en-US"/>
        </w:rPr>
        <w:t>Babla</w:t>
      </w:r>
      <w:proofErr w:type="spellEnd"/>
      <w:r w:rsidRPr="004C74E5">
        <w:rPr>
          <w:rFonts w:ascii="Times New Roman" w:eastAsia="Times New Roman" w:hAnsi="Times New Roman" w:cs="Times New Roman"/>
          <w:sz w:val="24"/>
          <w:szCs w:val="24"/>
          <w:lang w:val="en-US" w:eastAsia="en-US"/>
        </w:rPr>
        <w:t xml:space="preserve">, M., Donovan-Mak, M., Bose, J., Li, L., Liang, W., Tissue, D., Ahmed, T., Huda, S., He, J., &amp; Chen, Z.-H. (2025). Large variation of </w:t>
      </w:r>
      <w:proofErr w:type="spellStart"/>
      <w:r w:rsidRPr="004C74E5">
        <w:rPr>
          <w:rFonts w:ascii="Times New Roman" w:eastAsia="Times New Roman" w:hAnsi="Times New Roman" w:cs="Times New Roman"/>
          <w:sz w:val="24"/>
          <w:szCs w:val="24"/>
          <w:lang w:val="en-US" w:eastAsia="en-US"/>
        </w:rPr>
        <w:t>fertiliser</w:t>
      </w:r>
      <w:proofErr w:type="spellEnd"/>
      <w:r w:rsidRPr="004C74E5">
        <w:rPr>
          <w:rFonts w:ascii="Times New Roman" w:eastAsia="Times New Roman" w:hAnsi="Times New Roman" w:cs="Times New Roman"/>
          <w:sz w:val="24"/>
          <w:szCs w:val="24"/>
          <w:lang w:val="en-US" w:eastAsia="en-US"/>
        </w:rPr>
        <w:t xml:space="preserve"> levels does not improve physiology, nutritional quality and economic return of greenhouse capsicum. </w:t>
      </w:r>
      <w:r w:rsidRPr="004C74E5">
        <w:rPr>
          <w:rFonts w:ascii="Times New Roman" w:eastAsia="Times New Roman" w:hAnsi="Times New Roman" w:cs="Times New Roman"/>
          <w:i/>
          <w:iCs/>
          <w:sz w:val="24"/>
          <w:szCs w:val="24"/>
          <w:lang w:val="en-US" w:eastAsia="en-US"/>
        </w:rPr>
        <w:t>Plant Growth Regulation, 105</w:t>
      </w:r>
      <w:r w:rsidRPr="004C74E5">
        <w:rPr>
          <w:rFonts w:ascii="Times New Roman" w:eastAsia="Times New Roman" w:hAnsi="Times New Roman" w:cs="Times New Roman"/>
          <w:sz w:val="24"/>
          <w:szCs w:val="24"/>
          <w:lang w:val="en-US" w:eastAsia="en-US"/>
        </w:rPr>
        <w:t xml:space="preserve">, 2215–2230. </w:t>
      </w:r>
      <w:hyperlink r:id="rId16" w:history="1">
        <w:r w:rsidRPr="004C74E5">
          <w:rPr>
            <w:rFonts w:ascii="Times New Roman" w:eastAsia="Times New Roman" w:hAnsi="Times New Roman" w:cs="Times New Roman"/>
            <w:color w:val="0000FF"/>
            <w:sz w:val="24"/>
            <w:szCs w:val="24"/>
            <w:u w:val="single"/>
            <w:lang w:val="en-US" w:eastAsia="en-US"/>
          </w:rPr>
          <w:t>https://doi.org/10.1007/s10725-025-01403-6</w:t>
        </w:r>
      </w:hyperlink>
    </w:p>
    <w:p w14:paraId="475D8A96"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Diarra, M., Kouadio, D. L., Aboua, N. K., Soro, D. B., Kouadio, A., Traoré, K. S., Koné, M., &amp; Dembélé, A. (2018). </w:t>
      </w:r>
      <w:proofErr w:type="spellStart"/>
      <w:r w:rsidRPr="004C74E5">
        <w:rPr>
          <w:rFonts w:ascii="Times New Roman" w:eastAsia="Times New Roman" w:hAnsi="Times New Roman" w:cs="Times New Roman"/>
          <w:sz w:val="24"/>
          <w:szCs w:val="24"/>
          <w:lang w:val="en-US" w:eastAsia="en-US"/>
        </w:rPr>
        <w:t>Niveau</w:t>
      </w:r>
      <w:proofErr w:type="spellEnd"/>
      <w:r w:rsidRPr="004C74E5">
        <w:rPr>
          <w:rFonts w:ascii="Times New Roman" w:eastAsia="Times New Roman" w:hAnsi="Times New Roman" w:cs="Times New Roman"/>
          <w:sz w:val="24"/>
          <w:szCs w:val="24"/>
          <w:lang w:val="en-US" w:eastAsia="en-US"/>
        </w:rPr>
        <w:t xml:space="preserve"> de contamination du </w:t>
      </w:r>
      <w:proofErr w:type="spellStart"/>
      <w:r w:rsidRPr="004C74E5">
        <w:rPr>
          <w:rFonts w:ascii="Times New Roman" w:eastAsia="Times New Roman" w:hAnsi="Times New Roman" w:cs="Times New Roman"/>
          <w:sz w:val="24"/>
          <w:szCs w:val="24"/>
          <w:lang w:val="en-US" w:eastAsia="en-US"/>
        </w:rPr>
        <w:t>poivron</w:t>
      </w:r>
      <w:proofErr w:type="spellEnd"/>
      <w:r w:rsidRPr="004C74E5">
        <w:rPr>
          <w:rFonts w:ascii="Times New Roman" w:eastAsia="Times New Roman" w:hAnsi="Times New Roman" w:cs="Times New Roman"/>
          <w:sz w:val="24"/>
          <w:szCs w:val="24"/>
          <w:lang w:val="en-US" w:eastAsia="en-US"/>
        </w:rPr>
        <w:t xml:space="preserve"> (</w:t>
      </w:r>
      <w:r w:rsidRPr="004C74E5">
        <w:rPr>
          <w:rFonts w:ascii="Times New Roman" w:eastAsia="Times New Roman" w:hAnsi="Times New Roman" w:cs="Times New Roman"/>
          <w:i/>
          <w:iCs/>
          <w:sz w:val="24"/>
          <w:szCs w:val="24"/>
          <w:lang w:val="en-US" w:eastAsia="en-US"/>
        </w:rPr>
        <w:t>Capsicum</w:t>
      </w:r>
      <w:r w:rsidRPr="004C74E5">
        <w:rPr>
          <w:rFonts w:ascii="Times New Roman" w:eastAsia="Times New Roman" w:hAnsi="Times New Roman" w:cs="Times New Roman"/>
          <w:sz w:val="24"/>
          <w:szCs w:val="24"/>
          <w:lang w:val="en-US" w:eastAsia="en-US"/>
        </w:rPr>
        <w:t xml:space="preserve"> L., 1753) par les pesticides. </w:t>
      </w:r>
      <w:r w:rsidRPr="004C74E5">
        <w:rPr>
          <w:rFonts w:ascii="Times New Roman" w:eastAsia="Times New Roman" w:hAnsi="Times New Roman" w:cs="Times New Roman"/>
          <w:i/>
          <w:iCs/>
          <w:sz w:val="24"/>
          <w:szCs w:val="24"/>
          <w:lang w:val="en-US" w:eastAsia="en-US"/>
        </w:rPr>
        <w:t>European Scientific Journal, 14</w:t>
      </w:r>
      <w:r w:rsidRPr="004C74E5">
        <w:rPr>
          <w:rFonts w:ascii="Times New Roman" w:eastAsia="Times New Roman" w:hAnsi="Times New Roman" w:cs="Times New Roman"/>
          <w:sz w:val="24"/>
          <w:szCs w:val="24"/>
          <w:lang w:val="en-US" w:eastAsia="en-US"/>
        </w:rPr>
        <w:t xml:space="preserve">(6), 432–442. </w:t>
      </w:r>
      <w:hyperlink r:id="rId17" w:history="1">
        <w:r w:rsidRPr="004C74E5">
          <w:rPr>
            <w:rFonts w:ascii="Times New Roman" w:eastAsia="Times New Roman" w:hAnsi="Times New Roman" w:cs="Times New Roman"/>
            <w:color w:val="0000FF"/>
            <w:sz w:val="24"/>
            <w:szCs w:val="24"/>
            <w:u w:val="single"/>
            <w:lang w:val="en-US" w:eastAsia="en-US"/>
          </w:rPr>
          <w:t>https://doi.org/10.19044/esj.2018.v14n6p432</w:t>
        </w:r>
      </w:hyperlink>
    </w:p>
    <w:p w14:paraId="6A9A68D8"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Eze, F. O., Mukosha, C. E., Anozie, C., Moudrý, J., Ali, S., Ghorbani, M., </w:t>
      </w:r>
      <w:proofErr w:type="spellStart"/>
      <w:r w:rsidRPr="004C74E5">
        <w:rPr>
          <w:rFonts w:ascii="Times New Roman" w:eastAsia="Times New Roman" w:hAnsi="Times New Roman" w:cs="Times New Roman"/>
          <w:sz w:val="24"/>
          <w:szCs w:val="24"/>
          <w:lang w:val="en-US" w:eastAsia="en-US"/>
        </w:rPr>
        <w:t>Amirahmadi</w:t>
      </w:r>
      <w:proofErr w:type="spellEnd"/>
      <w:r w:rsidRPr="004C74E5">
        <w:rPr>
          <w:rFonts w:ascii="Times New Roman" w:eastAsia="Times New Roman" w:hAnsi="Times New Roman" w:cs="Times New Roman"/>
          <w:sz w:val="24"/>
          <w:szCs w:val="24"/>
          <w:lang w:val="en-US" w:eastAsia="en-US"/>
        </w:rPr>
        <w:t xml:space="preserve">, E., Baloch, S. B., &amp; </w:t>
      </w:r>
      <w:proofErr w:type="spellStart"/>
      <w:r w:rsidRPr="004C74E5">
        <w:rPr>
          <w:rFonts w:ascii="Times New Roman" w:eastAsia="Times New Roman" w:hAnsi="Times New Roman" w:cs="Times New Roman"/>
          <w:sz w:val="24"/>
          <w:szCs w:val="24"/>
          <w:lang w:val="en-US" w:eastAsia="en-US"/>
        </w:rPr>
        <w:t>Baiyeri</w:t>
      </w:r>
      <w:proofErr w:type="spellEnd"/>
      <w:r w:rsidRPr="004C74E5">
        <w:rPr>
          <w:rFonts w:ascii="Times New Roman" w:eastAsia="Times New Roman" w:hAnsi="Times New Roman" w:cs="Times New Roman"/>
          <w:sz w:val="24"/>
          <w:szCs w:val="24"/>
          <w:lang w:val="en-US" w:eastAsia="en-US"/>
        </w:rPr>
        <w:t>, K. P. (2024). Response of carrots (</w:t>
      </w:r>
      <w:r w:rsidRPr="004C74E5">
        <w:rPr>
          <w:rFonts w:ascii="Times New Roman" w:eastAsia="Times New Roman" w:hAnsi="Times New Roman" w:cs="Times New Roman"/>
          <w:i/>
          <w:iCs/>
          <w:sz w:val="24"/>
          <w:szCs w:val="24"/>
          <w:lang w:val="en-US" w:eastAsia="en-US"/>
        </w:rPr>
        <w:t>Daucus carota</w:t>
      </w:r>
      <w:r w:rsidRPr="004C74E5">
        <w:rPr>
          <w:rFonts w:ascii="Times New Roman" w:eastAsia="Times New Roman" w:hAnsi="Times New Roman" w:cs="Times New Roman"/>
          <w:sz w:val="24"/>
          <w:szCs w:val="24"/>
          <w:lang w:val="en-US" w:eastAsia="en-US"/>
        </w:rPr>
        <w:t xml:space="preserve">) on the growth, yield, and nutritional composition to varying poultry manure rates. </w:t>
      </w:r>
      <w:r w:rsidRPr="004C74E5">
        <w:rPr>
          <w:rFonts w:ascii="Times New Roman" w:eastAsia="Times New Roman" w:hAnsi="Times New Roman" w:cs="Times New Roman"/>
          <w:i/>
          <w:iCs/>
          <w:sz w:val="24"/>
          <w:szCs w:val="24"/>
          <w:lang w:val="en-US" w:eastAsia="en-US"/>
        </w:rPr>
        <w:t>Agricultural Research, 13</w:t>
      </w:r>
      <w:r w:rsidRPr="004C74E5">
        <w:rPr>
          <w:rFonts w:ascii="Times New Roman" w:eastAsia="Times New Roman" w:hAnsi="Times New Roman" w:cs="Times New Roman"/>
          <w:sz w:val="24"/>
          <w:szCs w:val="24"/>
          <w:lang w:val="en-US" w:eastAsia="en-US"/>
        </w:rPr>
        <w:t xml:space="preserve">, 841–850. </w:t>
      </w:r>
      <w:hyperlink r:id="rId18" w:history="1">
        <w:r w:rsidRPr="004C74E5">
          <w:rPr>
            <w:rFonts w:ascii="Times New Roman" w:eastAsia="Times New Roman" w:hAnsi="Times New Roman" w:cs="Times New Roman"/>
            <w:color w:val="0000FF"/>
            <w:sz w:val="24"/>
            <w:szCs w:val="24"/>
            <w:u w:val="single"/>
            <w:lang w:val="en-US" w:eastAsia="en-US"/>
          </w:rPr>
          <w:t>https://doi.org/10.1007/s40003-024-00723-9</w:t>
        </w:r>
      </w:hyperlink>
    </w:p>
    <w:p w14:paraId="40B503D4"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Gnimassoun</w:t>
      </w:r>
      <w:proofErr w:type="spellEnd"/>
      <w:r w:rsidRPr="004C74E5">
        <w:rPr>
          <w:rFonts w:ascii="Times New Roman" w:eastAsia="Times New Roman" w:hAnsi="Times New Roman" w:cs="Times New Roman"/>
          <w:sz w:val="24"/>
          <w:szCs w:val="24"/>
          <w:lang w:val="en-US" w:eastAsia="en-US"/>
        </w:rPr>
        <w:t xml:space="preserve">, K. E.-G., Ettien, D. J. B., Bouadou, O. B. F., &amp; Masse, D. (2020). Effect of empty fruit bunch compost on improving the productivity of two vegetables produced under sandy poor soil in organic matter in the south-west of Côte d’Ivoire. </w:t>
      </w:r>
      <w:r w:rsidRPr="004C74E5">
        <w:rPr>
          <w:rFonts w:ascii="Times New Roman" w:eastAsia="Times New Roman" w:hAnsi="Times New Roman" w:cs="Times New Roman"/>
          <w:i/>
          <w:iCs/>
          <w:sz w:val="24"/>
          <w:szCs w:val="24"/>
          <w:lang w:val="en-US" w:eastAsia="en-US"/>
        </w:rPr>
        <w:t>European Journal of Scientific Research, 157</w:t>
      </w:r>
      <w:r w:rsidRPr="004C74E5">
        <w:rPr>
          <w:rFonts w:ascii="Times New Roman" w:eastAsia="Times New Roman" w:hAnsi="Times New Roman" w:cs="Times New Roman"/>
          <w:sz w:val="24"/>
          <w:szCs w:val="24"/>
          <w:lang w:val="en-US" w:eastAsia="en-US"/>
        </w:rPr>
        <w:t xml:space="preserve">(2), 142–157. </w:t>
      </w:r>
      <w:hyperlink r:id="rId19" w:history="1">
        <w:r w:rsidRPr="004C74E5">
          <w:rPr>
            <w:rFonts w:ascii="Times New Roman" w:eastAsia="Times New Roman" w:hAnsi="Times New Roman" w:cs="Times New Roman"/>
            <w:color w:val="0000FF"/>
            <w:sz w:val="24"/>
            <w:szCs w:val="24"/>
            <w:u w:val="single"/>
            <w:lang w:val="en-US" w:eastAsia="en-US"/>
          </w:rPr>
          <w:t>https://www.europeanjournalofscientificresearch.com/issues/PDF/EJSR_157_2_03.pdf</w:t>
        </w:r>
      </w:hyperlink>
    </w:p>
    <w:p w14:paraId="7B60C24A" w14:textId="49F86B9B"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Gnimassoun</w:t>
      </w:r>
      <w:proofErr w:type="spellEnd"/>
      <w:r w:rsidRPr="004C74E5">
        <w:rPr>
          <w:rFonts w:ascii="Times New Roman" w:eastAsia="Times New Roman" w:hAnsi="Times New Roman" w:cs="Times New Roman"/>
          <w:sz w:val="24"/>
          <w:szCs w:val="24"/>
          <w:lang w:val="en-US" w:eastAsia="en-US"/>
        </w:rPr>
        <w:t xml:space="preserve">, K. E.-G. (2021). </w:t>
      </w:r>
      <w:proofErr w:type="spellStart"/>
      <w:r w:rsidRPr="004C74E5">
        <w:rPr>
          <w:rFonts w:ascii="Times New Roman" w:eastAsia="Times New Roman" w:hAnsi="Times New Roman" w:cs="Times New Roman"/>
          <w:i/>
          <w:iCs/>
          <w:sz w:val="24"/>
          <w:szCs w:val="24"/>
          <w:lang w:val="en-US" w:eastAsia="en-US"/>
        </w:rPr>
        <w:t>Effets</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combinés</w:t>
      </w:r>
      <w:proofErr w:type="spellEnd"/>
      <w:r w:rsidRPr="004C74E5">
        <w:rPr>
          <w:rFonts w:ascii="Times New Roman" w:eastAsia="Times New Roman" w:hAnsi="Times New Roman" w:cs="Times New Roman"/>
          <w:i/>
          <w:iCs/>
          <w:sz w:val="24"/>
          <w:szCs w:val="24"/>
          <w:lang w:val="en-US" w:eastAsia="en-US"/>
        </w:rPr>
        <w:t xml:space="preserve"> du compost de </w:t>
      </w:r>
      <w:proofErr w:type="spellStart"/>
      <w:r w:rsidRPr="004C74E5">
        <w:rPr>
          <w:rFonts w:ascii="Times New Roman" w:eastAsia="Times New Roman" w:hAnsi="Times New Roman" w:cs="Times New Roman"/>
          <w:i/>
          <w:iCs/>
          <w:sz w:val="24"/>
          <w:szCs w:val="24"/>
          <w:lang w:val="en-US" w:eastAsia="en-US"/>
        </w:rPr>
        <w:t>rafles</w:t>
      </w:r>
      <w:proofErr w:type="spellEnd"/>
      <w:r w:rsidRPr="004C74E5">
        <w:rPr>
          <w:rFonts w:ascii="Times New Roman" w:eastAsia="Times New Roman" w:hAnsi="Times New Roman" w:cs="Times New Roman"/>
          <w:i/>
          <w:iCs/>
          <w:sz w:val="24"/>
          <w:szCs w:val="24"/>
          <w:lang w:val="en-US" w:eastAsia="en-US"/>
        </w:rPr>
        <w:t xml:space="preserve"> de palmier et de la </w:t>
      </w:r>
      <w:proofErr w:type="spellStart"/>
      <w:r w:rsidRPr="004C74E5">
        <w:rPr>
          <w:rFonts w:ascii="Times New Roman" w:eastAsia="Times New Roman" w:hAnsi="Times New Roman" w:cs="Times New Roman"/>
          <w:i/>
          <w:iCs/>
          <w:sz w:val="24"/>
          <w:szCs w:val="24"/>
          <w:lang w:val="en-US" w:eastAsia="en-US"/>
        </w:rPr>
        <w:t>fiente</w:t>
      </w:r>
      <w:proofErr w:type="spellEnd"/>
      <w:r w:rsidRPr="004C74E5">
        <w:rPr>
          <w:rFonts w:ascii="Times New Roman" w:eastAsia="Times New Roman" w:hAnsi="Times New Roman" w:cs="Times New Roman"/>
          <w:i/>
          <w:iCs/>
          <w:sz w:val="24"/>
          <w:szCs w:val="24"/>
          <w:lang w:val="en-US" w:eastAsia="en-US"/>
        </w:rPr>
        <w:t xml:space="preserve"> de volaille sur la </w:t>
      </w:r>
      <w:proofErr w:type="spellStart"/>
      <w:r w:rsidRPr="004C74E5">
        <w:rPr>
          <w:rFonts w:ascii="Times New Roman" w:eastAsia="Times New Roman" w:hAnsi="Times New Roman" w:cs="Times New Roman"/>
          <w:i/>
          <w:iCs/>
          <w:sz w:val="24"/>
          <w:szCs w:val="24"/>
          <w:lang w:val="en-US" w:eastAsia="en-US"/>
        </w:rPr>
        <w:t>fertilité</w:t>
      </w:r>
      <w:proofErr w:type="spellEnd"/>
      <w:r w:rsidRPr="004C74E5">
        <w:rPr>
          <w:rFonts w:ascii="Times New Roman" w:eastAsia="Times New Roman" w:hAnsi="Times New Roman" w:cs="Times New Roman"/>
          <w:i/>
          <w:iCs/>
          <w:sz w:val="24"/>
          <w:szCs w:val="24"/>
          <w:lang w:val="en-US" w:eastAsia="en-US"/>
        </w:rPr>
        <w:t xml:space="preserve"> des sols </w:t>
      </w:r>
      <w:proofErr w:type="spellStart"/>
      <w:r w:rsidRPr="004C74E5">
        <w:rPr>
          <w:rFonts w:ascii="Times New Roman" w:eastAsia="Times New Roman" w:hAnsi="Times New Roman" w:cs="Times New Roman"/>
          <w:i/>
          <w:iCs/>
          <w:sz w:val="24"/>
          <w:szCs w:val="24"/>
          <w:lang w:val="en-US" w:eastAsia="en-US"/>
        </w:rPr>
        <w:t>sableux</w:t>
      </w:r>
      <w:proofErr w:type="spellEnd"/>
      <w:r w:rsidRPr="004C74E5">
        <w:rPr>
          <w:rFonts w:ascii="Times New Roman" w:eastAsia="Times New Roman" w:hAnsi="Times New Roman" w:cs="Times New Roman"/>
          <w:i/>
          <w:iCs/>
          <w:sz w:val="24"/>
          <w:szCs w:val="24"/>
          <w:lang w:val="en-US" w:eastAsia="en-US"/>
        </w:rPr>
        <w:t xml:space="preserve"> sous culture de piment (Capsicum frutescens) et </w:t>
      </w:r>
      <w:proofErr w:type="spellStart"/>
      <w:r w:rsidRPr="004C74E5">
        <w:rPr>
          <w:rFonts w:ascii="Times New Roman" w:eastAsia="Times New Roman" w:hAnsi="Times New Roman" w:cs="Times New Roman"/>
          <w:i/>
          <w:iCs/>
          <w:sz w:val="24"/>
          <w:szCs w:val="24"/>
          <w:lang w:val="en-US" w:eastAsia="en-US"/>
        </w:rPr>
        <w:t>d’aubergine</w:t>
      </w:r>
      <w:proofErr w:type="spellEnd"/>
      <w:r w:rsidRPr="004C74E5">
        <w:rPr>
          <w:rFonts w:ascii="Times New Roman" w:eastAsia="Times New Roman" w:hAnsi="Times New Roman" w:cs="Times New Roman"/>
          <w:i/>
          <w:iCs/>
          <w:sz w:val="24"/>
          <w:szCs w:val="24"/>
          <w:lang w:val="en-US" w:eastAsia="en-US"/>
        </w:rPr>
        <w:t xml:space="preserve"> (Solanum </w:t>
      </w:r>
      <w:proofErr w:type="spellStart"/>
      <w:r w:rsidRPr="004C74E5">
        <w:rPr>
          <w:rFonts w:ascii="Times New Roman" w:eastAsia="Times New Roman" w:hAnsi="Times New Roman" w:cs="Times New Roman"/>
          <w:i/>
          <w:iCs/>
          <w:sz w:val="24"/>
          <w:szCs w:val="24"/>
          <w:lang w:val="en-US" w:eastAsia="en-US"/>
        </w:rPr>
        <w:t>aethiopicum</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anguivi</w:t>
      </w:r>
      <w:proofErr w:type="spellEnd"/>
      <w:r w:rsidRPr="004C74E5">
        <w:rPr>
          <w:rFonts w:ascii="Times New Roman" w:eastAsia="Times New Roman" w:hAnsi="Times New Roman" w:cs="Times New Roman"/>
          <w:i/>
          <w:iCs/>
          <w:sz w:val="24"/>
          <w:szCs w:val="24"/>
          <w:lang w:val="en-US" w:eastAsia="en-US"/>
        </w:rPr>
        <w:t xml:space="preserve">) dans la </w:t>
      </w:r>
      <w:proofErr w:type="spellStart"/>
      <w:r w:rsidRPr="004C74E5">
        <w:rPr>
          <w:rFonts w:ascii="Times New Roman" w:eastAsia="Times New Roman" w:hAnsi="Times New Roman" w:cs="Times New Roman"/>
          <w:i/>
          <w:iCs/>
          <w:sz w:val="24"/>
          <w:szCs w:val="24"/>
          <w:lang w:val="en-US" w:eastAsia="en-US"/>
        </w:rPr>
        <w:t>localité</w:t>
      </w:r>
      <w:proofErr w:type="spellEnd"/>
      <w:r w:rsidRPr="004C74E5">
        <w:rPr>
          <w:rFonts w:ascii="Times New Roman" w:eastAsia="Times New Roman" w:hAnsi="Times New Roman" w:cs="Times New Roman"/>
          <w:i/>
          <w:iCs/>
          <w:sz w:val="24"/>
          <w:szCs w:val="24"/>
          <w:lang w:val="en-US" w:eastAsia="en-US"/>
        </w:rPr>
        <w:t xml:space="preserve"> de Grand-Lahou, </w:t>
      </w:r>
      <w:proofErr w:type="spellStart"/>
      <w:r w:rsidRPr="004C74E5">
        <w:rPr>
          <w:rFonts w:ascii="Times New Roman" w:eastAsia="Times New Roman" w:hAnsi="Times New Roman" w:cs="Times New Roman"/>
          <w:i/>
          <w:iCs/>
          <w:sz w:val="24"/>
          <w:szCs w:val="24"/>
          <w:lang w:val="en-US" w:eastAsia="en-US"/>
        </w:rPr>
        <w:t>sud-ouest</w:t>
      </w:r>
      <w:proofErr w:type="spellEnd"/>
      <w:r w:rsidRPr="004C74E5">
        <w:rPr>
          <w:rFonts w:ascii="Times New Roman" w:eastAsia="Times New Roman" w:hAnsi="Times New Roman" w:cs="Times New Roman"/>
          <w:i/>
          <w:iCs/>
          <w:sz w:val="24"/>
          <w:szCs w:val="24"/>
          <w:lang w:val="en-US" w:eastAsia="en-US"/>
        </w:rPr>
        <w:t xml:space="preserve"> de la Côte d’Ivoire</w:t>
      </w:r>
      <w:r w:rsidRPr="004C74E5">
        <w:rPr>
          <w:rFonts w:ascii="Times New Roman" w:eastAsia="Times New Roman" w:hAnsi="Times New Roman" w:cs="Times New Roman"/>
          <w:sz w:val="24"/>
          <w:szCs w:val="24"/>
          <w:lang w:val="en-US" w:eastAsia="en-US"/>
        </w:rPr>
        <w:t xml:space="preserve"> [Doctoral dissertation, Université Félix Houphouët-Boigny]. </w:t>
      </w:r>
    </w:p>
    <w:p w14:paraId="4A0A8EC3"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Gnimassoun</w:t>
      </w:r>
      <w:proofErr w:type="spellEnd"/>
      <w:r w:rsidRPr="004C74E5">
        <w:rPr>
          <w:rFonts w:ascii="Times New Roman" w:eastAsia="Times New Roman" w:hAnsi="Times New Roman" w:cs="Times New Roman"/>
          <w:sz w:val="24"/>
          <w:szCs w:val="24"/>
          <w:lang w:val="en-US" w:eastAsia="en-US"/>
        </w:rPr>
        <w:t>, K. E.-G., Bolou-Bi, E. B., &amp; Konan, K. R. (2024). Effectiveness of organic fertilizers in improving soil fertility, productivity, and quality of carrots (</w:t>
      </w:r>
      <w:r w:rsidRPr="004C74E5">
        <w:rPr>
          <w:rFonts w:ascii="Times New Roman" w:eastAsia="Times New Roman" w:hAnsi="Times New Roman" w:cs="Times New Roman"/>
          <w:i/>
          <w:iCs/>
          <w:sz w:val="24"/>
          <w:szCs w:val="24"/>
          <w:lang w:val="en-US" w:eastAsia="en-US"/>
        </w:rPr>
        <w:t>Daucus carota</w:t>
      </w:r>
      <w:r w:rsidRPr="004C74E5">
        <w:rPr>
          <w:rFonts w:ascii="Times New Roman" w:eastAsia="Times New Roman" w:hAnsi="Times New Roman" w:cs="Times New Roman"/>
          <w:sz w:val="24"/>
          <w:szCs w:val="24"/>
          <w:lang w:val="en-US" w:eastAsia="en-US"/>
        </w:rPr>
        <w:t xml:space="preserve">) in Southern Côte d’Ivoire. </w:t>
      </w:r>
      <w:r w:rsidRPr="004C74E5">
        <w:rPr>
          <w:rFonts w:ascii="Times New Roman" w:eastAsia="Times New Roman" w:hAnsi="Times New Roman" w:cs="Times New Roman"/>
          <w:i/>
          <w:iCs/>
          <w:sz w:val="24"/>
          <w:szCs w:val="24"/>
          <w:lang w:val="en-US" w:eastAsia="en-US"/>
        </w:rPr>
        <w:t>Annual Research &amp; Review in Biology, 39</w:t>
      </w:r>
      <w:r w:rsidRPr="004C74E5">
        <w:rPr>
          <w:rFonts w:ascii="Times New Roman" w:eastAsia="Times New Roman" w:hAnsi="Times New Roman" w:cs="Times New Roman"/>
          <w:sz w:val="24"/>
          <w:szCs w:val="24"/>
          <w:lang w:val="en-US" w:eastAsia="en-US"/>
        </w:rPr>
        <w:t xml:space="preserve">(9), 39–49. </w:t>
      </w:r>
      <w:hyperlink r:id="rId20" w:history="1">
        <w:r w:rsidRPr="004C74E5">
          <w:rPr>
            <w:rFonts w:ascii="Times New Roman" w:eastAsia="Times New Roman" w:hAnsi="Times New Roman" w:cs="Times New Roman"/>
            <w:color w:val="0000FF"/>
            <w:sz w:val="24"/>
            <w:szCs w:val="24"/>
            <w:u w:val="single"/>
            <w:lang w:val="en-US" w:eastAsia="en-US"/>
          </w:rPr>
          <w:t>https://doi.org/10.9734/arrb/2024/v39i92116</w:t>
        </w:r>
      </w:hyperlink>
    </w:p>
    <w:p w14:paraId="1213AEAD"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Gnimassoun</w:t>
      </w:r>
      <w:proofErr w:type="spellEnd"/>
      <w:r w:rsidRPr="004C74E5">
        <w:rPr>
          <w:rFonts w:ascii="Times New Roman" w:eastAsia="Times New Roman" w:hAnsi="Times New Roman" w:cs="Times New Roman"/>
          <w:sz w:val="24"/>
          <w:szCs w:val="24"/>
          <w:lang w:val="en-US" w:eastAsia="en-US"/>
        </w:rPr>
        <w:t xml:space="preserve">, K. E.-G., Bolou-Bi, E. B., &amp; Ouattara, M. D. (2024). Effects of organic amendments on soil chemistry, fauna diversity, and pepper growth in Côte d’Ivoire, West Africa. </w:t>
      </w:r>
      <w:r w:rsidRPr="004C74E5">
        <w:rPr>
          <w:rFonts w:ascii="Times New Roman" w:eastAsia="Times New Roman" w:hAnsi="Times New Roman" w:cs="Times New Roman"/>
          <w:i/>
          <w:iCs/>
          <w:sz w:val="24"/>
          <w:szCs w:val="24"/>
          <w:lang w:val="en-US" w:eastAsia="en-US"/>
        </w:rPr>
        <w:t>International Journal of Plant &amp; Soil Science, 36</w:t>
      </w:r>
      <w:r w:rsidRPr="004C74E5">
        <w:rPr>
          <w:rFonts w:ascii="Times New Roman" w:eastAsia="Times New Roman" w:hAnsi="Times New Roman" w:cs="Times New Roman"/>
          <w:sz w:val="24"/>
          <w:szCs w:val="24"/>
          <w:lang w:val="en-US" w:eastAsia="en-US"/>
        </w:rPr>
        <w:t xml:space="preserve">(7), 955–968. </w:t>
      </w:r>
      <w:hyperlink r:id="rId21" w:history="1">
        <w:r w:rsidRPr="004C74E5">
          <w:rPr>
            <w:rFonts w:ascii="Times New Roman" w:eastAsia="Times New Roman" w:hAnsi="Times New Roman" w:cs="Times New Roman"/>
            <w:color w:val="0000FF"/>
            <w:sz w:val="24"/>
            <w:szCs w:val="24"/>
            <w:u w:val="single"/>
            <w:lang w:val="en-US" w:eastAsia="en-US"/>
          </w:rPr>
          <w:t>https://doi.org/10.9734/ijpss/2024/v36i74808</w:t>
        </w:r>
      </w:hyperlink>
    </w:p>
    <w:p w14:paraId="1820E28A"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Kassin, K. E. (2013, February 4–6). </w:t>
      </w:r>
      <w:r w:rsidRPr="004C74E5">
        <w:rPr>
          <w:rFonts w:ascii="Times New Roman" w:eastAsia="Times New Roman" w:hAnsi="Times New Roman" w:cs="Times New Roman"/>
          <w:i/>
          <w:iCs/>
          <w:sz w:val="24"/>
          <w:szCs w:val="24"/>
          <w:lang w:val="en-US" w:eastAsia="en-US"/>
        </w:rPr>
        <w:t xml:space="preserve">Systèmes </w:t>
      </w:r>
      <w:proofErr w:type="spellStart"/>
      <w:r w:rsidRPr="004C74E5">
        <w:rPr>
          <w:rFonts w:ascii="Times New Roman" w:eastAsia="Times New Roman" w:hAnsi="Times New Roman" w:cs="Times New Roman"/>
          <w:i/>
          <w:iCs/>
          <w:sz w:val="24"/>
          <w:szCs w:val="24"/>
          <w:lang w:val="en-US" w:eastAsia="en-US"/>
        </w:rPr>
        <w:t>agricoles</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en</w:t>
      </w:r>
      <w:proofErr w:type="spellEnd"/>
      <w:r w:rsidRPr="004C74E5">
        <w:rPr>
          <w:rFonts w:ascii="Times New Roman" w:eastAsia="Times New Roman" w:hAnsi="Times New Roman" w:cs="Times New Roman"/>
          <w:i/>
          <w:iCs/>
          <w:sz w:val="24"/>
          <w:szCs w:val="24"/>
          <w:lang w:val="en-US" w:eastAsia="en-US"/>
        </w:rPr>
        <w:t xml:space="preserve"> danger: Actions </w:t>
      </w:r>
      <w:proofErr w:type="spellStart"/>
      <w:r w:rsidRPr="004C74E5">
        <w:rPr>
          <w:rFonts w:ascii="Times New Roman" w:eastAsia="Times New Roman" w:hAnsi="Times New Roman" w:cs="Times New Roman"/>
          <w:i/>
          <w:iCs/>
          <w:sz w:val="24"/>
          <w:szCs w:val="24"/>
          <w:lang w:val="en-US" w:eastAsia="en-US"/>
        </w:rPr>
        <w:t>prioritaires</w:t>
      </w:r>
      <w:proofErr w:type="spellEnd"/>
      <w:r w:rsidRPr="004C74E5">
        <w:rPr>
          <w:rFonts w:ascii="Times New Roman" w:eastAsia="Times New Roman" w:hAnsi="Times New Roman" w:cs="Times New Roman"/>
          <w:i/>
          <w:iCs/>
          <w:sz w:val="24"/>
          <w:szCs w:val="24"/>
          <w:lang w:val="en-US" w:eastAsia="en-US"/>
        </w:rPr>
        <w:t xml:space="preserve"> pour </w:t>
      </w:r>
      <w:proofErr w:type="spellStart"/>
      <w:r w:rsidRPr="004C74E5">
        <w:rPr>
          <w:rFonts w:ascii="Times New Roman" w:eastAsia="Times New Roman" w:hAnsi="Times New Roman" w:cs="Times New Roman"/>
          <w:i/>
          <w:iCs/>
          <w:sz w:val="24"/>
          <w:szCs w:val="24"/>
          <w:lang w:val="en-US" w:eastAsia="en-US"/>
        </w:rPr>
        <w:t>l’adaptation</w:t>
      </w:r>
      <w:proofErr w:type="spellEnd"/>
      <w:r w:rsidRPr="004C74E5">
        <w:rPr>
          <w:rFonts w:ascii="Times New Roman" w:eastAsia="Times New Roman" w:hAnsi="Times New Roman" w:cs="Times New Roman"/>
          <w:i/>
          <w:iCs/>
          <w:sz w:val="24"/>
          <w:szCs w:val="24"/>
          <w:lang w:val="en-US" w:eastAsia="en-US"/>
        </w:rPr>
        <w:t xml:space="preserve"> au changement </w:t>
      </w:r>
      <w:proofErr w:type="spellStart"/>
      <w:r w:rsidRPr="004C74E5">
        <w:rPr>
          <w:rFonts w:ascii="Times New Roman" w:eastAsia="Times New Roman" w:hAnsi="Times New Roman" w:cs="Times New Roman"/>
          <w:i/>
          <w:iCs/>
          <w:sz w:val="24"/>
          <w:szCs w:val="24"/>
          <w:lang w:val="en-US" w:eastAsia="en-US"/>
        </w:rPr>
        <w:t>climatique</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Statut</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besoins</w:t>
      </w:r>
      <w:proofErr w:type="spellEnd"/>
      <w:r w:rsidRPr="004C74E5">
        <w:rPr>
          <w:rFonts w:ascii="Times New Roman" w:eastAsia="Times New Roman" w:hAnsi="Times New Roman" w:cs="Times New Roman"/>
          <w:i/>
          <w:iCs/>
          <w:sz w:val="24"/>
          <w:szCs w:val="24"/>
          <w:lang w:val="en-US" w:eastAsia="en-US"/>
        </w:rPr>
        <w:t xml:space="preserve"> et </w:t>
      </w:r>
      <w:proofErr w:type="spellStart"/>
      <w:r w:rsidRPr="004C74E5">
        <w:rPr>
          <w:rFonts w:ascii="Times New Roman" w:eastAsia="Times New Roman" w:hAnsi="Times New Roman" w:cs="Times New Roman"/>
          <w:i/>
          <w:iCs/>
          <w:sz w:val="24"/>
          <w:szCs w:val="24"/>
          <w:lang w:val="en-US" w:eastAsia="en-US"/>
        </w:rPr>
        <w:t>priorités</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en</w:t>
      </w:r>
      <w:proofErr w:type="spellEnd"/>
      <w:r w:rsidRPr="004C74E5">
        <w:rPr>
          <w:rFonts w:ascii="Times New Roman" w:eastAsia="Times New Roman" w:hAnsi="Times New Roman" w:cs="Times New Roman"/>
          <w:i/>
          <w:iCs/>
          <w:sz w:val="24"/>
          <w:szCs w:val="24"/>
          <w:lang w:val="en-US" w:eastAsia="en-US"/>
        </w:rPr>
        <w:t xml:space="preserve"> matière de gestion durable des sols </w:t>
      </w:r>
      <w:proofErr w:type="spellStart"/>
      <w:r w:rsidRPr="004C74E5">
        <w:rPr>
          <w:rFonts w:ascii="Times New Roman" w:eastAsia="Times New Roman" w:hAnsi="Times New Roman" w:cs="Times New Roman"/>
          <w:i/>
          <w:iCs/>
          <w:sz w:val="24"/>
          <w:szCs w:val="24"/>
          <w:lang w:val="en-US" w:eastAsia="en-US"/>
        </w:rPr>
        <w:t>en</w:t>
      </w:r>
      <w:proofErr w:type="spellEnd"/>
      <w:r w:rsidRPr="004C74E5">
        <w:rPr>
          <w:rFonts w:ascii="Times New Roman" w:eastAsia="Times New Roman" w:hAnsi="Times New Roman" w:cs="Times New Roman"/>
          <w:i/>
          <w:iCs/>
          <w:sz w:val="24"/>
          <w:szCs w:val="24"/>
          <w:lang w:val="en-US" w:eastAsia="en-US"/>
        </w:rPr>
        <w:t xml:space="preserve"> Côte d’Ivoire</w:t>
      </w:r>
      <w:r w:rsidRPr="004C74E5">
        <w:rPr>
          <w:rFonts w:ascii="Times New Roman" w:eastAsia="Times New Roman" w:hAnsi="Times New Roman" w:cs="Times New Roman"/>
          <w:sz w:val="24"/>
          <w:szCs w:val="24"/>
          <w:lang w:val="en-US" w:eastAsia="en-US"/>
        </w:rPr>
        <w:t xml:space="preserve"> [Conference presentation]. Regional Conference on the West and Central African Soil Partnership, Accra, Ghana. </w:t>
      </w:r>
      <w:hyperlink r:id="rId22" w:history="1">
        <w:r w:rsidRPr="004C74E5">
          <w:rPr>
            <w:rFonts w:ascii="Times New Roman" w:eastAsia="Times New Roman" w:hAnsi="Times New Roman" w:cs="Times New Roman"/>
            <w:color w:val="0000FF"/>
            <w:sz w:val="24"/>
            <w:szCs w:val="24"/>
            <w:u w:val="single"/>
            <w:lang w:val="en-US" w:eastAsia="en-US"/>
          </w:rPr>
          <w:t>https://www.fao.org/fileadmin/user_upload/GSP/docs/West_africa_partner/CoteD_Ivoire_Assin.pdf</w:t>
        </w:r>
      </w:hyperlink>
    </w:p>
    <w:p w14:paraId="409F8ABF"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Kopittke, P. M., Menzies, N. W., Wang, P., McKenna, B. A., &amp; </w:t>
      </w:r>
      <w:proofErr w:type="spellStart"/>
      <w:r w:rsidRPr="004C74E5">
        <w:rPr>
          <w:rFonts w:ascii="Times New Roman" w:eastAsia="Times New Roman" w:hAnsi="Times New Roman" w:cs="Times New Roman"/>
          <w:sz w:val="24"/>
          <w:szCs w:val="24"/>
          <w:lang w:val="en-US" w:eastAsia="en-US"/>
        </w:rPr>
        <w:t>Lombi</w:t>
      </w:r>
      <w:proofErr w:type="spellEnd"/>
      <w:r w:rsidRPr="004C74E5">
        <w:rPr>
          <w:rFonts w:ascii="Times New Roman" w:eastAsia="Times New Roman" w:hAnsi="Times New Roman" w:cs="Times New Roman"/>
          <w:sz w:val="24"/>
          <w:szCs w:val="24"/>
          <w:lang w:val="en-US" w:eastAsia="en-US"/>
        </w:rPr>
        <w:t xml:space="preserve">, E. (2019). Soil and the intensification of agriculture for global food security. </w:t>
      </w:r>
      <w:r w:rsidRPr="004C74E5">
        <w:rPr>
          <w:rFonts w:ascii="Times New Roman" w:eastAsia="Times New Roman" w:hAnsi="Times New Roman" w:cs="Times New Roman"/>
          <w:i/>
          <w:iCs/>
          <w:sz w:val="24"/>
          <w:szCs w:val="24"/>
          <w:lang w:val="en-US" w:eastAsia="en-US"/>
        </w:rPr>
        <w:t>Environment International, 132</w:t>
      </w:r>
      <w:r w:rsidRPr="004C74E5">
        <w:rPr>
          <w:rFonts w:ascii="Times New Roman" w:eastAsia="Times New Roman" w:hAnsi="Times New Roman" w:cs="Times New Roman"/>
          <w:sz w:val="24"/>
          <w:szCs w:val="24"/>
          <w:lang w:val="en-US" w:eastAsia="en-US"/>
        </w:rPr>
        <w:t xml:space="preserve">, 105078. </w:t>
      </w:r>
      <w:hyperlink r:id="rId23" w:history="1">
        <w:r w:rsidRPr="004C74E5">
          <w:rPr>
            <w:rFonts w:ascii="Times New Roman" w:eastAsia="Times New Roman" w:hAnsi="Times New Roman" w:cs="Times New Roman"/>
            <w:color w:val="0000FF"/>
            <w:sz w:val="24"/>
            <w:szCs w:val="24"/>
            <w:u w:val="single"/>
            <w:lang w:val="en-US" w:eastAsia="en-US"/>
          </w:rPr>
          <w:t>https://doi.org/10.1016/j.envint.2019.105078</w:t>
        </w:r>
      </w:hyperlink>
    </w:p>
    <w:p w14:paraId="439A8738" w14:textId="33832A3E"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lastRenderedPageBreak/>
        <w:t xml:space="preserve">Kuma, A. (2024). </w:t>
      </w:r>
      <w:r w:rsidRPr="004C74E5">
        <w:rPr>
          <w:rFonts w:ascii="Times New Roman" w:eastAsia="Times New Roman" w:hAnsi="Times New Roman" w:cs="Times New Roman"/>
          <w:i/>
          <w:iCs/>
          <w:sz w:val="24"/>
          <w:szCs w:val="24"/>
          <w:lang w:val="en-US" w:eastAsia="en-US"/>
        </w:rPr>
        <w:t xml:space="preserve">Effect of different types of organic manures and mulching materials on growth, yield and quality of carrot (Daucus carota L.) in </w:t>
      </w:r>
      <w:proofErr w:type="spellStart"/>
      <w:r w:rsidRPr="004C74E5">
        <w:rPr>
          <w:rFonts w:ascii="Times New Roman" w:eastAsia="Times New Roman" w:hAnsi="Times New Roman" w:cs="Times New Roman"/>
          <w:i/>
          <w:iCs/>
          <w:sz w:val="24"/>
          <w:szCs w:val="24"/>
          <w:lang w:val="en-US" w:eastAsia="en-US"/>
        </w:rPr>
        <w:t>Diguna</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Fango</w:t>
      </w:r>
      <w:proofErr w:type="spellEnd"/>
      <w:r w:rsidRPr="004C74E5">
        <w:rPr>
          <w:rFonts w:ascii="Times New Roman" w:eastAsia="Times New Roman" w:hAnsi="Times New Roman" w:cs="Times New Roman"/>
          <w:i/>
          <w:iCs/>
          <w:sz w:val="24"/>
          <w:szCs w:val="24"/>
          <w:lang w:val="en-US" w:eastAsia="en-US"/>
        </w:rPr>
        <w:t xml:space="preserve"> Woreda, South Ethiopia</w:t>
      </w:r>
      <w:r w:rsidRPr="004C74E5">
        <w:rPr>
          <w:rFonts w:ascii="Times New Roman" w:eastAsia="Times New Roman" w:hAnsi="Times New Roman" w:cs="Times New Roman"/>
          <w:sz w:val="24"/>
          <w:szCs w:val="24"/>
          <w:lang w:val="en-US" w:eastAsia="en-US"/>
        </w:rPr>
        <w:t xml:space="preserve"> [Preprint]. Research Square. </w:t>
      </w:r>
      <w:hyperlink r:id="rId24" w:history="1">
        <w:r w:rsidRPr="004C74E5">
          <w:rPr>
            <w:rFonts w:ascii="Times New Roman" w:eastAsia="Times New Roman" w:hAnsi="Times New Roman" w:cs="Times New Roman"/>
            <w:color w:val="0000FF"/>
            <w:sz w:val="24"/>
            <w:szCs w:val="24"/>
            <w:u w:val="single"/>
            <w:lang w:val="en-US" w:eastAsia="en-US"/>
          </w:rPr>
          <w:t>https://doi.org/10.21203/rs.3.rs-4512979/v1</w:t>
        </w:r>
      </w:hyperlink>
      <w:r w:rsidRPr="004C74E5">
        <w:rPr>
          <w:rFonts w:ascii="Times New Roman" w:eastAsia="Times New Roman" w:hAnsi="Times New Roman" w:cs="Times New Roman"/>
          <w:sz w:val="24"/>
          <w:szCs w:val="24"/>
          <w:lang w:val="en-US" w:eastAsia="en-US"/>
        </w:rPr>
        <w:br/>
      </w:r>
    </w:p>
    <w:p w14:paraId="1A425446"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Mahmoudi Meimand, M. J., </w:t>
      </w:r>
      <w:proofErr w:type="spellStart"/>
      <w:r w:rsidRPr="004C74E5">
        <w:rPr>
          <w:rFonts w:ascii="Times New Roman" w:eastAsia="Times New Roman" w:hAnsi="Times New Roman" w:cs="Times New Roman"/>
          <w:sz w:val="24"/>
          <w:szCs w:val="24"/>
          <w:lang w:val="en-US" w:eastAsia="en-US"/>
        </w:rPr>
        <w:t>Shamshiri</w:t>
      </w:r>
      <w:proofErr w:type="spellEnd"/>
      <w:r w:rsidRPr="004C74E5">
        <w:rPr>
          <w:rFonts w:ascii="Times New Roman" w:eastAsia="Times New Roman" w:hAnsi="Times New Roman" w:cs="Times New Roman"/>
          <w:sz w:val="24"/>
          <w:szCs w:val="24"/>
          <w:lang w:val="en-US" w:eastAsia="en-US"/>
        </w:rPr>
        <w:t xml:space="preserve">, M. H., </w:t>
      </w:r>
      <w:proofErr w:type="spellStart"/>
      <w:r w:rsidRPr="004C74E5">
        <w:rPr>
          <w:rFonts w:ascii="Times New Roman" w:eastAsia="Times New Roman" w:hAnsi="Times New Roman" w:cs="Times New Roman"/>
          <w:sz w:val="24"/>
          <w:szCs w:val="24"/>
          <w:lang w:val="en-US" w:eastAsia="en-US"/>
        </w:rPr>
        <w:t>Roosta</w:t>
      </w:r>
      <w:proofErr w:type="spellEnd"/>
      <w:r w:rsidRPr="004C74E5">
        <w:rPr>
          <w:rFonts w:ascii="Times New Roman" w:eastAsia="Times New Roman" w:hAnsi="Times New Roman" w:cs="Times New Roman"/>
          <w:sz w:val="24"/>
          <w:szCs w:val="24"/>
          <w:lang w:val="en-US" w:eastAsia="en-US"/>
        </w:rPr>
        <w:t>, H. R., &amp; Khan, E. U. (2018). Poultry manure application time and pistachio (</w:t>
      </w:r>
      <w:r w:rsidRPr="004C74E5">
        <w:rPr>
          <w:rFonts w:ascii="Times New Roman" w:eastAsia="Times New Roman" w:hAnsi="Times New Roman" w:cs="Times New Roman"/>
          <w:i/>
          <w:iCs/>
          <w:sz w:val="24"/>
          <w:szCs w:val="24"/>
          <w:lang w:val="en-US" w:eastAsia="en-US"/>
        </w:rPr>
        <w:t>Pistacia vera</w:t>
      </w:r>
      <w:r w:rsidRPr="004C74E5">
        <w:rPr>
          <w:rFonts w:ascii="Times New Roman" w:eastAsia="Times New Roman" w:hAnsi="Times New Roman" w:cs="Times New Roman"/>
          <w:sz w:val="24"/>
          <w:szCs w:val="24"/>
          <w:lang w:val="en-US" w:eastAsia="en-US"/>
        </w:rPr>
        <w:t xml:space="preserve"> L.) trees. </w:t>
      </w:r>
      <w:r w:rsidRPr="004C74E5">
        <w:rPr>
          <w:rFonts w:ascii="Times New Roman" w:eastAsia="Times New Roman" w:hAnsi="Times New Roman" w:cs="Times New Roman"/>
          <w:i/>
          <w:iCs/>
          <w:sz w:val="24"/>
          <w:szCs w:val="24"/>
          <w:lang w:val="en-US" w:eastAsia="en-US"/>
        </w:rPr>
        <w:t>Advances in Horticultural Science, 32</w:t>
      </w:r>
      <w:r w:rsidRPr="004C74E5">
        <w:rPr>
          <w:rFonts w:ascii="Times New Roman" w:eastAsia="Times New Roman" w:hAnsi="Times New Roman" w:cs="Times New Roman"/>
          <w:sz w:val="24"/>
          <w:szCs w:val="24"/>
          <w:lang w:val="en-US" w:eastAsia="en-US"/>
        </w:rPr>
        <w:t xml:space="preserve">(2), 177–183. </w:t>
      </w:r>
      <w:hyperlink r:id="rId25" w:history="1">
        <w:r w:rsidRPr="004C74E5">
          <w:rPr>
            <w:rFonts w:ascii="Times New Roman" w:eastAsia="Times New Roman" w:hAnsi="Times New Roman" w:cs="Times New Roman"/>
            <w:color w:val="0000FF"/>
            <w:sz w:val="24"/>
            <w:szCs w:val="24"/>
            <w:u w:val="single"/>
            <w:lang w:val="en-US" w:eastAsia="en-US"/>
          </w:rPr>
          <w:t>https://doi.org/10.13128/ahs-21898</w:t>
        </w:r>
      </w:hyperlink>
    </w:p>
    <w:p w14:paraId="7DA7CE9A"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Mosier, S., Córdova, S. C., &amp; Robertson, G. P. (2021). Restoring soil fertility on degraded lands to meet food, fuel, and climate security needs via perennialization. </w:t>
      </w:r>
      <w:r w:rsidRPr="004C74E5">
        <w:rPr>
          <w:rFonts w:ascii="Times New Roman" w:eastAsia="Times New Roman" w:hAnsi="Times New Roman" w:cs="Times New Roman"/>
          <w:i/>
          <w:iCs/>
          <w:sz w:val="24"/>
          <w:szCs w:val="24"/>
          <w:lang w:val="en-US" w:eastAsia="en-US"/>
        </w:rPr>
        <w:t>Frontiers in Sustainable Food Systems, 5</w:t>
      </w:r>
      <w:r w:rsidRPr="004C74E5">
        <w:rPr>
          <w:rFonts w:ascii="Times New Roman" w:eastAsia="Times New Roman" w:hAnsi="Times New Roman" w:cs="Times New Roman"/>
          <w:sz w:val="24"/>
          <w:szCs w:val="24"/>
          <w:lang w:val="en-US" w:eastAsia="en-US"/>
        </w:rPr>
        <w:t xml:space="preserve">, 706142. </w:t>
      </w:r>
      <w:hyperlink r:id="rId26" w:history="1">
        <w:r w:rsidRPr="004C74E5">
          <w:rPr>
            <w:rFonts w:ascii="Times New Roman" w:eastAsia="Times New Roman" w:hAnsi="Times New Roman" w:cs="Times New Roman"/>
            <w:color w:val="0000FF"/>
            <w:sz w:val="24"/>
            <w:szCs w:val="24"/>
            <w:u w:val="single"/>
            <w:lang w:val="en-US" w:eastAsia="en-US"/>
          </w:rPr>
          <w:t>https://doi.org/10.3389/fsufs.2021.706142</w:t>
        </w:r>
      </w:hyperlink>
    </w:p>
    <w:p w14:paraId="29ADED99"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Navarro-Morillo, I., Blasco, B., Cámara-Zapata, J. M., Muñoz-Acero, J., Simón-Grao, S., </w:t>
      </w:r>
      <w:proofErr w:type="spellStart"/>
      <w:r w:rsidRPr="004C74E5">
        <w:rPr>
          <w:rFonts w:ascii="Times New Roman" w:eastAsia="Times New Roman" w:hAnsi="Times New Roman" w:cs="Times New Roman"/>
          <w:sz w:val="24"/>
          <w:szCs w:val="24"/>
          <w:lang w:val="en-US" w:eastAsia="en-US"/>
        </w:rPr>
        <w:t>Alfosea</w:t>
      </w:r>
      <w:proofErr w:type="spellEnd"/>
      <w:r w:rsidRPr="004C74E5">
        <w:rPr>
          <w:rFonts w:ascii="Times New Roman" w:eastAsia="Times New Roman" w:hAnsi="Times New Roman" w:cs="Times New Roman"/>
          <w:sz w:val="24"/>
          <w:szCs w:val="24"/>
          <w:lang w:val="en-US" w:eastAsia="en-US"/>
        </w:rPr>
        <w:t>-Simón, M., Plasencia, F., &amp; García-Sanchez, F. (2024). Corn steep liquor application on pepper plants (</w:t>
      </w:r>
      <w:r w:rsidRPr="004C74E5">
        <w:rPr>
          <w:rFonts w:ascii="Times New Roman" w:eastAsia="Times New Roman" w:hAnsi="Times New Roman" w:cs="Times New Roman"/>
          <w:i/>
          <w:iCs/>
          <w:sz w:val="24"/>
          <w:szCs w:val="24"/>
          <w:lang w:val="en-US" w:eastAsia="en-US"/>
        </w:rPr>
        <w:t>Capsicum annum</w:t>
      </w:r>
      <w:r w:rsidRPr="004C74E5">
        <w:rPr>
          <w:rFonts w:ascii="Times New Roman" w:eastAsia="Times New Roman" w:hAnsi="Times New Roman" w:cs="Times New Roman"/>
          <w:sz w:val="24"/>
          <w:szCs w:val="24"/>
          <w:lang w:val="en-US" w:eastAsia="en-US"/>
        </w:rPr>
        <w:t xml:space="preserve"> L.) stimulates growth under nitrogen-deficient growing conditions. </w:t>
      </w:r>
      <w:r w:rsidRPr="004C74E5">
        <w:rPr>
          <w:rFonts w:ascii="Times New Roman" w:eastAsia="Times New Roman" w:hAnsi="Times New Roman" w:cs="Times New Roman"/>
          <w:i/>
          <w:iCs/>
          <w:sz w:val="24"/>
          <w:szCs w:val="24"/>
          <w:lang w:val="en-US" w:eastAsia="en-US"/>
        </w:rPr>
        <w:t xml:space="preserve">Scientia </w:t>
      </w:r>
      <w:proofErr w:type="spellStart"/>
      <w:r w:rsidRPr="004C74E5">
        <w:rPr>
          <w:rFonts w:ascii="Times New Roman" w:eastAsia="Times New Roman" w:hAnsi="Times New Roman" w:cs="Times New Roman"/>
          <w:i/>
          <w:iCs/>
          <w:sz w:val="24"/>
          <w:szCs w:val="24"/>
          <w:lang w:val="en-US" w:eastAsia="en-US"/>
        </w:rPr>
        <w:t>Horticulturae</w:t>
      </w:r>
      <w:proofErr w:type="spellEnd"/>
      <w:r w:rsidRPr="004C74E5">
        <w:rPr>
          <w:rFonts w:ascii="Times New Roman" w:eastAsia="Times New Roman" w:hAnsi="Times New Roman" w:cs="Times New Roman"/>
          <w:i/>
          <w:iCs/>
          <w:sz w:val="24"/>
          <w:szCs w:val="24"/>
          <w:lang w:val="en-US" w:eastAsia="en-US"/>
        </w:rPr>
        <w:t>, 328</w:t>
      </w:r>
      <w:r w:rsidRPr="004C74E5">
        <w:rPr>
          <w:rFonts w:ascii="Times New Roman" w:eastAsia="Times New Roman" w:hAnsi="Times New Roman" w:cs="Times New Roman"/>
          <w:sz w:val="24"/>
          <w:szCs w:val="24"/>
          <w:lang w:val="en-US" w:eastAsia="en-US"/>
        </w:rPr>
        <w:t xml:space="preserve">, 112955. </w:t>
      </w:r>
      <w:hyperlink r:id="rId27" w:history="1">
        <w:r w:rsidRPr="004C74E5">
          <w:rPr>
            <w:rFonts w:ascii="Times New Roman" w:eastAsia="Times New Roman" w:hAnsi="Times New Roman" w:cs="Times New Roman"/>
            <w:color w:val="0000FF"/>
            <w:sz w:val="24"/>
            <w:szCs w:val="24"/>
            <w:u w:val="single"/>
            <w:lang w:val="en-US" w:eastAsia="en-US"/>
          </w:rPr>
          <w:t>https://doi.org/10.1016/j.scienta.2024.112955</w:t>
        </w:r>
      </w:hyperlink>
    </w:p>
    <w:p w14:paraId="1080BF9B"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Nejati</w:t>
      </w:r>
      <w:proofErr w:type="spellEnd"/>
      <w:r w:rsidRPr="004C74E5">
        <w:rPr>
          <w:rFonts w:ascii="Times New Roman" w:eastAsia="Times New Roman" w:hAnsi="Times New Roman" w:cs="Times New Roman"/>
          <w:sz w:val="24"/>
          <w:szCs w:val="24"/>
          <w:lang w:val="en-US" w:eastAsia="en-US"/>
        </w:rPr>
        <w:t xml:space="preserve"> Sini, H., Barzegar, R., </w:t>
      </w:r>
      <w:proofErr w:type="spellStart"/>
      <w:r w:rsidRPr="004C74E5">
        <w:rPr>
          <w:rFonts w:ascii="Times New Roman" w:eastAsia="Times New Roman" w:hAnsi="Times New Roman" w:cs="Times New Roman"/>
          <w:sz w:val="24"/>
          <w:szCs w:val="24"/>
          <w:lang w:val="en-US" w:eastAsia="en-US"/>
        </w:rPr>
        <w:t>Soodaee</w:t>
      </w:r>
      <w:proofErr w:type="spellEnd"/>
      <w:r w:rsidRPr="004C74E5">
        <w:rPr>
          <w:rFonts w:ascii="Times New Roman" w:eastAsia="Times New Roman" w:hAnsi="Times New Roman" w:cs="Times New Roman"/>
          <w:sz w:val="24"/>
          <w:szCs w:val="24"/>
          <w:lang w:val="en-US" w:eastAsia="en-US"/>
        </w:rPr>
        <w:t xml:space="preserve"> Mashaee, S., Ghasemi </w:t>
      </w:r>
      <w:proofErr w:type="spellStart"/>
      <w:r w:rsidRPr="004C74E5">
        <w:rPr>
          <w:rFonts w:ascii="Times New Roman" w:eastAsia="Times New Roman" w:hAnsi="Times New Roman" w:cs="Times New Roman"/>
          <w:sz w:val="24"/>
          <w:szCs w:val="24"/>
          <w:lang w:val="en-US" w:eastAsia="en-US"/>
        </w:rPr>
        <w:t>Ghahsare</w:t>
      </w:r>
      <w:proofErr w:type="spellEnd"/>
      <w:r w:rsidRPr="004C74E5">
        <w:rPr>
          <w:rFonts w:ascii="Times New Roman" w:eastAsia="Times New Roman" w:hAnsi="Times New Roman" w:cs="Times New Roman"/>
          <w:sz w:val="24"/>
          <w:szCs w:val="24"/>
          <w:lang w:val="en-US" w:eastAsia="en-US"/>
        </w:rPr>
        <w:t xml:space="preserve">, M., Mousavi-Fard, S., &amp; </w:t>
      </w:r>
      <w:proofErr w:type="spellStart"/>
      <w:r w:rsidRPr="004C74E5">
        <w:rPr>
          <w:rFonts w:ascii="Times New Roman" w:eastAsia="Times New Roman" w:hAnsi="Times New Roman" w:cs="Times New Roman"/>
          <w:sz w:val="24"/>
          <w:szCs w:val="24"/>
          <w:lang w:val="en-US" w:eastAsia="en-US"/>
        </w:rPr>
        <w:t>Mozafarian</w:t>
      </w:r>
      <w:proofErr w:type="spellEnd"/>
      <w:r w:rsidRPr="004C74E5">
        <w:rPr>
          <w:rFonts w:ascii="Times New Roman" w:eastAsia="Times New Roman" w:hAnsi="Times New Roman" w:cs="Times New Roman"/>
          <w:sz w:val="24"/>
          <w:szCs w:val="24"/>
          <w:lang w:val="en-US" w:eastAsia="en-US"/>
        </w:rPr>
        <w:t>, M. (2024). Effects of biofertilizer on the production of bell pepper (</w:t>
      </w:r>
      <w:r w:rsidRPr="004C74E5">
        <w:rPr>
          <w:rFonts w:ascii="Times New Roman" w:eastAsia="Times New Roman" w:hAnsi="Times New Roman" w:cs="Times New Roman"/>
          <w:i/>
          <w:iCs/>
          <w:sz w:val="24"/>
          <w:szCs w:val="24"/>
          <w:lang w:val="en-US" w:eastAsia="en-US"/>
        </w:rPr>
        <w:t>Capsicum annuum</w:t>
      </w:r>
      <w:r w:rsidRPr="004C74E5">
        <w:rPr>
          <w:rFonts w:ascii="Times New Roman" w:eastAsia="Times New Roman" w:hAnsi="Times New Roman" w:cs="Times New Roman"/>
          <w:sz w:val="24"/>
          <w:szCs w:val="24"/>
          <w:lang w:val="en-US" w:eastAsia="en-US"/>
        </w:rPr>
        <w:t xml:space="preserve"> L.) in greenhouse. </w:t>
      </w:r>
      <w:r w:rsidRPr="004C74E5">
        <w:rPr>
          <w:rFonts w:ascii="Times New Roman" w:eastAsia="Times New Roman" w:hAnsi="Times New Roman" w:cs="Times New Roman"/>
          <w:i/>
          <w:iCs/>
          <w:sz w:val="24"/>
          <w:szCs w:val="24"/>
          <w:lang w:val="en-US" w:eastAsia="en-US"/>
        </w:rPr>
        <w:t>Journal of Agriculture and Food Research, 16</w:t>
      </w:r>
      <w:r w:rsidRPr="004C74E5">
        <w:rPr>
          <w:rFonts w:ascii="Times New Roman" w:eastAsia="Times New Roman" w:hAnsi="Times New Roman" w:cs="Times New Roman"/>
          <w:sz w:val="24"/>
          <w:szCs w:val="24"/>
          <w:lang w:val="en-US" w:eastAsia="en-US"/>
        </w:rPr>
        <w:t xml:space="preserve">, 101060. </w:t>
      </w:r>
      <w:hyperlink r:id="rId28" w:history="1">
        <w:r w:rsidRPr="004C74E5">
          <w:rPr>
            <w:rFonts w:ascii="Times New Roman" w:eastAsia="Times New Roman" w:hAnsi="Times New Roman" w:cs="Times New Roman"/>
            <w:color w:val="0000FF"/>
            <w:sz w:val="24"/>
            <w:szCs w:val="24"/>
            <w:u w:val="single"/>
            <w:lang w:val="en-US" w:eastAsia="en-US"/>
          </w:rPr>
          <w:t>https://doi.org/10.1016/j.jafr.2024.101060</w:t>
        </w:r>
      </w:hyperlink>
    </w:p>
    <w:p w14:paraId="3643598D"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Okoli, E. E., </w:t>
      </w:r>
      <w:proofErr w:type="spellStart"/>
      <w:r w:rsidRPr="004C74E5">
        <w:rPr>
          <w:rFonts w:ascii="Times New Roman" w:eastAsia="Times New Roman" w:hAnsi="Times New Roman" w:cs="Times New Roman"/>
          <w:sz w:val="24"/>
          <w:szCs w:val="24"/>
          <w:lang w:val="en-US" w:eastAsia="en-US"/>
        </w:rPr>
        <w:t>Ekesiobi</w:t>
      </w:r>
      <w:proofErr w:type="spellEnd"/>
      <w:r w:rsidRPr="004C74E5">
        <w:rPr>
          <w:rFonts w:ascii="Times New Roman" w:eastAsia="Times New Roman" w:hAnsi="Times New Roman" w:cs="Times New Roman"/>
          <w:sz w:val="24"/>
          <w:szCs w:val="24"/>
          <w:lang w:val="en-US" w:eastAsia="en-US"/>
        </w:rPr>
        <w:t xml:space="preserve">, I. A., &amp; </w:t>
      </w:r>
      <w:proofErr w:type="spellStart"/>
      <w:r w:rsidRPr="004C74E5">
        <w:rPr>
          <w:rFonts w:ascii="Times New Roman" w:eastAsia="Times New Roman" w:hAnsi="Times New Roman" w:cs="Times New Roman"/>
          <w:sz w:val="24"/>
          <w:szCs w:val="24"/>
          <w:lang w:val="en-US" w:eastAsia="en-US"/>
        </w:rPr>
        <w:t>Nworji</w:t>
      </w:r>
      <w:proofErr w:type="spellEnd"/>
      <w:r w:rsidRPr="004C74E5">
        <w:rPr>
          <w:rFonts w:ascii="Times New Roman" w:eastAsia="Times New Roman" w:hAnsi="Times New Roman" w:cs="Times New Roman"/>
          <w:sz w:val="24"/>
          <w:szCs w:val="24"/>
          <w:lang w:val="en-US" w:eastAsia="en-US"/>
        </w:rPr>
        <w:t>, M. J. (2021). Effect of organic manure (poultry droppings, cow manure, and pig manure) and inorganic fertilizer (NPK 15:15:15) on the growth and yield of fluted pumpkin (</w:t>
      </w:r>
      <w:proofErr w:type="spellStart"/>
      <w:r w:rsidRPr="004C74E5">
        <w:rPr>
          <w:rFonts w:ascii="Times New Roman" w:eastAsia="Times New Roman" w:hAnsi="Times New Roman" w:cs="Times New Roman"/>
          <w:i/>
          <w:iCs/>
          <w:sz w:val="24"/>
          <w:szCs w:val="24"/>
          <w:lang w:val="en-US" w:eastAsia="en-US"/>
        </w:rPr>
        <w:t>Telfairia</w:t>
      </w:r>
      <w:proofErr w:type="spellEnd"/>
      <w:r w:rsidRPr="004C74E5">
        <w:rPr>
          <w:rFonts w:ascii="Times New Roman" w:eastAsia="Times New Roman" w:hAnsi="Times New Roman" w:cs="Times New Roman"/>
          <w:i/>
          <w:iCs/>
          <w:sz w:val="24"/>
          <w:szCs w:val="24"/>
          <w:lang w:val="en-US" w:eastAsia="en-US"/>
        </w:rPr>
        <w:t xml:space="preserve"> occidentalis</w:t>
      </w:r>
      <w:r w:rsidRPr="004C74E5">
        <w:rPr>
          <w:rFonts w:ascii="Times New Roman" w:eastAsia="Times New Roman" w:hAnsi="Times New Roman" w:cs="Times New Roman"/>
          <w:sz w:val="24"/>
          <w:szCs w:val="24"/>
          <w:lang w:val="en-US" w:eastAsia="en-US"/>
        </w:rPr>
        <w:t xml:space="preserve">). </w:t>
      </w:r>
      <w:r w:rsidRPr="004C74E5">
        <w:rPr>
          <w:rFonts w:ascii="Times New Roman" w:eastAsia="Times New Roman" w:hAnsi="Times New Roman" w:cs="Times New Roman"/>
          <w:i/>
          <w:iCs/>
          <w:sz w:val="24"/>
          <w:szCs w:val="24"/>
          <w:lang w:val="en-US" w:eastAsia="en-US"/>
        </w:rPr>
        <w:t xml:space="preserve">The International Journal of Science &amp; </w:t>
      </w:r>
      <w:proofErr w:type="spellStart"/>
      <w:r w:rsidRPr="004C74E5">
        <w:rPr>
          <w:rFonts w:ascii="Times New Roman" w:eastAsia="Times New Roman" w:hAnsi="Times New Roman" w:cs="Times New Roman"/>
          <w:i/>
          <w:iCs/>
          <w:sz w:val="24"/>
          <w:szCs w:val="24"/>
          <w:lang w:val="en-US" w:eastAsia="en-US"/>
        </w:rPr>
        <w:t>Technoledge</w:t>
      </w:r>
      <w:proofErr w:type="spellEnd"/>
      <w:r w:rsidRPr="004C74E5">
        <w:rPr>
          <w:rFonts w:ascii="Times New Roman" w:eastAsia="Times New Roman" w:hAnsi="Times New Roman" w:cs="Times New Roman"/>
          <w:i/>
          <w:iCs/>
          <w:sz w:val="24"/>
          <w:szCs w:val="24"/>
          <w:lang w:val="en-US" w:eastAsia="en-US"/>
        </w:rPr>
        <w:t>, 9</w:t>
      </w:r>
      <w:r w:rsidRPr="004C74E5">
        <w:rPr>
          <w:rFonts w:ascii="Times New Roman" w:eastAsia="Times New Roman" w:hAnsi="Times New Roman" w:cs="Times New Roman"/>
          <w:sz w:val="24"/>
          <w:szCs w:val="24"/>
          <w:lang w:val="en-US" w:eastAsia="en-US"/>
        </w:rPr>
        <w:t xml:space="preserve">(1), 32–36. </w:t>
      </w:r>
      <w:hyperlink r:id="rId29" w:history="1">
        <w:r w:rsidRPr="004C74E5">
          <w:rPr>
            <w:rFonts w:ascii="Times New Roman" w:eastAsia="Times New Roman" w:hAnsi="Times New Roman" w:cs="Times New Roman"/>
            <w:color w:val="0000FF"/>
            <w:sz w:val="24"/>
            <w:szCs w:val="24"/>
            <w:u w:val="single"/>
            <w:lang w:val="en-US" w:eastAsia="en-US"/>
          </w:rPr>
          <w:t>https://doi.org/10.24940/theijst/2021/v9/i1/ST2101-013</w:t>
        </w:r>
      </w:hyperlink>
    </w:p>
    <w:p w14:paraId="50CF518F"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Rosyara, U., Bam, R., Chaudhary, R., &amp; </w:t>
      </w:r>
      <w:proofErr w:type="spellStart"/>
      <w:r w:rsidRPr="004C74E5">
        <w:rPr>
          <w:rFonts w:ascii="Times New Roman" w:eastAsia="Times New Roman" w:hAnsi="Times New Roman" w:cs="Times New Roman"/>
          <w:sz w:val="24"/>
          <w:szCs w:val="24"/>
          <w:lang w:val="en-US" w:eastAsia="en-US"/>
        </w:rPr>
        <w:t>Kathayat</w:t>
      </w:r>
      <w:proofErr w:type="spellEnd"/>
      <w:r w:rsidRPr="004C74E5">
        <w:rPr>
          <w:rFonts w:ascii="Times New Roman" w:eastAsia="Times New Roman" w:hAnsi="Times New Roman" w:cs="Times New Roman"/>
          <w:sz w:val="24"/>
          <w:szCs w:val="24"/>
          <w:lang w:val="en-US" w:eastAsia="en-US"/>
        </w:rPr>
        <w:t>, L. (2025). Effects of different sources of organic manure on growth and yield performance of sweet pepper (</w:t>
      </w:r>
      <w:r w:rsidRPr="004C74E5">
        <w:rPr>
          <w:rFonts w:ascii="Times New Roman" w:eastAsia="Times New Roman" w:hAnsi="Times New Roman" w:cs="Times New Roman"/>
          <w:i/>
          <w:iCs/>
          <w:sz w:val="24"/>
          <w:szCs w:val="24"/>
          <w:lang w:val="en-US" w:eastAsia="en-US"/>
        </w:rPr>
        <w:t>Capsicum annuum</w:t>
      </w:r>
      <w:r w:rsidRPr="004C74E5">
        <w:rPr>
          <w:rFonts w:ascii="Times New Roman" w:eastAsia="Times New Roman" w:hAnsi="Times New Roman" w:cs="Times New Roman"/>
          <w:sz w:val="24"/>
          <w:szCs w:val="24"/>
          <w:lang w:val="en-US" w:eastAsia="en-US"/>
        </w:rPr>
        <w:t xml:space="preserve"> L.). </w:t>
      </w:r>
      <w:r w:rsidRPr="004C74E5">
        <w:rPr>
          <w:rFonts w:ascii="Times New Roman" w:eastAsia="Times New Roman" w:hAnsi="Times New Roman" w:cs="Times New Roman"/>
          <w:i/>
          <w:iCs/>
          <w:sz w:val="24"/>
          <w:szCs w:val="24"/>
          <w:lang w:val="en-US" w:eastAsia="en-US"/>
        </w:rPr>
        <w:t>Asian Journal of Plant and Soil Sciences, 10</w:t>
      </w:r>
      <w:r w:rsidRPr="004C74E5">
        <w:rPr>
          <w:rFonts w:ascii="Times New Roman" w:eastAsia="Times New Roman" w:hAnsi="Times New Roman" w:cs="Times New Roman"/>
          <w:sz w:val="24"/>
          <w:szCs w:val="24"/>
          <w:lang w:val="en-US" w:eastAsia="en-US"/>
        </w:rPr>
        <w:t xml:space="preserve">(1), 94–105. </w:t>
      </w:r>
      <w:hyperlink r:id="rId30" w:history="1">
        <w:r w:rsidRPr="004C74E5">
          <w:rPr>
            <w:rFonts w:ascii="Times New Roman" w:eastAsia="Times New Roman" w:hAnsi="Times New Roman" w:cs="Times New Roman"/>
            <w:color w:val="0000FF"/>
            <w:sz w:val="24"/>
            <w:szCs w:val="24"/>
            <w:u w:val="single"/>
            <w:lang w:val="en-US" w:eastAsia="en-US"/>
          </w:rPr>
          <w:t>https://doi.org/10.56557/ajopss/2025/v10i1119</w:t>
        </w:r>
      </w:hyperlink>
    </w:p>
    <w:p w14:paraId="3C78C4E6"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Rufa’i, S., Bala, B., Shittu, E. A., Lado, A., Isa, H. M., &amp; Bello, T. T. (2024). Effect of bioactive compound (poultry manure) on the yield and </w:t>
      </w:r>
      <w:proofErr w:type="spellStart"/>
      <w:r w:rsidRPr="004C74E5">
        <w:rPr>
          <w:rFonts w:ascii="Times New Roman" w:eastAsia="Times New Roman" w:hAnsi="Times New Roman" w:cs="Times New Roman"/>
          <w:sz w:val="24"/>
          <w:szCs w:val="24"/>
          <w:lang w:val="en-US" w:eastAsia="en-US"/>
        </w:rPr>
        <w:t>capsaicinoid</w:t>
      </w:r>
      <w:proofErr w:type="spellEnd"/>
      <w:r w:rsidRPr="004C74E5">
        <w:rPr>
          <w:rFonts w:ascii="Times New Roman" w:eastAsia="Times New Roman" w:hAnsi="Times New Roman" w:cs="Times New Roman"/>
          <w:sz w:val="24"/>
          <w:szCs w:val="24"/>
          <w:lang w:val="en-US" w:eastAsia="en-US"/>
        </w:rPr>
        <w:t xml:space="preserve"> content of sweet pepper (</w:t>
      </w:r>
      <w:r w:rsidRPr="004C74E5">
        <w:rPr>
          <w:rFonts w:ascii="Times New Roman" w:eastAsia="Times New Roman" w:hAnsi="Times New Roman" w:cs="Times New Roman"/>
          <w:i/>
          <w:iCs/>
          <w:sz w:val="24"/>
          <w:szCs w:val="24"/>
          <w:lang w:val="en-US" w:eastAsia="en-US"/>
        </w:rPr>
        <w:t>Capsicum annuum</w:t>
      </w:r>
      <w:r w:rsidRPr="004C74E5">
        <w:rPr>
          <w:rFonts w:ascii="Times New Roman" w:eastAsia="Times New Roman" w:hAnsi="Times New Roman" w:cs="Times New Roman"/>
          <w:sz w:val="24"/>
          <w:szCs w:val="24"/>
          <w:lang w:val="en-US" w:eastAsia="en-US"/>
        </w:rPr>
        <w:t xml:space="preserve"> L.) cultivars. </w:t>
      </w:r>
      <w:r w:rsidRPr="004C74E5">
        <w:rPr>
          <w:rFonts w:ascii="Times New Roman" w:eastAsia="Times New Roman" w:hAnsi="Times New Roman" w:cs="Times New Roman"/>
          <w:i/>
          <w:iCs/>
          <w:sz w:val="24"/>
          <w:szCs w:val="24"/>
          <w:lang w:val="en-US" w:eastAsia="en-US"/>
        </w:rPr>
        <w:t>Asian Journal of Agricultural and Horticultural Research, 11</w:t>
      </w:r>
      <w:r w:rsidRPr="004C74E5">
        <w:rPr>
          <w:rFonts w:ascii="Times New Roman" w:eastAsia="Times New Roman" w:hAnsi="Times New Roman" w:cs="Times New Roman"/>
          <w:sz w:val="24"/>
          <w:szCs w:val="24"/>
          <w:lang w:val="en-US" w:eastAsia="en-US"/>
        </w:rPr>
        <w:t xml:space="preserve">(2), 42–51. </w:t>
      </w:r>
      <w:hyperlink r:id="rId31" w:history="1">
        <w:r w:rsidRPr="004C74E5">
          <w:rPr>
            <w:rFonts w:ascii="Times New Roman" w:eastAsia="Times New Roman" w:hAnsi="Times New Roman" w:cs="Times New Roman"/>
            <w:color w:val="0000FF"/>
            <w:sz w:val="24"/>
            <w:szCs w:val="24"/>
            <w:u w:val="single"/>
            <w:lang w:val="en-US" w:eastAsia="en-US"/>
          </w:rPr>
          <w:t>https://doi.org/10.9734/ajahr/2024/v11i2312</w:t>
        </w:r>
      </w:hyperlink>
    </w:p>
    <w:p w14:paraId="00267F41"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Shaji, H., Chandran, V., &amp; Mathew, L. (2021). Organic fertilizers as a route to controlled release of nutrients. In F. B. </w:t>
      </w:r>
      <w:proofErr w:type="spellStart"/>
      <w:r w:rsidRPr="004C74E5">
        <w:rPr>
          <w:rFonts w:ascii="Times New Roman" w:eastAsia="Times New Roman" w:hAnsi="Times New Roman" w:cs="Times New Roman"/>
          <w:sz w:val="24"/>
          <w:szCs w:val="24"/>
          <w:lang w:val="en-US" w:eastAsia="en-US"/>
        </w:rPr>
        <w:t>Lewu</w:t>
      </w:r>
      <w:proofErr w:type="spellEnd"/>
      <w:r w:rsidRPr="004C74E5">
        <w:rPr>
          <w:rFonts w:ascii="Times New Roman" w:eastAsia="Times New Roman" w:hAnsi="Times New Roman" w:cs="Times New Roman"/>
          <w:sz w:val="24"/>
          <w:szCs w:val="24"/>
          <w:lang w:val="en-US" w:eastAsia="en-US"/>
        </w:rPr>
        <w:t xml:space="preserve">, T. </w:t>
      </w:r>
      <w:proofErr w:type="spellStart"/>
      <w:r w:rsidRPr="004C74E5">
        <w:rPr>
          <w:rFonts w:ascii="Times New Roman" w:eastAsia="Times New Roman" w:hAnsi="Times New Roman" w:cs="Times New Roman"/>
          <w:sz w:val="24"/>
          <w:szCs w:val="24"/>
          <w:lang w:val="en-US" w:eastAsia="en-US"/>
        </w:rPr>
        <w:t>Volova</w:t>
      </w:r>
      <w:proofErr w:type="spellEnd"/>
      <w:r w:rsidRPr="004C74E5">
        <w:rPr>
          <w:rFonts w:ascii="Times New Roman" w:eastAsia="Times New Roman" w:hAnsi="Times New Roman" w:cs="Times New Roman"/>
          <w:sz w:val="24"/>
          <w:szCs w:val="24"/>
          <w:lang w:val="en-US" w:eastAsia="en-US"/>
        </w:rPr>
        <w:t xml:space="preserve">, S. Thomas, &amp; K. R. </w:t>
      </w:r>
      <w:proofErr w:type="spellStart"/>
      <w:r w:rsidRPr="004C74E5">
        <w:rPr>
          <w:rFonts w:ascii="Times New Roman" w:eastAsia="Times New Roman" w:hAnsi="Times New Roman" w:cs="Times New Roman"/>
          <w:sz w:val="24"/>
          <w:szCs w:val="24"/>
          <w:lang w:val="en-US" w:eastAsia="en-US"/>
        </w:rPr>
        <w:t>Rakhimol</w:t>
      </w:r>
      <w:proofErr w:type="spellEnd"/>
      <w:r w:rsidRPr="004C74E5">
        <w:rPr>
          <w:rFonts w:ascii="Times New Roman" w:eastAsia="Times New Roman" w:hAnsi="Times New Roman" w:cs="Times New Roman"/>
          <w:sz w:val="24"/>
          <w:szCs w:val="24"/>
          <w:lang w:val="en-US" w:eastAsia="en-US"/>
        </w:rPr>
        <w:t xml:space="preserve"> (Eds.), </w:t>
      </w:r>
      <w:r w:rsidRPr="004C74E5">
        <w:rPr>
          <w:rFonts w:ascii="Times New Roman" w:eastAsia="Times New Roman" w:hAnsi="Times New Roman" w:cs="Times New Roman"/>
          <w:i/>
          <w:iCs/>
          <w:sz w:val="24"/>
          <w:szCs w:val="24"/>
          <w:lang w:val="en-US" w:eastAsia="en-US"/>
        </w:rPr>
        <w:t>Controlled release fertilizers for sustainable agriculture</w:t>
      </w:r>
      <w:r w:rsidRPr="004C74E5">
        <w:rPr>
          <w:rFonts w:ascii="Times New Roman" w:eastAsia="Times New Roman" w:hAnsi="Times New Roman" w:cs="Times New Roman"/>
          <w:sz w:val="24"/>
          <w:szCs w:val="24"/>
          <w:lang w:val="en-US" w:eastAsia="en-US"/>
        </w:rPr>
        <w:t xml:space="preserve"> (pp. 231–245). Academic Press. </w:t>
      </w:r>
      <w:hyperlink r:id="rId32" w:history="1">
        <w:r w:rsidRPr="004C74E5">
          <w:rPr>
            <w:rFonts w:ascii="Times New Roman" w:eastAsia="Times New Roman" w:hAnsi="Times New Roman" w:cs="Times New Roman"/>
            <w:color w:val="0000FF"/>
            <w:sz w:val="24"/>
            <w:szCs w:val="24"/>
            <w:u w:val="single"/>
            <w:lang w:val="en-US" w:eastAsia="en-US"/>
          </w:rPr>
          <w:t>https://doi.org/10.1016/B978-0-12-819555-0.00013-3</w:t>
        </w:r>
      </w:hyperlink>
    </w:p>
    <w:p w14:paraId="5FEC8FF7"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Thepsilvisut</w:t>
      </w:r>
      <w:proofErr w:type="spellEnd"/>
      <w:r w:rsidRPr="004C74E5">
        <w:rPr>
          <w:rFonts w:ascii="Times New Roman" w:eastAsia="Times New Roman" w:hAnsi="Times New Roman" w:cs="Times New Roman"/>
          <w:sz w:val="24"/>
          <w:szCs w:val="24"/>
          <w:lang w:val="en-US" w:eastAsia="en-US"/>
        </w:rPr>
        <w:t xml:space="preserve">, O., </w:t>
      </w:r>
      <w:proofErr w:type="spellStart"/>
      <w:r w:rsidRPr="004C74E5">
        <w:rPr>
          <w:rFonts w:ascii="Times New Roman" w:eastAsia="Times New Roman" w:hAnsi="Times New Roman" w:cs="Times New Roman"/>
          <w:sz w:val="24"/>
          <w:szCs w:val="24"/>
          <w:lang w:val="en-US" w:eastAsia="en-US"/>
        </w:rPr>
        <w:t>Chutimanukul</w:t>
      </w:r>
      <w:proofErr w:type="spellEnd"/>
      <w:r w:rsidRPr="004C74E5">
        <w:rPr>
          <w:rFonts w:ascii="Times New Roman" w:eastAsia="Times New Roman" w:hAnsi="Times New Roman" w:cs="Times New Roman"/>
          <w:sz w:val="24"/>
          <w:szCs w:val="24"/>
          <w:lang w:val="en-US" w:eastAsia="en-US"/>
        </w:rPr>
        <w:t xml:space="preserve">, P., </w:t>
      </w:r>
      <w:proofErr w:type="spellStart"/>
      <w:r w:rsidRPr="004C74E5">
        <w:rPr>
          <w:rFonts w:ascii="Times New Roman" w:eastAsia="Times New Roman" w:hAnsi="Times New Roman" w:cs="Times New Roman"/>
          <w:sz w:val="24"/>
          <w:szCs w:val="24"/>
          <w:lang w:val="en-US" w:eastAsia="en-US"/>
        </w:rPr>
        <w:t>Sae</w:t>
      </w:r>
      <w:proofErr w:type="spellEnd"/>
      <w:r w:rsidRPr="004C74E5">
        <w:rPr>
          <w:rFonts w:ascii="Times New Roman" w:eastAsia="Times New Roman" w:hAnsi="Times New Roman" w:cs="Times New Roman"/>
          <w:sz w:val="24"/>
          <w:szCs w:val="24"/>
          <w:lang w:val="en-US" w:eastAsia="en-US"/>
        </w:rPr>
        <w:t xml:space="preserve">-Tan, S., &amp; Ehara, H. (2022). Effect of chicken manure and chemical fertilizer on the yield and qualities of white </w:t>
      </w:r>
      <w:proofErr w:type="spellStart"/>
      <w:r w:rsidRPr="004C74E5">
        <w:rPr>
          <w:rFonts w:ascii="Times New Roman" w:eastAsia="Times New Roman" w:hAnsi="Times New Roman" w:cs="Times New Roman"/>
          <w:sz w:val="24"/>
          <w:szCs w:val="24"/>
          <w:lang w:val="en-US" w:eastAsia="en-US"/>
        </w:rPr>
        <w:t>mugwort</w:t>
      </w:r>
      <w:proofErr w:type="spellEnd"/>
      <w:r w:rsidRPr="004C74E5">
        <w:rPr>
          <w:rFonts w:ascii="Times New Roman" w:eastAsia="Times New Roman" w:hAnsi="Times New Roman" w:cs="Times New Roman"/>
          <w:sz w:val="24"/>
          <w:szCs w:val="24"/>
          <w:lang w:val="en-US" w:eastAsia="en-US"/>
        </w:rPr>
        <w:t xml:space="preserve"> at dissimilar harvesting times. </w:t>
      </w:r>
      <w:proofErr w:type="spellStart"/>
      <w:r w:rsidRPr="004C74E5">
        <w:rPr>
          <w:rFonts w:ascii="Times New Roman" w:eastAsia="Times New Roman" w:hAnsi="Times New Roman" w:cs="Times New Roman"/>
          <w:i/>
          <w:iCs/>
          <w:sz w:val="24"/>
          <w:szCs w:val="24"/>
          <w:lang w:val="en-US" w:eastAsia="en-US"/>
        </w:rPr>
        <w:t>PLoS</w:t>
      </w:r>
      <w:proofErr w:type="spellEnd"/>
      <w:r w:rsidRPr="004C74E5">
        <w:rPr>
          <w:rFonts w:ascii="Times New Roman" w:eastAsia="Times New Roman" w:hAnsi="Times New Roman" w:cs="Times New Roman"/>
          <w:i/>
          <w:iCs/>
          <w:sz w:val="24"/>
          <w:szCs w:val="24"/>
          <w:lang w:val="en-US" w:eastAsia="en-US"/>
        </w:rPr>
        <w:t xml:space="preserve"> ONE, 17</w:t>
      </w:r>
      <w:r w:rsidRPr="004C74E5">
        <w:rPr>
          <w:rFonts w:ascii="Times New Roman" w:eastAsia="Times New Roman" w:hAnsi="Times New Roman" w:cs="Times New Roman"/>
          <w:sz w:val="24"/>
          <w:szCs w:val="24"/>
          <w:lang w:val="en-US" w:eastAsia="en-US"/>
        </w:rPr>
        <w:t xml:space="preserve">(4), e0266190. </w:t>
      </w:r>
      <w:hyperlink r:id="rId33" w:history="1">
        <w:r w:rsidRPr="004C74E5">
          <w:rPr>
            <w:rFonts w:ascii="Times New Roman" w:eastAsia="Times New Roman" w:hAnsi="Times New Roman" w:cs="Times New Roman"/>
            <w:color w:val="0000FF"/>
            <w:sz w:val="24"/>
            <w:szCs w:val="24"/>
            <w:u w:val="single"/>
            <w:lang w:val="en-US" w:eastAsia="en-US"/>
          </w:rPr>
          <w:t>https://doi.org/10.1371/journal.pone.0266190</w:t>
        </w:r>
      </w:hyperlink>
    </w:p>
    <w:p w14:paraId="115BEF25"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Timité</w:t>
      </w:r>
      <w:proofErr w:type="spellEnd"/>
      <w:r w:rsidRPr="004C74E5">
        <w:rPr>
          <w:rFonts w:ascii="Times New Roman" w:eastAsia="Times New Roman" w:hAnsi="Times New Roman" w:cs="Times New Roman"/>
          <w:sz w:val="24"/>
          <w:szCs w:val="24"/>
          <w:lang w:val="en-US" w:eastAsia="en-US"/>
        </w:rPr>
        <w:t xml:space="preserve">, N., Kouakou, A. T. M., Bamba, I., Yao, S. S. B., &amp; Bogaert, J. (2022). Climate variability in the </w:t>
      </w:r>
      <w:proofErr w:type="spellStart"/>
      <w:r w:rsidRPr="004C74E5">
        <w:rPr>
          <w:rFonts w:ascii="Times New Roman" w:eastAsia="Times New Roman" w:hAnsi="Times New Roman" w:cs="Times New Roman"/>
          <w:sz w:val="24"/>
          <w:szCs w:val="24"/>
          <w:lang w:val="en-US" w:eastAsia="en-US"/>
        </w:rPr>
        <w:t>Sudanian</w:t>
      </w:r>
      <w:proofErr w:type="spellEnd"/>
      <w:r w:rsidRPr="004C74E5">
        <w:rPr>
          <w:rFonts w:ascii="Times New Roman" w:eastAsia="Times New Roman" w:hAnsi="Times New Roman" w:cs="Times New Roman"/>
          <w:sz w:val="24"/>
          <w:szCs w:val="24"/>
          <w:lang w:val="en-US" w:eastAsia="en-US"/>
        </w:rPr>
        <w:t xml:space="preserve"> zone of Côte d’Ivoire: Weather observations, perceptions, and adaptation strategies of farmers. </w:t>
      </w:r>
      <w:r w:rsidRPr="004C74E5">
        <w:rPr>
          <w:rFonts w:ascii="Times New Roman" w:eastAsia="Times New Roman" w:hAnsi="Times New Roman" w:cs="Times New Roman"/>
          <w:i/>
          <w:iCs/>
          <w:sz w:val="24"/>
          <w:szCs w:val="24"/>
          <w:lang w:val="en-US" w:eastAsia="en-US"/>
        </w:rPr>
        <w:t>Sustainability, 14</w:t>
      </w:r>
      <w:r w:rsidRPr="004C74E5">
        <w:rPr>
          <w:rFonts w:ascii="Times New Roman" w:eastAsia="Times New Roman" w:hAnsi="Times New Roman" w:cs="Times New Roman"/>
          <w:sz w:val="24"/>
          <w:szCs w:val="24"/>
          <w:lang w:val="en-US" w:eastAsia="en-US"/>
        </w:rPr>
        <w:t xml:space="preserve">(16), 10410. </w:t>
      </w:r>
      <w:hyperlink r:id="rId34" w:history="1">
        <w:r w:rsidRPr="004C74E5">
          <w:rPr>
            <w:rFonts w:ascii="Times New Roman" w:eastAsia="Times New Roman" w:hAnsi="Times New Roman" w:cs="Times New Roman"/>
            <w:color w:val="0000FF"/>
            <w:sz w:val="24"/>
            <w:szCs w:val="24"/>
            <w:u w:val="single"/>
            <w:lang w:val="en-US" w:eastAsia="en-US"/>
          </w:rPr>
          <w:t>https://doi.org/10.3390/su141610410</w:t>
        </w:r>
      </w:hyperlink>
    </w:p>
    <w:p w14:paraId="0EF21C56" w14:textId="355FA386"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United Nations Industrial Development Organization. (2022). </w:t>
      </w:r>
      <w:proofErr w:type="spellStart"/>
      <w:r w:rsidRPr="004C74E5">
        <w:rPr>
          <w:rFonts w:ascii="Times New Roman" w:eastAsia="Times New Roman" w:hAnsi="Times New Roman" w:cs="Times New Roman"/>
          <w:i/>
          <w:iCs/>
          <w:sz w:val="24"/>
          <w:szCs w:val="24"/>
          <w:lang w:val="en-US" w:eastAsia="en-US"/>
        </w:rPr>
        <w:t>Programme</w:t>
      </w:r>
      <w:proofErr w:type="spellEnd"/>
      <w:r w:rsidRPr="004C74E5">
        <w:rPr>
          <w:rFonts w:ascii="Times New Roman" w:eastAsia="Times New Roman" w:hAnsi="Times New Roman" w:cs="Times New Roman"/>
          <w:i/>
          <w:iCs/>
          <w:sz w:val="24"/>
          <w:szCs w:val="24"/>
          <w:lang w:val="en-US" w:eastAsia="en-US"/>
        </w:rPr>
        <w:t xml:space="preserve"> for Country Partnership Côte d’Ivoire: PCP industrial diagnostic study 2020</w:t>
      </w:r>
      <w:r w:rsidRPr="004C74E5">
        <w:rPr>
          <w:rFonts w:ascii="Times New Roman" w:eastAsia="Times New Roman" w:hAnsi="Times New Roman" w:cs="Times New Roman"/>
          <w:sz w:val="24"/>
          <w:szCs w:val="24"/>
          <w:lang w:val="en-US" w:eastAsia="en-US"/>
        </w:rPr>
        <w:t xml:space="preserve">. </w:t>
      </w:r>
      <w:hyperlink r:id="rId35" w:history="1">
        <w:r w:rsidRPr="004C74E5">
          <w:rPr>
            <w:rFonts w:ascii="Times New Roman" w:eastAsia="Times New Roman" w:hAnsi="Times New Roman" w:cs="Times New Roman"/>
            <w:color w:val="0000FF"/>
            <w:sz w:val="24"/>
            <w:szCs w:val="24"/>
            <w:u w:val="single"/>
            <w:lang w:val="en-US" w:eastAsia="en-US"/>
          </w:rPr>
          <w:t>https://www.unido.org/sites/default/files/unido-publications/2023-01/PCP-diagnostics-Ivory-Coast-en.pdf</w:t>
        </w:r>
      </w:hyperlink>
      <w:r w:rsidRPr="004C74E5">
        <w:rPr>
          <w:rFonts w:ascii="Times New Roman" w:eastAsia="Times New Roman" w:hAnsi="Times New Roman" w:cs="Times New Roman"/>
          <w:sz w:val="24"/>
          <w:szCs w:val="24"/>
          <w:lang w:val="en-US" w:eastAsia="en-US"/>
        </w:rPr>
        <w:br/>
      </w:r>
    </w:p>
    <w:p w14:paraId="7935C410"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Wang, X., Yan, J., Zhang, X., Zhang, S., &amp; Chen, Y. (2020). Organic manure input improves soil water and nutrients use for sustainable maize (</w:t>
      </w:r>
      <w:r w:rsidRPr="004C74E5">
        <w:rPr>
          <w:rFonts w:ascii="Times New Roman" w:eastAsia="Times New Roman" w:hAnsi="Times New Roman" w:cs="Times New Roman"/>
          <w:i/>
          <w:iCs/>
          <w:sz w:val="24"/>
          <w:szCs w:val="24"/>
          <w:lang w:val="en-US" w:eastAsia="en-US"/>
        </w:rPr>
        <w:t>Zea mays</w:t>
      </w:r>
      <w:r w:rsidRPr="004C74E5">
        <w:rPr>
          <w:rFonts w:ascii="Times New Roman" w:eastAsia="Times New Roman" w:hAnsi="Times New Roman" w:cs="Times New Roman"/>
          <w:sz w:val="24"/>
          <w:szCs w:val="24"/>
          <w:lang w:val="en-US" w:eastAsia="en-US"/>
        </w:rPr>
        <w:t xml:space="preserve"> L.) productivity on the Loess Plateau. </w:t>
      </w:r>
      <w:proofErr w:type="spellStart"/>
      <w:r w:rsidRPr="004C74E5">
        <w:rPr>
          <w:rFonts w:ascii="Times New Roman" w:eastAsia="Times New Roman" w:hAnsi="Times New Roman" w:cs="Times New Roman"/>
          <w:i/>
          <w:iCs/>
          <w:sz w:val="24"/>
          <w:szCs w:val="24"/>
          <w:lang w:val="en-US" w:eastAsia="en-US"/>
        </w:rPr>
        <w:t>PLoS</w:t>
      </w:r>
      <w:proofErr w:type="spellEnd"/>
      <w:r w:rsidRPr="004C74E5">
        <w:rPr>
          <w:rFonts w:ascii="Times New Roman" w:eastAsia="Times New Roman" w:hAnsi="Times New Roman" w:cs="Times New Roman"/>
          <w:i/>
          <w:iCs/>
          <w:sz w:val="24"/>
          <w:szCs w:val="24"/>
          <w:lang w:val="en-US" w:eastAsia="en-US"/>
        </w:rPr>
        <w:t xml:space="preserve"> ONE, 15</w:t>
      </w:r>
      <w:r w:rsidRPr="004C74E5">
        <w:rPr>
          <w:rFonts w:ascii="Times New Roman" w:eastAsia="Times New Roman" w:hAnsi="Times New Roman" w:cs="Times New Roman"/>
          <w:sz w:val="24"/>
          <w:szCs w:val="24"/>
          <w:lang w:val="en-US" w:eastAsia="en-US"/>
        </w:rPr>
        <w:t xml:space="preserve">(8), e0238042. </w:t>
      </w:r>
      <w:hyperlink r:id="rId36" w:history="1">
        <w:r w:rsidRPr="004C74E5">
          <w:rPr>
            <w:rFonts w:ascii="Times New Roman" w:eastAsia="Times New Roman" w:hAnsi="Times New Roman" w:cs="Times New Roman"/>
            <w:color w:val="0000FF"/>
            <w:sz w:val="24"/>
            <w:szCs w:val="24"/>
            <w:u w:val="single"/>
            <w:lang w:val="en-US" w:eastAsia="en-US"/>
          </w:rPr>
          <w:t>https://doi.org/10.1371/journal.pone.0238042</w:t>
        </w:r>
      </w:hyperlink>
    </w:p>
    <w:p w14:paraId="1EAF9C31"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Wang, X., Wang, X., Sheng, H., Wang, X., Zhao, H., &amp; Feng, K. (2022). Excessive nitrogen fertilizer application causes rapid degradation of greenhouse soil in China. </w:t>
      </w:r>
      <w:r w:rsidRPr="004C74E5">
        <w:rPr>
          <w:rFonts w:ascii="Times New Roman" w:eastAsia="Times New Roman" w:hAnsi="Times New Roman" w:cs="Times New Roman"/>
          <w:i/>
          <w:iCs/>
          <w:sz w:val="24"/>
          <w:szCs w:val="24"/>
          <w:lang w:val="en-US" w:eastAsia="en-US"/>
        </w:rPr>
        <w:t>Polish Journal of Environmental Studies, 31</w:t>
      </w:r>
      <w:r w:rsidRPr="004C74E5">
        <w:rPr>
          <w:rFonts w:ascii="Times New Roman" w:eastAsia="Times New Roman" w:hAnsi="Times New Roman" w:cs="Times New Roman"/>
          <w:sz w:val="24"/>
          <w:szCs w:val="24"/>
          <w:lang w:val="en-US" w:eastAsia="en-US"/>
        </w:rPr>
        <w:t xml:space="preserve">(2), 1527–1534. </w:t>
      </w:r>
      <w:hyperlink r:id="rId37" w:history="1">
        <w:r w:rsidRPr="004C74E5">
          <w:rPr>
            <w:rFonts w:ascii="Times New Roman" w:eastAsia="Times New Roman" w:hAnsi="Times New Roman" w:cs="Times New Roman"/>
            <w:color w:val="0000FF"/>
            <w:sz w:val="24"/>
            <w:szCs w:val="24"/>
            <w:u w:val="single"/>
            <w:lang w:val="en-US" w:eastAsia="en-US"/>
          </w:rPr>
          <w:t>https://doi.org/10.15244/pjoes/143293</w:t>
        </w:r>
      </w:hyperlink>
    </w:p>
    <w:p w14:paraId="5207B960"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Wudil</w:t>
      </w:r>
      <w:proofErr w:type="spellEnd"/>
      <w:r w:rsidRPr="004C74E5">
        <w:rPr>
          <w:rFonts w:ascii="Times New Roman" w:eastAsia="Times New Roman" w:hAnsi="Times New Roman" w:cs="Times New Roman"/>
          <w:sz w:val="24"/>
          <w:szCs w:val="24"/>
          <w:lang w:val="en-US" w:eastAsia="en-US"/>
        </w:rPr>
        <w:t xml:space="preserve">, A. H., Usman, M., Rosak-Szyrocka, J., Pilař, L., &amp; Boye, M. (2022). Reversing years for global food security: A review of the food security situation in Sub-Saharan Africa (SSA). </w:t>
      </w:r>
      <w:r w:rsidRPr="004C74E5">
        <w:rPr>
          <w:rFonts w:ascii="Times New Roman" w:eastAsia="Times New Roman" w:hAnsi="Times New Roman" w:cs="Times New Roman"/>
          <w:i/>
          <w:iCs/>
          <w:sz w:val="24"/>
          <w:szCs w:val="24"/>
          <w:lang w:val="en-US" w:eastAsia="en-US"/>
        </w:rPr>
        <w:t>International Journal of Environmental Research and Public Health, 19</w:t>
      </w:r>
      <w:r w:rsidRPr="004C74E5">
        <w:rPr>
          <w:rFonts w:ascii="Times New Roman" w:eastAsia="Times New Roman" w:hAnsi="Times New Roman" w:cs="Times New Roman"/>
          <w:sz w:val="24"/>
          <w:szCs w:val="24"/>
          <w:lang w:val="en-US" w:eastAsia="en-US"/>
        </w:rPr>
        <w:t xml:space="preserve">(22), 14836. </w:t>
      </w:r>
      <w:hyperlink r:id="rId38" w:history="1">
        <w:r w:rsidRPr="004C74E5">
          <w:rPr>
            <w:rFonts w:ascii="Times New Roman" w:eastAsia="Times New Roman" w:hAnsi="Times New Roman" w:cs="Times New Roman"/>
            <w:color w:val="0000FF"/>
            <w:sz w:val="24"/>
            <w:szCs w:val="24"/>
            <w:u w:val="single"/>
            <w:lang w:val="en-US" w:eastAsia="en-US"/>
          </w:rPr>
          <w:t>https://doi.org/10.3390/ijerph192214836</w:t>
        </w:r>
      </w:hyperlink>
    </w:p>
    <w:p w14:paraId="0D5F6CD9"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proofErr w:type="spellStart"/>
      <w:r w:rsidRPr="004C74E5">
        <w:rPr>
          <w:rFonts w:ascii="Times New Roman" w:eastAsia="Times New Roman" w:hAnsi="Times New Roman" w:cs="Times New Roman"/>
          <w:sz w:val="24"/>
          <w:szCs w:val="24"/>
          <w:lang w:val="en-US" w:eastAsia="en-US"/>
        </w:rPr>
        <w:t>Yarou</w:t>
      </w:r>
      <w:proofErr w:type="spellEnd"/>
      <w:r w:rsidRPr="004C74E5">
        <w:rPr>
          <w:rFonts w:ascii="Times New Roman" w:eastAsia="Times New Roman" w:hAnsi="Times New Roman" w:cs="Times New Roman"/>
          <w:sz w:val="24"/>
          <w:szCs w:val="24"/>
          <w:lang w:val="en-US" w:eastAsia="en-US"/>
        </w:rPr>
        <w:t xml:space="preserve">, B. B., Silvie, P., Assogba Komlan, F., Mensah, A., Alabi, T., </w:t>
      </w:r>
      <w:proofErr w:type="spellStart"/>
      <w:r w:rsidRPr="004C74E5">
        <w:rPr>
          <w:rFonts w:ascii="Times New Roman" w:eastAsia="Times New Roman" w:hAnsi="Times New Roman" w:cs="Times New Roman"/>
          <w:sz w:val="24"/>
          <w:szCs w:val="24"/>
          <w:lang w:val="en-US" w:eastAsia="en-US"/>
        </w:rPr>
        <w:t>Verheggen</w:t>
      </w:r>
      <w:proofErr w:type="spellEnd"/>
      <w:r w:rsidRPr="004C74E5">
        <w:rPr>
          <w:rFonts w:ascii="Times New Roman" w:eastAsia="Times New Roman" w:hAnsi="Times New Roman" w:cs="Times New Roman"/>
          <w:sz w:val="24"/>
          <w:szCs w:val="24"/>
          <w:lang w:val="en-US" w:eastAsia="en-US"/>
        </w:rPr>
        <w:t xml:space="preserve">, F., &amp; Francis, F. (2017). Plantes pesticides et protection des cultures </w:t>
      </w:r>
      <w:proofErr w:type="spellStart"/>
      <w:r w:rsidRPr="004C74E5">
        <w:rPr>
          <w:rFonts w:ascii="Times New Roman" w:eastAsia="Times New Roman" w:hAnsi="Times New Roman" w:cs="Times New Roman"/>
          <w:sz w:val="24"/>
          <w:szCs w:val="24"/>
          <w:lang w:val="en-US" w:eastAsia="en-US"/>
        </w:rPr>
        <w:t>maraîchères</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en</w:t>
      </w:r>
      <w:proofErr w:type="spellEnd"/>
      <w:r w:rsidRPr="004C74E5">
        <w:rPr>
          <w:rFonts w:ascii="Times New Roman" w:eastAsia="Times New Roman" w:hAnsi="Times New Roman" w:cs="Times New Roman"/>
          <w:sz w:val="24"/>
          <w:szCs w:val="24"/>
          <w:lang w:val="en-US" w:eastAsia="en-US"/>
        </w:rPr>
        <w:t xml:space="preserve"> Afrique de </w:t>
      </w:r>
      <w:proofErr w:type="spellStart"/>
      <w:r w:rsidRPr="004C74E5">
        <w:rPr>
          <w:rFonts w:ascii="Times New Roman" w:eastAsia="Times New Roman" w:hAnsi="Times New Roman" w:cs="Times New Roman"/>
          <w:sz w:val="24"/>
          <w:szCs w:val="24"/>
          <w:lang w:val="en-US" w:eastAsia="en-US"/>
        </w:rPr>
        <w:t>l’Ouest</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synthèse</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bibliographique</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Biotechnologie</w:t>
      </w:r>
      <w:proofErr w:type="spellEnd"/>
      <w:r w:rsidRPr="004C74E5">
        <w:rPr>
          <w:rFonts w:ascii="Times New Roman" w:eastAsia="Times New Roman" w:hAnsi="Times New Roman" w:cs="Times New Roman"/>
          <w:i/>
          <w:iCs/>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Agronomie</w:t>
      </w:r>
      <w:proofErr w:type="spellEnd"/>
      <w:r w:rsidRPr="004C74E5">
        <w:rPr>
          <w:rFonts w:ascii="Times New Roman" w:eastAsia="Times New Roman" w:hAnsi="Times New Roman" w:cs="Times New Roman"/>
          <w:i/>
          <w:iCs/>
          <w:sz w:val="24"/>
          <w:szCs w:val="24"/>
          <w:lang w:val="en-US" w:eastAsia="en-US"/>
        </w:rPr>
        <w:t>, Société et Environnement, 21</w:t>
      </w:r>
      <w:r w:rsidRPr="004C74E5">
        <w:rPr>
          <w:rFonts w:ascii="Times New Roman" w:eastAsia="Times New Roman" w:hAnsi="Times New Roman" w:cs="Times New Roman"/>
          <w:sz w:val="24"/>
          <w:szCs w:val="24"/>
          <w:lang w:val="en-US" w:eastAsia="en-US"/>
        </w:rPr>
        <w:t xml:space="preserve">(4), 288–304. </w:t>
      </w:r>
      <w:hyperlink r:id="rId39" w:history="1">
        <w:r w:rsidRPr="004C74E5">
          <w:rPr>
            <w:rFonts w:ascii="Times New Roman" w:eastAsia="Times New Roman" w:hAnsi="Times New Roman" w:cs="Times New Roman"/>
            <w:color w:val="0000FF"/>
            <w:sz w:val="24"/>
            <w:szCs w:val="24"/>
            <w:u w:val="single"/>
            <w:lang w:val="en-US" w:eastAsia="en-US"/>
          </w:rPr>
          <w:t>https://doi.org/10.25518/1780-4507.16175</w:t>
        </w:r>
      </w:hyperlink>
    </w:p>
    <w:p w14:paraId="20DF7390"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Zadi, M., </w:t>
      </w:r>
      <w:proofErr w:type="spellStart"/>
      <w:r w:rsidRPr="004C74E5">
        <w:rPr>
          <w:rFonts w:ascii="Times New Roman" w:eastAsia="Times New Roman" w:hAnsi="Times New Roman" w:cs="Times New Roman"/>
          <w:sz w:val="24"/>
          <w:szCs w:val="24"/>
          <w:lang w:val="en-US" w:eastAsia="en-US"/>
        </w:rPr>
        <w:t>Turquin</w:t>
      </w:r>
      <w:proofErr w:type="spellEnd"/>
      <w:r w:rsidRPr="004C74E5">
        <w:rPr>
          <w:rFonts w:ascii="Times New Roman" w:eastAsia="Times New Roman" w:hAnsi="Times New Roman" w:cs="Times New Roman"/>
          <w:sz w:val="24"/>
          <w:szCs w:val="24"/>
          <w:lang w:val="en-US" w:eastAsia="en-US"/>
        </w:rPr>
        <w:t xml:space="preserve">, L., &amp; </w:t>
      </w:r>
      <w:proofErr w:type="spellStart"/>
      <w:r w:rsidRPr="004C74E5">
        <w:rPr>
          <w:rFonts w:ascii="Times New Roman" w:eastAsia="Times New Roman" w:hAnsi="Times New Roman" w:cs="Times New Roman"/>
          <w:sz w:val="24"/>
          <w:szCs w:val="24"/>
          <w:lang w:val="en-US" w:eastAsia="en-US"/>
        </w:rPr>
        <w:t>Lekadou</w:t>
      </w:r>
      <w:proofErr w:type="spellEnd"/>
      <w:r w:rsidRPr="004C74E5">
        <w:rPr>
          <w:rFonts w:ascii="Times New Roman" w:eastAsia="Times New Roman" w:hAnsi="Times New Roman" w:cs="Times New Roman"/>
          <w:sz w:val="24"/>
          <w:szCs w:val="24"/>
          <w:lang w:val="en-US" w:eastAsia="en-US"/>
        </w:rPr>
        <w:t xml:space="preserve">, T. T. (2018). </w:t>
      </w:r>
      <w:proofErr w:type="spellStart"/>
      <w:r w:rsidRPr="004C74E5">
        <w:rPr>
          <w:rFonts w:ascii="Times New Roman" w:eastAsia="Times New Roman" w:hAnsi="Times New Roman" w:cs="Times New Roman"/>
          <w:sz w:val="24"/>
          <w:szCs w:val="24"/>
          <w:lang w:val="en-US" w:eastAsia="en-US"/>
        </w:rPr>
        <w:t>Effets</w:t>
      </w:r>
      <w:proofErr w:type="spellEnd"/>
      <w:r w:rsidRPr="004C74E5">
        <w:rPr>
          <w:rFonts w:ascii="Times New Roman" w:eastAsia="Times New Roman" w:hAnsi="Times New Roman" w:cs="Times New Roman"/>
          <w:sz w:val="24"/>
          <w:szCs w:val="24"/>
          <w:lang w:val="en-US" w:eastAsia="en-US"/>
        </w:rPr>
        <w:t xml:space="preserve"> de deux types </w:t>
      </w:r>
      <w:proofErr w:type="spellStart"/>
      <w:r w:rsidRPr="004C74E5">
        <w:rPr>
          <w:rFonts w:ascii="Times New Roman" w:eastAsia="Times New Roman" w:hAnsi="Times New Roman" w:cs="Times New Roman"/>
          <w:sz w:val="24"/>
          <w:szCs w:val="24"/>
          <w:lang w:val="en-US" w:eastAsia="en-US"/>
        </w:rPr>
        <w:t>d’engrais</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organiques</w:t>
      </w:r>
      <w:proofErr w:type="spellEnd"/>
      <w:r w:rsidRPr="004C74E5">
        <w:rPr>
          <w:rFonts w:ascii="Times New Roman" w:eastAsia="Times New Roman" w:hAnsi="Times New Roman" w:cs="Times New Roman"/>
          <w:sz w:val="24"/>
          <w:szCs w:val="24"/>
          <w:lang w:val="en-US" w:eastAsia="en-US"/>
        </w:rPr>
        <w:t xml:space="preserve"> sur la </w:t>
      </w:r>
      <w:proofErr w:type="spellStart"/>
      <w:r w:rsidRPr="004C74E5">
        <w:rPr>
          <w:rFonts w:ascii="Times New Roman" w:eastAsia="Times New Roman" w:hAnsi="Times New Roman" w:cs="Times New Roman"/>
          <w:sz w:val="24"/>
          <w:szCs w:val="24"/>
          <w:lang w:val="en-US" w:eastAsia="en-US"/>
        </w:rPr>
        <w:t>croissance</w:t>
      </w:r>
      <w:proofErr w:type="spellEnd"/>
      <w:r w:rsidRPr="004C74E5">
        <w:rPr>
          <w:rFonts w:ascii="Times New Roman" w:eastAsia="Times New Roman" w:hAnsi="Times New Roman" w:cs="Times New Roman"/>
          <w:sz w:val="24"/>
          <w:szCs w:val="24"/>
          <w:lang w:val="en-US" w:eastAsia="en-US"/>
        </w:rPr>
        <w:t xml:space="preserve"> et le </w:t>
      </w:r>
      <w:proofErr w:type="spellStart"/>
      <w:r w:rsidRPr="004C74E5">
        <w:rPr>
          <w:rFonts w:ascii="Times New Roman" w:eastAsia="Times New Roman" w:hAnsi="Times New Roman" w:cs="Times New Roman"/>
          <w:sz w:val="24"/>
          <w:szCs w:val="24"/>
          <w:lang w:val="en-US" w:eastAsia="en-US"/>
        </w:rPr>
        <w:t>développement</w:t>
      </w:r>
      <w:proofErr w:type="spellEnd"/>
      <w:r w:rsidRPr="004C74E5">
        <w:rPr>
          <w:rFonts w:ascii="Times New Roman" w:eastAsia="Times New Roman" w:hAnsi="Times New Roman" w:cs="Times New Roman"/>
          <w:sz w:val="24"/>
          <w:szCs w:val="24"/>
          <w:lang w:val="en-US" w:eastAsia="en-US"/>
        </w:rPr>
        <w:t xml:space="preserve"> du </w:t>
      </w:r>
      <w:proofErr w:type="spellStart"/>
      <w:r w:rsidRPr="004C74E5">
        <w:rPr>
          <w:rFonts w:ascii="Times New Roman" w:eastAsia="Times New Roman" w:hAnsi="Times New Roman" w:cs="Times New Roman"/>
          <w:sz w:val="24"/>
          <w:szCs w:val="24"/>
          <w:lang w:val="en-US" w:eastAsia="en-US"/>
        </w:rPr>
        <w:t>cocotier</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hybride</w:t>
      </w:r>
      <w:proofErr w:type="spellEnd"/>
      <w:r w:rsidRPr="004C74E5">
        <w:rPr>
          <w:rFonts w:ascii="Times New Roman" w:eastAsia="Times New Roman" w:hAnsi="Times New Roman" w:cs="Times New Roman"/>
          <w:sz w:val="24"/>
          <w:szCs w:val="24"/>
          <w:lang w:val="en-US" w:eastAsia="en-US"/>
        </w:rPr>
        <w:t xml:space="preserve"> PB 113+ </w:t>
      </w:r>
      <w:proofErr w:type="spellStart"/>
      <w:r w:rsidRPr="004C74E5">
        <w:rPr>
          <w:rFonts w:ascii="Times New Roman" w:eastAsia="Times New Roman" w:hAnsi="Times New Roman" w:cs="Times New Roman"/>
          <w:sz w:val="24"/>
          <w:szCs w:val="24"/>
          <w:lang w:val="en-US" w:eastAsia="en-US"/>
        </w:rPr>
        <w:t>en</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sz w:val="24"/>
          <w:szCs w:val="24"/>
          <w:lang w:val="en-US" w:eastAsia="en-US"/>
        </w:rPr>
        <w:t>pépinière</w:t>
      </w:r>
      <w:proofErr w:type="spellEnd"/>
      <w:r w:rsidRPr="004C74E5">
        <w:rPr>
          <w:rFonts w:ascii="Times New Roman" w:eastAsia="Times New Roman" w:hAnsi="Times New Roman" w:cs="Times New Roman"/>
          <w:sz w:val="24"/>
          <w:szCs w:val="24"/>
          <w:lang w:val="en-US" w:eastAsia="en-US"/>
        </w:rPr>
        <w:t xml:space="preserve">. </w:t>
      </w:r>
      <w:proofErr w:type="spellStart"/>
      <w:r w:rsidRPr="004C74E5">
        <w:rPr>
          <w:rFonts w:ascii="Times New Roman" w:eastAsia="Times New Roman" w:hAnsi="Times New Roman" w:cs="Times New Roman"/>
          <w:i/>
          <w:iCs/>
          <w:sz w:val="24"/>
          <w:szCs w:val="24"/>
          <w:lang w:val="en-US" w:eastAsia="en-US"/>
        </w:rPr>
        <w:t>Agronomie</w:t>
      </w:r>
      <w:proofErr w:type="spellEnd"/>
      <w:r w:rsidRPr="004C74E5">
        <w:rPr>
          <w:rFonts w:ascii="Times New Roman" w:eastAsia="Times New Roman" w:hAnsi="Times New Roman" w:cs="Times New Roman"/>
          <w:i/>
          <w:iCs/>
          <w:sz w:val="24"/>
          <w:szCs w:val="24"/>
          <w:lang w:val="en-US" w:eastAsia="en-US"/>
        </w:rPr>
        <w:t xml:space="preserve"> Africaine, 30</w:t>
      </w:r>
      <w:r w:rsidRPr="004C74E5">
        <w:rPr>
          <w:rFonts w:ascii="Times New Roman" w:eastAsia="Times New Roman" w:hAnsi="Times New Roman" w:cs="Times New Roman"/>
          <w:sz w:val="24"/>
          <w:szCs w:val="24"/>
          <w:lang w:val="en-US" w:eastAsia="en-US"/>
        </w:rPr>
        <w:t xml:space="preserve">(3), 237–247. </w:t>
      </w:r>
      <w:hyperlink r:id="rId40" w:history="1">
        <w:r w:rsidRPr="004C74E5">
          <w:rPr>
            <w:rFonts w:ascii="Times New Roman" w:eastAsia="Times New Roman" w:hAnsi="Times New Roman" w:cs="Times New Roman"/>
            <w:color w:val="0000FF"/>
            <w:sz w:val="24"/>
            <w:szCs w:val="24"/>
            <w:u w:val="single"/>
            <w:lang w:val="en-US" w:eastAsia="en-US"/>
          </w:rPr>
          <w:t>https://www.ajol.info/index.php/aga/article/view/181823</w:t>
        </w:r>
      </w:hyperlink>
    </w:p>
    <w:p w14:paraId="37610DAA" w14:textId="77777777" w:rsidR="004C74E5" w:rsidRPr="004C74E5" w:rsidRDefault="004C74E5" w:rsidP="004C74E5">
      <w:pPr>
        <w:spacing w:before="100" w:beforeAutospacing="1" w:after="100" w:afterAutospacing="1"/>
        <w:rPr>
          <w:rFonts w:ascii="Times New Roman" w:eastAsia="Times New Roman" w:hAnsi="Times New Roman" w:cs="Times New Roman"/>
          <w:sz w:val="24"/>
          <w:szCs w:val="24"/>
          <w:lang w:val="en-US" w:eastAsia="en-US"/>
        </w:rPr>
      </w:pPr>
      <w:r w:rsidRPr="004C74E5">
        <w:rPr>
          <w:rFonts w:ascii="Times New Roman" w:eastAsia="Times New Roman" w:hAnsi="Times New Roman" w:cs="Times New Roman"/>
          <w:sz w:val="24"/>
          <w:szCs w:val="24"/>
          <w:lang w:val="en-US" w:eastAsia="en-US"/>
        </w:rPr>
        <w:t xml:space="preserve">Zhou, Z., Zhang, S., Jiang, N., Xiu, W., Zhao, J., &amp; Yang, D. (2022). Effects of organic fertilizer incorporation practices on crops yield, soil quality, and soil fauna feeding activity in the wheat-maize rotation system. </w:t>
      </w:r>
      <w:r w:rsidRPr="004C74E5">
        <w:rPr>
          <w:rFonts w:ascii="Times New Roman" w:eastAsia="Times New Roman" w:hAnsi="Times New Roman" w:cs="Times New Roman"/>
          <w:i/>
          <w:iCs/>
          <w:sz w:val="24"/>
          <w:szCs w:val="24"/>
          <w:lang w:val="en-US" w:eastAsia="en-US"/>
        </w:rPr>
        <w:t>Frontiers in Environmental Science, 10</w:t>
      </w:r>
      <w:r w:rsidRPr="004C74E5">
        <w:rPr>
          <w:rFonts w:ascii="Times New Roman" w:eastAsia="Times New Roman" w:hAnsi="Times New Roman" w:cs="Times New Roman"/>
          <w:sz w:val="24"/>
          <w:szCs w:val="24"/>
          <w:lang w:val="en-US" w:eastAsia="en-US"/>
        </w:rPr>
        <w:t xml:space="preserve">, 1058071. </w:t>
      </w:r>
      <w:hyperlink r:id="rId41" w:history="1">
        <w:r w:rsidRPr="004C74E5">
          <w:rPr>
            <w:rFonts w:ascii="Times New Roman" w:eastAsia="Times New Roman" w:hAnsi="Times New Roman" w:cs="Times New Roman"/>
            <w:color w:val="0000FF"/>
            <w:sz w:val="24"/>
            <w:szCs w:val="24"/>
            <w:u w:val="single"/>
            <w:lang w:val="en-US" w:eastAsia="en-US"/>
          </w:rPr>
          <w:t>https://doi.org/10.3389/fenvs.2022.1058071</w:t>
        </w:r>
      </w:hyperlink>
    </w:p>
    <w:p w14:paraId="0D08C729" w14:textId="77777777" w:rsidR="004C74E5" w:rsidRPr="00513A9E" w:rsidRDefault="004C74E5" w:rsidP="00F33D6B">
      <w:pPr>
        <w:spacing w:before="120" w:after="120"/>
        <w:rPr>
          <w:rFonts w:ascii="Times New Roman" w:hAnsi="Times New Roman" w:cs="Times New Roman"/>
          <w:b/>
          <w:bCs/>
          <w:sz w:val="24"/>
          <w:szCs w:val="24"/>
          <w:lang w:val="en-US"/>
        </w:rPr>
      </w:pPr>
    </w:p>
    <w:sectPr w:rsidR="004C74E5" w:rsidRPr="00513A9E">
      <w:headerReference w:type="even" r:id="rId42"/>
      <w:headerReference w:type="default" r:id="rId43"/>
      <w:footerReference w:type="even" r:id="rId44"/>
      <w:footerReference w:type="default" r:id="rId45"/>
      <w:headerReference w:type="first" r:id="rId46"/>
      <w:footerReference w:type="first" r:id="rId4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82BD" w14:textId="77777777" w:rsidR="00546BD6" w:rsidRDefault="00546BD6" w:rsidP="00F33D6B">
      <w:r>
        <w:separator/>
      </w:r>
    </w:p>
  </w:endnote>
  <w:endnote w:type="continuationSeparator" w:id="0">
    <w:p w14:paraId="21EDF109" w14:textId="77777777" w:rsidR="00546BD6" w:rsidRDefault="00546BD6" w:rsidP="00F33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FEFA" w14:textId="77777777" w:rsidR="008B55DE" w:rsidRDefault="008B55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158474"/>
      <w:docPartObj>
        <w:docPartGallery w:val="Page Numbers (Bottom of Page)"/>
        <w:docPartUnique/>
      </w:docPartObj>
    </w:sdtPr>
    <w:sdtEndPr>
      <w:rPr>
        <w:rFonts w:ascii="Times New Roman" w:hAnsi="Times New Roman" w:cs="Times New Roman"/>
        <w:sz w:val="24"/>
        <w:szCs w:val="24"/>
      </w:rPr>
    </w:sdtEndPr>
    <w:sdtContent>
      <w:p w14:paraId="2649D7F2" w14:textId="77777777" w:rsidR="00F33D6B" w:rsidRPr="00F33D6B" w:rsidRDefault="00F33D6B">
        <w:pPr>
          <w:pStyle w:val="Footer"/>
          <w:jc w:val="center"/>
          <w:rPr>
            <w:rFonts w:ascii="Times New Roman" w:hAnsi="Times New Roman" w:cs="Times New Roman"/>
            <w:sz w:val="24"/>
            <w:szCs w:val="24"/>
          </w:rPr>
        </w:pPr>
        <w:r w:rsidRPr="00F33D6B">
          <w:rPr>
            <w:rFonts w:ascii="Times New Roman" w:hAnsi="Times New Roman" w:cs="Times New Roman"/>
            <w:sz w:val="24"/>
            <w:szCs w:val="24"/>
          </w:rPr>
          <w:fldChar w:fldCharType="begin"/>
        </w:r>
        <w:r w:rsidRPr="00F33D6B">
          <w:rPr>
            <w:rFonts w:ascii="Times New Roman" w:hAnsi="Times New Roman" w:cs="Times New Roman"/>
            <w:sz w:val="24"/>
            <w:szCs w:val="24"/>
          </w:rPr>
          <w:instrText>PAGE   \* MERGEFORMAT</w:instrText>
        </w:r>
        <w:r w:rsidRPr="00F33D6B">
          <w:rPr>
            <w:rFonts w:ascii="Times New Roman" w:hAnsi="Times New Roman" w:cs="Times New Roman"/>
            <w:sz w:val="24"/>
            <w:szCs w:val="24"/>
          </w:rPr>
          <w:fldChar w:fldCharType="separate"/>
        </w:r>
        <w:r w:rsidRPr="00F33D6B">
          <w:rPr>
            <w:rFonts w:ascii="Times New Roman" w:hAnsi="Times New Roman" w:cs="Times New Roman"/>
            <w:sz w:val="24"/>
            <w:szCs w:val="24"/>
          </w:rPr>
          <w:t>2</w:t>
        </w:r>
        <w:r w:rsidRPr="00F33D6B">
          <w:rPr>
            <w:rFonts w:ascii="Times New Roman" w:hAnsi="Times New Roman" w:cs="Times New Roman"/>
            <w:sz w:val="24"/>
            <w:szCs w:val="24"/>
          </w:rPr>
          <w:fldChar w:fldCharType="end"/>
        </w:r>
      </w:p>
    </w:sdtContent>
  </w:sdt>
  <w:p w14:paraId="79EE2F29" w14:textId="77777777" w:rsidR="00F33D6B" w:rsidRDefault="00F33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76FF7" w14:textId="77777777" w:rsidR="008B55DE" w:rsidRDefault="008B5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4BD75" w14:textId="77777777" w:rsidR="00546BD6" w:rsidRDefault="00546BD6" w:rsidP="00F33D6B">
      <w:r>
        <w:separator/>
      </w:r>
    </w:p>
  </w:footnote>
  <w:footnote w:type="continuationSeparator" w:id="0">
    <w:p w14:paraId="6F7FF754" w14:textId="77777777" w:rsidR="00546BD6" w:rsidRDefault="00546BD6" w:rsidP="00F33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7611" w14:textId="77777777" w:rsidR="008B55DE" w:rsidRDefault="00000000">
    <w:pPr>
      <w:pStyle w:val="Header"/>
    </w:pPr>
    <w:r>
      <w:rPr>
        <w:noProof/>
      </w:rPr>
      <w:pict w14:anchorId="44F157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2" o:spid="_x0000_s1026"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1298" w14:textId="77777777" w:rsidR="008B55DE" w:rsidRDefault="00000000">
    <w:pPr>
      <w:pStyle w:val="Header"/>
    </w:pPr>
    <w:r>
      <w:rPr>
        <w:noProof/>
      </w:rPr>
      <w:pict w14:anchorId="428E24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3" o:spid="_x0000_s1027"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A78D" w14:textId="77777777" w:rsidR="008B55DE" w:rsidRDefault="00000000">
    <w:pPr>
      <w:pStyle w:val="Header"/>
    </w:pPr>
    <w:r>
      <w:rPr>
        <w:noProof/>
      </w:rPr>
      <w:pict w14:anchorId="6C50AC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511031" o:spid="_x0000_s1025"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07977"/>
    <w:multiLevelType w:val="hybridMultilevel"/>
    <w:tmpl w:val="296A55C4"/>
    <w:lvl w:ilvl="0" w:tplc="B546C63E">
      <w:start w:val="1"/>
      <w:numFmt w:val="bullet"/>
      <w:lvlText w:val="●"/>
      <w:lvlJc w:val="left"/>
      <w:pPr>
        <w:ind w:left="720" w:hanging="360"/>
      </w:pPr>
    </w:lvl>
    <w:lvl w:ilvl="1" w:tplc="B1EEAD30">
      <w:start w:val="1"/>
      <w:numFmt w:val="bullet"/>
      <w:lvlText w:val="○"/>
      <w:lvlJc w:val="left"/>
      <w:pPr>
        <w:ind w:left="1440" w:hanging="360"/>
      </w:pPr>
    </w:lvl>
    <w:lvl w:ilvl="2" w:tplc="C06EDBA4">
      <w:start w:val="1"/>
      <w:numFmt w:val="bullet"/>
      <w:lvlText w:val="■"/>
      <w:lvlJc w:val="left"/>
      <w:pPr>
        <w:ind w:left="2160" w:hanging="360"/>
      </w:pPr>
    </w:lvl>
    <w:lvl w:ilvl="3" w:tplc="E4401DD0">
      <w:start w:val="1"/>
      <w:numFmt w:val="bullet"/>
      <w:lvlText w:val="●"/>
      <w:lvlJc w:val="left"/>
      <w:pPr>
        <w:ind w:left="2880" w:hanging="360"/>
      </w:pPr>
    </w:lvl>
    <w:lvl w:ilvl="4" w:tplc="26A26C26">
      <w:start w:val="1"/>
      <w:numFmt w:val="bullet"/>
      <w:lvlText w:val="○"/>
      <w:lvlJc w:val="left"/>
      <w:pPr>
        <w:ind w:left="3600" w:hanging="360"/>
      </w:pPr>
    </w:lvl>
    <w:lvl w:ilvl="5" w:tplc="53EE4CDE">
      <w:start w:val="1"/>
      <w:numFmt w:val="bullet"/>
      <w:lvlText w:val="■"/>
      <w:lvlJc w:val="left"/>
      <w:pPr>
        <w:ind w:left="4320" w:hanging="360"/>
      </w:pPr>
    </w:lvl>
    <w:lvl w:ilvl="6" w:tplc="45961844">
      <w:start w:val="1"/>
      <w:numFmt w:val="bullet"/>
      <w:lvlText w:val="●"/>
      <w:lvlJc w:val="left"/>
      <w:pPr>
        <w:ind w:left="5040" w:hanging="360"/>
      </w:pPr>
    </w:lvl>
    <w:lvl w:ilvl="7" w:tplc="37726C38">
      <w:start w:val="1"/>
      <w:numFmt w:val="bullet"/>
      <w:lvlText w:val="●"/>
      <w:lvlJc w:val="left"/>
      <w:pPr>
        <w:ind w:left="5760" w:hanging="360"/>
      </w:pPr>
    </w:lvl>
    <w:lvl w:ilvl="8" w:tplc="0E1A37DE">
      <w:start w:val="1"/>
      <w:numFmt w:val="bullet"/>
      <w:lvlText w:val="●"/>
      <w:lvlJc w:val="left"/>
      <w:pPr>
        <w:ind w:left="6480" w:hanging="360"/>
      </w:pPr>
    </w:lvl>
  </w:abstractNum>
  <w:num w:numId="1" w16cid:durableId="10941353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zNLewNDEzNjQ3NrVQ0lEKTi0uzszPAykwrAUAbZXVXCwAAAA="/>
  </w:docVars>
  <w:rsids>
    <w:rsidRoot w:val="00960E11"/>
    <w:rsid w:val="00043E13"/>
    <w:rsid w:val="000C46F5"/>
    <w:rsid w:val="001E4A41"/>
    <w:rsid w:val="0037688F"/>
    <w:rsid w:val="003C2B08"/>
    <w:rsid w:val="00465BAE"/>
    <w:rsid w:val="004C74E5"/>
    <w:rsid w:val="00513A9E"/>
    <w:rsid w:val="00546BD6"/>
    <w:rsid w:val="0056120A"/>
    <w:rsid w:val="00565CC6"/>
    <w:rsid w:val="005A2155"/>
    <w:rsid w:val="0061192A"/>
    <w:rsid w:val="006308AD"/>
    <w:rsid w:val="007106B6"/>
    <w:rsid w:val="00726834"/>
    <w:rsid w:val="00737296"/>
    <w:rsid w:val="007A483C"/>
    <w:rsid w:val="008B55DE"/>
    <w:rsid w:val="00960E11"/>
    <w:rsid w:val="00A90272"/>
    <w:rsid w:val="00B0649D"/>
    <w:rsid w:val="00BD7248"/>
    <w:rsid w:val="00C92349"/>
    <w:rsid w:val="00CA2180"/>
    <w:rsid w:val="00D412ED"/>
    <w:rsid w:val="00D94435"/>
    <w:rsid w:val="00DD3A77"/>
    <w:rsid w:val="00F33D6B"/>
    <w:rsid w:val="00F95D77"/>
    <w:rsid w:val="00FD07E9"/>
    <w:rsid w:val="00FD134C"/>
    <w:rsid w:val="00FE5D5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14E9"/>
  <w15:docId w15:val="{988FB23D-17BA-4002-9F3A-3010D1819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33D6B"/>
    <w:rPr>
      <w:color w:val="605E5C"/>
      <w:shd w:val="clear" w:color="auto" w:fill="E1DFDD"/>
    </w:rPr>
  </w:style>
  <w:style w:type="paragraph" w:styleId="Header">
    <w:name w:val="header"/>
    <w:basedOn w:val="Normal"/>
    <w:link w:val="HeaderChar"/>
    <w:uiPriority w:val="99"/>
    <w:unhideWhenUsed/>
    <w:rsid w:val="00F33D6B"/>
    <w:pPr>
      <w:tabs>
        <w:tab w:val="center" w:pos="4536"/>
        <w:tab w:val="right" w:pos="9072"/>
      </w:tabs>
    </w:pPr>
  </w:style>
  <w:style w:type="character" w:customStyle="1" w:styleId="HeaderChar">
    <w:name w:val="Header Char"/>
    <w:basedOn w:val="DefaultParagraphFont"/>
    <w:link w:val="Header"/>
    <w:uiPriority w:val="99"/>
    <w:rsid w:val="00F33D6B"/>
  </w:style>
  <w:style w:type="paragraph" w:styleId="Footer">
    <w:name w:val="footer"/>
    <w:basedOn w:val="Normal"/>
    <w:link w:val="FooterChar"/>
    <w:uiPriority w:val="99"/>
    <w:unhideWhenUsed/>
    <w:rsid w:val="00F33D6B"/>
    <w:pPr>
      <w:tabs>
        <w:tab w:val="center" w:pos="4536"/>
        <w:tab w:val="right" w:pos="9072"/>
      </w:tabs>
    </w:pPr>
  </w:style>
  <w:style w:type="character" w:customStyle="1" w:styleId="FooterChar">
    <w:name w:val="Footer Char"/>
    <w:basedOn w:val="DefaultParagraphFont"/>
    <w:link w:val="Footer"/>
    <w:uiPriority w:val="99"/>
    <w:rsid w:val="00F33D6B"/>
  </w:style>
  <w:style w:type="paragraph" w:customStyle="1" w:styleId="pdq2pgselectionanchorcontainer">
    <w:name w:val="pdq2pg_selectionanchorcontainer"/>
    <w:basedOn w:val="Normal"/>
    <w:rsid w:val="00F95D77"/>
    <w:pPr>
      <w:spacing w:before="100" w:beforeAutospacing="1" w:after="100" w:afterAutospacing="1"/>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179832">
      <w:bodyDiv w:val="1"/>
      <w:marLeft w:val="0"/>
      <w:marRight w:val="0"/>
      <w:marTop w:val="0"/>
      <w:marBottom w:val="0"/>
      <w:divBdr>
        <w:top w:val="none" w:sz="0" w:space="0" w:color="auto"/>
        <w:left w:val="none" w:sz="0" w:space="0" w:color="auto"/>
        <w:bottom w:val="none" w:sz="0" w:space="0" w:color="auto"/>
        <w:right w:val="none" w:sz="0" w:space="0" w:color="auto"/>
      </w:divBdr>
    </w:div>
    <w:div w:id="1948730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agricultureonline.com/wp-content/uploads/2021/12/8.pdf" TargetMode="External"/><Relationship Id="rId18" Type="http://schemas.openxmlformats.org/officeDocument/2006/relationships/hyperlink" Target="https://doi.org/10.1007/s40003-024-00723-9" TargetMode="External"/><Relationship Id="rId26" Type="http://schemas.openxmlformats.org/officeDocument/2006/relationships/hyperlink" Target="https://doi.org/10.3389/fsufs.2021.706142" TargetMode="External"/><Relationship Id="rId39" Type="http://schemas.openxmlformats.org/officeDocument/2006/relationships/hyperlink" Target="https://doi.org/10.25518/1780-4507.16175" TargetMode="External"/><Relationship Id="rId21" Type="http://schemas.openxmlformats.org/officeDocument/2006/relationships/hyperlink" Target="https://doi.org/10.9734/ijpss/2024/v36i74808" TargetMode="External"/><Relationship Id="rId34" Type="http://schemas.openxmlformats.org/officeDocument/2006/relationships/hyperlink" Target="https://doi.org/10.3390/su141610410"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07/s10725-025-01403-6" TargetMode="External"/><Relationship Id="rId29" Type="http://schemas.openxmlformats.org/officeDocument/2006/relationships/hyperlink" Target="https://doi.org/10.24940/theijst/2021/v9/i1/ST2101-013" TargetMode="External"/><Relationship Id="rId11" Type="http://schemas.openxmlformats.org/officeDocument/2006/relationships/image" Target="media/image5.png"/><Relationship Id="rId24" Type="http://schemas.openxmlformats.org/officeDocument/2006/relationships/hyperlink" Target="https://doi.org/10.21203/rs.3.rs-4512979/v1" TargetMode="External"/><Relationship Id="rId32" Type="http://schemas.openxmlformats.org/officeDocument/2006/relationships/hyperlink" Target="https://doi.org/10.1016/B978-0-12-819555-0.00013-3" TargetMode="External"/><Relationship Id="rId37" Type="http://schemas.openxmlformats.org/officeDocument/2006/relationships/hyperlink" Target="https://doi.org/10.15244/pjoes/143293" TargetMode="External"/><Relationship Id="rId40" Type="http://schemas.openxmlformats.org/officeDocument/2006/relationships/hyperlink" Target="https://www.ajol.info/index.php/aga/article/view/181823"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3390/horticulturae9020188" TargetMode="External"/><Relationship Id="rId23" Type="http://schemas.openxmlformats.org/officeDocument/2006/relationships/hyperlink" Target="https://doi.org/10.1016/j.envint.2019.105078" TargetMode="External"/><Relationship Id="rId28" Type="http://schemas.openxmlformats.org/officeDocument/2006/relationships/hyperlink" Target="https://doi.org/10.1016/j.jafr.2024.101060" TargetMode="External"/><Relationship Id="rId36" Type="http://schemas.openxmlformats.org/officeDocument/2006/relationships/hyperlink" Target="https://doi.org/10.1371/journal.pone.0238042" TargetMode="External"/><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europeanjournalofscientificresearch.com/issues/PDF/EJSR_157_2_03.pdf" TargetMode="External"/><Relationship Id="rId31" Type="http://schemas.openxmlformats.org/officeDocument/2006/relationships/hyperlink" Target="https://doi.org/10.9734/ajahr/2024/v11i2312"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55/2022/2805004" TargetMode="External"/><Relationship Id="rId22" Type="http://schemas.openxmlformats.org/officeDocument/2006/relationships/hyperlink" Target="https://www.fao.org/fileadmin/user_upload/GSP/docs/West_africa_partner/CoteD_Ivoire_Assin.pdf" TargetMode="External"/><Relationship Id="rId27" Type="http://schemas.openxmlformats.org/officeDocument/2006/relationships/hyperlink" Target="https://doi.org/10.1016/j.scienta.2024.112955" TargetMode="External"/><Relationship Id="rId30" Type="http://schemas.openxmlformats.org/officeDocument/2006/relationships/hyperlink" Target="https://doi.org/10.56557/ajopss/2025/v10i1119" TargetMode="External"/><Relationship Id="rId35" Type="http://schemas.openxmlformats.org/officeDocument/2006/relationships/hyperlink" Target="https://www.unido.org/sites/default/files/unido-publications/2023-01/PCP-diagnostics-Ivory-Coast-en.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19044/esj.2018.v14n6p432" TargetMode="External"/><Relationship Id="rId25" Type="http://schemas.openxmlformats.org/officeDocument/2006/relationships/hyperlink" Target="https://doi.org/10.13128/ahs-21898" TargetMode="External"/><Relationship Id="rId33" Type="http://schemas.openxmlformats.org/officeDocument/2006/relationships/hyperlink" Target="https://doi.org/10.1371/journal.pone.0266190" TargetMode="External"/><Relationship Id="rId38" Type="http://schemas.openxmlformats.org/officeDocument/2006/relationships/hyperlink" Target="https://doi.org/10.3390/ijerph192214836" TargetMode="External"/><Relationship Id="rId46" Type="http://schemas.openxmlformats.org/officeDocument/2006/relationships/header" Target="header3.xml"/><Relationship Id="rId20" Type="http://schemas.openxmlformats.org/officeDocument/2006/relationships/hyperlink" Target="https://doi.org/10.9734/arrb/2024/v39i92116" TargetMode="External"/><Relationship Id="rId41" Type="http://schemas.openxmlformats.org/officeDocument/2006/relationships/hyperlink" Target="https://doi.org/10.3389/fenvs.2022.1058071"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14</Pages>
  <Words>5210</Words>
  <Characters>29702</Characters>
  <Application>Microsoft Office Word</Application>
  <DocSecurity>0</DocSecurity>
  <Lines>247</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12</cp:revision>
  <dcterms:created xsi:type="dcterms:W3CDTF">2026-08-17T10:03:00Z</dcterms:created>
  <dcterms:modified xsi:type="dcterms:W3CDTF">2026-08-22T09:49:00Z</dcterms:modified>
</cp:coreProperties>
</file>