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4B112" w14:textId="77777777" w:rsidR="00163BC4" w:rsidRPr="0017181D" w:rsidRDefault="00A40E9F" w:rsidP="00441B6F">
      <w:pPr>
        <w:pStyle w:val="Author"/>
        <w:spacing w:line="240" w:lineRule="auto"/>
        <w:rPr>
          <w:rFonts w:ascii="Arial" w:hAnsi="Arial" w:cs="Arial"/>
          <w:bCs/>
          <w:iCs/>
          <w:color w:val="000000" w:themeColor="text1"/>
          <w:kern w:val="28"/>
          <w:sz w:val="36"/>
        </w:rPr>
      </w:pPr>
      <w:r w:rsidRPr="0017181D">
        <w:rPr>
          <w:rFonts w:ascii="Arial" w:hAnsi="Arial" w:cs="Arial"/>
          <w:bCs/>
          <w:iCs/>
          <w:color w:val="000000" w:themeColor="text1"/>
          <w:kern w:val="28"/>
          <w:sz w:val="36"/>
        </w:rPr>
        <w:t>Assessment of genetic variability for morphological and nutritional traits in finger millet (</w:t>
      </w:r>
      <w:r w:rsidRPr="0017181D">
        <w:rPr>
          <w:rFonts w:ascii="Arial" w:hAnsi="Arial" w:cs="Arial"/>
          <w:bCs/>
          <w:i/>
          <w:color w:val="000000" w:themeColor="text1"/>
          <w:kern w:val="28"/>
          <w:sz w:val="36"/>
        </w:rPr>
        <w:t>Eleusine coracana</w:t>
      </w:r>
      <w:r w:rsidRPr="0017181D">
        <w:rPr>
          <w:rFonts w:ascii="Arial" w:hAnsi="Arial" w:cs="Arial"/>
          <w:bCs/>
          <w:iCs/>
          <w:color w:val="000000" w:themeColor="text1"/>
          <w:kern w:val="28"/>
          <w:sz w:val="36"/>
        </w:rPr>
        <w:t xml:space="preserve"> (L.) </w:t>
      </w:r>
      <w:proofErr w:type="spellStart"/>
      <w:r w:rsidRPr="0017181D">
        <w:rPr>
          <w:rFonts w:ascii="Arial" w:hAnsi="Arial" w:cs="Arial"/>
          <w:bCs/>
          <w:iCs/>
          <w:color w:val="000000" w:themeColor="text1"/>
          <w:kern w:val="28"/>
          <w:sz w:val="36"/>
        </w:rPr>
        <w:t>Gaertn</w:t>
      </w:r>
      <w:proofErr w:type="spellEnd"/>
      <w:r w:rsidRPr="0017181D">
        <w:rPr>
          <w:rFonts w:ascii="Arial" w:hAnsi="Arial" w:cs="Arial"/>
          <w:bCs/>
          <w:iCs/>
          <w:color w:val="000000" w:themeColor="text1"/>
          <w:kern w:val="28"/>
          <w:sz w:val="36"/>
        </w:rPr>
        <w:t>.)</w:t>
      </w:r>
    </w:p>
    <w:p w14:paraId="2CB9BD48" w14:textId="77777777" w:rsidR="00A258C3" w:rsidRPr="0017181D" w:rsidRDefault="00A258C3" w:rsidP="00441B6F">
      <w:pPr>
        <w:pStyle w:val="Author"/>
        <w:spacing w:line="240" w:lineRule="auto"/>
        <w:jc w:val="both"/>
        <w:rPr>
          <w:rFonts w:ascii="Arial" w:hAnsi="Arial" w:cs="Arial"/>
          <w:color w:val="000000" w:themeColor="text1"/>
          <w:sz w:val="36"/>
        </w:rPr>
      </w:pPr>
    </w:p>
    <w:p w14:paraId="6C9F4068" w14:textId="77777777" w:rsidR="00B12F28" w:rsidRPr="0017181D" w:rsidRDefault="00B12F28" w:rsidP="00441B6F">
      <w:pPr>
        <w:pStyle w:val="Affiliation"/>
        <w:spacing w:after="0" w:line="240" w:lineRule="auto"/>
        <w:rPr>
          <w:rFonts w:ascii="Arial" w:hAnsi="Arial"/>
        </w:rPr>
      </w:pPr>
    </w:p>
    <w:p w14:paraId="3476BA09" w14:textId="77777777" w:rsidR="00B01FCD" w:rsidRPr="0017181D" w:rsidRDefault="00F50A4E" w:rsidP="00441B6F">
      <w:pPr>
        <w:pStyle w:val="Copyright"/>
        <w:spacing w:after="0" w:line="240" w:lineRule="auto"/>
        <w:jc w:val="both"/>
        <w:rPr>
          <w:rFonts w:ascii="Arial" w:hAnsi="Arial" w:cs="Arial"/>
          <w:color w:val="000000" w:themeColor="text1"/>
        </w:rPr>
        <w:sectPr w:rsidR="00B01FCD" w:rsidRPr="0017181D" w:rsidSect="00C6181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17181D">
        <w:rPr>
          <w:rFonts w:ascii="Arial" w:hAnsi="Arial" w:cs="Arial"/>
          <w:noProof/>
          <w:color w:val="000000" w:themeColor="text1"/>
        </w:rPr>
        <mc:AlternateContent>
          <mc:Choice Requires="wps">
            <w:drawing>
              <wp:inline distT="0" distB="0" distL="0" distR="0" wp14:anchorId="18ADCB8A" wp14:editId="34B8C0D7">
                <wp:extent cx="5303520" cy="635"/>
                <wp:effectExtent l="0" t="0" r="0" b="0"/>
                <wp:docPr id="459395124"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314C3343" id="_x0000_t32" coordsize="21600,21600" o:spt="32" o:oned="t" path="m,l21600,21600e" filled="f">
                <v:path arrowok="t" fillok="f" o:connecttype="none"/>
                <o:lock v:ext="edit" shapetype="t"/>
              </v:shapetype>
              <v:shape id="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" strokeweight="1.5pt">
                <o:lock v:ext="edit" shapetype="f"/>
                <w10:anchorlock/>
              </v:shape>
            </w:pict>
          </mc:Fallback>
        </mc:AlternateContent>
      </w:r>
      <w:r w:rsidR="00FB3A86" w:rsidRPr="0017181D">
        <w:rPr>
          <w:rFonts w:ascii="Arial" w:hAnsi="Arial" w:cs="Arial"/>
          <w:color w:val="000000" w:themeColor="text1"/>
        </w:rPr>
        <w:t>.</w:t>
      </w:r>
    </w:p>
    <w:p w14:paraId="49CBC69B" w14:textId="77777777" w:rsidR="00B01FCD" w:rsidRPr="0017181D" w:rsidRDefault="00B01FCD" w:rsidP="00441B6F">
      <w:pPr>
        <w:pStyle w:val="AbstHead"/>
        <w:spacing w:after="0"/>
        <w:jc w:val="both"/>
        <w:rPr>
          <w:rFonts w:ascii="Arial" w:hAnsi="Arial" w:cs="Arial"/>
          <w:color w:val="000000" w:themeColor="text1"/>
        </w:rPr>
      </w:pPr>
      <w:r w:rsidRPr="0017181D">
        <w:rPr>
          <w:rFonts w:ascii="Arial" w:hAnsi="Arial" w:cs="Arial"/>
          <w:color w:val="000000" w:themeColor="text1"/>
        </w:rPr>
        <w:t>ABSTRACT</w:t>
      </w:r>
    </w:p>
    <w:p w14:paraId="298F1242" w14:textId="77777777" w:rsidR="00790ADA" w:rsidRPr="0017181D" w:rsidRDefault="00790ADA" w:rsidP="00441B6F">
      <w:pPr>
        <w:pStyle w:val="AbstHead"/>
        <w:spacing w:after="0"/>
        <w:jc w:val="both"/>
        <w:rPr>
          <w:rFonts w:ascii="Arial" w:hAnsi="Arial" w:cs="Arial"/>
          <w:color w:val="000000" w:themeColor="text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7181D" w14:paraId="139809A9" w14:textId="77777777" w:rsidTr="001E44FE">
        <w:tc>
          <w:tcPr>
            <w:tcW w:w="9576" w:type="dxa"/>
            <w:shd w:val="clear" w:color="auto" w:fill="F2F2F2"/>
          </w:tcPr>
          <w:p w14:paraId="70BC41AB" w14:textId="77777777" w:rsidR="0069346D" w:rsidRPr="0017181D" w:rsidRDefault="0069346D" w:rsidP="0069346D">
            <w:pPr>
              <w:jc w:val="both"/>
              <w:rPr>
                <w:rFonts w:ascii="Arial" w:hAnsi="Arial" w:cs="Arial"/>
                <w:color w:val="000000" w:themeColor="text1"/>
              </w:rPr>
            </w:pPr>
            <w:r w:rsidRPr="0017181D">
              <w:rPr>
                <w:rFonts w:ascii="Arial" w:hAnsi="Arial" w:cs="Arial"/>
                <w:b/>
                <w:color w:val="000000" w:themeColor="text1"/>
              </w:rPr>
              <w:t xml:space="preserve">Aims: </w:t>
            </w:r>
            <w:r w:rsidRPr="0017181D">
              <w:rPr>
                <w:rFonts w:ascii="Arial" w:hAnsi="Arial" w:cs="Arial"/>
                <w:color w:val="000000" w:themeColor="text1"/>
              </w:rPr>
              <w:t>To evaluate genetic variability parameters for twelve morphological and four nutraceutical traits in forty-five finger millet genotypes to identify traits with potential for crop improvement.</w:t>
            </w:r>
          </w:p>
          <w:p w14:paraId="01303935" w14:textId="77777777" w:rsidR="00A652E3" w:rsidRPr="0017181D" w:rsidRDefault="00A652E3" w:rsidP="0069346D">
            <w:pPr>
              <w:jc w:val="both"/>
              <w:rPr>
                <w:rFonts w:ascii="Arial" w:hAnsi="Arial" w:cs="Arial"/>
                <w:color w:val="000000" w:themeColor="text1"/>
              </w:rPr>
            </w:pPr>
          </w:p>
          <w:p w14:paraId="320F51F0" w14:textId="77777777" w:rsidR="0069346D" w:rsidRPr="0017181D" w:rsidRDefault="0069346D" w:rsidP="0069346D">
            <w:pPr>
              <w:jc w:val="both"/>
              <w:rPr>
                <w:rFonts w:ascii="Arial" w:hAnsi="Arial" w:cs="Arial"/>
                <w:color w:val="000000" w:themeColor="text1"/>
              </w:rPr>
            </w:pPr>
            <w:r w:rsidRPr="0017181D">
              <w:rPr>
                <w:rFonts w:ascii="Arial" w:hAnsi="Arial" w:cs="Arial"/>
                <w:b/>
                <w:color w:val="000000" w:themeColor="text1"/>
              </w:rPr>
              <w:t xml:space="preserve">Study design: </w:t>
            </w:r>
            <w:r w:rsidRPr="0017181D">
              <w:rPr>
                <w:rFonts w:ascii="Arial" w:hAnsi="Arial" w:cs="Arial"/>
                <w:color w:val="000000" w:themeColor="text1"/>
              </w:rPr>
              <w:t>Randomised Complete Block Design (RCBD).</w:t>
            </w:r>
          </w:p>
          <w:p w14:paraId="10C73A0F" w14:textId="77777777" w:rsidR="00A652E3" w:rsidRPr="0017181D" w:rsidRDefault="00A652E3" w:rsidP="0069346D">
            <w:pPr>
              <w:jc w:val="both"/>
              <w:rPr>
                <w:rFonts w:ascii="Arial" w:hAnsi="Arial" w:cs="Arial"/>
                <w:b/>
                <w:color w:val="000000" w:themeColor="text1"/>
              </w:rPr>
            </w:pPr>
          </w:p>
          <w:p w14:paraId="460B1692" w14:textId="77777777" w:rsidR="0069346D" w:rsidRPr="0017181D" w:rsidRDefault="0069346D" w:rsidP="0069346D">
            <w:pPr>
              <w:jc w:val="both"/>
              <w:rPr>
                <w:rFonts w:ascii="Arial" w:hAnsi="Arial" w:cs="Arial"/>
                <w:color w:val="000000" w:themeColor="text1"/>
              </w:rPr>
            </w:pPr>
            <w:r w:rsidRPr="0017181D">
              <w:rPr>
                <w:rFonts w:ascii="Arial" w:hAnsi="Arial" w:cs="Arial"/>
                <w:b/>
                <w:color w:val="000000" w:themeColor="text1"/>
              </w:rPr>
              <w:t xml:space="preserve">Place and Duration of Study: </w:t>
            </w:r>
            <w:r w:rsidRPr="0017181D">
              <w:rPr>
                <w:rFonts w:ascii="Arial" w:hAnsi="Arial" w:cs="Arial"/>
                <w:color w:val="000000" w:themeColor="text1"/>
              </w:rPr>
              <w:t>Hill Millet Research Station, NAU, Waghai, The Dangs, and Cotton Research Sub-Station, NAU, Achhalia, during summer 2024 and summer 2025.</w:t>
            </w:r>
          </w:p>
          <w:p w14:paraId="326DBB50" w14:textId="77777777" w:rsidR="00A652E3" w:rsidRPr="0017181D" w:rsidRDefault="00A652E3" w:rsidP="0069346D">
            <w:pPr>
              <w:jc w:val="both"/>
              <w:rPr>
                <w:rFonts w:ascii="Arial" w:hAnsi="Arial" w:cs="Arial"/>
                <w:b/>
                <w:color w:val="000000" w:themeColor="text1"/>
              </w:rPr>
            </w:pPr>
          </w:p>
          <w:p w14:paraId="36B7CD2C" w14:textId="77777777" w:rsidR="00BA1B01" w:rsidRPr="0017181D" w:rsidRDefault="0069346D" w:rsidP="0069346D">
            <w:pPr>
              <w:jc w:val="both"/>
              <w:rPr>
                <w:rFonts w:ascii="Arial" w:hAnsi="Arial" w:cs="Arial"/>
                <w:color w:val="000000" w:themeColor="text1"/>
              </w:rPr>
            </w:pPr>
            <w:r w:rsidRPr="0017181D">
              <w:rPr>
                <w:rFonts w:ascii="Arial" w:hAnsi="Arial" w:cs="Arial"/>
                <w:b/>
                <w:color w:val="000000" w:themeColor="text1"/>
              </w:rPr>
              <w:t xml:space="preserve">Methodology: </w:t>
            </w:r>
            <w:r w:rsidRPr="0017181D">
              <w:rPr>
                <w:rFonts w:ascii="Arial" w:hAnsi="Arial" w:cs="Arial"/>
                <w:color w:val="000000" w:themeColor="text1"/>
              </w:rPr>
              <w:t>Forty-five diverse finger millet genotypes were evaluated with three replications. Days to 50% flowering and days to maturity were recorded on a plot basis, while plant height, productive tillers per plant, ear head length, fingers per panicle, finger width, weight of matured panicle per plant, 1000-seed weight, harvest index, fodder yield per plant and grain yield per plant were recorded from five randomly selected plants. Quality traits (protein, calcium, iron and crude fibre) were analysed using standard chemical and spectrophotometric methods. Analysis of variance and genetic parameters such as GCV, PCV, ECV, broad-sense heritability and genetic advance as a percentage of the mean were estimated.</w:t>
            </w:r>
          </w:p>
          <w:p w14:paraId="4446D40C" w14:textId="77777777" w:rsidR="00A652E3" w:rsidRPr="0017181D" w:rsidRDefault="00A652E3" w:rsidP="0069346D">
            <w:pPr>
              <w:jc w:val="both"/>
              <w:rPr>
                <w:rFonts w:ascii="Arial" w:hAnsi="Arial" w:cs="Arial"/>
                <w:b/>
                <w:color w:val="000000" w:themeColor="text1"/>
              </w:rPr>
            </w:pPr>
          </w:p>
          <w:p w14:paraId="6C4199A3" w14:textId="77777777" w:rsidR="00A652E3" w:rsidRPr="0017181D" w:rsidRDefault="0069346D" w:rsidP="0069346D">
            <w:pPr>
              <w:jc w:val="both"/>
              <w:rPr>
                <w:rFonts w:ascii="Arial" w:hAnsi="Arial" w:cs="Arial"/>
                <w:color w:val="000000" w:themeColor="text1"/>
              </w:rPr>
            </w:pPr>
            <w:r w:rsidRPr="0017181D">
              <w:rPr>
                <w:rFonts w:ascii="Arial" w:hAnsi="Arial" w:cs="Arial"/>
                <w:b/>
                <w:color w:val="000000" w:themeColor="text1"/>
              </w:rPr>
              <w:t xml:space="preserve">Results: </w:t>
            </w:r>
            <w:r w:rsidRPr="0017181D">
              <w:rPr>
                <w:rFonts w:ascii="Arial" w:hAnsi="Arial" w:cs="Arial"/>
                <w:color w:val="000000" w:themeColor="text1"/>
              </w:rPr>
              <w:t>The study revealed significant genetic variability among the 45 finger millet genotypes for all sixteen traits. Environmental effects and genotype × environment interactions significantly influenced most agronomic traits, whereas nutritional traits remained relatively stable across environments. High heritability coupled with high genetic advance (as a percentage of the mean) was observed for ear head length (cm), finger width (cm), 1000-seed weight (g), protein content (%), calcium content (mg/100 g), iron content (mg/100 g) and crude fibre (%), indicating the predominance of additive gene action and the effectiveness of phenotypic selection for improving these traits. Moderate heritability along with high genetic advance as a percentage of the mean was recorded for grain yield per plant (g), harvest index (%) and weight of matured panicle per plant (g), suggesting good scope for improvement through selection.</w:t>
            </w:r>
          </w:p>
          <w:p w14:paraId="2BAFF4C8" w14:textId="77777777" w:rsidR="00B676E4" w:rsidRPr="0017181D" w:rsidRDefault="00B676E4" w:rsidP="0069346D">
            <w:pPr>
              <w:jc w:val="both"/>
              <w:rPr>
                <w:rFonts w:ascii="Arial" w:hAnsi="Arial" w:cs="Arial"/>
                <w:color w:val="000000" w:themeColor="text1"/>
              </w:rPr>
            </w:pPr>
          </w:p>
          <w:p w14:paraId="184E6C28" w14:textId="77777777" w:rsidR="00505F06" w:rsidRPr="0017181D" w:rsidRDefault="0069346D" w:rsidP="0069346D">
            <w:pPr>
              <w:jc w:val="both"/>
              <w:rPr>
                <w:rFonts w:ascii="Arial" w:hAnsi="Arial" w:cs="Arial"/>
                <w:color w:val="000000" w:themeColor="text1"/>
              </w:rPr>
            </w:pPr>
            <w:r w:rsidRPr="0017181D">
              <w:rPr>
                <w:rFonts w:ascii="Arial" w:hAnsi="Arial" w:cs="Arial"/>
                <w:b/>
                <w:color w:val="000000" w:themeColor="text1"/>
              </w:rPr>
              <w:t xml:space="preserve">Conclusion: </w:t>
            </w:r>
            <w:r w:rsidRPr="0017181D">
              <w:rPr>
                <w:rFonts w:ascii="Arial" w:hAnsi="Arial" w:cs="Arial"/>
                <w:color w:val="000000" w:themeColor="text1"/>
              </w:rPr>
              <w:t>The study revealed substantial genetic variability among the finger millet genotypes. Traits such as ear head length, finger width, 1000-seed weight, grain yield, protein, calcium, iron and crude fibre exhibited high potential for improvement through direct selection. These traits can be effectively utilised in developing high-yielding and nutritionally superior finger millet varieties.</w:t>
            </w:r>
          </w:p>
        </w:tc>
      </w:tr>
    </w:tbl>
    <w:p w14:paraId="4AB744AD" w14:textId="77777777" w:rsidR="0069346D" w:rsidRPr="0017181D" w:rsidRDefault="0069346D" w:rsidP="0069346D">
      <w:pPr>
        <w:jc w:val="both"/>
        <w:rPr>
          <w:rFonts w:ascii="Arial" w:hAnsi="Arial" w:cs="Arial"/>
          <w:i/>
          <w:color w:val="000000" w:themeColor="text1"/>
        </w:rPr>
      </w:pPr>
      <w:r w:rsidRPr="0017181D">
        <w:rPr>
          <w:rFonts w:ascii="Arial" w:hAnsi="Arial" w:cs="Arial"/>
          <w:b/>
          <w:color w:val="000000" w:themeColor="text1"/>
        </w:rPr>
        <w:t xml:space="preserve">Keywords: </w:t>
      </w:r>
      <w:r w:rsidRPr="0017181D">
        <w:rPr>
          <w:rFonts w:ascii="Arial" w:hAnsi="Arial" w:cs="Arial"/>
          <w:i/>
          <w:color w:val="000000" w:themeColor="text1"/>
        </w:rPr>
        <w:t>Finger millet, Genetic variability, Broad sense heritability, Genetic advance, Nutraceutical traits.</w:t>
      </w:r>
    </w:p>
    <w:p w14:paraId="73D28819" w14:textId="77777777" w:rsidR="005D672D" w:rsidRPr="0017181D" w:rsidRDefault="005D672D" w:rsidP="0069346D">
      <w:pPr>
        <w:jc w:val="both"/>
        <w:rPr>
          <w:rFonts w:ascii="Arial" w:hAnsi="Arial" w:cs="Arial"/>
          <w:color w:val="000000" w:themeColor="text1"/>
        </w:rPr>
      </w:pPr>
    </w:p>
    <w:p w14:paraId="6EBC0C75" w14:textId="77777777" w:rsidR="007F7B32" w:rsidRPr="0017181D" w:rsidRDefault="00902823" w:rsidP="00441B6F">
      <w:pPr>
        <w:pStyle w:val="AbstHead"/>
        <w:spacing w:after="0"/>
        <w:jc w:val="both"/>
        <w:rPr>
          <w:rFonts w:ascii="Arial" w:hAnsi="Arial" w:cs="Arial"/>
          <w:color w:val="000000" w:themeColor="text1"/>
        </w:rPr>
      </w:pPr>
      <w:r w:rsidRPr="0017181D">
        <w:rPr>
          <w:rFonts w:ascii="Arial" w:hAnsi="Arial" w:cs="Arial"/>
          <w:color w:val="000000" w:themeColor="text1"/>
        </w:rPr>
        <w:lastRenderedPageBreak/>
        <w:t xml:space="preserve">1. </w:t>
      </w:r>
      <w:r w:rsidR="00B01FCD" w:rsidRPr="0017181D">
        <w:rPr>
          <w:rFonts w:ascii="Arial" w:hAnsi="Arial" w:cs="Arial"/>
          <w:color w:val="000000" w:themeColor="text1"/>
        </w:rPr>
        <w:t>INTRODUCTION</w:t>
      </w:r>
    </w:p>
    <w:p w14:paraId="3F36DB91" w14:textId="77777777" w:rsidR="00790ADA" w:rsidRPr="0017181D" w:rsidRDefault="00790ADA" w:rsidP="00441B6F">
      <w:pPr>
        <w:pStyle w:val="AbstHead"/>
        <w:spacing w:after="0"/>
        <w:jc w:val="both"/>
        <w:rPr>
          <w:rFonts w:ascii="Arial" w:hAnsi="Arial" w:cs="Arial"/>
          <w:color w:val="000000" w:themeColor="text1"/>
        </w:rPr>
      </w:pPr>
    </w:p>
    <w:p w14:paraId="36921548" w14:textId="77777777" w:rsidR="002D2EA8" w:rsidRPr="0017181D" w:rsidRDefault="002D2EA8" w:rsidP="002D2EA8">
      <w:pPr>
        <w:jc w:val="both"/>
        <w:rPr>
          <w:rFonts w:ascii="Arial" w:hAnsi="Arial" w:cs="Arial"/>
          <w:color w:val="000000" w:themeColor="text1"/>
        </w:rPr>
      </w:pPr>
      <w:r w:rsidRPr="0017181D">
        <w:rPr>
          <w:rFonts w:ascii="Arial" w:hAnsi="Arial" w:cs="Arial"/>
          <w:color w:val="000000" w:themeColor="text1"/>
        </w:rPr>
        <w:t xml:space="preserve">Finger millet is known as a miracle crop and belongs to the genus </w:t>
      </w:r>
      <w:r w:rsidRPr="0017181D">
        <w:rPr>
          <w:rFonts w:ascii="Arial" w:hAnsi="Arial" w:cs="Arial"/>
          <w:i/>
          <w:color w:val="000000" w:themeColor="text1"/>
        </w:rPr>
        <w:t>Eleusine</w:t>
      </w:r>
      <w:r w:rsidRPr="0017181D">
        <w:rPr>
          <w:rFonts w:ascii="Arial" w:hAnsi="Arial" w:cs="Arial"/>
          <w:color w:val="000000" w:themeColor="text1"/>
        </w:rPr>
        <w:t xml:space="preserve"> in the family Poaceae. </w:t>
      </w:r>
      <w:r w:rsidRPr="0017181D">
        <w:rPr>
          <w:rFonts w:ascii="Arial" w:hAnsi="Arial" w:cs="Arial"/>
          <w:i/>
          <w:color w:val="000000" w:themeColor="text1"/>
        </w:rPr>
        <w:t>Eleusine coracana</w:t>
      </w:r>
      <w:r w:rsidRPr="0017181D">
        <w:rPr>
          <w:rFonts w:ascii="Arial" w:hAnsi="Arial" w:cs="Arial"/>
          <w:color w:val="000000" w:themeColor="text1"/>
        </w:rPr>
        <w:t xml:space="preserve"> (L.) Gaertn. has a chromosome number of 2n = 4x = 36 and is an allotetraploid. It is an important small millet crop within the cereal group and ranks fourth in the country after sorghum, pearl millet and foxtail millet. Globally, India, Ethiopia, Nepal, Uganda and Malawi account for 99.4% of the area and 99.6% of production. During the last decade, finger millet was grown on 28.1 lakh hectares and produced 38.3 lakh tonnes of grain, with a worldwide productivity of 1362 kg/ha. In 2022–23, India ranked first, with 11.63 lakh hectares under cultivation and 16.91 lakh tonnes of grain production, and a productivity of 1454 kg/ha, which was higher than the global productivity (Bhat </w:t>
      </w:r>
      <w:r w:rsidRPr="0017181D">
        <w:rPr>
          <w:rFonts w:ascii="Arial" w:hAnsi="Arial" w:cs="Arial"/>
          <w:i/>
          <w:color w:val="000000" w:themeColor="text1"/>
        </w:rPr>
        <w:t>et al.</w:t>
      </w:r>
      <w:r w:rsidRPr="0017181D">
        <w:rPr>
          <w:rFonts w:ascii="Arial" w:hAnsi="Arial" w:cs="Arial"/>
          <w:color w:val="000000" w:themeColor="text1"/>
        </w:rPr>
        <w:t>, 2023). Karnataka is the leading state in acreage and production, followed by Uttarakhand, Tamil Nadu, Maharashtra and Odisha (Directorate of Economics and Statistics, 2023). In Gujarat, small millets occupy 39,460 hectares, of which finger millet covers 23,680 hectares, with an average productivity of 1640 kg/ha (Directorate of Agriculture, Gujarat State, 2023); finger millet cultivation is concentrated in the Dangs and Valsad districts of South Gujarat.</w:t>
      </w:r>
    </w:p>
    <w:p w14:paraId="1D472933" w14:textId="77777777" w:rsidR="002D2EA8" w:rsidRPr="0017181D" w:rsidRDefault="002D2EA8" w:rsidP="002D2EA8">
      <w:pPr>
        <w:jc w:val="both"/>
        <w:rPr>
          <w:rFonts w:ascii="Arial" w:hAnsi="Arial" w:cs="Arial"/>
          <w:color w:val="000000" w:themeColor="text1"/>
        </w:rPr>
      </w:pPr>
    </w:p>
    <w:p w14:paraId="4E044C4A" w14:textId="77777777" w:rsidR="002D2EA8" w:rsidRPr="0017181D" w:rsidRDefault="0039540D" w:rsidP="002D2EA8">
      <w:pPr>
        <w:jc w:val="both"/>
        <w:rPr>
          <w:rFonts w:ascii="Arial" w:hAnsi="Arial" w:cs="Arial"/>
          <w:color w:val="000000" w:themeColor="text1"/>
        </w:rPr>
      </w:pPr>
      <w:r w:rsidRPr="0017181D">
        <w:rPr>
          <w:rFonts w:ascii="Arial" w:hAnsi="Arial" w:cs="Arial"/>
          <w:color w:val="000000" w:themeColor="text1"/>
        </w:rPr>
        <w:t xml:space="preserve">Millets are warm-season cereals known for their adaptability to drought-prone, hot and dry conditions. For instance, rice requires at least three times more water than finger millet (Mukherjee </w:t>
      </w:r>
      <w:r w:rsidRPr="0017181D">
        <w:rPr>
          <w:rFonts w:ascii="Arial" w:hAnsi="Arial" w:cs="Arial"/>
          <w:i/>
          <w:color w:val="000000" w:themeColor="text1"/>
        </w:rPr>
        <w:t>et al.</w:t>
      </w:r>
      <w:r w:rsidRPr="0017181D">
        <w:rPr>
          <w:rFonts w:ascii="Arial" w:hAnsi="Arial" w:cs="Arial"/>
          <w:color w:val="000000" w:themeColor="text1"/>
        </w:rPr>
        <w:t xml:space="preserve">, 2025). Finger millet is also resistant to pests, reducing the need for pesticide applications and enhancing environmental sustainability. It is also considered a food-security crop because of its excellent nutritional quality and its ability to be stored without damage (Li &amp; Siddique, 2020). Compared with major cereals, millet grains contain higher levels of minerals such as Ca, Fe, Mg and K (Saleh </w:t>
      </w:r>
      <w:r w:rsidRPr="0017181D">
        <w:rPr>
          <w:rFonts w:ascii="Arial" w:hAnsi="Arial" w:cs="Arial"/>
          <w:i/>
          <w:color w:val="000000" w:themeColor="text1"/>
        </w:rPr>
        <w:t>et al.</w:t>
      </w:r>
      <w:r w:rsidRPr="0017181D">
        <w:rPr>
          <w:rFonts w:ascii="Arial" w:hAnsi="Arial" w:cs="Arial"/>
          <w:color w:val="000000" w:themeColor="text1"/>
        </w:rPr>
        <w:t xml:space="preserve">, 2013; Devi </w:t>
      </w:r>
      <w:r w:rsidRPr="0017181D">
        <w:rPr>
          <w:rFonts w:ascii="Arial" w:hAnsi="Arial" w:cs="Arial"/>
          <w:i/>
          <w:color w:val="000000" w:themeColor="text1"/>
        </w:rPr>
        <w:t>et al.</w:t>
      </w:r>
      <w:r w:rsidRPr="0017181D">
        <w:rPr>
          <w:rFonts w:ascii="Arial" w:hAnsi="Arial" w:cs="Arial"/>
          <w:color w:val="000000" w:themeColor="text1"/>
        </w:rPr>
        <w:t xml:space="preserve">, 2014; Vinoth &amp; Ravindhran, 2017). It also contains high levels of amino acids such as methionine, lysine and tryptophan, as well as polyphenols (Bhatt </w:t>
      </w:r>
      <w:r w:rsidRPr="0017181D">
        <w:rPr>
          <w:rFonts w:ascii="Arial" w:hAnsi="Arial" w:cs="Arial"/>
          <w:i/>
          <w:color w:val="000000" w:themeColor="text1"/>
        </w:rPr>
        <w:t>et al.</w:t>
      </w:r>
      <w:r w:rsidRPr="0017181D">
        <w:rPr>
          <w:rFonts w:ascii="Arial" w:hAnsi="Arial" w:cs="Arial"/>
          <w:color w:val="000000" w:themeColor="text1"/>
        </w:rPr>
        <w:t xml:space="preserve">, 2011). The grain protein is rich in essential amino acids (Chandrasekara &amp; Shahidi, 2011; Devi </w:t>
      </w:r>
      <w:r w:rsidRPr="0017181D">
        <w:rPr>
          <w:rFonts w:ascii="Arial" w:hAnsi="Arial" w:cs="Arial"/>
          <w:i/>
          <w:color w:val="000000" w:themeColor="text1"/>
        </w:rPr>
        <w:t>et al.</w:t>
      </w:r>
      <w:r w:rsidRPr="0017181D">
        <w:rPr>
          <w:rFonts w:ascii="Arial" w:hAnsi="Arial" w:cs="Arial"/>
          <w:color w:val="000000" w:themeColor="text1"/>
        </w:rPr>
        <w:t>, 2014). Finger millet is a good source of protein, carbohydrates, fat, minerals and other vitamins, making it a valuable food for combating malnutrition in Asian and African countries. Furthermore, it contains high levels of amino acids (methionine, lysine and tryptophan) and fibre and is preferred by people with cardiovascular and constipation problems (Mirza &amp; Marla, 2019).</w:t>
      </w:r>
    </w:p>
    <w:p w14:paraId="15EF86A8" w14:textId="77777777" w:rsidR="00DF0A23" w:rsidRPr="0017181D" w:rsidRDefault="00000000">
      <w:pPr>
        <w:jc w:val="both"/>
        <w:rPr>
          <w:rFonts w:ascii="Arial" w:hAnsi="Arial" w:cs="Arial"/>
          <w:color w:val="000000" w:themeColor="text1"/>
        </w:rPr>
      </w:pPr>
      <w:r w:rsidRPr="0017181D">
        <w:rPr>
          <w:rFonts w:ascii="Arial" w:eastAsia="Arial" w:hAnsi="Arial" w:cs="Arial"/>
          <w:b/>
        </w:rPr>
        <w:t>Recent comparative evidence further supports the nutritional importance of finger millet, consistent with the present study's inclusion of protein, calcium, iron and crude fibre as nutraceutical traits (Tiwari et al., 2025).</w:t>
      </w:r>
    </w:p>
    <w:p w14:paraId="210D915B" w14:textId="77777777" w:rsidR="002D2EA8" w:rsidRPr="0017181D" w:rsidRDefault="002D2EA8" w:rsidP="002D2EA8">
      <w:pPr>
        <w:jc w:val="both"/>
        <w:rPr>
          <w:rFonts w:ascii="Arial" w:hAnsi="Arial" w:cs="Arial"/>
          <w:color w:val="000000" w:themeColor="text1"/>
        </w:rPr>
      </w:pPr>
    </w:p>
    <w:p w14:paraId="208E1DFC" w14:textId="77777777" w:rsidR="002D2EA8" w:rsidRPr="0017181D" w:rsidRDefault="002D2EA8" w:rsidP="002D2EA8">
      <w:pPr>
        <w:jc w:val="both"/>
        <w:rPr>
          <w:rFonts w:ascii="Arial" w:hAnsi="Arial" w:cs="Arial"/>
          <w:color w:val="000000" w:themeColor="text1"/>
        </w:rPr>
      </w:pPr>
      <w:r w:rsidRPr="0017181D">
        <w:rPr>
          <w:rFonts w:ascii="Arial" w:hAnsi="Arial" w:cs="Arial"/>
          <w:color w:val="000000" w:themeColor="text1"/>
        </w:rPr>
        <w:t xml:space="preserve">Yield is regulated by many genes (polygenes) and is a complex quantitative trait. In a selection programme, selection based on yield alone is not effective. Therefore, selecting traits with high heritability that are interrelated with yield is effective. For this approach, genetic variability should be present within the crop population. Thus, understanding genetic variability within a population is essential for selection in any crop. The selection of parents with highly diverse backgrounds is an important criterion for the success of any hybridisation programme and for effective hybrid selection. </w:t>
      </w:r>
      <w:r w:rsidRPr="0017181D">
        <w:rPr>
          <w:rFonts w:ascii="Arial" w:hAnsi="Arial" w:cs="Arial"/>
          <w:b/>
          <w:color w:val="000000" w:themeColor="text1"/>
        </w:rPr>
        <w:t>Recent finger millet studies have similarly emphasised the usefulness of genetic variability, heritability, genetic advance and broader diversity assessment for identifying selection-relevant traits and breeding resources (Anand et al., 2024; Kayastha et al., 2024; Suthar et al., 2025; Wright &amp; Devos, 2024).</w:t>
      </w:r>
      <w:r w:rsidRPr="0017181D">
        <w:rPr>
          <w:rFonts w:ascii="Arial" w:hAnsi="Arial" w:cs="Arial"/>
          <w:color w:val="000000" w:themeColor="text1"/>
        </w:rPr>
        <w:t xml:space="preserve"> </w:t>
      </w:r>
      <w:r w:rsidRPr="0017181D">
        <w:rPr>
          <w:rFonts w:ascii="Arial" w:hAnsi="Arial" w:cs="Arial"/>
          <w:b/>
          <w:color w:val="000000" w:themeColor="text1"/>
        </w:rPr>
        <w:t>For the specific set of forty-five genotypes evaluated across the environments in this study, a combined assessment of morphological and nutraceutical variability together with selection-relevant genetic parameters was needed.</w:t>
      </w:r>
      <w:r w:rsidRPr="0017181D">
        <w:rPr>
          <w:rFonts w:ascii="Arial" w:hAnsi="Arial" w:cs="Arial"/>
          <w:color w:val="000000" w:themeColor="text1"/>
        </w:rPr>
        <w:t xml:space="preserve"> Therefore, this study was conducted to examine variability in yield-contributing traits among forty-five finger millet genotypes by evaluating different genetic parameters </w:t>
      </w:r>
      <w:r w:rsidRPr="0017181D">
        <w:rPr>
          <w:rFonts w:ascii="Arial" w:hAnsi="Arial" w:cs="Arial"/>
          <w:i/>
          <w:color w:val="000000" w:themeColor="text1"/>
        </w:rPr>
        <w:t>viz.,</w:t>
      </w:r>
      <w:r w:rsidRPr="0017181D">
        <w:rPr>
          <w:rFonts w:ascii="Arial" w:hAnsi="Arial" w:cs="Arial"/>
          <w:color w:val="000000" w:themeColor="text1"/>
        </w:rPr>
        <w:t xml:space="preserve"> phenotypic coefficient of variation (PCV), genotypic coefficient of variation (GCV), environmental coefficient of variation (ECV), broad-sense heritability (h²) and genetic advance as a percentage of the mean (GAM).</w:t>
      </w:r>
    </w:p>
    <w:p w14:paraId="072122CB" w14:textId="77777777" w:rsidR="00790ADA" w:rsidRPr="0017181D" w:rsidRDefault="00790ADA" w:rsidP="00441B6F">
      <w:pPr>
        <w:pStyle w:val="Body"/>
        <w:spacing w:after="0"/>
        <w:rPr>
          <w:rFonts w:ascii="Arial" w:hAnsi="Arial" w:cs="Arial"/>
          <w:color w:val="000000" w:themeColor="text1"/>
        </w:rPr>
      </w:pPr>
    </w:p>
    <w:p w14:paraId="1D407BD9" w14:textId="77777777" w:rsidR="007F7B32" w:rsidRPr="0017181D" w:rsidRDefault="00902823" w:rsidP="00441B6F">
      <w:pPr>
        <w:pStyle w:val="AbstHead"/>
        <w:spacing w:after="0"/>
        <w:jc w:val="both"/>
        <w:rPr>
          <w:rFonts w:ascii="Arial" w:hAnsi="Arial" w:cs="Arial"/>
          <w:color w:val="000000" w:themeColor="text1"/>
        </w:rPr>
      </w:pPr>
      <w:r w:rsidRPr="0017181D">
        <w:rPr>
          <w:rFonts w:ascii="Arial" w:hAnsi="Arial" w:cs="Arial"/>
          <w:color w:val="000000" w:themeColor="text1"/>
        </w:rPr>
        <w:lastRenderedPageBreak/>
        <w:t>2. material and method</w:t>
      </w:r>
      <w:r w:rsidR="00000F8F" w:rsidRPr="0017181D">
        <w:rPr>
          <w:rFonts w:ascii="Arial" w:hAnsi="Arial" w:cs="Arial"/>
          <w:color w:val="000000" w:themeColor="text1"/>
        </w:rPr>
        <w:t>s</w:t>
      </w:r>
    </w:p>
    <w:p w14:paraId="4DDBECDA" w14:textId="77777777" w:rsidR="00790ADA" w:rsidRPr="0017181D" w:rsidRDefault="00790ADA" w:rsidP="00441B6F">
      <w:pPr>
        <w:pStyle w:val="AbstHead"/>
        <w:spacing w:after="0"/>
        <w:jc w:val="both"/>
        <w:rPr>
          <w:rFonts w:ascii="Arial" w:hAnsi="Arial" w:cs="Arial"/>
          <w:color w:val="000000" w:themeColor="text1"/>
        </w:rPr>
      </w:pPr>
    </w:p>
    <w:p w14:paraId="091A49CE" w14:textId="77777777" w:rsidR="002D1D3B" w:rsidRPr="0017181D" w:rsidRDefault="002D1D3B" w:rsidP="002D1D3B">
      <w:pPr>
        <w:jc w:val="both"/>
        <w:rPr>
          <w:rFonts w:ascii="Arial" w:hAnsi="Arial" w:cs="Arial"/>
          <w:color w:val="000000" w:themeColor="text1"/>
        </w:rPr>
      </w:pPr>
      <w:r w:rsidRPr="0017181D">
        <w:rPr>
          <w:rFonts w:ascii="Arial" w:hAnsi="Arial" w:cs="Arial"/>
          <w:color w:val="000000" w:themeColor="text1"/>
        </w:rPr>
        <w:t>The present investigation was conducted using forty-five diverse finger millet genotypes evaluated at two locations, namely, the Hill Millet Research Station, NAU, Waghai, and the Cotton Research Sub-Station, NAU, Achhalia, during summer 2024 and summer 2025. The experiment was laid out in a Randomised Complete Block Design (RCBD) with three replications. Each genotype was sown at a spacing of 22.5 cm between rows and 7.5 cm between plants, following the recommended package of practices.</w:t>
      </w:r>
    </w:p>
    <w:p w14:paraId="508E18CF" w14:textId="77777777" w:rsidR="00A47F0C" w:rsidRPr="0017181D" w:rsidRDefault="00A47F0C" w:rsidP="002D1D3B">
      <w:pPr>
        <w:jc w:val="both"/>
        <w:rPr>
          <w:rFonts w:ascii="Arial" w:hAnsi="Arial" w:cs="Arial"/>
          <w:color w:val="000000" w:themeColor="text1"/>
        </w:rPr>
      </w:pPr>
    </w:p>
    <w:p w14:paraId="765AA725" w14:textId="77777777" w:rsidR="002D1D3B" w:rsidRPr="0017181D" w:rsidRDefault="002D1D3B" w:rsidP="002D1D3B">
      <w:pPr>
        <w:jc w:val="both"/>
        <w:rPr>
          <w:rFonts w:ascii="Arial" w:hAnsi="Arial" w:cs="Arial"/>
          <w:color w:val="000000" w:themeColor="text1"/>
        </w:rPr>
      </w:pPr>
      <w:r w:rsidRPr="0017181D">
        <w:rPr>
          <w:rFonts w:ascii="Arial" w:hAnsi="Arial" w:cs="Arial"/>
          <w:color w:val="000000" w:themeColor="text1"/>
        </w:rPr>
        <w:t>Observations were recorded for twelve morphological and four nutritional traits. Days to 50% flowering and days to maturity were recorded on a plot basis. Data on plant height (cm), productive tillers per plant, ear head length (cm), fingers per panicle, finger width (cm), weight of matured panicle per plant (g), harvest index (%), fodder yield per plant (g) and grain yield per plant (g) were recorded from five randomly selected plants in each replication. The 1000-seed weight (g) was determined from the bulk seed harvested from each plot.</w:t>
      </w:r>
    </w:p>
    <w:p w14:paraId="0ECB3081" w14:textId="77777777" w:rsidR="00A47F0C" w:rsidRPr="0017181D" w:rsidRDefault="00A47F0C" w:rsidP="002D1D3B">
      <w:pPr>
        <w:jc w:val="both"/>
        <w:rPr>
          <w:rFonts w:ascii="Arial" w:hAnsi="Arial" w:cs="Arial"/>
          <w:color w:val="000000" w:themeColor="text1"/>
        </w:rPr>
      </w:pPr>
    </w:p>
    <w:p w14:paraId="2410744C" w14:textId="77777777" w:rsidR="002D1D3B" w:rsidRPr="0017181D" w:rsidRDefault="002D1D3B" w:rsidP="002D1D3B">
      <w:pPr>
        <w:jc w:val="both"/>
        <w:rPr>
          <w:rFonts w:ascii="Arial" w:hAnsi="Arial" w:cs="Arial"/>
          <w:color w:val="000000" w:themeColor="text1"/>
        </w:rPr>
      </w:pPr>
      <w:r w:rsidRPr="0017181D">
        <w:rPr>
          <w:rFonts w:ascii="Arial" w:hAnsi="Arial" w:cs="Arial"/>
          <w:color w:val="000000" w:themeColor="text1"/>
        </w:rPr>
        <w:t xml:space="preserve">The nutritional traits were estimated using standard analytical procedures. Protein content (%) was determined using the Micro-Kjeldahl distillation method (Association of Official Analytical Chemists [AOAC], 1990), whereas calcium (mg/100 g) and iron (mg/100 g) contents were estimated following the method described by Jackson (1967). Crude fibre content (%) was determined using the standard analytical procedure described by Yadilal </w:t>
      </w:r>
      <w:r w:rsidRPr="0017181D">
        <w:rPr>
          <w:rFonts w:ascii="Arial" w:hAnsi="Arial" w:cs="Arial"/>
          <w:i/>
          <w:color w:val="000000" w:themeColor="text1"/>
        </w:rPr>
        <w:t>et al.</w:t>
      </w:r>
      <w:r w:rsidRPr="0017181D">
        <w:rPr>
          <w:rFonts w:ascii="Arial" w:hAnsi="Arial" w:cs="Arial"/>
          <w:color w:val="000000" w:themeColor="text1"/>
        </w:rPr>
        <w:t xml:space="preserve"> (2017).</w:t>
      </w:r>
    </w:p>
    <w:p w14:paraId="264A3A43" w14:textId="77777777" w:rsidR="00A47F0C" w:rsidRPr="0017181D" w:rsidRDefault="00A47F0C" w:rsidP="002D1D3B">
      <w:pPr>
        <w:jc w:val="both"/>
        <w:rPr>
          <w:rFonts w:ascii="Arial" w:hAnsi="Arial" w:cs="Arial"/>
          <w:color w:val="000000" w:themeColor="text1"/>
        </w:rPr>
      </w:pPr>
    </w:p>
    <w:p w14:paraId="08A9EE17" w14:textId="77777777" w:rsidR="002D1D3B" w:rsidRPr="0017181D" w:rsidRDefault="002D1D3B" w:rsidP="002D1D3B">
      <w:pPr>
        <w:jc w:val="both"/>
        <w:rPr>
          <w:rFonts w:ascii="Arial" w:hAnsi="Arial" w:cs="Arial"/>
          <w:color w:val="000000" w:themeColor="text1"/>
        </w:rPr>
      </w:pPr>
      <w:r w:rsidRPr="0017181D">
        <w:rPr>
          <w:rFonts w:ascii="Arial" w:hAnsi="Arial" w:cs="Arial"/>
          <w:color w:val="000000" w:themeColor="text1"/>
        </w:rPr>
        <w:t xml:space="preserve">The pooled analysis of variance was carried out according to the procedure described by Panse and Sukhatme (1978). Genetic variability parameters, including phenotypic, genotypic and environmental variances, were estimated following the method of Johnson </w:t>
      </w:r>
      <w:r w:rsidRPr="0017181D">
        <w:rPr>
          <w:rFonts w:ascii="Arial" w:hAnsi="Arial" w:cs="Arial"/>
          <w:i/>
          <w:color w:val="000000" w:themeColor="text1"/>
        </w:rPr>
        <w:t>et al.</w:t>
      </w:r>
      <w:r w:rsidRPr="0017181D">
        <w:rPr>
          <w:rFonts w:ascii="Arial" w:hAnsi="Arial" w:cs="Arial"/>
          <w:color w:val="000000" w:themeColor="text1"/>
        </w:rPr>
        <w:t xml:space="preserve"> (1955a). The genotypic coefficient of variation (GCV), phenotypic coefficient of variation (PCV) and environmental coefficient of variation (ECV) were calculated using the method proposed by Burton (1952). Broad-sense heritability (h²) and genetic advance as a percentage of the mean (GAM) were estimated according to the procedures suggested by Allard (1999) and Johnson </w:t>
      </w:r>
      <w:r w:rsidRPr="0017181D">
        <w:rPr>
          <w:rFonts w:ascii="Arial" w:hAnsi="Arial" w:cs="Arial"/>
          <w:i/>
          <w:color w:val="000000" w:themeColor="text1"/>
        </w:rPr>
        <w:t>et al.</w:t>
      </w:r>
      <w:r w:rsidRPr="0017181D">
        <w:rPr>
          <w:rFonts w:ascii="Arial" w:hAnsi="Arial" w:cs="Arial"/>
          <w:color w:val="000000" w:themeColor="text1"/>
        </w:rPr>
        <w:t xml:space="preserve"> (1955b), respectively.</w:t>
      </w:r>
    </w:p>
    <w:p w14:paraId="7A1FA259" w14:textId="77777777" w:rsidR="00790ADA" w:rsidRPr="0017181D" w:rsidRDefault="00790ADA" w:rsidP="00441B6F">
      <w:pPr>
        <w:pStyle w:val="Body"/>
        <w:spacing w:after="0"/>
        <w:rPr>
          <w:rFonts w:ascii="Arial" w:hAnsi="Arial" w:cs="Arial"/>
          <w:color w:val="000000" w:themeColor="text1"/>
        </w:rPr>
      </w:pPr>
    </w:p>
    <w:p w14:paraId="2AA420CD" w14:textId="77777777" w:rsidR="00902823" w:rsidRPr="0017181D" w:rsidRDefault="00000F8F" w:rsidP="00441B6F">
      <w:pPr>
        <w:pStyle w:val="Head1"/>
        <w:spacing w:after="0"/>
        <w:jc w:val="both"/>
        <w:rPr>
          <w:rFonts w:ascii="Arial" w:hAnsi="Arial" w:cs="Arial"/>
          <w:color w:val="000000" w:themeColor="text1"/>
        </w:rPr>
      </w:pPr>
      <w:r w:rsidRPr="0017181D">
        <w:rPr>
          <w:rFonts w:ascii="Arial" w:hAnsi="Arial" w:cs="Arial"/>
          <w:color w:val="000000" w:themeColor="text1"/>
        </w:rPr>
        <w:t>3</w:t>
      </w:r>
      <w:r w:rsidR="00902823" w:rsidRPr="0017181D">
        <w:rPr>
          <w:rFonts w:ascii="Arial" w:hAnsi="Arial" w:cs="Arial"/>
          <w:color w:val="000000" w:themeColor="text1"/>
        </w:rPr>
        <w:t xml:space="preserve">. </w:t>
      </w:r>
      <w:r w:rsidRPr="0017181D">
        <w:rPr>
          <w:rFonts w:ascii="Arial" w:hAnsi="Arial" w:cs="Arial"/>
          <w:color w:val="000000" w:themeColor="text1"/>
        </w:rPr>
        <w:t>results and discussion</w:t>
      </w:r>
    </w:p>
    <w:p w14:paraId="758B24AC" w14:textId="77777777" w:rsidR="008816B0" w:rsidRPr="0017181D" w:rsidRDefault="001233F4" w:rsidP="003D23FC">
      <w:pPr>
        <w:pStyle w:val="Head1"/>
        <w:jc w:val="both"/>
        <w:rPr>
          <w:rFonts w:ascii="Arial" w:hAnsi="Arial" w:cs="Arial"/>
          <w:b w:val="0"/>
          <w:bCs/>
          <w:color w:val="000000" w:themeColor="text1"/>
          <w:sz w:val="20"/>
          <w:szCs w:val="18"/>
        </w:rPr>
      </w:pPr>
      <w:r w:rsidRPr="0017181D">
        <w:rPr>
          <w:rFonts w:ascii="Arial" w:hAnsi="Arial" w:cs="Arial"/>
          <w:b w:val="0"/>
          <w:bCs/>
          <w:caps w:val="0"/>
          <w:color w:val="000000" w:themeColor="text1"/>
          <w:sz w:val="20"/>
          <w:szCs w:val="18"/>
        </w:rPr>
        <w:t>The pooled analysis of variance revealed significant differences among genotypes for all sixteen traits, indicating the presence of substantial genetic variability among the forty-five finger millet genotypes. Environmental effects and genotype × environment (G × E) interactions were highly significant for all agronomic and yield-related traits. In contrast, protein content, calcium content, iron content and crude fibre content showed non-significant environmental and G × E effects, indicating relatively stable expression across environments (Table 1).</w:t>
      </w:r>
    </w:p>
    <w:p w14:paraId="760AD045" w14:textId="77777777" w:rsidR="003D23FC" w:rsidRPr="0017181D" w:rsidRDefault="00725D28" w:rsidP="003D23FC">
      <w:pPr>
        <w:pStyle w:val="Head1"/>
        <w:jc w:val="both"/>
        <w:rPr>
          <w:rFonts w:ascii="Arial" w:hAnsi="Arial" w:cs="Arial"/>
          <w:b w:val="0"/>
          <w:bCs/>
          <w:color w:val="000000" w:themeColor="text1"/>
          <w:sz w:val="20"/>
          <w:szCs w:val="18"/>
        </w:rPr>
      </w:pPr>
      <w:r w:rsidRPr="0017181D">
        <w:rPr>
          <w:rFonts w:ascii="Arial" w:hAnsi="Arial" w:cs="Arial"/>
          <w:b w:val="0"/>
          <w:bCs/>
          <w:caps w:val="0"/>
          <w:color w:val="000000" w:themeColor="text1"/>
          <w:sz w:val="20"/>
          <w:szCs w:val="18"/>
        </w:rPr>
        <w:t>Table 2 presents the variance components and genetic variability parameters, including GCV (%), PCV (%), h² (%) and GAM (%), for all sixteen traits studied. Phenotypic variance was higher than genotypic variance for all sixteen traits, indicating varying degrees of environmental influence on trait expression. Genotypic variance exceeded environmental variance for ear head length, finger width, 1000-seed weight, protein content, calcium content, iron content and crude fibre content, indicating that these traits were predominantly under genetic control. Environmental variance exceeded genotypic variance for days to 50% flowering, days to maturity, plant height, productive tillers per plant, fingers per panicle, weight of matured panicle per plant, harvest index, fodder yield per plant and grain yield per plant, suggesting greater environmental influence on these traits.</w:t>
      </w:r>
    </w:p>
    <w:p w14:paraId="17E4D597" w14:textId="77777777" w:rsidR="00011CF9" w:rsidRPr="0017181D" w:rsidRDefault="003D23FC" w:rsidP="003D23FC">
      <w:pPr>
        <w:jc w:val="both"/>
        <w:rPr>
          <w:rFonts w:ascii="Arial" w:hAnsi="Arial" w:cs="Arial"/>
          <w:color w:val="000000" w:themeColor="text1"/>
        </w:rPr>
      </w:pPr>
      <w:r w:rsidRPr="0017181D">
        <w:rPr>
          <w:rFonts w:ascii="Arial" w:hAnsi="Arial" w:cs="Arial"/>
          <w:color w:val="000000" w:themeColor="text1"/>
        </w:rPr>
        <w:t xml:space="preserve">Low GCV and PCV were observed for days to 50% flowering and days to maturity, indicating limited genetic variability. Low GCV with moderate PCV was observed for plant height, </w:t>
      </w:r>
      <w:r w:rsidRPr="0017181D">
        <w:rPr>
          <w:rFonts w:ascii="Arial" w:hAnsi="Arial" w:cs="Arial"/>
          <w:color w:val="000000" w:themeColor="text1"/>
        </w:rPr>
        <w:lastRenderedPageBreak/>
        <w:t>whereas low GCV with high PCV was observed for fingers per panicle, indicating considerable environmental influence. Moderate GCV and moderate to high PCV were observed for productive tillers per plant, ear head length, finger width, weight of matured panicle per plant, 1000-seed weight, harvest index, fodder yield per plant, grain yield per plant, protein content, calcium content and crude fibre content, whereas iron content exhibited high GCV and PCV, indicating ample variability for selection.</w:t>
      </w:r>
    </w:p>
    <w:p w14:paraId="40E2B256" w14:textId="77777777" w:rsidR="00A47F0C" w:rsidRPr="0017181D" w:rsidRDefault="00A47F0C" w:rsidP="003D23FC">
      <w:pPr>
        <w:jc w:val="both"/>
        <w:rPr>
          <w:rFonts w:ascii="Arial" w:hAnsi="Arial" w:cs="Arial"/>
          <w:color w:val="000000" w:themeColor="text1"/>
        </w:rPr>
      </w:pPr>
    </w:p>
    <w:p w14:paraId="53E054B9" w14:textId="77777777" w:rsidR="00C33E5A" w:rsidRPr="0017181D" w:rsidRDefault="00C33E5A" w:rsidP="00C33E5A">
      <w:pPr>
        <w:jc w:val="both"/>
        <w:rPr>
          <w:rFonts w:ascii="Arial" w:hAnsi="Arial" w:cs="Arial"/>
          <w:color w:val="000000" w:themeColor="text1"/>
        </w:rPr>
      </w:pPr>
      <w:r w:rsidRPr="0017181D">
        <w:rPr>
          <w:rFonts w:ascii="Arial" w:hAnsi="Arial" w:cs="Arial"/>
          <w:color w:val="000000" w:themeColor="text1"/>
        </w:rPr>
        <w:t>Very high heritability was recorded for iron content (99.88%), followed by crude fibre content (99.49%), calcium content (99.39%), protein content (98.79%), 1000-seed weight (90.77%), ear head length (71.46%) and finger width (71.19%). Moderate heritability was observed for days to 50% flowering, harvest index, weight of matured panicle per plant, days to maturity, grain yield per plant and fodder yield per plant, whereas plant height, fingers per panicle and productive tillers per plant exhibited low heritability.</w:t>
      </w:r>
    </w:p>
    <w:p w14:paraId="601F21FC" w14:textId="77777777" w:rsidR="00C33E5A" w:rsidRPr="0017181D" w:rsidRDefault="00C33E5A" w:rsidP="00C33E5A">
      <w:pPr>
        <w:jc w:val="both"/>
        <w:rPr>
          <w:rFonts w:ascii="Arial" w:hAnsi="Arial" w:cs="Arial"/>
          <w:color w:val="000000" w:themeColor="text1"/>
        </w:rPr>
      </w:pPr>
    </w:p>
    <w:p w14:paraId="2567A627" w14:textId="77777777" w:rsidR="00707D24" w:rsidRPr="0017181D" w:rsidRDefault="00C33E5A" w:rsidP="00C33E5A">
      <w:pPr>
        <w:jc w:val="both"/>
        <w:rPr>
          <w:rFonts w:ascii="Arial" w:hAnsi="Arial" w:cs="Arial"/>
          <w:color w:val="000000" w:themeColor="text1"/>
        </w:rPr>
      </w:pPr>
      <w:r w:rsidRPr="0017181D">
        <w:rPr>
          <w:rFonts w:ascii="Arial" w:hAnsi="Arial" w:cs="Arial"/>
          <w:color w:val="000000" w:themeColor="text1"/>
        </w:rPr>
        <w:t>High genetic advance as a percentage of the mean (GAM) was observed for iron content, followed by protein content, calcium content, ear head length, crude fibre content, 1000-seed weight, grain yield per plant, weight of matured panicle per plant, finger width and harvest index. Moderate GAM was recorded for fodder yield per plant, whereas low GAM was observed for days to 50% flowering, plant height, productive tillers per plant, days to maturity and fingers per panicle.</w:t>
      </w:r>
    </w:p>
    <w:p w14:paraId="145DE556" w14:textId="77777777" w:rsidR="00707D24" w:rsidRPr="0017181D" w:rsidRDefault="00707D24" w:rsidP="00C33E5A">
      <w:pPr>
        <w:jc w:val="both"/>
        <w:rPr>
          <w:rFonts w:ascii="Arial" w:hAnsi="Arial" w:cs="Arial"/>
          <w:color w:val="000000" w:themeColor="text1"/>
        </w:rPr>
      </w:pPr>
    </w:p>
    <w:p w14:paraId="7133CC70" w14:textId="77777777" w:rsidR="00E82CE1" w:rsidRPr="0017181D" w:rsidRDefault="00C33E5A" w:rsidP="00490916">
      <w:pPr>
        <w:jc w:val="both"/>
        <w:rPr>
          <w:color w:val="000000" w:themeColor="text1"/>
          <w:lang w:bidi="en-US"/>
        </w:rPr>
      </w:pPr>
      <w:r w:rsidRPr="0017181D">
        <w:rPr>
          <w:rFonts w:ascii="Arial" w:hAnsi="Arial" w:cs="Arial"/>
          <w:color w:val="000000" w:themeColor="text1"/>
        </w:rPr>
        <w:t xml:space="preserve">High heritability coupled with high GAM was observed for ear head length, finger width, 1000-seed weight, protein content, calcium content, iron content and crude fibre content, indicating the predominance of additive gene action and the effectiveness of direct phenotypic selection. Similar findings were reported earlier by John (2006), Shet </w:t>
      </w:r>
      <w:r w:rsidRPr="0017181D">
        <w:rPr>
          <w:rFonts w:ascii="Arial" w:hAnsi="Arial" w:cs="Arial"/>
          <w:i/>
          <w:color w:val="000000" w:themeColor="text1"/>
        </w:rPr>
        <w:t>et al.</w:t>
      </w:r>
      <w:r w:rsidRPr="0017181D">
        <w:rPr>
          <w:rFonts w:ascii="Arial" w:hAnsi="Arial" w:cs="Arial"/>
          <w:color w:val="000000" w:themeColor="text1"/>
        </w:rPr>
        <w:t xml:space="preserve"> (2010), Haradari </w:t>
      </w:r>
      <w:r w:rsidRPr="0017181D">
        <w:rPr>
          <w:rFonts w:ascii="Arial" w:hAnsi="Arial" w:cs="Arial"/>
          <w:i/>
          <w:color w:val="000000" w:themeColor="text1"/>
        </w:rPr>
        <w:t>et al.</w:t>
      </w:r>
      <w:r w:rsidRPr="0017181D">
        <w:rPr>
          <w:rFonts w:ascii="Arial" w:hAnsi="Arial" w:cs="Arial"/>
          <w:color w:val="000000" w:themeColor="text1"/>
        </w:rPr>
        <w:t xml:space="preserve"> (2011), Priyadharshini </w:t>
      </w:r>
      <w:r w:rsidRPr="0017181D">
        <w:rPr>
          <w:rFonts w:ascii="Arial" w:hAnsi="Arial" w:cs="Arial"/>
          <w:i/>
          <w:color w:val="000000" w:themeColor="text1"/>
        </w:rPr>
        <w:t>et al.</w:t>
      </w:r>
      <w:r w:rsidRPr="0017181D">
        <w:rPr>
          <w:rFonts w:ascii="Arial" w:hAnsi="Arial" w:cs="Arial"/>
          <w:color w:val="000000" w:themeColor="text1"/>
        </w:rPr>
        <w:t xml:space="preserve"> (2011), Ulaganathan and Nirmalakumari (2011), Lule </w:t>
      </w:r>
      <w:r w:rsidRPr="0017181D">
        <w:rPr>
          <w:rFonts w:ascii="Arial" w:hAnsi="Arial" w:cs="Arial"/>
          <w:i/>
          <w:color w:val="000000" w:themeColor="text1"/>
        </w:rPr>
        <w:t>et al.</w:t>
      </w:r>
      <w:r w:rsidRPr="0017181D">
        <w:rPr>
          <w:rFonts w:ascii="Arial" w:hAnsi="Arial" w:cs="Arial"/>
          <w:color w:val="000000" w:themeColor="text1"/>
        </w:rPr>
        <w:t xml:space="preserve"> (2012), Karad and Patil (2013), Reddy </w:t>
      </w:r>
      <w:r w:rsidRPr="0017181D">
        <w:rPr>
          <w:rFonts w:ascii="Arial" w:hAnsi="Arial" w:cs="Arial"/>
          <w:i/>
          <w:color w:val="000000" w:themeColor="text1"/>
        </w:rPr>
        <w:t>et al.</w:t>
      </w:r>
      <w:r w:rsidRPr="0017181D">
        <w:rPr>
          <w:rFonts w:ascii="Arial" w:hAnsi="Arial" w:cs="Arial"/>
          <w:color w:val="000000" w:themeColor="text1"/>
        </w:rPr>
        <w:t xml:space="preserve"> (2013), Suryanarayana </w:t>
      </w:r>
      <w:r w:rsidRPr="0017181D">
        <w:rPr>
          <w:rFonts w:ascii="Arial" w:hAnsi="Arial" w:cs="Arial"/>
          <w:i/>
          <w:color w:val="000000" w:themeColor="text1"/>
        </w:rPr>
        <w:t>et al.</w:t>
      </w:r>
      <w:r w:rsidRPr="0017181D">
        <w:rPr>
          <w:rFonts w:ascii="Arial" w:hAnsi="Arial" w:cs="Arial"/>
          <w:color w:val="000000" w:themeColor="text1"/>
        </w:rPr>
        <w:t xml:space="preserve"> (2014), Kumari and Singh (2015), Mahanthesha </w:t>
      </w:r>
      <w:r w:rsidRPr="0017181D">
        <w:rPr>
          <w:rFonts w:ascii="Arial" w:hAnsi="Arial" w:cs="Arial"/>
          <w:i/>
          <w:color w:val="000000" w:themeColor="text1"/>
        </w:rPr>
        <w:t>et al.</w:t>
      </w:r>
      <w:r w:rsidRPr="0017181D">
        <w:rPr>
          <w:rFonts w:ascii="Arial" w:hAnsi="Arial" w:cs="Arial"/>
          <w:color w:val="000000" w:themeColor="text1"/>
        </w:rPr>
        <w:t xml:space="preserve"> (2017), Keerthana </w:t>
      </w:r>
      <w:r w:rsidRPr="0017181D">
        <w:rPr>
          <w:rFonts w:ascii="Arial" w:hAnsi="Arial" w:cs="Arial"/>
          <w:i/>
          <w:color w:val="000000" w:themeColor="text1"/>
        </w:rPr>
        <w:t>et al.</w:t>
      </w:r>
      <w:r w:rsidRPr="0017181D">
        <w:rPr>
          <w:rFonts w:ascii="Arial" w:hAnsi="Arial" w:cs="Arial"/>
          <w:color w:val="000000" w:themeColor="text1"/>
        </w:rPr>
        <w:t xml:space="preserve"> (2019), Anuradha </w:t>
      </w:r>
      <w:r w:rsidRPr="0017181D">
        <w:rPr>
          <w:rFonts w:ascii="Arial" w:hAnsi="Arial" w:cs="Arial"/>
          <w:i/>
          <w:color w:val="000000" w:themeColor="text1"/>
        </w:rPr>
        <w:t>et al.</w:t>
      </w:r>
      <w:r w:rsidRPr="0017181D">
        <w:rPr>
          <w:rFonts w:ascii="Arial" w:hAnsi="Arial" w:cs="Arial"/>
          <w:color w:val="000000" w:themeColor="text1"/>
        </w:rPr>
        <w:t xml:space="preserve"> (2020), Udamala </w:t>
      </w:r>
      <w:r w:rsidRPr="0017181D">
        <w:rPr>
          <w:rFonts w:ascii="Arial" w:hAnsi="Arial" w:cs="Arial"/>
          <w:i/>
          <w:color w:val="000000" w:themeColor="text1"/>
        </w:rPr>
        <w:t>et al.</w:t>
      </w:r>
      <w:r w:rsidRPr="0017181D">
        <w:rPr>
          <w:rFonts w:ascii="Arial" w:hAnsi="Arial" w:cs="Arial"/>
          <w:color w:val="000000" w:themeColor="text1"/>
        </w:rPr>
        <w:t xml:space="preserve"> (2020), Madhavilatha </w:t>
      </w:r>
      <w:r w:rsidRPr="0017181D">
        <w:rPr>
          <w:rFonts w:ascii="Arial" w:hAnsi="Arial" w:cs="Arial"/>
          <w:i/>
          <w:color w:val="000000" w:themeColor="text1"/>
        </w:rPr>
        <w:t>et al.</w:t>
      </w:r>
      <w:r w:rsidRPr="0017181D">
        <w:rPr>
          <w:rFonts w:ascii="Arial" w:hAnsi="Arial" w:cs="Arial"/>
          <w:color w:val="000000" w:themeColor="text1"/>
        </w:rPr>
        <w:t xml:space="preserve"> (2021), Bharathi </w:t>
      </w:r>
      <w:r w:rsidRPr="0017181D">
        <w:rPr>
          <w:rFonts w:ascii="Arial" w:hAnsi="Arial" w:cs="Arial"/>
          <w:i/>
          <w:color w:val="000000" w:themeColor="text1"/>
        </w:rPr>
        <w:t>et al.</w:t>
      </w:r>
      <w:r w:rsidRPr="0017181D">
        <w:rPr>
          <w:rFonts w:ascii="Arial" w:hAnsi="Arial" w:cs="Arial"/>
          <w:color w:val="000000" w:themeColor="text1"/>
        </w:rPr>
        <w:t xml:space="preserve"> (2022), Madhusri </w:t>
      </w:r>
      <w:r w:rsidRPr="0017181D">
        <w:rPr>
          <w:rFonts w:ascii="Arial" w:hAnsi="Arial" w:cs="Arial"/>
          <w:i/>
          <w:color w:val="000000" w:themeColor="text1"/>
        </w:rPr>
        <w:t>et al.</w:t>
      </w:r>
      <w:r w:rsidRPr="0017181D">
        <w:rPr>
          <w:rFonts w:ascii="Arial" w:hAnsi="Arial" w:cs="Arial"/>
          <w:color w:val="000000" w:themeColor="text1"/>
        </w:rPr>
        <w:t xml:space="preserve"> (2022), Mahalle </w:t>
      </w:r>
      <w:r w:rsidRPr="0017181D">
        <w:rPr>
          <w:rFonts w:ascii="Arial" w:hAnsi="Arial" w:cs="Arial"/>
          <w:i/>
          <w:color w:val="000000" w:themeColor="text1"/>
        </w:rPr>
        <w:t>et al.</w:t>
      </w:r>
      <w:r w:rsidRPr="0017181D">
        <w:rPr>
          <w:rFonts w:ascii="Arial" w:hAnsi="Arial" w:cs="Arial"/>
          <w:color w:val="000000" w:themeColor="text1"/>
        </w:rPr>
        <w:t xml:space="preserve"> (2024) and Patel </w:t>
      </w:r>
      <w:r w:rsidRPr="0017181D">
        <w:rPr>
          <w:rFonts w:ascii="Arial" w:hAnsi="Arial" w:cs="Arial"/>
          <w:i/>
          <w:color w:val="000000" w:themeColor="text1"/>
        </w:rPr>
        <w:t>et al.</w:t>
      </w:r>
      <w:r w:rsidRPr="0017181D">
        <w:rPr>
          <w:rFonts w:ascii="Arial" w:hAnsi="Arial" w:cs="Arial"/>
          <w:color w:val="000000" w:themeColor="text1"/>
        </w:rPr>
        <w:t xml:space="preserve"> (2024) for various traits.</w:t>
      </w:r>
    </w:p>
    <w:p w14:paraId="6B36C75E" w14:textId="77777777" w:rsidR="004B050B" w:rsidRPr="0017181D" w:rsidRDefault="004B050B" w:rsidP="00490916">
      <w:pPr>
        <w:jc w:val="both"/>
        <w:rPr>
          <w:color w:val="000000" w:themeColor="text1"/>
          <w:lang w:bidi="en-US"/>
        </w:rPr>
      </w:pPr>
    </w:p>
    <w:p w14:paraId="2F8B4388" w14:textId="77777777" w:rsidR="00E82CE1" w:rsidRPr="0017181D" w:rsidRDefault="00C33E5A" w:rsidP="00490916">
      <w:pPr>
        <w:jc w:val="both"/>
        <w:rPr>
          <w:bCs/>
          <w:color w:val="000000" w:themeColor="text1"/>
          <w:lang w:bidi="en-US"/>
        </w:rPr>
      </w:pPr>
      <w:r w:rsidRPr="0017181D">
        <w:rPr>
          <w:rFonts w:ascii="Arial" w:hAnsi="Arial" w:cs="Arial"/>
          <w:color w:val="000000" w:themeColor="text1"/>
        </w:rPr>
        <w:t xml:space="preserve">Grain yield per plant, harvest index and weight of matured panicle per plant exhibited moderate heritability with high GAM, suggesting that selection for these traits can also be effective despite moderate environmental influence. John (2006), Shet </w:t>
      </w:r>
      <w:r w:rsidRPr="0017181D">
        <w:rPr>
          <w:rFonts w:ascii="Arial" w:hAnsi="Arial" w:cs="Arial"/>
          <w:i/>
          <w:color w:val="000000" w:themeColor="text1"/>
        </w:rPr>
        <w:t>et al.</w:t>
      </w:r>
      <w:r w:rsidRPr="0017181D">
        <w:rPr>
          <w:rFonts w:ascii="Arial" w:hAnsi="Arial" w:cs="Arial"/>
          <w:color w:val="000000" w:themeColor="text1"/>
        </w:rPr>
        <w:t xml:space="preserve"> (2010), Haradari </w:t>
      </w:r>
      <w:r w:rsidRPr="0017181D">
        <w:rPr>
          <w:rFonts w:ascii="Arial" w:hAnsi="Arial" w:cs="Arial"/>
          <w:i/>
          <w:color w:val="000000" w:themeColor="text1"/>
        </w:rPr>
        <w:t>et al.</w:t>
      </w:r>
      <w:r w:rsidRPr="0017181D">
        <w:rPr>
          <w:rFonts w:ascii="Arial" w:hAnsi="Arial" w:cs="Arial"/>
          <w:color w:val="000000" w:themeColor="text1"/>
        </w:rPr>
        <w:t xml:space="preserve"> (2011), Priyadharshini </w:t>
      </w:r>
      <w:r w:rsidRPr="0017181D">
        <w:rPr>
          <w:rFonts w:ascii="Arial" w:hAnsi="Arial" w:cs="Arial"/>
          <w:i/>
          <w:color w:val="000000" w:themeColor="text1"/>
        </w:rPr>
        <w:t>et al.</w:t>
      </w:r>
      <w:r w:rsidRPr="0017181D">
        <w:rPr>
          <w:rFonts w:ascii="Arial" w:hAnsi="Arial" w:cs="Arial"/>
          <w:color w:val="000000" w:themeColor="text1"/>
        </w:rPr>
        <w:t xml:space="preserve"> (2011), Ulaganathan and Nirmalakumari (2011), Lule </w:t>
      </w:r>
      <w:r w:rsidRPr="0017181D">
        <w:rPr>
          <w:rFonts w:ascii="Arial" w:hAnsi="Arial" w:cs="Arial"/>
          <w:i/>
          <w:color w:val="000000" w:themeColor="text1"/>
        </w:rPr>
        <w:t>et al.</w:t>
      </w:r>
      <w:r w:rsidRPr="0017181D">
        <w:rPr>
          <w:rFonts w:ascii="Arial" w:hAnsi="Arial" w:cs="Arial"/>
          <w:color w:val="000000" w:themeColor="text1"/>
        </w:rPr>
        <w:t xml:space="preserve"> (2012), Karad and Patil (2013), Suryanarayana </w:t>
      </w:r>
      <w:r w:rsidRPr="0017181D">
        <w:rPr>
          <w:rFonts w:ascii="Arial" w:hAnsi="Arial" w:cs="Arial"/>
          <w:i/>
          <w:color w:val="000000" w:themeColor="text1"/>
        </w:rPr>
        <w:t>et al.</w:t>
      </w:r>
      <w:r w:rsidRPr="0017181D">
        <w:rPr>
          <w:rFonts w:ascii="Arial" w:hAnsi="Arial" w:cs="Arial"/>
          <w:color w:val="000000" w:themeColor="text1"/>
        </w:rPr>
        <w:t xml:space="preserve"> (2014), Kumari and Singh (2015), Anuradha </w:t>
      </w:r>
      <w:r w:rsidRPr="0017181D">
        <w:rPr>
          <w:rFonts w:ascii="Arial" w:hAnsi="Arial" w:cs="Arial"/>
          <w:i/>
          <w:color w:val="000000" w:themeColor="text1"/>
        </w:rPr>
        <w:t>et al.</w:t>
      </w:r>
      <w:r w:rsidRPr="0017181D">
        <w:rPr>
          <w:rFonts w:ascii="Arial" w:hAnsi="Arial" w:cs="Arial"/>
          <w:color w:val="000000" w:themeColor="text1"/>
        </w:rPr>
        <w:t xml:space="preserve"> (2020), Udamala </w:t>
      </w:r>
      <w:r w:rsidRPr="0017181D">
        <w:rPr>
          <w:rFonts w:ascii="Arial" w:hAnsi="Arial" w:cs="Arial"/>
          <w:i/>
          <w:color w:val="000000" w:themeColor="text1"/>
        </w:rPr>
        <w:t>et al.</w:t>
      </w:r>
      <w:r w:rsidRPr="0017181D">
        <w:rPr>
          <w:rFonts w:ascii="Arial" w:hAnsi="Arial" w:cs="Arial"/>
          <w:color w:val="000000" w:themeColor="text1"/>
        </w:rPr>
        <w:t xml:space="preserve"> (2020), Madhavilatha </w:t>
      </w:r>
      <w:r w:rsidRPr="0017181D">
        <w:rPr>
          <w:rFonts w:ascii="Arial" w:hAnsi="Arial" w:cs="Arial"/>
          <w:i/>
          <w:color w:val="000000" w:themeColor="text1"/>
        </w:rPr>
        <w:t>et al.</w:t>
      </w:r>
      <w:r w:rsidRPr="0017181D">
        <w:rPr>
          <w:rFonts w:ascii="Arial" w:hAnsi="Arial" w:cs="Arial"/>
          <w:color w:val="000000" w:themeColor="text1"/>
        </w:rPr>
        <w:t xml:space="preserve"> (2021), Bharathi </w:t>
      </w:r>
      <w:r w:rsidRPr="0017181D">
        <w:rPr>
          <w:rFonts w:ascii="Arial" w:hAnsi="Arial" w:cs="Arial"/>
          <w:i/>
          <w:color w:val="000000" w:themeColor="text1"/>
        </w:rPr>
        <w:t>et al.</w:t>
      </w:r>
      <w:r w:rsidRPr="0017181D">
        <w:rPr>
          <w:rFonts w:ascii="Arial" w:hAnsi="Arial" w:cs="Arial"/>
          <w:color w:val="000000" w:themeColor="text1"/>
        </w:rPr>
        <w:t xml:space="preserve"> (2022), Madhusri </w:t>
      </w:r>
      <w:r w:rsidRPr="0017181D">
        <w:rPr>
          <w:rFonts w:ascii="Arial" w:hAnsi="Arial" w:cs="Arial"/>
          <w:i/>
          <w:color w:val="000000" w:themeColor="text1"/>
        </w:rPr>
        <w:t>et al.</w:t>
      </w:r>
      <w:r w:rsidRPr="0017181D">
        <w:rPr>
          <w:rFonts w:ascii="Arial" w:hAnsi="Arial" w:cs="Arial"/>
          <w:color w:val="000000" w:themeColor="text1"/>
        </w:rPr>
        <w:t xml:space="preserve"> (2022) and Patel </w:t>
      </w:r>
      <w:r w:rsidRPr="0017181D">
        <w:rPr>
          <w:rFonts w:ascii="Arial" w:hAnsi="Arial" w:cs="Arial"/>
          <w:i/>
          <w:color w:val="000000" w:themeColor="text1"/>
        </w:rPr>
        <w:t>et al.</w:t>
      </w:r>
      <w:r w:rsidRPr="0017181D">
        <w:rPr>
          <w:rFonts w:ascii="Arial" w:hAnsi="Arial" w:cs="Arial"/>
          <w:color w:val="000000" w:themeColor="text1"/>
        </w:rPr>
        <w:t xml:space="preserve"> (2024) also reported high heritability with high genetic advance.</w:t>
      </w:r>
    </w:p>
    <w:p w14:paraId="0CAA7EEB" w14:textId="77777777" w:rsidR="00707D24" w:rsidRPr="0017181D" w:rsidRDefault="00707D24" w:rsidP="00C33E5A">
      <w:pPr>
        <w:jc w:val="both"/>
        <w:rPr>
          <w:rFonts w:ascii="Arial" w:hAnsi="Arial" w:cs="Arial"/>
          <w:color w:val="000000" w:themeColor="text1"/>
        </w:rPr>
      </w:pPr>
    </w:p>
    <w:p w14:paraId="03D3ADEE" w14:textId="77777777" w:rsidR="00707D24" w:rsidRPr="0017181D" w:rsidRDefault="00C33E5A" w:rsidP="00C33E5A">
      <w:pPr>
        <w:jc w:val="both"/>
        <w:rPr>
          <w:rFonts w:ascii="Arial" w:hAnsi="Arial" w:cs="Arial"/>
          <w:color w:val="000000" w:themeColor="text1"/>
        </w:rPr>
      </w:pPr>
      <w:r w:rsidRPr="0017181D">
        <w:rPr>
          <w:rFonts w:ascii="Arial" w:hAnsi="Arial" w:cs="Arial"/>
          <w:color w:val="000000" w:themeColor="text1"/>
        </w:rPr>
        <w:t>Fodder yield per plant exhibited moderate heritability (35.64%) and moderate GAM (18.93%), indicating moderate genetic improvement through selection. Days to 50% flowering and days to maturity showed moderate heritability with low GAM, indicating a limited response to selection. Plant height, productive tillers per plant and fingers per panicle exhibited low heritability coupled with low GAM, suggesting greater environmental influence and the involvement of non-additive gene action.</w:t>
      </w:r>
    </w:p>
    <w:p w14:paraId="6AC42B8C" w14:textId="77777777" w:rsidR="00707D24" w:rsidRPr="0017181D" w:rsidRDefault="00707D24" w:rsidP="00C33E5A">
      <w:pPr>
        <w:jc w:val="both"/>
        <w:rPr>
          <w:rFonts w:ascii="Arial" w:hAnsi="Arial" w:cs="Arial"/>
          <w:color w:val="000000" w:themeColor="text1"/>
        </w:rPr>
      </w:pPr>
    </w:p>
    <w:p w14:paraId="02C77A85" w14:textId="77777777" w:rsidR="005613F1" w:rsidRPr="0017181D" w:rsidRDefault="00C33E5A" w:rsidP="005D672D">
      <w:pPr>
        <w:jc w:val="both"/>
        <w:rPr>
          <w:rFonts w:ascii="Arial" w:hAnsi="Arial" w:cs="Arial"/>
          <w:color w:val="000000" w:themeColor="text1"/>
        </w:rPr>
      </w:pPr>
      <w:r w:rsidRPr="0017181D">
        <w:rPr>
          <w:rFonts w:ascii="Arial" w:hAnsi="Arial" w:cs="Arial"/>
          <w:color w:val="000000" w:themeColor="text1"/>
        </w:rPr>
        <w:t>Overall, ear head length, finger width, 1000-seed weight, grain yield per plant, harvest index, weight of matured panicle per plant, protein content, calcium content, iron content and crude fibre content were identified as the most promising traits for improvement through selection in the present breeding material.</w:t>
      </w:r>
    </w:p>
    <w:p w14:paraId="39B3FFEE" w14:textId="77777777" w:rsidR="00A73B96" w:rsidRPr="0017181D" w:rsidRDefault="00A73B96" w:rsidP="00C34A62">
      <w:pPr>
        <w:rPr>
          <w:rFonts w:ascii="Arial" w:hAnsi="Arial" w:cs="Arial"/>
          <w:b/>
          <w:color w:val="000000" w:themeColor="text1"/>
        </w:rPr>
        <w:sectPr w:rsidR="00A73B96" w:rsidRPr="0017181D" w:rsidSect="00C6181B">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496E2F78" w14:textId="77777777" w:rsidR="00C34A62" w:rsidRPr="0017181D" w:rsidRDefault="005A2F2C" w:rsidP="00C34A62">
      <w:pPr>
        <w:rPr>
          <w:rFonts w:ascii="Arial" w:hAnsi="Arial" w:cs="Arial"/>
          <w:b/>
          <w:color w:val="000000" w:themeColor="text1"/>
        </w:rPr>
      </w:pPr>
      <w:r w:rsidRPr="0017181D">
        <w:rPr>
          <w:rFonts w:ascii="Arial" w:hAnsi="Arial" w:cs="Arial"/>
          <w:b/>
          <w:color w:val="000000" w:themeColor="text1"/>
        </w:rPr>
        <w:lastRenderedPageBreak/>
        <w:t xml:space="preserve">Table 1: Analysis of variance (mean sum of squares) for different characters under the </w:t>
      </w:r>
      <w:r w:rsidR="00C34A62" w:rsidRPr="0017181D">
        <w:rPr>
          <w:rFonts w:ascii="Arial" w:hAnsi="Arial" w:cs="Arial"/>
          <w:b/>
          <w:color w:val="000000" w:themeColor="text1"/>
        </w:rPr>
        <w:t>study in finger millet.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9"/>
        <w:gridCol w:w="1409"/>
        <w:gridCol w:w="53"/>
        <w:gridCol w:w="1147"/>
        <w:gridCol w:w="31"/>
        <w:gridCol w:w="1094"/>
        <w:gridCol w:w="167"/>
        <w:gridCol w:w="971"/>
        <w:gridCol w:w="148"/>
        <w:gridCol w:w="1163"/>
        <w:gridCol w:w="234"/>
        <w:gridCol w:w="1261"/>
        <w:gridCol w:w="78"/>
        <w:gridCol w:w="904"/>
        <w:gridCol w:w="672"/>
        <w:gridCol w:w="589"/>
        <w:gridCol w:w="815"/>
        <w:gridCol w:w="1434"/>
      </w:tblGrid>
      <w:tr w:rsidR="005613F1" w:rsidRPr="0017181D" w14:paraId="74324107" w14:textId="77777777" w:rsidTr="005D672D">
        <w:trPr>
          <w:trHeight w:val="20"/>
        </w:trPr>
        <w:tc>
          <w:tcPr>
            <w:tcW w:w="617" w:type="pct"/>
            <w:vMerge w:val="restart"/>
            <w:vAlign w:val="center"/>
            <w:hideMark/>
          </w:tcPr>
          <w:p w14:paraId="231FEF8E" w14:textId="77777777" w:rsidR="005613F1" w:rsidRPr="0017181D" w:rsidRDefault="005613F1" w:rsidP="000B22E8">
            <w:pPr>
              <w:ind w:right="-32"/>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Source   of variation</w:t>
            </w:r>
          </w:p>
        </w:tc>
        <w:tc>
          <w:tcPr>
            <w:tcW w:w="545" w:type="pct"/>
            <w:gridSpan w:val="3"/>
            <w:vMerge w:val="restart"/>
            <w:vAlign w:val="center"/>
            <w:hideMark/>
          </w:tcPr>
          <w:p w14:paraId="1B35CFB6"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DF</w:t>
            </w:r>
          </w:p>
        </w:tc>
        <w:tc>
          <w:tcPr>
            <w:tcW w:w="3838" w:type="pct"/>
            <w:gridSpan w:val="15"/>
            <w:vAlign w:val="center"/>
            <w:hideMark/>
          </w:tcPr>
          <w:p w14:paraId="7A6E4AA3" w14:textId="77777777" w:rsidR="005613F1" w:rsidRPr="0017181D" w:rsidRDefault="005613F1" w:rsidP="000B22E8">
            <w:pPr>
              <w:contextualSpacing/>
              <w:jc w:val="center"/>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Mean sum of square</w:t>
            </w:r>
          </w:p>
        </w:tc>
      </w:tr>
      <w:tr w:rsidR="005613F1" w:rsidRPr="0017181D" w14:paraId="678F57C9" w14:textId="77777777" w:rsidTr="005D672D">
        <w:trPr>
          <w:trHeight w:val="20"/>
        </w:trPr>
        <w:tc>
          <w:tcPr>
            <w:tcW w:w="0" w:type="auto"/>
            <w:vMerge/>
            <w:vAlign w:val="center"/>
            <w:hideMark/>
          </w:tcPr>
          <w:p w14:paraId="46F5A673" w14:textId="77777777" w:rsidR="005613F1" w:rsidRPr="0017181D" w:rsidRDefault="005613F1" w:rsidP="000B22E8">
            <w:pPr>
              <w:contextualSpacing/>
              <w:rPr>
                <w:rFonts w:ascii="Arial" w:eastAsia="Calibri" w:hAnsi="Arial" w:cs="Arial"/>
                <w:b/>
                <w:bCs/>
                <w:color w:val="000000" w:themeColor="text1"/>
                <w:lang w:eastAsia="en-IN"/>
              </w:rPr>
            </w:pPr>
          </w:p>
        </w:tc>
        <w:tc>
          <w:tcPr>
            <w:tcW w:w="545" w:type="pct"/>
            <w:gridSpan w:val="3"/>
            <w:vMerge/>
            <w:vAlign w:val="center"/>
            <w:hideMark/>
          </w:tcPr>
          <w:p w14:paraId="58FF5BD3" w14:textId="77777777" w:rsidR="005613F1" w:rsidRPr="0017181D" w:rsidRDefault="005613F1" w:rsidP="000B22E8">
            <w:pPr>
              <w:contextualSpacing/>
              <w:rPr>
                <w:rFonts w:ascii="Arial" w:eastAsia="Calibri" w:hAnsi="Arial" w:cs="Arial"/>
                <w:b/>
                <w:bCs/>
                <w:color w:val="000000" w:themeColor="text1"/>
                <w:lang w:eastAsia="en-IN"/>
              </w:rPr>
            </w:pPr>
          </w:p>
        </w:tc>
        <w:tc>
          <w:tcPr>
            <w:tcW w:w="422" w:type="pct"/>
            <w:gridSpan w:val="2"/>
            <w:vAlign w:val="center"/>
            <w:hideMark/>
          </w:tcPr>
          <w:p w14:paraId="57728385"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Days to 50% flowering</w:t>
            </w:r>
          </w:p>
        </w:tc>
        <w:tc>
          <w:tcPr>
            <w:tcW w:w="452" w:type="pct"/>
            <w:gridSpan w:val="2"/>
            <w:vAlign w:val="center"/>
            <w:hideMark/>
          </w:tcPr>
          <w:p w14:paraId="5F2C654C"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Days to maturity</w:t>
            </w:r>
          </w:p>
        </w:tc>
        <w:tc>
          <w:tcPr>
            <w:tcW w:w="401" w:type="pct"/>
            <w:gridSpan w:val="2"/>
            <w:vAlign w:val="center"/>
            <w:hideMark/>
          </w:tcPr>
          <w:p w14:paraId="45370899"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Plant height (cm)</w:t>
            </w:r>
          </w:p>
        </w:tc>
        <w:tc>
          <w:tcPr>
            <w:tcW w:w="501" w:type="pct"/>
            <w:gridSpan w:val="2"/>
            <w:vAlign w:val="center"/>
            <w:hideMark/>
          </w:tcPr>
          <w:p w14:paraId="6B51B650"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Productive tillers per plant</w:t>
            </w:r>
          </w:p>
        </w:tc>
        <w:tc>
          <w:tcPr>
            <w:tcW w:w="452" w:type="pct"/>
            <w:vAlign w:val="center"/>
          </w:tcPr>
          <w:p w14:paraId="38CC0802"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rPr>
              <w:t>Ear head length (cm)</w:t>
            </w:r>
          </w:p>
        </w:tc>
        <w:tc>
          <w:tcPr>
            <w:tcW w:w="352" w:type="pct"/>
            <w:gridSpan w:val="2"/>
            <w:vAlign w:val="center"/>
          </w:tcPr>
          <w:p w14:paraId="065C12C4"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Fingers per panicle</w:t>
            </w:r>
          </w:p>
        </w:tc>
        <w:tc>
          <w:tcPr>
            <w:tcW w:w="452" w:type="pct"/>
            <w:gridSpan w:val="2"/>
            <w:vAlign w:val="center"/>
          </w:tcPr>
          <w:p w14:paraId="15489B1C"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rPr>
              <w:t>Finger width (cm)</w:t>
            </w:r>
          </w:p>
        </w:tc>
        <w:tc>
          <w:tcPr>
            <w:tcW w:w="806" w:type="pct"/>
            <w:gridSpan w:val="2"/>
            <w:vAlign w:val="center"/>
          </w:tcPr>
          <w:p w14:paraId="1D73339A" w14:textId="77777777" w:rsidR="005613F1" w:rsidRPr="0017181D" w:rsidRDefault="005613F1" w:rsidP="000B22E8">
            <w:pPr>
              <w:contextualSpacing/>
              <w:rPr>
                <w:rFonts w:ascii="Arial" w:eastAsia="Calibri" w:hAnsi="Arial" w:cs="Arial"/>
                <w:b/>
                <w:bCs/>
                <w:color w:val="000000" w:themeColor="text1"/>
              </w:rPr>
            </w:pPr>
            <w:r w:rsidRPr="0017181D">
              <w:rPr>
                <w:rFonts w:ascii="Arial" w:eastAsia="Calibri" w:hAnsi="Arial" w:cs="Arial"/>
                <w:b/>
                <w:bCs/>
                <w:color w:val="000000" w:themeColor="text1"/>
              </w:rPr>
              <w:t>Weight of matured panicle per plant (g)</w:t>
            </w:r>
          </w:p>
        </w:tc>
      </w:tr>
      <w:tr w:rsidR="005613F1" w:rsidRPr="0017181D" w14:paraId="68C2BADA" w14:textId="77777777" w:rsidTr="005D672D">
        <w:trPr>
          <w:trHeight w:val="20"/>
        </w:trPr>
        <w:tc>
          <w:tcPr>
            <w:tcW w:w="617" w:type="pct"/>
            <w:vAlign w:val="center"/>
            <w:hideMark/>
          </w:tcPr>
          <w:p w14:paraId="0127A6BF"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Replications</w:t>
            </w:r>
          </w:p>
        </w:tc>
        <w:tc>
          <w:tcPr>
            <w:tcW w:w="545" w:type="pct"/>
            <w:gridSpan w:val="3"/>
            <w:vAlign w:val="center"/>
            <w:hideMark/>
          </w:tcPr>
          <w:p w14:paraId="69349000"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2</w:t>
            </w:r>
          </w:p>
        </w:tc>
        <w:tc>
          <w:tcPr>
            <w:tcW w:w="422" w:type="pct"/>
            <w:gridSpan w:val="2"/>
            <w:vAlign w:val="center"/>
          </w:tcPr>
          <w:p w14:paraId="20854D0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7.17</w:t>
            </w:r>
          </w:p>
        </w:tc>
        <w:tc>
          <w:tcPr>
            <w:tcW w:w="452" w:type="pct"/>
            <w:gridSpan w:val="2"/>
            <w:vAlign w:val="center"/>
          </w:tcPr>
          <w:p w14:paraId="34E9FD7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1.22</w:t>
            </w:r>
          </w:p>
        </w:tc>
        <w:tc>
          <w:tcPr>
            <w:tcW w:w="401" w:type="pct"/>
            <w:gridSpan w:val="2"/>
            <w:vAlign w:val="center"/>
          </w:tcPr>
          <w:p w14:paraId="0FAD568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25.13</w:t>
            </w:r>
          </w:p>
        </w:tc>
        <w:tc>
          <w:tcPr>
            <w:tcW w:w="501" w:type="pct"/>
            <w:gridSpan w:val="2"/>
            <w:vAlign w:val="center"/>
          </w:tcPr>
          <w:p w14:paraId="07DC8D6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0.0025</w:t>
            </w:r>
          </w:p>
        </w:tc>
        <w:tc>
          <w:tcPr>
            <w:tcW w:w="452" w:type="pct"/>
            <w:vAlign w:val="center"/>
          </w:tcPr>
          <w:p w14:paraId="33284EA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0.06</w:t>
            </w:r>
          </w:p>
        </w:tc>
        <w:tc>
          <w:tcPr>
            <w:tcW w:w="352" w:type="pct"/>
            <w:gridSpan w:val="2"/>
            <w:vAlign w:val="center"/>
          </w:tcPr>
          <w:p w14:paraId="2C5F2288"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0.13</w:t>
            </w:r>
          </w:p>
        </w:tc>
        <w:tc>
          <w:tcPr>
            <w:tcW w:w="452" w:type="pct"/>
            <w:gridSpan w:val="2"/>
            <w:vAlign w:val="center"/>
          </w:tcPr>
          <w:p w14:paraId="58BC938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0.0018</w:t>
            </w:r>
          </w:p>
        </w:tc>
        <w:tc>
          <w:tcPr>
            <w:tcW w:w="806" w:type="pct"/>
            <w:gridSpan w:val="2"/>
            <w:vAlign w:val="center"/>
          </w:tcPr>
          <w:p w14:paraId="55744688"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0.46</w:t>
            </w:r>
          </w:p>
        </w:tc>
      </w:tr>
      <w:tr w:rsidR="005613F1" w:rsidRPr="0017181D" w14:paraId="68F7CC31" w14:textId="77777777" w:rsidTr="005D672D">
        <w:trPr>
          <w:trHeight w:val="20"/>
        </w:trPr>
        <w:tc>
          <w:tcPr>
            <w:tcW w:w="617" w:type="pct"/>
            <w:noWrap/>
            <w:vAlign w:val="center"/>
            <w:hideMark/>
          </w:tcPr>
          <w:p w14:paraId="1187292C"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Environments</w:t>
            </w:r>
          </w:p>
        </w:tc>
        <w:tc>
          <w:tcPr>
            <w:tcW w:w="545" w:type="pct"/>
            <w:gridSpan w:val="3"/>
            <w:vAlign w:val="center"/>
            <w:hideMark/>
          </w:tcPr>
          <w:p w14:paraId="094326A6"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3</w:t>
            </w:r>
          </w:p>
        </w:tc>
        <w:tc>
          <w:tcPr>
            <w:tcW w:w="422" w:type="pct"/>
            <w:gridSpan w:val="2"/>
            <w:vAlign w:val="center"/>
          </w:tcPr>
          <w:p w14:paraId="702E617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773.95**</w:t>
            </w:r>
          </w:p>
        </w:tc>
        <w:tc>
          <w:tcPr>
            <w:tcW w:w="452" w:type="pct"/>
            <w:gridSpan w:val="2"/>
            <w:vAlign w:val="center"/>
          </w:tcPr>
          <w:p w14:paraId="3E5E87D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1207.42**</w:t>
            </w:r>
          </w:p>
        </w:tc>
        <w:tc>
          <w:tcPr>
            <w:tcW w:w="401" w:type="pct"/>
            <w:gridSpan w:val="2"/>
            <w:vAlign w:val="center"/>
          </w:tcPr>
          <w:p w14:paraId="4B8E537E"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241.66**</w:t>
            </w:r>
          </w:p>
        </w:tc>
        <w:tc>
          <w:tcPr>
            <w:tcW w:w="501" w:type="pct"/>
            <w:gridSpan w:val="2"/>
            <w:vAlign w:val="center"/>
          </w:tcPr>
          <w:p w14:paraId="2E25E37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10.44**</w:t>
            </w:r>
          </w:p>
        </w:tc>
        <w:tc>
          <w:tcPr>
            <w:tcW w:w="452" w:type="pct"/>
            <w:vAlign w:val="center"/>
          </w:tcPr>
          <w:p w14:paraId="7E931148"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2.82**</w:t>
            </w:r>
          </w:p>
        </w:tc>
        <w:tc>
          <w:tcPr>
            <w:tcW w:w="352" w:type="pct"/>
            <w:gridSpan w:val="2"/>
            <w:vAlign w:val="center"/>
          </w:tcPr>
          <w:p w14:paraId="6B0AEFF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69.83**</w:t>
            </w:r>
          </w:p>
        </w:tc>
        <w:tc>
          <w:tcPr>
            <w:tcW w:w="452" w:type="pct"/>
            <w:gridSpan w:val="2"/>
            <w:vAlign w:val="center"/>
          </w:tcPr>
          <w:p w14:paraId="1DA3C2E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0.16**</w:t>
            </w:r>
          </w:p>
        </w:tc>
        <w:tc>
          <w:tcPr>
            <w:tcW w:w="806" w:type="pct"/>
            <w:gridSpan w:val="2"/>
            <w:vAlign w:val="center"/>
          </w:tcPr>
          <w:p w14:paraId="2E78BD0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113.26**</w:t>
            </w:r>
          </w:p>
        </w:tc>
      </w:tr>
      <w:tr w:rsidR="005613F1" w:rsidRPr="0017181D" w14:paraId="589CDAE6" w14:textId="77777777" w:rsidTr="005D672D">
        <w:trPr>
          <w:trHeight w:val="20"/>
        </w:trPr>
        <w:tc>
          <w:tcPr>
            <w:tcW w:w="617" w:type="pct"/>
            <w:noWrap/>
            <w:vAlign w:val="center"/>
          </w:tcPr>
          <w:p w14:paraId="0561652C"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Genotypes</w:t>
            </w:r>
          </w:p>
        </w:tc>
        <w:tc>
          <w:tcPr>
            <w:tcW w:w="545" w:type="pct"/>
            <w:gridSpan w:val="3"/>
            <w:vAlign w:val="center"/>
          </w:tcPr>
          <w:p w14:paraId="0472F5A5"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44</w:t>
            </w:r>
          </w:p>
        </w:tc>
        <w:tc>
          <w:tcPr>
            <w:tcW w:w="422" w:type="pct"/>
            <w:gridSpan w:val="2"/>
            <w:vAlign w:val="center"/>
          </w:tcPr>
          <w:p w14:paraId="4946784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187.96**</w:t>
            </w:r>
          </w:p>
        </w:tc>
        <w:tc>
          <w:tcPr>
            <w:tcW w:w="452" w:type="pct"/>
            <w:gridSpan w:val="2"/>
            <w:vAlign w:val="center"/>
          </w:tcPr>
          <w:p w14:paraId="2F823F7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235.23**</w:t>
            </w:r>
          </w:p>
        </w:tc>
        <w:tc>
          <w:tcPr>
            <w:tcW w:w="401" w:type="pct"/>
            <w:gridSpan w:val="2"/>
            <w:vAlign w:val="center"/>
          </w:tcPr>
          <w:p w14:paraId="32C9D77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846.3**</w:t>
            </w:r>
          </w:p>
        </w:tc>
        <w:tc>
          <w:tcPr>
            <w:tcW w:w="501" w:type="pct"/>
            <w:gridSpan w:val="2"/>
            <w:vAlign w:val="center"/>
          </w:tcPr>
          <w:p w14:paraId="045B567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1.65**</w:t>
            </w:r>
          </w:p>
        </w:tc>
        <w:tc>
          <w:tcPr>
            <w:tcW w:w="452" w:type="pct"/>
            <w:vAlign w:val="center"/>
          </w:tcPr>
          <w:p w14:paraId="3F108DC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24.18**</w:t>
            </w:r>
          </w:p>
        </w:tc>
        <w:tc>
          <w:tcPr>
            <w:tcW w:w="352" w:type="pct"/>
            <w:gridSpan w:val="2"/>
            <w:vAlign w:val="center"/>
          </w:tcPr>
          <w:p w14:paraId="791B41B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5.43**</w:t>
            </w:r>
          </w:p>
        </w:tc>
        <w:tc>
          <w:tcPr>
            <w:tcW w:w="452" w:type="pct"/>
            <w:gridSpan w:val="2"/>
            <w:vAlign w:val="center"/>
          </w:tcPr>
          <w:p w14:paraId="25B4D51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0.18**</w:t>
            </w:r>
          </w:p>
        </w:tc>
        <w:tc>
          <w:tcPr>
            <w:tcW w:w="806" w:type="pct"/>
            <w:gridSpan w:val="2"/>
            <w:vAlign w:val="center"/>
          </w:tcPr>
          <w:p w14:paraId="255F6B1C"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84.68**</w:t>
            </w:r>
          </w:p>
        </w:tc>
      </w:tr>
      <w:tr w:rsidR="005613F1" w:rsidRPr="0017181D" w14:paraId="327D82AB" w14:textId="77777777" w:rsidTr="005D672D">
        <w:trPr>
          <w:trHeight w:val="20"/>
        </w:trPr>
        <w:tc>
          <w:tcPr>
            <w:tcW w:w="617" w:type="pct"/>
            <w:noWrap/>
            <w:vAlign w:val="center"/>
          </w:tcPr>
          <w:p w14:paraId="14869F92"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 xml:space="preserve">G </w:t>
            </w:r>
            <w:r w:rsidRPr="0017181D">
              <w:rPr>
                <w:rFonts w:ascii="Arial" w:eastAsia="Calibri" w:hAnsi="Arial" w:cs="Arial"/>
                <w:b/>
                <w:bCs/>
                <w:color w:val="000000" w:themeColor="text1"/>
                <w:lang w:eastAsia="en-IN"/>
              </w:rPr>
              <w:t>×</w:t>
            </w:r>
            <w:r w:rsidRPr="0017181D">
              <w:rPr>
                <w:rFonts w:ascii="Arial" w:eastAsia="Calibri" w:hAnsi="Arial" w:cs="Arial"/>
                <w:color w:val="000000" w:themeColor="text1"/>
                <w:lang w:eastAsia="en-IN"/>
              </w:rPr>
              <w:t xml:space="preserve"> E</w:t>
            </w:r>
          </w:p>
        </w:tc>
        <w:tc>
          <w:tcPr>
            <w:tcW w:w="545" w:type="pct"/>
            <w:gridSpan w:val="3"/>
            <w:vAlign w:val="center"/>
          </w:tcPr>
          <w:p w14:paraId="0BA45ABE"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132</w:t>
            </w:r>
          </w:p>
        </w:tc>
        <w:tc>
          <w:tcPr>
            <w:tcW w:w="422" w:type="pct"/>
            <w:gridSpan w:val="2"/>
            <w:vAlign w:val="center"/>
          </w:tcPr>
          <w:p w14:paraId="3B39CF1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15.12**</w:t>
            </w:r>
          </w:p>
        </w:tc>
        <w:tc>
          <w:tcPr>
            <w:tcW w:w="452" w:type="pct"/>
            <w:gridSpan w:val="2"/>
            <w:vAlign w:val="center"/>
          </w:tcPr>
          <w:p w14:paraId="33C980D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29.26**</w:t>
            </w:r>
          </w:p>
        </w:tc>
        <w:tc>
          <w:tcPr>
            <w:tcW w:w="401" w:type="pct"/>
            <w:gridSpan w:val="2"/>
            <w:vAlign w:val="center"/>
          </w:tcPr>
          <w:p w14:paraId="545F89E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183.59**</w:t>
            </w:r>
          </w:p>
        </w:tc>
        <w:tc>
          <w:tcPr>
            <w:tcW w:w="501" w:type="pct"/>
            <w:gridSpan w:val="2"/>
            <w:vAlign w:val="center"/>
          </w:tcPr>
          <w:p w14:paraId="703A0A5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0.85**</w:t>
            </w:r>
          </w:p>
        </w:tc>
        <w:tc>
          <w:tcPr>
            <w:tcW w:w="452" w:type="pct"/>
            <w:vAlign w:val="center"/>
          </w:tcPr>
          <w:p w14:paraId="7DAB272E"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0.78**</w:t>
            </w:r>
          </w:p>
        </w:tc>
        <w:tc>
          <w:tcPr>
            <w:tcW w:w="352" w:type="pct"/>
            <w:gridSpan w:val="2"/>
            <w:vAlign w:val="center"/>
          </w:tcPr>
          <w:p w14:paraId="2A0B1AD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2.57**</w:t>
            </w:r>
          </w:p>
        </w:tc>
        <w:tc>
          <w:tcPr>
            <w:tcW w:w="452" w:type="pct"/>
            <w:gridSpan w:val="2"/>
            <w:vAlign w:val="center"/>
          </w:tcPr>
          <w:p w14:paraId="071202E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0.006**</w:t>
            </w:r>
          </w:p>
        </w:tc>
        <w:tc>
          <w:tcPr>
            <w:tcW w:w="806" w:type="pct"/>
            <w:gridSpan w:val="2"/>
            <w:vAlign w:val="center"/>
          </w:tcPr>
          <w:p w14:paraId="5905118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9.69**</w:t>
            </w:r>
          </w:p>
        </w:tc>
      </w:tr>
      <w:tr w:rsidR="005613F1" w:rsidRPr="0017181D" w14:paraId="245E607C" w14:textId="77777777" w:rsidTr="005D672D">
        <w:trPr>
          <w:trHeight w:val="20"/>
        </w:trPr>
        <w:tc>
          <w:tcPr>
            <w:tcW w:w="617" w:type="pct"/>
            <w:vAlign w:val="center"/>
            <w:hideMark/>
          </w:tcPr>
          <w:p w14:paraId="140A96D1"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Pooled Error</w:t>
            </w:r>
          </w:p>
        </w:tc>
        <w:tc>
          <w:tcPr>
            <w:tcW w:w="545" w:type="pct"/>
            <w:gridSpan w:val="3"/>
            <w:vAlign w:val="center"/>
            <w:hideMark/>
          </w:tcPr>
          <w:p w14:paraId="75488858"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358</w:t>
            </w:r>
          </w:p>
        </w:tc>
        <w:tc>
          <w:tcPr>
            <w:tcW w:w="422" w:type="pct"/>
            <w:gridSpan w:val="2"/>
            <w:vAlign w:val="center"/>
          </w:tcPr>
          <w:p w14:paraId="7AA38F8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3.05</w:t>
            </w:r>
          </w:p>
        </w:tc>
        <w:tc>
          <w:tcPr>
            <w:tcW w:w="452" w:type="pct"/>
            <w:gridSpan w:val="2"/>
            <w:vAlign w:val="center"/>
          </w:tcPr>
          <w:p w14:paraId="6FC71087"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3.23</w:t>
            </w:r>
          </w:p>
        </w:tc>
        <w:tc>
          <w:tcPr>
            <w:tcW w:w="401" w:type="pct"/>
            <w:gridSpan w:val="2"/>
            <w:vAlign w:val="center"/>
          </w:tcPr>
          <w:p w14:paraId="42D1F21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21.01</w:t>
            </w:r>
          </w:p>
        </w:tc>
        <w:tc>
          <w:tcPr>
            <w:tcW w:w="501" w:type="pct"/>
            <w:gridSpan w:val="2"/>
            <w:vAlign w:val="center"/>
          </w:tcPr>
          <w:p w14:paraId="0B406D17"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0.02</w:t>
            </w:r>
          </w:p>
        </w:tc>
        <w:tc>
          <w:tcPr>
            <w:tcW w:w="452" w:type="pct"/>
            <w:vAlign w:val="center"/>
          </w:tcPr>
          <w:p w14:paraId="41A5C8F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0.14</w:t>
            </w:r>
          </w:p>
        </w:tc>
        <w:tc>
          <w:tcPr>
            <w:tcW w:w="352" w:type="pct"/>
            <w:gridSpan w:val="2"/>
            <w:vAlign w:val="center"/>
          </w:tcPr>
          <w:p w14:paraId="101AD198"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0.15</w:t>
            </w:r>
          </w:p>
        </w:tc>
        <w:tc>
          <w:tcPr>
            <w:tcW w:w="452" w:type="pct"/>
            <w:gridSpan w:val="2"/>
            <w:vAlign w:val="center"/>
          </w:tcPr>
          <w:p w14:paraId="6FE77A5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0.0021</w:t>
            </w:r>
          </w:p>
        </w:tc>
        <w:tc>
          <w:tcPr>
            <w:tcW w:w="806" w:type="pct"/>
            <w:gridSpan w:val="2"/>
            <w:vAlign w:val="center"/>
          </w:tcPr>
          <w:p w14:paraId="1E4DA92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1.87</w:t>
            </w:r>
          </w:p>
        </w:tc>
      </w:tr>
      <w:tr w:rsidR="005613F1" w:rsidRPr="0017181D" w14:paraId="5029A00D" w14:textId="77777777" w:rsidTr="005D672D">
        <w:trPr>
          <w:trHeight w:val="20"/>
        </w:trPr>
        <w:tc>
          <w:tcPr>
            <w:tcW w:w="617" w:type="pct"/>
            <w:vAlign w:val="center"/>
            <w:hideMark/>
          </w:tcPr>
          <w:p w14:paraId="53A8346F" w14:textId="77777777" w:rsidR="005613F1" w:rsidRPr="0017181D" w:rsidRDefault="005613F1" w:rsidP="000B22E8">
            <w:pPr>
              <w:contextualSpacing/>
              <w:rPr>
                <w:rFonts w:ascii="Arial" w:eastAsia="Calibri" w:hAnsi="Arial" w:cs="Arial"/>
                <w:color w:val="000000" w:themeColor="text1"/>
                <w:lang w:eastAsia="en-IN"/>
              </w:rPr>
            </w:pPr>
            <w:proofErr w:type="spellStart"/>
            <w:r w:rsidRPr="0017181D">
              <w:rPr>
                <w:rFonts w:ascii="Arial" w:eastAsia="Calibri" w:hAnsi="Arial" w:cs="Arial"/>
                <w:color w:val="000000" w:themeColor="text1"/>
                <w:lang w:eastAsia="en-IN"/>
              </w:rPr>
              <w:t>SEm</w:t>
            </w:r>
            <w:proofErr w:type="spellEnd"/>
            <w:r w:rsidRPr="0017181D">
              <w:rPr>
                <w:rFonts w:ascii="Arial" w:eastAsia="Calibri" w:hAnsi="Arial" w:cs="Arial"/>
                <w:color w:val="000000" w:themeColor="text1"/>
                <w:lang w:eastAsia="en-IN"/>
              </w:rPr>
              <w:t>±</w:t>
            </w:r>
          </w:p>
        </w:tc>
        <w:tc>
          <w:tcPr>
            <w:tcW w:w="545" w:type="pct"/>
            <w:gridSpan w:val="3"/>
            <w:vMerge w:val="restart"/>
            <w:vAlign w:val="center"/>
            <w:hideMark/>
          </w:tcPr>
          <w:p w14:paraId="76F079C9" w14:textId="77777777" w:rsidR="005613F1" w:rsidRPr="0017181D" w:rsidRDefault="005613F1" w:rsidP="000B22E8">
            <w:pPr>
              <w:contextualSpacing/>
              <w:rPr>
                <w:rFonts w:ascii="Arial" w:eastAsia="Calibri" w:hAnsi="Arial" w:cs="Arial"/>
                <w:color w:val="000000" w:themeColor="text1"/>
              </w:rPr>
            </w:pPr>
          </w:p>
        </w:tc>
        <w:tc>
          <w:tcPr>
            <w:tcW w:w="422" w:type="pct"/>
            <w:gridSpan w:val="2"/>
            <w:vAlign w:val="center"/>
          </w:tcPr>
          <w:p w14:paraId="027D10B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1.01</w:t>
            </w:r>
          </w:p>
        </w:tc>
        <w:tc>
          <w:tcPr>
            <w:tcW w:w="452" w:type="pct"/>
            <w:gridSpan w:val="2"/>
            <w:vAlign w:val="center"/>
          </w:tcPr>
          <w:p w14:paraId="12F6867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1.04</w:t>
            </w:r>
          </w:p>
        </w:tc>
        <w:tc>
          <w:tcPr>
            <w:tcW w:w="401" w:type="pct"/>
            <w:gridSpan w:val="2"/>
            <w:vAlign w:val="center"/>
          </w:tcPr>
          <w:p w14:paraId="169111C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2.65</w:t>
            </w:r>
          </w:p>
        </w:tc>
        <w:tc>
          <w:tcPr>
            <w:tcW w:w="501" w:type="pct"/>
            <w:gridSpan w:val="2"/>
            <w:vAlign w:val="center"/>
          </w:tcPr>
          <w:p w14:paraId="5663862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0.07</w:t>
            </w:r>
          </w:p>
        </w:tc>
        <w:tc>
          <w:tcPr>
            <w:tcW w:w="452" w:type="pct"/>
            <w:vAlign w:val="center"/>
          </w:tcPr>
          <w:p w14:paraId="431FAE3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0.22</w:t>
            </w:r>
          </w:p>
        </w:tc>
        <w:tc>
          <w:tcPr>
            <w:tcW w:w="352" w:type="pct"/>
            <w:gridSpan w:val="2"/>
            <w:vAlign w:val="center"/>
          </w:tcPr>
          <w:p w14:paraId="316A3D9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0.22</w:t>
            </w:r>
          </w:p>
        </w:tc>
        <w:tc>
          <w:tcPr>
            <w:tcW w:w="452" w:type="pct"/>
            <w:gridSpan w:val="2"/>
            <w:vAlign w:val="center"/>
          </w:tcPr>
          <w:p w14:paraId="53CA38C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0.03</w:t>
            </w:r>
          </w:p>
        </w:tc>
        <w:tc>
          <w:tcPr>
            <w:tcW w:w="806" w:type="pct"/>
            <w:gridSpan w:val="2"/>
            <w:vAlign w:val="center"/>
          </w:tcPr>
          <w:p w14:paraId="0FF1F3F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0.79</w:t>
            </w:r>
          </w:p>
        </w:tc>
      </w:tr>
      <w:tr w:rsidR="005613F1" w:rsidRPr="0017181D" w14:paraId="6AFCB733" w14:textId="77777777" w:rsidTr="005D672D">
        <w:trPr>
          <w:trHeight w:val="20"/>
        </w:trPr>
        <w:tc>
          <w:tcPr>
            <w:tcW w:w="617" w:type="pct"/>
            <w:vAlign w:val="center"/>
            <w:hideMark/>
          </w:tcPr>
          <w:p w14:paraId="67EDF194"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CD at 5%</w:t>
            </w:r>
          </w:p>
        </w:tc>
        <w:tc>
          <w:tcPr>
            <w:tcW w:w="545" w:type="pct"/>
            <w:gridSpan w:val="3"/>
            <w:vMerge/>
            <w:vAlign w:val="center"/>
            <w:hideMark/>
          </w:tcPr>
          <w:p w14:paraId="2E59B952" w14:textId="77777777" w:rsidR="005613F1" w:rsidRPr="0017181D" w:rsidRDefault="005613F1" w:rsidP="000B22E8">
            <w:pPr>
              <w:contextualSpacing/>
              <w:rPr>
                <w:rFonts w:ascii="Arial" w:eastAsia="Calibri" w:hAnsi="Arial" w:cs="Arial"/>
                <w:color w:val="000000" w:themeColor="text1"/>
              </w:rPr>
            </w:pPr>
          </w:p>
        </w:tc>
        <w:tc>
          <w:tcPr>
            <w:tcW w:w="422" w:type="pct"/>
            <w:gridSpan w:val="2"/>
            <w:vAlign w:val="center"/>
          </w:tcPr>
          <w:p w14:paraId="4327509C"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2.81</w:t>
            </w:r>
          </w:p>
        </w:tc>
        <w:tc>
          <w:tcPr>
            <w:tcW w:w="452" w:type="pct"/>
            <w:gridSpan w:val="2"/>
            <w:vAlign w:val="center"/>
          </w:tcPr>
          <w:p w14:paraId="564C57F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2.89</w:t>
            </w:r>
          </w:p>
        </w:tc>
        <w:tc>
          <w:tcPr>
            <w:tcW w:w="401" w:type="pct"/>
            <w:gridSpan w:val="2"/>
            <w:vAlign w:val="center"/>
          </w:tcPr>
          <w:p w14:paraId="49D8BDFC"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7.37</w:t>
            </w:r>
          </w:p>
        </w:tc>
        <w:tc>
          <w:tcPr>
            <w:tcW w:w="501" w:type="pct"/>
            <w:gridSpan w:val="2"/>
            <w:vAlign w:val="center"/>
          </w:tcPr>
          <w:p w14:paraId="1AFD390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0.19</w:t>
            </w:r>
          </w:p>
        </w:tc>
        <w:tc>
          <w:tcPr>
            <w:tcW w:w="452" w:type="pct"/>
            <w:vAlign w:val="center"/>
          </w:tcPr>
          <w:p w14:paraId="7F826CA7"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0.61</w:t>
            </w:r>
          </w:p>
        </w:tc>
        <w:tc>
          <w:tcPr>
            <w:tcW w:w="352" w:type="pct"/>
            <w:gridSpan w:val="2"/>
            <w:vAlign w:val="center"/>
          </w:tcPr>
          <w:p w14:paraId="498F471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0.61</w:t>
            </w:r>
          </w:p>
        </w:tc>
        <w:tc>
          <w:tcPr>
            <w:tcW w:w="452" w:type="pct"/>
            <w:gridSpan w:val="2"/>
            <w:vAlign w:val="center"/>
          </w:tcPr>
          <w:p w14:paraId="18A62F8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0.08</w:t>
            </w:r>
          </w:p>
        </w:tc>
        <w:tc>
          <w:tcPr>
            <w:tcW w:w="806" w:type="pct"/>
            <w:gridSpan w:val="2"/>
            <w:vAlign w:val="center"/>
          </w:tcPr>
          <w:p w14:paraId="3A79BAB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2.20</w:t>
            </w:r>
          </w:p>
        </w:tc>
      </w:tr>
      <w:tr w:rsidR="005613F1" w:rsidRPr="0017181D" w14:paraId="43630CC5" w14:textId="77777777" w:rsidTr="005D672D">
        <w:trPr>
          <w:trHeight w:val="20"/>
        </w:trPr>
        <w:tc>
          <w:tcPr>
            <w:tcW w:w="617" w:type="pct"/>
            <w:vAlign w:val="center"/>
            <w:hideMark/>
          </w:tcPr>
          <w:p w14:paraId="7C0D0C9F"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CV (%)</w:t>
            </w:r>
          </w:p>
        </w:tc>
        <w:tc>
          <w:tcPr>
            <w:tcW w:w="545" w:type="pct"/>
            <w:gridSpan w:val="3"/>
            <w:vMerge/>
            <w:vAlign w:val="center"/>
            <w:hideMark/>
          </w:tcPr>
          <w:p w14:paraId="1BAA1B96" w14:textId="77777777" w:rsidR="005613F1" w:rsidRPr="0017181D" w:rsidRDefault="005613F1" w:rsidP="000B22E8">
            <w:pPr>
              <w:contextualSpacing/>
              <w:rPr>
                <w:rFonts w:ascii="Arial" w:eastAsia="Calibri" w:hAnsi="Arial" w:cs="Arial"/>
                <w:color w:val="000000" w:themeColor="text1"/>
              </w:rPr>
            </w:pPr>
          </w:p>
        </w:tc>
        <w:tc>
          <w:tcPr>
            <w:tcW w:w="422" w:type="pct"/>
            <w:gridSpan w:val="2"/>
            <w:vAlign w:val="center"/>
          </w:tcPr>
          <w:p w14:paraId="67F10BA7"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2.54</w:t>
            </w:r>
          </w:p>
        </w:tc>
        <w:tc>
          <w:tcPr>
            <w:tcW w:w="452" w:type="pct"/>
            <w:gridSpan w:val="2"/>
            <w:vAlign w:val="center"/>
          </w:tcPr>
          <w:p w14:paraId="2558EE6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1.74</w:t>
            </w:r>
          </w:p>
        </w:tc>
        <w:tc>
          <w:tcPr>
            <w:tcW w:w="401" w:type="pct"/>
            <w:gridSpan w:val="2"/>
            <w:vAlign w:val="center"/>
          </w:tcPr>
          <w:p w14:paraId="5FBF562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4.04</w:t>
            </w:r>
          </w:p>
        </w:tc>
        <w:tc>
          <w:tcPr>
            <w:tcW w:w="501" w:type="pct"/>
            <w:gridSpan w:val="2"/>
            <w:vAlign w:val="center"/>
          </w:tcPr>
          <w:p w14:paraId="4A59543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5.73</w:t>
            </w:r>
          </w:p>
        </w:tc>
        <w:tc>
          <w:tcPr>
            <w:tcW w:w="452" w:type="pct"/>
            <w:vAlign w:val="center"/>
          </w:tcPr>
          <w:p w14:paraId="5FFF817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4.81</w:t>
            </w:r>
          </w:p>
        </w:tc>
        <w:tc>
          <w:tcPr>
            <w:tcW w:w="352" w:type="pct"/>
            <w:gridSpan w:val="2"/>
            <w:vAlign w:val="center"/>
          </w:tcPr>
          <w:p w14:paraId="6817804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5.20</w:t>
            </w:r>
          </w:p>
        </w:tc>
        <w:tc>
          <w:tcPr>
            <w:tcW w:w="452" w:type="pct"/>
            <w:gridSpan w:val="2"/>
            <w:vAlign w:val="center"/>
          </w:tcPr>
          <w:p w14:paraId="68A05ABC"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4.54</w:t>
            </w:r>
          </w:p>
        </w:tc>
        <w:tc>
          <w:tcPr>
            <w:tcW w:w="806" w:type="pct"/>
            <w:gridSpan w:val="2"/>
            <w:vAlign w:val="center"/>
          </w:tcPr>
          <w:p w14:paraId="6AC5DAA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9.62</w:t>
            </w:r>
          </w:p>
        </w:tc>
      </w:tr>
      <w:tr w:rsidR="005613F1" w:rsidRPr="0017181D" w14:paraId="3D2D79A1" w14:textId="77777777" w:rsidTr="005D672D">
        <w:trPr>
          <w:trHeight w:val="20"/>
        </w:trPr>
        <w:tc>
          <w:tcPr>
            <w:tcW w:w="5000" w:type="pct"/>
            <w:gridSpan w:val="19"/>
            <w:vAlign w:val="center"/>
          </w:tcPr>
          <w:p w14:paraId="49EDA706" w14:textId="77777777" w:rsidR="005613F1" w:rsidRPr="0017181D" w:rsidRDefault="005613F1" w:rsidP="000B22E8">
            <w:pPr>
              <w:contextualSpacing/>
              <w:rPr>
                <w:rFonts w:ascii="Arial" w:eastAsia="Calibri" w:hAnsi="Arial" w:cs="Arial"/>
                <w:color w:val="000000" w:themeColor="text1"/>
              </w:rPr>
            </w:pPr>
          </w:p>
        </w:tc>
      </w:tr>
      <w:tr w:rsidR="005613F1" w:rsidRPr="0017181D" w14:paraId="401BBDBC" w14:textId="77777777" w:rsidTr="005D672D">
        <w:trPr>
          <w:trHeight w:val="20"/>
        </w:trPr>
        <w:tc>
          <w:tcPr>
            <w:tcW w:w="638" w:type="pct"/>
            <w:gridSpan w:val="2"/>
            <w:vMerge w:val="restart"/>
            <w:vAlign w:val="center"/>
            <w:hideMark/>
          </w:tcPr>
          <w:p w14:paraId="149FF746"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Source   of variation</w:t>
            </w:r>
          </w:p>
        </w:tc>
        <w:tc>
          <w:tcPr>
            <w:tcW w:w="505" w:type="pct"/>
            <w:vMerge w:val="restart"/>
            <w:vAlign w:val="center"/>
            <w:hideMark/>
          </w:tcPr>
          <w:p w14:paraId="57DDED7A"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DF</w:t>
            </w:r>
          </w:p>
        </w:tc>
        <w:tc>
          <w:tcPr>
            <w:tcW w:w="3857" w:type="pct"/>
            <w:gridSpan w:val="16"/>
            <w:vAlign w:val="center"/>
            <w:hideMark/>
          </w:tcPr>
          <w:p w14:paraId="77EC523C" w14:textId="77777777" w:rsidR="005613F1" w:rsidRPr="0017181D" w:rsidRDefault="005613F1" w:rsidP="000B22E8">
            <w:pPr>
              <w:contextualSpacing/>
              <w:jc w:val="center"/>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Mean sum of square</w:t>
            </w:r>
          </w:p>
        </w:tc>
      </w:tr>
      <w:tr w:rsidR="005613F1" w:rsidRPr="0017181D" w14:paraId="34BACBC4" w14:textId="77777777" w:rsidTr="005D672D">
        <w:trPr>
          <w:trHeight w:val="20"/>
        </w:trPr>
        <w:tc>
          <w:tcPr>
            <w:tcW w:w="638" w:type="pct"/>
            <w:gridSpan w:val="2"/>
            <w:vMerge/>
            <w:vAlign w:val="center"/>
            <w:hideMark/>
          </w:tcPr>
          <w:p w14:paraId="034AAB8B" w14:textId="77777777" w:rsidR="005613F1" w:rsidRPr="0017181D" w:rsidRDefault="005613F1" w:rsidP="000B22E8">
            <w:pPr>
              <w:contextualSpacing/>
              <w:rPr>
                <w:rFonts w:ascii="Arial" w:eastAsia="Calibri" w:hAnsi="Arial" w:cs="Arial"/>
                <w:b/>
                <w:bCs/>
                <w:color w:val="000000" w:themeColor="text1"/>
                <w:lang w:eastAsia="en-IN"/>
              </w:rPr>
            </w:pPr>
          </w:p>
        </w:tc>
        <w:tc>
          <w:tcPr>
            <w:tcW w:w="505" w:type="pct"/>
            <w:vMerge/>
            <w:vAlign w:val="center"/>
            <w:hideMark/>
          </w:tcPr>
          <w:p w14:paraId="62A3A998" w14:textId="77777777" w:rsidR="005613F1" w:rsidRPr="0017181D" w:rsidRDefault="005613F1" w:rsidP="000B22E8">
            <w:pPr>
              <w:contextualSpacing/>
              <w:rPr>
                <w:rFonts w:ascii="Arial" w:eastAsia="Calibri" w:hAnsi="Arial" w:cs="Arial"/>
                <w:b/>
                <w:bCs/>
                <w:color w:val="000000" w:themeColor="text1"/>
                <w:lang w:eastAsia="en-IN"/>
              </w:rPr>
            </w:pPr>
          </w:p>
        </w:tc>
        <w:tc>
          <w:tcPr>
            <w:tcW w:w="430" w:type="pct"/>
            <w:gridSpan w:val="2"/>
            <w:vAlign w:val="center"/>
            <w:hideMark/>
          </w:tcPr>
          <w:p w14:paraId="3BAE0B9B" w14:textId="77777777" w:rsidR="005613F1" w:rsidRPr="0017181D" w:rsidRDefault="005613F1" w:rsidP="000B22E8">
            <w:pPr>
              <w:ind w:right="-48"/>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1000 Seed weight (g)</w:t>
            </w:r>
          </w:p>
        </w:tc>
        <w:tc>
          <w:tcPr>
            <w:tcW w:w="403" w:type="pct"/>
            <w:gridSpan w:val="2"/>
            <w:vAlign w:val="center"/>
            <w:hideMark/>
          </w:tcPr>
          <w:p w14:paraId="1F000C8E"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 xml:space="preserve">Harvest index </w:t>
            </w:r>
          </w:p>
          <w:p w14:paraId="5FEE75DB"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w:t>
            </w:r>
          </w:p>
          <w:p w14:paraId="5A2C3D55" w14:textId="77777777" w:rsidR="005613F1" w:rsidRPr="0017181D" w:rsidRDefault="005613F1" w:rsidP="000B22E8">
            <w:pPr>
              <w:contextualSpacing/>
              <w:rPr>
                <w:rFonts w:ascii="Arial" w:eastAsia="Calibri" w:hAnsi="Arial" w:cs="Arial"/>
                <w:b/>
                <w:bCs/>
                <w:color w:val="000000" w:themeColor="text1"/>
                <w:lang w:eastAsia="en-IN"/>
              </w:rPr>
            </w:pPr>
          </w:p>
        </w:tc>
        <w:tc>
          <w:tcPr>
            <w:tcW w:w="408" w:type="pct"/>
            <w:gridSpan w:val="2"/>
            <w:vAlign w:val="center"/>
            <w:hideMark/>
          </w:tcPr>
          <w:p w14:paraId="6E39B97F"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Fodder yield per plant (g)</w:t>
            </w:r>
          </w:p>
        </w:tc>
        <w:tc>
          <w:tcPr>
            <w:tcW w:w="470" w:type="pct"/>
            <w:gridSpan w:val="2"/>
            <w:vAlign w:val="center"/>
            <w:hideMark/>
          </w:tcPr>
          <w:p w14:paraId="378E3240"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lang w:eastAsia="en-IN"/>
              </w:rPr>
              <w:t>Grain yield per plant (g)</w:t>
            </w:r>
          </w:p>
        </w:tc>
        <w:tc>
          <w:tcPr>
            <w:tcW w:w="564" w:type="pct"/>
            <w:gridSpan w:val="3"/>
            <w:vAlign w:val="center"/>
          </w:tcPr>
          <w:p w14:paraId="652A977E" w14:textId="77777777" w:rsidR="005613F1" w:rsidRPr="0017181D" w:rsidRDefault="005613F1" w:rsidP="000B22E8">
            <w:pPr>
              <w:contextualSpacing/>
              <w:rPr>
                <w:rFonts w:ascii="Arial" w:eastAsia="Calibri" w:hAnsi="Arial" w:cs="Arial"/>
                <w:b/>
                <w:bCs/>
                <w:color w:val="000000" w:themeColor="text1"/>
              </w:rPr>
            </w:pPr>
            <w:r w:rsidRPr="0017181D">
              <w:rPr>
                <w:rFonts w:ascii="Arial" w:eastAsia="Calibri" w:hAnsi="Arial" w:cs="Arial"/>
                <w:b/>
                <w:bCs/>
                <w:color w:val="000000" w:themeColor="text1"/>
              </w:rPr>
              <w:t>Protein content (%)</w:t>
            </w:r>
          </w:p>
        </w:tc>
        <w:tc>
          <w:tcPr>
            <w:tcW w:w="565" w:type="pct"/>
            <w:gridSpan w:val="2"/>
            <w:vAlign w:val="center"/>
          </w:tcPr>
          <w:p w14:paraId="2E02993D" w14:textId="77777777" w:rsidR="005613F1" w:rsidRPr="0017181D" w:rsidRDefault="005613F1" w:rsidP="000B22E8">
            <w:pPr>
              <w:contextualSpacing/>
              <w:rPr>
                <w:rFonts w:ascii="Arial" w:eastAsia="Calibri" w:hAnsi="Arial" w:cs="Arial"/>
                <w:b/>
                <w:bCs/>
                <w:color w:val="000000" w:themeColor="text1"/>
              </w:rPr>
            </w:pPr>
            <w:r w:rsidRPr="0017181D">
              <w:rPr>
                <w:rFonts w:ascii="Arial" w:eastAsia="Calibri" w:hAnsi="Arial" w:cs="Arial"/>
                <w:b/>
                <w:bCs/>
                <w:color w:val="000000" w:themeColor="text1"/>
              </w:rPr>
              <w:t>Calcium content (mg/100g)</w:t>
            </w:r>
          </w:p>
        </w:tc>
        <w:tc>
          <w:tcPr>
            <w:tcW w:w="503" w:type="pct"/>
            <w:gridSpan w:val="2"/>
            <w:vAlign w:val="center"/>
          </w:tcPr>
          <w:p w14:paraId="34BD722E" w14:textId="77777777" w:rsidR="005613F1" w:rsidRPr="0017181D" w:rsidRDefault="005613F1" w:rsidP="000B22E8">
            <w:pPr>
              <w:contextualSpacing/>
              <w:rPr>
                <w:rFonts w:ascii="Arial" w:eastAsia="Calibri" w:hAnsi="Arial" w:cs="Arial"/>
                <w:b/>
                <w:bCs/>
                <w:color w:val="000000" w:themeColor="text1"/>
                <w:lang w:eastAsia="en-IN"/>
              </w:rPr>
            </w:pPr>
            <w:r w:rsidRPr="0017181D">
              <w:rPr>
                <w:rFonts w:ascii="Arial" w:eastAsia="Calibri" w:hAnsi="Arial" w:cs="Arial"/>
                <w:b/>
                <w:bCs/>
                <w:color w:val="000000" w:themeColor="text1"/>
              </w:rPr>
              <w:t>Iron content (mg/100g)</w:t>
            </w:r>
          </w:p>
        </w:tc>
        <w:tc>
          <w:tcPr>
            <w:tcW w:w="514" w:type="pct"/>
            <w:vAlign w:val="center"/>
          </w:tcPr>
          <w:p w14:paraId="62D23151" w14:textId="77777777" w:rsidR="005613F1" w:rsidRPr="0017181D" w:rsidRDefault="005613F1" w:rsidP="000B22E8">
            <w:pPr>
              <w:contextualSpacing/>
              <w:rPr>
                <w:rFonts w:ascii="Arial" w:eastAsia="Calibri" w:hAnsi="Arial" w:cs="Arial"/>
                <w:b/>
                <w:bCs/>
                <w:color w:val="000000" w:themeColor="text1"/>
              </w:rPr>
            </w:pPr>
            <w:r w:rsidRPr="0017181D">
              <w:rPr>
                <w:rFonts w:ascii="Arial" w:eastAsia="Calibri" w:hAnsi="Arial" w:cs="Arial"/>
                <w:b/>
                <w:bCs/>
                <w:color w:val="000000" w:themeColor="text1"/>
              </w:rPr>
              <w:t>Crude fiber content (%)</w:t>
            </w:r>
          </w:p>
        </w:tc>
      </w:tr>
      <w:tr w:rsidR="005613F1" w:rsidRPr="0017181D" w14:paraId="2D43986C" w14:textId="77777777" w:rsidTr="005D672D">
        <w:trPr>
          <w:trHeight w:val="20"/>
        </w:trPr>
        <w:tc>
          <w:tcPr>
            <w:tcW w:w="638" w:type="pct"/>
            <w:gridSpan w:val="2"/>
            <w:vAlign w:val="center"/>
            <w:hideMark/>
          </w:tcPr>
          <w:p w14:paraId="7D27E1C9"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Replications</w:t>
            </w:r>
          </w:p>
        </w:tc>
        <w:tc>
          <w:tcPr>
            <w:tcW w:w="505" w:type="pct"/>
            <w:hideMark/>
          </w:tcPr>
          <w:p w14:paraId="7E0DD613"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2</w:t>
            </w:r>
          </w:p>
        </w:tc>
        <w:tc>
          <w:tcPr>
            <w:tcW w:w="430" w:type="pct"/>
            <w:gridSpan w:val="2"/>
            <w:vAlign w:val="bottom"/>
            <w:hideMark/>
          </w:tcPr>
          <w:p w14:paraId="73DA930E"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0.0009</w:t>
            </w:r>
          </w:p>
        </w:tc>
        <w:tc>
          <w:tcPr>
            <w:tcW w:w="403" w:type="pct"/>
            <w:gridSpan w:val="2"/>
            <w:vAlign w:val="bottom"/>
            <w:hideMark/>
          </w:tcPr>
          <w:p w14:paraId="23487F8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4.16</w:t>
            </w:r>
          </w:p>
        </w:tc>
        <w:tc>
          <w:tcPr>
            <w:tcW w:w="408" w:type="pct"/>
            <w:gridSpan w:val="2"/>
            <w:vAlign w:val="bottom"/>
            <w:hideMark/>
          </w:tcPr>
          <w:p w14:paraId="2F51A9E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0.04</w:t>
            </w:r>
          </w:p>
        </w:tc>
        <w:tc>
          <w:tcPr>
            <w:tcW w:w="470" w:type="pct"/>
            <w:gridSpan w:val="2"/>
            <w:vAlign w:val="bottom"/>
            <w:hideMark/>
          </w:tcPr>
          <w:p w14:paraId="6AF0A5F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0.56</w:t>
            </w:r>
          </w:p>
        </w:tc>
        <w:tc>
          <w:tcPr>
            <w:tcW w:w="564" w:type="pct"/>
            <w:gridSpan w:val="3"/>
            <w:vAlign w:val="bottom"/>
            <w:hideMark/>
          </w:tcPr>
          <w:p w14:paraId="2D1AD4E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0.039</w:t>
            </w:r>
          </w:p>
        </w:tc>
        <w:tc>
          <w:tcPr>
            <w:tcW w:w="565" w:type="pct"/>
            <w:gridSpan w:val="2"/>
            <w:vAlign w:val="bottom"/>
            <w:hideMark/>
          </w:tcPr>
          <w:p w14:paraId="7966B7B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35.07</w:t>
            </w:r>
          </w:p>
        </w:tc>
        <w:tc>
          <w:tcPr>
            <w:tcW w:w="503" w:type="pct"/>
            <w:gridSpan w:val="2"/>
            <w:vAlign w:val="bottom"/>
            <w:hideMark/>
          </w:tcPr>
          <w:p w14:paraId="74A22BA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0.0028</w:t>
            </w:r>
          </w:p>
        </w:tc>
        <w:tc>
          <w:tcPr>
            <w:tcW w:w="514" w:type="pct"/>
            <w:vAlign w:val="bottom"/>
            <w:hideMark/>
          </w:tcPr>
          <w:p w14:paraId="0C72DAE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0.0054</w:t>
            </w:r>
          </w:p>
        </w:tc>
      </w:tr>
      <w:tr w:rsidR="005613F1" w:rsidRPr="0017181D" w14:paraId="57F1DCFE" w14:textId="77777777" w:rsidTr="005D672D">
        <w:trPr>
          <w:trHeight w:val="20"/>
        </w:trPr>
        <w:tc>
          <w:tcPr>
            <w:tcW w:w="638" w:type="pct"/>
            <w:gridSpan w:val="2"/>
            <w:noWrap/>
            <w:vAlign w:val="bottom"/>
            <w:hideMark/>
          </w:tcPr>
          <w:p w14:paraId="153B20EF"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Environments</w:t>
            </w:r>
          </w:p>
        </w:tc>
        <w:tc>
          <w:tcPr>
            <w:tcW w:w="505" w:type="pct"/>
            <w:hideMark/>
          </w:tcPr>
          <w:p w14:paraId="186B1F0F"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3</w:t>
            </w:r>
          </w:p>
        </w:tc>
        <w:tc>
          <w:tcPr>
            <w:tcW w:w="430" w:type="pct"/>
            <w:gridSpan w:val="2"/>
            <w:vAlign w:val="bottom"/>
            <w:hideMark/>
          </w:tcPr>
          <w:p w14:paraId="609338B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0.041**</w:t>
            </w:r>
          </w:p>
        </w:tc>
        <w:tc>
          <w:tcPr>
            <w:tcW w:w="403" w:type="pct"/>
            <w:gridSpan w:val="2"/>
            <w:vAlign w:val="bottom"/>
            <w:hideMark/>
          </w:tcPr>
          <w:p w14:paraId="0AF2F1F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76.24**</w:t>
            </w:r>
          </w:p>
        </w:tc>
        <w:tc>
          <w:tcPr>
            <w:tcW w:w="408" w:type="pct"/>
            <w:gridSpan w:val="2"/>
            <w:vAlign w:val="bottom"/>
            <w:hideMark/>
          </w:tcPr>
          <w:p w14:paraId="253A2AE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95.65**</w:t>
            </w:r>
          </w:p>
        </w:tc>
        <w:tc>
          <w:tcPr>
            <w:tcW w:w="470" w:type="pct"/>
            <w:gridSpan w:val="2"/>
            <w:vAlign w:val="bottom"/>
            <w:hideMark/>
          </w:tcPr>
          <w:p w14:paraId="438D08B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16.89**</w:t>
            </w:r>
          </w:p>
        </w:tc>
        <w:tc>
          <w:tcPr>
            <w:tcW w:w="564" w:type="pct"/>
            <w:gridSpan w:val="3"/>
            <w:vAlign w:val="bottom"/>
            <w:hideMark/>
          </w:tcPr>
          <w:p w14:paraId="1494D0D8"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0.0053</w:t>
            </w:r>
          </w:p>
        </w:tc>
        <w:tc>
          <w:tcPr>
            <w:tcW w:w="565" w:type="pct"/>
            <w:gridSpan w:val="2"/>
            <w:vAlign w:val="bottom"/>
            <w:hideMark/>
          </w:tcPr>
          <w:p w14:paraId="2C1C98F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16.82</w:t>
            </w:r>
          </w:p>
        </w:tc>
        <w:tc>
          <w:tcPr>
            <w:tcW w:w="503" w:type="pct"/>
            <w:gridSpan w:val="2"/>
            <w:vAlign w:val="bottom"/>
            <w:hideMark/>
          </w:tcPr>
          <w:p w14:paraId="6024A21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0.0006</w:t>
            </w:r>
          </w:p>
        </w:tc>
        <w:tc>
          <w:tcPr>
            <w:tcW w:w="514" w:type="pct"/>
            <w:vAlign w:val="bottom"/>
            <w:hideMark/>
          </w:tcPr>
          <w:p w14:paraId="786BBB0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0.0027</w:t>
            </w:r>
          </w:p>
        </w:tc>
      </w:tr>
      <w:tr w:rsidR="005613F1" w:rsidRPr="0017181D" w14:paraId="7C5DB14B" w14:textId="77777777" w:rsidTr="005D672D">
        <w:trPr>
          <w:trHeight w:val="20"/>
        </w:trPr>
        <w:tc>
          <w:tcPr>
            <w:tcW w:w="638" w:type="pct"/>
            <w:gridSpan w:val="2"/>
            <w:noWrap/>
            <w:vAlign w:val="bottom"/>
          </w:tcPr>
          <w:p w14:paraId="74B7EEFC"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Genotypes</w:t>
            </w:r>
          </w:p>
        </w:tc>
        <w:tc>
          <w:tcPr>
            <w:tcW w:w="505" w:type="pct"/>
          </w:tcPr>
          <w:p w14:paraId="4F583D45"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44</w:t>
            </w:r>
          </w:p>
        </w:tc>
        <w:tc>
          <w:tcPr>
            <w:tcW w:w="430" w:type="pct"/>
            <w:gridSpan w:val="2"/>
            <w:vAlign w:val="bottom"/>
          </w:tcPr>
          <w:p w14:paraId="0733667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1.30**</w:t>
            </w:r>
          </w:p>
        </w:tc>
        <w:tc>
          <w:tcPr>
            <w:tcW w:w="403" w:type="pct"/>
            <w:gridSpan w:val="2"/>
            <w:vAlign w:val="bottom"/>
          </w:tcPr>
          <w:p w14:paraId="59EFD53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218.13**</w:t>
            </w:r>
          </w:p>
        </w:tc>
        <w:tc>
          <w:tcPr>
            <w:tcW w:w="408" w:type="pct"/>
            <w:gridSpan w:val="2"/>
            <w:vAlign w:val="bottom"/>
          </w:tcPr>
          <w:p w14:paraId="60D3E9A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130.03**</w:t>
            </w:r>
          </w:p>
        </w:tc>
        <w:tc>
          <w:tcPr>
            <w:tcW w:w="470" w:type="pct"/>
            <w:gridSpan w:val="2"/>
            <w:vAlign w:val="bottom"/>
          </w:tcPr>
          <w:p w14:paraId="3CB7DF3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27.98**</w:t>
            </w:r>
          </w:p>
        </w:tc>
        <w:tc>
          <w:tcPr>
            <w:tcW w:w="564" w:type="pct"/>
            <w:gridSpan w:val="3"/>
            <w:vAlign w:val="bottom"/>
          </w:tcPr>
          <w:p w14:paraId="74FA6318"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19.75**</w:t>
            </w:r>
          </w:p>
        </w:tc>
        <w:tc>
          <w:tcPr>
            <w:tcW w:w="565" w:type="pct"/>
            <w:gridSpan w:val="2"/>
            <w:vAlign w:val="bottom"/>
          </w:tcPr>
          <w:p w14:paraId="44B8791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28376.21**</w:t>
            </w:r>
          </w:p>
        </w:tc>
        <w:tc>
          <w:tcPr>
            <w:tcW w:w="503" w:type="pct"/>
            <w:gridSpan w:val="2"/>
            <w:vAlign w:val="bottom"/>
          </w:tcPr>
          <w:p w14:paraId="740969F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11.42**</w:t>
            </w:r>
          </w:p>
        </w:tc>
        <w:tc>
          <w:tcPr>
            <w:tcW w:w="514" w:type="pct"/>
            <w:vAlign w:val="bottom"/>
          </w:tcPr>
          <w:p w14:paraId="2834604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7.08**</w:t>
            </w:r>
          </w:p>
        </w:tc>
      </w:tr>
      <w:tr w:rsidR="005613F1" w:rsidRPr="0017181D" w14:paraId="420C9ED8" w14:textId="77777777" w:rsidTr="005D672D">
        <w:trPr>
          <w:trHeight w:val="20"/>
        </w:trPr>
        <w:tc>
          <w:tcPr>
            <w:tcW w:w="638" w:type="pct"/>
            <w:gridSpan w:val="2"/>
            <w:noWrap/>
            <w:vAlign w:val="bottom"/>
          </w:tcPr>
          <w:p w14:paraId="31678AF9"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 xml:space="preserve">G </w:t>
            </w:r>
            <w:r w:rsidRPr="0017181D">
              <w:rPr>
                <w:rFonts w:ascii="Arial" w:eastAsia="Calibri" w:hAnsi="Arial" w:cs="Arial"/>
                <w:b/>
                <w:bCs/>
                <w:color w:val="000000" w:themeColor="text1"/>
                <w:lang w:eastAsia="en-IN"/>
              </w:rPr>
              <w:t>×</w:t>
            </w:r>
            <w:r w:rsidRPr="0017181D">
              <w:rPr>
                <w:rFonts w:ascii="Arial" w:eastAsia="Calibri" w:hAnsi="Arial" w:cs="Arial"/>
                <w:color w:val="000000" w:themeColor="text1"/>
                <w:lang w:eastAsia="en-IN"/>
              </w:rPr>
              <w:t xml:space="preserve"> E</w:t>
            </w:r>
          </w:p>
        </w:tc>
        <w:tc>
          <w:tcPr>
            <w:tcW w:w="505" w:type="pct"/>
          </w:tcPr>
          <w:p w14:paraId="6C4B4EB1"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132</w:t>
            </w:r>
          </w:p>
        </w:tc>
        <w:tc>
          <w:tcPr>
            <w:tcW w:w="430" w:type="pct"/>
            <w:gridSpan w:val="2"/>
            <w:vAlign w:val="bottom"/>
          </w:tcPr>
          <w:p w14:paraId="2016CD2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0.011**</w:t>
            </w:r>
          </w:p>
        </w:tc>
        <w:tc>
          <w:tcPr>
            <w:tcW w:w="403" w:type="pct"/>
            <w:gridSpan w:val="2"/>
            <w:vAlign w:val="bottom"/>
          </w:tcPr>
          <w:p w14:paraId="25C8CD3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20.48**</w:t>
            </w:r>
          </w:p>
        </w:tc>
        <w:tc>
          <w:tcPr>
            <w:tcW w:w="408" w:type="pct"/>
            <w:gridSpan w:val="2"/>
            <w:vAlign w:val="bottom"/>
          </w:tcPr>
          <w:p w14:paraId="2374DF5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17.01**</w:t>
            </w:r>
          </w:p>
        </w:tc>
        <w:tc>
          <w:tcPr>
            <w:tcW w:w="470" w:type="pct"/>
            <w:gridSpan w:val="2"/>
            <w:vAlign w:val="bottom"/>
          </w:tcPr>
          <w:p w14:paraId="55A7EC5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3.52**</w:t>
            </w:r>
          </w:p>
        </w:tc>
        <w:tc>
          <w:tcPr>
            <w:tcW w:w="564" w:type="pct"/>
            <w:gridSpan w:val="3"/>
            <w:vAlign w:val="bottom"/>
          </w:tcPr>
          <w:p w14:paraId="262264C7"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0.0202</w:t>
            </w:r>
          </w:p>
        </w:tc>
        <w:tc>
          <w:tcPr>
            <w:tcW w:w="565" w:type="pct"/>
            <w:gridSpan w:val="2"/>
            <w:vAlign w:val="bottom"/>
          </w:tcPr>
          <w:p w14:paraId="1080EF5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14.61</w:t>
            </w:r>
          </w:p>
        </w:tc>
        <w:tc>
          <w:tcPr>
            <w:tcW w:w="503" w:type="pct"/>
            <w:gridSpan w:val="2"/>
            <w:vAlign w:val="bottom"/>
          </w:tcPr>
          <w:p w14:paraId="3D6B06FE"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0.0011</w:t>
            </w:r>
          </w:p>
        </w:tc>
        <w:tc>
          <w:tcPr>
            <w:tcW w:w="514" w:type="pct"/>
            <w:vAlign w:val="bottom"/>
          </w:tcPr>
          <w:p w14:paraId="4DF81A0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0.003</w:t>
            </w:r>
          </w:p>
        </w:tc>
      </w:tr>
      <w:tr w:rsidR="005613F1" w:rsidRPr="0017181D" w14:paraId="64FFC672" w14:textId="77777777" w:rsidTr="005D672D">
        <w:trPr>
          <w:trHeight w:val="20"/>
        </w:trPr>
        <w:tc>
          <w:tcPr>
            <w:tcW w:w="638" w:type="pct"/>
            <w:gridSpan w:val="2"/>
            <w:vAlign w:val="center"/>
            <w:hideMark/>
          </w:tcPr>
          <w:p w14:paraId="7936A5CC"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Pooled Error</w:t>
            </w:r>
          </w:p>
        </w:tc>
        <w:tc>
          <w:tcPr>
            <w:tcW w:w="505" w:type="pct"/>
            <w:hideMark/>
          </w:tcPr>
          <w:p w14:paraId="40838170"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rPr>
              <w:t>358</w:t>
            </w:r>
          </w:p>
        </w:tc>
        <w:tc>
          <w:tcPr>
            <w:tcW w:w="430" w:type="pct"/>
            <w:gridSpan w:val="2"/>
            <w:vAlign w:val="bottom"/>
            <w:hideMark/>
          </w:tcPr>
          <w:p w14:paraId="1009891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0.0014</w:t>
            </w:r>
          </w:p>
        </w:tc>
        <w:tc>
          <w:tcPr>
            <w:tcW w:w="403" w:type="pct"/>
            <w:gridSpan w:val="2"/>
            <w:vAlign w:val="bottom"/>
            <w:hideMark/>
          </w:tcPr>
          <w:p w14:paraId="58DE1F2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4.27</w:t>
            </w:r>
          </w:p>
        </w:tc>
        <w:tc>
          <w:tcPr>
            <w:tcW w:w="408" w:type="pct"/>
            <w:gridSpan w:val="2"/>
            <w:vAlign w:val="bottom"/>
            <w:hideMark/>
          </w:tcPr>
          <w:p w14:paraId="5C5E4AE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1.51</w:t>
            </w:r>
          </w:p>
        </w:tc>
        <w:tc>
          <w:tcPr>
            <w:tcW w:w="470" w:type="pct"/>
            <w:gridSpan w:val="2"/>
            <w:vAlign w:val="bottom"/>
          </w:tcPr>
          <w:p w14:paraId="286B4B3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0.55</w:t>
            </w:r>
          </w:p>
        </w:tc>
        <w:tc>
          <w:tcPr>
            <w:tcW w:w="564" w:type="pct"/>
            <w:gridSpan w:val="3"/>
            <w:vAlign w:val="bottom"/>
            <w:hideMark/>
          </w:tcPr>
          <w:p w14:paraId="37306C2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0.0432</w:t>
            </w:r>
          </w:p>
        </w:tc>
        <w:tc>
          <w:tcPr>
            <w:tcW w:w="565" w:type="pct"/>
            <w:gridSpan w:val="2"/>
            <w:vAlign w:val="bottom"/>
            <w:hideMark/>
          </w:tcPr>
          <w:p w14:paraId="57B19D0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41.06</w:t>
            </w:r>
          </w:p>
        </w:tc>
        <w:tc>
          <w:tcPr>
            <w:tcW w:w="503" w:type="pct"/>
            <w:gridSpan w:val="2"/>
            <w:vAlign w:val="bottom"/>
            <w:hideMark/>
          </w:tcPr>
          <w:p w14:paraId="53E1403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0.0039</w:t>
            </w:r>
          </w:p>
        </w:tc>
        <w:tc>
          <w:tcPr>
            <w:tcW w:w="514" w:type="pct"/>
            <w:vAlign w:val="bottom"/>
            <w:hideMark/>
          </w:tcPr>
          <w:p w14:paraId="0368C2A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0.0087</w:t>
            </w:r>
          </w:p>
        </w:tc>
      </w:tr>
      <w:tr w:rsidR="005613F1" w:rsidRPr="0017181D" w14:paraId="74082D1B" w14:textId="77777777" w:rsidTr="005D672D">
        <w:trPr>
          <w:trHeight w:val="20"/>
        </w:trPr>
        <w:tc>
          <w:tcPr>
            <w:tcW w:w="638" w:type="pct"/>
            <w:gridSpan w:val="2"/>
            <w:vAlign w:val="center"/>
            <w:hideMark/>
          </w:tcPr>
          <w:p w14:paraId="436CFE72" w14:textId="77777777" w:rsidR="005613F1" w:rsidRPr="0017181D" w:rsidRDefault="005613F1" w:rsidP="000B22E8">
            <w:pPr>
              <w:contextualSpacing/>
              <w:rPr>
                <w:rFonts w:ascii="Arial" w:eastAsia="Calibri" w:hAnsi="Arial" w:cs="Arial"/>
                <w:color w:val="000000" w:themeColor="text1"/>
                <w:lang w:eastAsia="en-IN"/>
              </w:rPr>
            </w:pPr>
            <w:proofErr w:type="spellStart"/>
            <w:r w:rsidRPr="0017181D">
              <w:rPr>
                <w:rFonts w:ascii="Arial" w:eastAsia="Calibri" w:hAnsi="Arial" w:cs="Arial"/>
                <w:color w:val="000000" w:themeColor="text1"/>
                <w:lang w:eastAsia="en-IN"/>
              </w:rPr>
              <w:t>SEm</w:t>
            </w:r>
            <w:proofErr w:type="spellEnd"/>
            <w:r w:rsidRPr="0017181D">
              <w:rPr>
                <w:rFonts w:ascii="Arial" w:eastAsia="Calibri" w:hAnsi="Arial" w:cs="Arial"/>
                <w:color w:val="000000" w:themeColor="text1"/>
                <w:lang w:eastAsia="en-IN"/>
              </w:rPr>
              <w:t>±</w:t>
            </w:r>
          </w:p>
        </w:tc>
        <w:tc>
          <w:tcPr>
            <w:tcW w:w="505" w:type="pct"/>
            <w:vMerge w:val="restart"/>
            <w:vAlign w:val="center"/>
            <w:hideMark/>
          </w:tcPr>
          <w:p w14:paraId="476A3EFE" w14:textId="77777777" w:rsidR="005613F1" w:rsidRPr="0017181D" w:rsidRDefault="005613F1" w:rsidP="000B22E8">
            <w:pPr>
              <w:contextualSpacing/>
              <w:rPr>
                <w:rFonts w:ascii="Arial" w:eastAsia="Calibri" w:hAnsi="Arial" w:cs="Arial"/>
                <w:color w:val="000000" w:themeColor="text1"/>
              </w:rPr>
            </w:pPr>
          </w:p>
        </w:tc>
        <w:tc>
          <w:tcPr>
            <w:tcW w:w="430" w:type="pct"/>
            <w:gridSpan w:val="2"/>
            <w:vAlign w:val="bottom"/>
            <w:hideMark/>
          </w:tcPr>
          <w:p w14:paraId="51FF7F7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0.02</w:t>
            </w:r>
          </w:p>
        </w:tc>
        <w:tc>
          <w:tcPr>
            <w:tcW w:w="403" w:type="pct"/>
            <w:gridSpan w:val="2"/>
            <w:vAlign w:val="bottom"/>
            <w:hideMark/>
          </w:tcPr>
          <w:p w14:paraId="51CA1FB2"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1.19</w:t>
            </w:r>
          </w:p>
        </w:tc>
        <w:tc>
          <w:tcPr>
            <w:tcW w:w="408" w:type="pct"/>
            <w:gridSpan w:val="2"/>
            <w:vAlign w:val="bottom"/>
            <w:hideMark/>
          </w:tcPr>
          <w:p w14:paraId="522EC83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0.71</w:t>
            </w:r>
          </w:p>
        </w:tc>
        <w:tc>
          <w:tcPr>
            <w:tcW w:w="470" w:type="pct"/>
            <w:gridSpan w:val="2"/>
            <w:vAlign w:val="bottom"/>
          </w:tcPr>
          <w:p w14:paraId="67C44DB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0.43</w:t>
            </w:r>
          </w:p>
        </w:tc>
        <w:tc>
          <w:tcPr>
            <w:tcW w:w="564" w:type="pct"/>
            <w:gridSpan w:val="3"/>
            <w:vAlign w:val="bottom"/>
            <w:hideMark/>
          </w:tcPr>
          <w:p w14:paraId="70E6F80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0.12</w:t>
            </w:r>
          </w:p>
        </w:tc>
        <w:tc>
          <w:tcPr>
            <w:tcW w:w="565" w:type="pct"/>
            <w:gridSpan w:val="2"/>
            <w:vAlign w:val="bottom"/>
            <w:hideMark/>
          </w:tcPr>
          <w:p w14:paraId="67C59FAC"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3.70</w:t>
            </w:r>
          </w:p>
        </w:tc>
        <w:tc>
          <w:tcPr>
            <w:tcW w:w="503" w:type="pct"/>
            <w:gridSpan w:val="2"/>
            <w:vAlign w:val="bottom"/>
            <w:hideMark/>
          </w:tcPr>
          <w:p w14:paraId="238B6AD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0.04</w:t>
            </w:r>
          </w:p>
        </w:tc>
        <w:tc>
          <w:tcPr>
            <w:tcW w:w="514" w:type="pct"/>
            <w:vAlign w:val="bottom"/>
            <w:hideMark/>
          </w:tcPr>
          <w:p w14:paraId="368DABE4"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0.05</w:t>
            </w:r>
          </w:p>
        </w:tc>
      </w:tr>
      <w:tr w:rsidR="005613F1" w:rsidRPr="0017181D" w14:paraId="732A4A0C" w14:textId="77777777" w:rsidTr="005D672D">
        <w:trPr>
          <w:trHeight w:val="20"/>
        </w:trPr>
        <w:tc>
          <w:tcPr>
            <w:tcW w:w="638" w:type="pct"/>
            <w:gridSpan w:val="2"/>
            <w:vAlign w:val="center"/>
            <w:hideMark/>
          </w:tcPr>
          <w:p w14:paraId="78B7587F"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CD at 5%</w:t>
            </w:r>
          </w:p>
        </w:tc>
        <w:tc>
          <w:tcPr>
            <w:tcW w:w="505" w:type="pct"/>
            <w:vMerge/>
            <w:vAlign w:val="center"/>
            <w:hideMark/>
          </w:tcPr>
          <w:p w14:paraId="2CCAEB5C" w14:textId="77777777" w:rsidR="005613F1" w:rsidRPr="0017181D" w:rsidRDefault="005613F1" w:rsidP="000B22E8">
            <w:pPr>
              <w:contextualSpacing/>
              <w:rPr>
                <w:rFonts w:ascii="Arial" w:eastAsia="Calibri" w:hAnsi="Arial" w:cs="Arial"/>
                <w:color w:val="000000" w:themeColor="text1"/>
              </w:rPr>
            </w:pPr>
          </w:p>
        </w:tc>
        <w:tc>
          <w:tcPr>
            <w:tcW w:w="430" w:type="pct"/>
            <w:gridSpan w:val="2"/>
            <w:vAlign w:val="bottom"/>
            <w:hideMark/>
          </w:tcPr>
          <w:p w14:paraId="7FB3FF8F"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0.06</w:t>
            </w:r>
          </w:p>
        </w:tc>
        <w:tc>
          <w:tcPr>
            <w:tcW w:w="403" w:type="pct"/>
            <w:gridSpan w:val="2"/>
            <w:vAlign w:val="bottom"/>
            <w:hideMark/>
          </w:tcPr>
          <w:p w14:paraId="37601AA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3.31</w:t>
            </w:r>
          </w:p>
        </w:tc>
        <w:tc>
          <w:tcPr>
            <w:tcW w:w="408" w:type="pct"/>
            <w:gridSpan w:val="2"/>
            <w:vAlign w:val="bottom"/>
            <w:hideMark/>
          </w:tcPr>
          <w:p w14:paraId="7CEBE69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1.97</w:t>
            </w:r>
          </w:p>
        </w:tc>
        <w:tc>
          <w:tcPr>
            <w:tcW w:w="470" w:type="pct"/>
            <w:gridSpan w:val="2"/>
            <w:vAlign w:val="bottom"/>
            <w:hideMark/>
          </w:tcPr>
          <w:p w14:paraId="00F9175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1.20</w:t>
            </w:r>
          </w:p>
        </w:tc>
        <w:tc>
          <w:tcPr>
            <w:tcW w:w="564" w:type="pct"/>
            <w:gridSpan w:val="3"/>
            <w:vAlign w:val="bottom"/>
            <w:hideMark/>
          </w:tcPr>
          <w:p w14:paraId="6F01A70B"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0.33</w:t>
            </w:r>
          </w:p>
        </w:tc>
        <w:tc>
          <w:tcPr>
            <w:tcW w:w="565" w:type="pct"/>
            <w:gridSpan w:val="2"/>
            <w:vAlign w:val="bottom"/>
            <w:hideMark/>
          </w:tcPr>
          <w:p w14:paraId="2D72388D"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10.29</w:t>
            </w:r>
          </w:p>
        </w:tc>
        <w:tc>
          <w:tcPr>
            <w:tcW w:w="503" w:type="pct"/>
            <w:gridSpan w:val="2"/>
            <w:vAlign w:val="bottom"/>
            <w:hideMark/>
          </w:tcPr>
          <w:p w14:paraId="11F0394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0.11</w:t>
            </w:r>
          </w:p>
        </w:tc>
        <w:tc>
          <w:tcPr>
            <w:tcW w:w="514" w:type="pct"/>
            <w:vAlign w:val="bottom"/>
            <w:hideMark/>
          </w:tcPr>
          <w:p w14:paraId="47D28AF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0.14</w:t>
            </w:r>
          </w:p>
        </w:tc>
      </w:tr>
      <w:tr w:rsidR="005613F1" w:rsidRPr="0017181D" w14:paraId="2C82D068" w14:textId="77777777" w:rsidTr="005D672D">
        <w:trPr>
          <w:trHeight w:val="20"/>
        </w:trPr>
        <w:tc>
          <w:tcPr>
            <w:tcW w:w="638" w:type="pct"/>
            <w:gridSpan w:val="2"/>
            <w:vAlign w:val="center"/>
            <w:hideMark/>
          </w:tcPr>
          <w:p w14:paraId="38679529" w14:textId="77777777" w:rsidR="005613F1" w:rsidRPr="0017181D" w:rsidRDefault="005613F1" w:rsidP="000B22E8">
            <w:pPr>
              <w:contextualSpacing/>
              <w:rPr>
                <w:rFonts w:ascii="Arial" w:eastAsia="Calibri" w:hAnsi="Arial" w:cs="Arial"/>
                <w:color w:val="000000" w:themeColor="text1"/>
                <w:lang w:eastAsia="en-IN"/>
              </w:rPr>
            </w:pPr>
            <w:r w:rsidRPr="0017181D">
              <w:rPr>
                <w:rFonts w:ascii="Arial" w:eastAsia="Calibri" w:hAnsi="Arial" w:cs="Arial"/>
                <w:color w:val="000000" w:themeColor="text1"/>
                <w:lang w:eastAsia="en-IN"/>
              </w:rPr>
              <w:t>CV (%)</w:t>
            </w:r>
          </w:p>
        </w:tc>
        <w:tc>
          <w:tcPr>
            <w:tcW w:w="505" w:type="pct"/>
            <w:vMerge/>
            <w:vAlign w:val="center"/>
            <w:hideMark/>
          </w:tcPr>
          <w:p w14:paraId="78D227D3" w14:textId="77777777" w:rsidR="005613F1" w:rsidRPr="0017181D" w:rsidRDefault="005613F1" w:rsidP="000B22E8">
            <w:pPr>
              <w:contextualSpacing/>
              <w:rPr>
                <w:rFonts w:ascii="Arial" w:eastAsia="Calibri" w:hAnsi="Arial" w:cs="Arial"/>
                <w:color w:val="000000" w:themeColor="text1"/>
              </w:rPr>
            </w:pPr>
          </w:p>
        </w:tc>
        <w:tc>
          <w:tcPr>
            <w:tcW w:w="430" w:type="pct"/>
            <w:gridSpan w:val="2"/>
            <w:vAlign w:val="bottom"/>
            <w:hideMark/>
          </w:tcPr>
          <w:p w14:paraId="314EB301"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1.63</w:t>
            </w:r>
          </w:p>
        </w:tc>
        <w:tc>
          <w:tcPr>
            <w:tcW w:w="403" w:type="pct"/>
            <w:gridSpan w:val="2"/>
            <w:vAlign w:val="bottom"/>
            <w:hideMark/>
          </w:tcPr>
          <w:p w14:paraId="3335EFD3"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7.72</w:t>
            </w:r>
          </w:p>
        </w:tc>
        <w:tc>
          <w:tcPr>
            <w:tcW w:w="408" w:type="pct"/>
            <w:gridSpan w:val="2"/>
            <w:vAlign w:val="bottom"/>
            <w:hideMark/>
          </w:tcPr>
          <w:p w14:paraId="373E4FE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6.17</w:t>
            </w:r>
          </w:p>
        </w:tc>
        <w:tc>
          <w:tcPr>
            <w:tcW w:w="470" w:type="pct"/>
            <w:gridSpan w:val="2"/>
            <w:vAlign w:val="bottom"/>
            <w:hideMark/>
          </w:tcPr>
          <w:p w14:paraId="6C8C8AD0"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10.21</w:t>
            </w:r>
          </w:p>
        </w:tc>
        <w:tc>
          <w:tcPr>
            <w:tcW w:w="564" w:type="pct"/>
            <w:gridSpan w:val="3"/>
            <w:vAlign w:val="bottom"/>
            <w:hideMark/>
          </w:tcPr>
          <w:p w14:paraId="66B6405A"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2.97</w:t>
            </w:r>
          </w:p>
        </w:tc>
        <w:tc>
          <w:tcPr>
            <w:tcW w:w="565" w:type="pct"/>
            <w:gridSpan w:val="2"/>
            <w:vAlign w:val="bottom"/>
            <w:hideMark/>
          </w:tcPr>
          <w:p w14:paraId="78CFA105"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2.39</w:t>
            </w:r>
          </w:p>
        </w:tc>
        <w:tc>
          <w:tcPr>
            <w:tcW w:w="503" w:type="pct"/>
            <w:gridSpan w:val="2"/>
            <w:vAlign w:val="bottom"/>
            <w:hideMark/>
          </w:tcPr>
          <w:p w14:paraId="50614556"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2.03</w:t>
            </w:r>
          </w:p>
        </w:tc>
        <w:tc>
          <w:tcPr>
            <w:tcW w:w="514" w:type="pct"/>
            <w:vAlign w:val="bottom"/>
            <w:hideMark/>
          </w:tcPr>
          <w:p w14:paraId="3EADCC49" w14:textId="77777777" w:rsidR="005613F1" w:rsidRPr="0017181D" w:rsidRDefault="005613F1" w:rsidP="000B22E8">
            <w:pPr>
              <w:contextualSpacing/>
              <w:rPr>
                <w:rFonts w:ascii="Arial" w:eastAsia="Calibri" w:hAnsi="Arial" w:cs="Arial"/>
                <w:color w:val="000000" w:themeColor="text1"/>
              </w:rPr>
            </w:pPr>
            <w:r w:rsidRPr="0017181D">
              <w:rPr>
                <w:rFonts w:ascii="Arial" w:eastAsia="Calibri" w:hAnsi="Arial" w:cs="Arial"/>
                <w:color w:val="000000" w:themeColor="text1"/>
              </w:rPr>
              <w:t>1.78</w:t>
            </w:r>
          </w:p>
        </w:tc>
      </w:tr>
    </w:tbl>
    <w:p w14:paraId="3181EEFD" w14:textId="77777777" w:rsidR="005613F1" w:rsidRPr="0017181D" w:rsidRDefault="005613F1" w:rsidP="00C34A62">
      <w:pPr>
        <w:rPr>
          <w:rFonts w:ascii="Arial" w:hAnsi="Arial" w:cs="Arial"/>
          <w:color w:val="000000" w:themeColor="text1"/>
        </w:rPr>
      </w:pPr>
    </w:p>
    <w:p w14:paraId="60BA2524" w14:textId="77777777" w:rsidR="00C34A62" w:rsidRPr="0017181D" w:rsidRDefault="00C34A62" w:rsidP="00C34A62">
      <w:pPr>
        <w:rPr>
          <w:rFonts w:ascii="Arial" w:hAnsi="Arial" w:cs="Arial"/>
          <w:color w:val="000000" w:themeColor="text1"/>
        </w:rPr>
      </w:pPr>
      <w:r w:rsidRPr="0017181D">
        <w:rPr>
          <w:rFonts w:ascii="Arial" w:hAnsi="Arial" w:cs="Arial"/>
          <w:i/>
          <w:color w:val="000000" w:themeColor="text1"/>
        </w:rPr>
        <w:t>* P = .05, ** P &lt; .01</w:t>
      </w:r>
    </w:p>
    <w:p w14:paraId="602FCFFC" w14:textId="77777777" w:rsidR="00C34A62" w:rsidRPr="0017181D" w:rsidRDefault="00C34A62" w:rsidP="00C34A62">
      <w:pPr>
        <w:rPr>
          <w:rFonts w:ascii="Arial" w:hAnsi="Arial" w:cs="Arial"/>
          <w:color w:val="000000" w:themeColor="text1"/>
        </w:rPr>
      </w:pPr>
    </w:p>
    <w:p w14:paraId="254AE4B2" w14:textId="77777777" w:rsidR="00A73B96" w:rsidRPr="0017181D" w:rsidRDefault="00A73B96" w:rsidP="005613F1">
      <w:pPr>
        <w:spacing w:after="120"/>
        <w:rPr>
          <w:rFonts w:ascii="Arial" w:eastAsia="Calibri" w:hAnsi="Arial" w:cs="Arial"/>
          <w:b/>
          <w:bCs/>
          <w:color w:val="000000" w:themeColor="text1"/>
        </w:rPr>
      </w:pPr>
    </w:p>
    <w:p w14:paraId="45343497" w14:textId="77777777" w:rsidR="005D672D" w:rsidRPr="0017181D" w:rsidRDefault="005D672D" w:rsidP="005613F1">
      <w:pPr>
        <w:spacing w:after="120"/>
        <w:rPr>
          <w:rFonts w:ascii="Arial" w:eastAsia="Calibri" w:hAnsi="Arial" w:cs="Arial"/>
          <w:b/>
          <w:bCs/>
          <w:color w:val="000000" w:themeColor="text1"/>
        </w:rPr>
      </w:pPr>
    </w:p>
    <w:p w14:paraId="7ED259F8" w14:textId="77777777" w:rsidR="005D672D" w:rsidRPr="0017181D" w:rsidRDefault="005D672D" w:rsidP="005613F1">
      <w:pPr>
        <w:spacing w:after="120"/>
        <w:rPr>
          <w:rFonts w:ascii="Arial" w:eastAsia="Calibri" w:hAnsi="Arial" w:cs="Arial"/>
          <w:b/>
          <w:bCs/>
          <w:color w:val="000000" w:themeColor="text1"/>
        </w:rPr>
      </w:pPr>
    </w:p>
    <w:p w14:paraId="66D28C7B" w14:textId="77777777" w:rsidR="00A73B96" w:rsidRPr="0017181D" w:rsidRDefault="00A73B96" w:rsidP="00A73B96">
      <w:pPr>
        <w:ind w:left="862" w:right="102" w:hanging="720"/>
        <w:rPr>
          <w:rFonts w:ascii="Arial" w:hAnsi="Arial" w:cs="Arial"/>
          <w:b/>
          <w:color w:val="000000" w:themeColor="text1"/>
        </w:rPr>
      </w:pPr>
      <w:r w:rsidRPr="0017181D">
        <w:rPr>
          <w:rFonts w:ascii="Arial" w:hAnsi="Arial" w:cs="Arial"/>
          <w:b/>
          <w:bCs/>
          <w:color w:val="000000" w:themeColor="text1"/>
        </w:rPr>
        <w:lastRenderedPageBreak/>
        <w:t xml:space="preserve">Table </w:t>
      </w:r>
      <w:r w:rsidR="00CF37B6" w:rsidRPr="0017181D">
        <w:rPr>
          <w:rFonts w:ascii="Arial" w:hAnsi="Arial" w:cs="Arial"/>
          <w:b/>
          <w:bCs/>
          <w:color w:val="000000" w:themeColor="text1"/>
        </w:rPr>
        <w:t>2</w:t>
      </w:r>
      <w:r w:rsidRPr="0017181D">
        <w:rPr>
          <w:rFonts w:ascii="Arial" w:hAnsi="Arial" w:cs="Arial"/>
          <w:b/>
          <w:bCs/>
          <w:color w:val="000000" w:themeColor="text1"/>
        </w:rPr>
        <w:t xml:space="preserve">: </w:t>
      </w:r>
      <w:r w:rsidRPr="0017181D">
        <w:rPr>
          <w:rFonts w:ascii="Arial" w:hAnsi="Arial" w:cs="Arial"/>
          <w:b/>
          <w:color w:val="000000" w:themeColor="text1"/>
        </w:rPr>
        <w:t>Descriptive statistics for all sixteen characters along with respective phenotypic, genotypic and environmental variances in finger millet</w:t>
      </w:r>
    </w:p>
    <w:tbl>
      <w:tblPr>
        <w:tblW w:w="14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4333"/>
        <w:gridCol w:w="1294"/>
        <w:gridCol w:w="1416"/>
        <w:gridCol w:w="1606"/>
        <w:gridCol w:w="1013"/>
        <w:gridCol w:w="1013"/>
        <w:gridCol w:w="1013"/>
        <w:gridCol w:w="1013"/>
        <w:gridCol w:w="936"/>
      </w:tblGrid>
      <w:tr w:rsidR="00C32BDD" w:rsidRPr="0017181D" w14:paraId="56F594C2" w14:textId="77777777" w:rsidTr="00C32BDD">
        <w:trPr>
          <w:trHeight w:val="220"/>
          <w:jc w:val="center"/>
        </w:trPr>
        <w:tc>
          <w:tcPr>
            <w:tcW w:w="0" w:type="auto"/>
            <w:vMerge w:val="restart"/>
            <w:vAlign w:val="center"/>
            <w:hideMark/>
          </w:tcPr>
          <w:p w14:paraId="36644198" w14:textId="77777777" w:rsidR="00C32BDD" w:rsidRPr="0017181D" w:rsidRDefault="00C32BDD" w:rsidP="000B22E8">
            <w:pPr>
              <w:contextualSpacing/>
              <w:rPr>
                <w:rFonts w:ascii="Arial" w:eastAsia="Calibri" w:hAnsi="Arial" w:cs="Arial"/>
                <w:b/>
                <w:bCs/>
                <w:color w:val="000000" w:themeColor="text1"/>
              </w:rPr>
            </w:pPr>
            <w:bookmarkStart w:id="0" w:name="_Hlk215346646"/>
            <w:r w:rsidRPr="0017181D">
              <w:rPr>
                <w:rFonts w:ascii="Arial" w:eastAsia="Calibri" w:hAnsi="Arial" w:cs="Arial"/>
                <w:b/>
                <w:bCs/>
                <w:color w:val="000000" w:themeColor="text1"/>
              </w:rPr>
              <w:t>Sr.</w:t>
            </w:r>
          </w:p>
          <w:p w14:paraId="3F35482C" w14:textId="77777777" w:rsidR="00C32BDD" w:rsidRPr="0017181D" w:rsidRDefault="00C32BDD" w:rsidP="000B22E8">
            <w:pPr>
              <w:contextualSpacing/>
              <w:rPr>
                <w:rFonts w:ascii="Arial" w:eastAsia="Calibri" w:hAnsi="Arial" w:cs="Arial"/>
                <w:b/>
                <w:bCs/>
                <w:color w:val="000000" w:themeColor="text1"/>
              </w:rPr>
            </w:pPr>
            <w:r w:rsidRPr="0017181D">
              <w:rPr>
                <w:rFonts w:ascii="Arial" w:eastAsia="Calibri" w:hAnsi="Arial" w:cs="Arial"/>
                <w:b/>
                <w:bCs/>
                <w:color w:val="000000" w:themeColor="text1"/>
              </w:rPr>
              <w:t>No.</w:t>
            </w:r>
          </w:p>
        </w:tc>
        <w:tc>
          <w:tcPr>
            <w:tcW w:w="4531" w:type="dxa"/>
            <w:vMerge w:val="restart"/>
            <w:vAlign w:val="center"/>
            <w:hideMark/>
          </w:tcPr>
          <w:p w14:paraId="7A1EA5A9" w14:textId="77777777" w:rsidR="00C32BDD" w:rsidRPr="0017181D" w:rsidRDefault="00C32BDD" w:rsidP="000B22E8">
            <w:pPr>
              <w:contextualSpacing/>
              <w:rPr>
                <w:rFonts w:ascii="Arial" w:eastAsia="Calibri" w:hAnsi="Arial" w:cs="Arial"/>
                <w:b/>
                <w:bCs/>
                <w:color w:val="000000" w:themeColor="text1"/>
              </w:rPr>
            </w:pPr>
            <w:r w:rsidRPr="0017181D">
              <w:rPr>
                <w:rFonts w:ascii="Arial" w:eastAsia="Calibri" w:hAnsi="Arial" w:cs="Arial"/>
                <w:b/>
                <w:bCs/>
                <w:color w:val="000000" w:themeColor="text1"/>
              </w:rPr>
              <w:t>Characters</w:t>
            </w:r>
          </w:p>
        </w:tc>
        <w:tc>
          <w:tcPr>
            <w:tcW w:w="4028" w:type="dxa"/>
            <w:gridSpan w:val="3"/>
            <w:vAlign w:val="center"/>
            <w:hideMark/>
          </w:tcPr>
          <w:p w14:paraId="04C630E5" w14:textId="77777777" w:rsidR="00C32BDD" w:rsidRPr="0017181D" w:rsidRDefault="00C32BDD" w:rsidP="000B22E8">
            <w:pPr>
              <w:contextualSpacing/>
              <w:jc w:val="center"/>
              <w:rPr>
                <w:rFonts w:ascii="Arial" w:eastAsia="Calibri" w:hAnsi="Arial" w:cs="Arial"/>
                <w:b/>
                <w:bCs/>
                <w:color w:val="000000" w:themeColor="text1"/>
              </w:rPr>
            </w:pPr>
            <w:r w:rsidRPr="0017181D">
              <w:rPr>
                <w:rFonts w:ascii="Arial" w:eastAsia="Calibri" w:hAnsi="Arial" w:cs="Arial"/>
                <w:b/>
                <w:bCs/>
                <w:color w:val="000000" w:themeColor="text1"/>
              </w:rPr>
              <w:t>Variance</w:t>
            </w:r>
          </w:p>
        </w:tc>
        <w:tc>
          <w:tcPr>
            <w:tcW w:w="5078" w:type="dxa"/>
            <w:gridSpan w:val="5"/>
          </w:tcPr>
          <w:p w14:paraId="424E7544" w14:textId="77777777" w:rsidR="00C32BDD" w:rsidRPr="0017181D" w:rsidRDefault="00C32BDD" w:rsidP="000B22E8">
            <w:pPr>
              <w:contextualSpacing/>
              <w:jc w:val="center"/>
              <w:rPr>
                <w:rFonts w:ascii="Arial" w:eastAsia="Calibri" w:hAnsi="Arial" w:cs="Arial"/>
                <w:b/>
                <w:bCs/>
                <w:color w:val="000000" w:themeColor="text1"/>
              </w:rPr>
            </w:pPr>
            <w:r w:rsidRPr="0017181D">
              <w:rPr>
                <w:rFonts w:ascii="Arial" w:eastAsia="Calibri" w:hAnsi="Arial" w:cs="Arial"/>
                <w:b/>
                <w:bCs/>
                <w:color w:val="000000" w:themeColor="text1"/>
              </w:rPr>
              <w:t>(In %)</w:t>
            </w:r>
          </w:p>
        </w:tc>
      </w:tr>
      <w:tr w:rsidR="00C32BDD" w:rsidRPr="0017181D" w14:paraId="6EDEF1C5" w14:textId="77777777" w:rsidTr="00C32BDD">
        <w:trPr>
          <w:trHeight w:val="126"/>
          <w:jc w:val="center"/>
        </w:trPr>
        <w:tc>
          <w:tcPr>
            <w:tcW w:w="0" w:type="auto"/>
            <w:vMerge/>
            <w:vAlign w:val="center"/>
            <w:hideMark/>
          </w:tcPr>
          <w:p w14:paraId="2658B543" w14:textId="77777777" w:rsidR="00C32BDD" w:rsidRPr="0017181D" w:rsidRDefault="00C32BDD" w:rsidP="00C32BDD">
            <w:pPr>
              <w:contextualSpacing/>
              <w:rPr>
                <w:rFonts w:ascii="Arial" w:eastAsia="Calibri" w:hAnsi="Arial" w:cs="Arial"/>
                <w:b/>
                <w:bCs/>
                <w:color w:val="000000" w:themeColor="text1"/>
              </w:rPr>
            </w:pPr>
          </w:p>
        </w:tc>
        <w:tc>
          <w:tcPr>
            <w:tcW w:w="4531" w:type="dxa"/>
            <w:vMerge/>
            <w:vAlign w:val="center"/>
            <w:hideMark/>
          </w:tcPr>
          <w:p w14:paraId="342E9C90" w14:textId="77777777" w:rsidR="00C32BDD" w:rsidRPr="0017181D" w:rsidRDefault="00C32BDD" w:rsidP="00C32BDD">
            <w:pPr>
              <w:contextualSpacing/>
              <w:rPr>
                <w:rFonts w:ascii="Arial" w:eastAsia="Calibri" w:hAnsi="Arial" w:cs="Arial"/>
                <w:b/>
                <w:bCs/>
                <w:color w:val="000000" w:themeColor="text1"/>
              </w:rPr>
            </w:pPr>
          </w:p>
        </w:tc>
        <w:tc>
          <w:tcPr>
            <w:tcW w:w="992" w:type="dxa"/>
            <w:vAlign w:val="center"/>
            <w:hideMark/>
          </w:tcPr>
          <w:p w14:paraId="7B391641" w14:textId="77777777" w:rsidR="00C32BDD" w:rsidRPr="0017181D" w:rsidRDefault="00C32BDD" w:rsidP="00C32BDD">
            <w:pPr>
              <w:contextualSpacing/>
              <w:rPr>
                <w:rFonts w:ascii="Arial" w:eastAsia="Calibri" w:hAnsi="Arial" w:cs="Arial"/>
                <w:b/>
                <w:bCs/>
                <w:color w:val="000000" w:themeColor="text1"/>
              </w:rPr>
            </w:pPr>
            <w:r w:rsidRPr="0017181D">
              <w:rPr>
                <w:rFonts w:ascii="Arial" w:eastAsia="Calibri" w:hAnsi="Arial" w:cs="Arial"/>
                <w:b/>
                <w:bCs/>
                <w:color w:val="000000" w:themeColor="text1"/>
              </w:rPr>
              <w:t>Phenotypic</w:t>
            </w:r>
          </w:p>
        </w:tc>
        <w:tc>
          <w:tcPr>
            <w:tcW w:w="1430" w:type="dxa"/>
            <w:vAlign w:val="center"/>
            <w:hideMark/>
          </w:tcPr>
          <w:p w14:paraId="5817A290" w14:textId="77777777" w:rsidR="00C32BDD" w:rsidRPr="0017181D" w:rsidRDefault="00C32BDD" w:rsidP="00C32BDD">
            <w:pPr>
              <w:contextualSpacing/>
              <w:rPr>
                <w:rFonts w:ascii="Arial" w:eastAsia="Calibri" w:hAnsi="Arial" w:cs="Arial"/>
                <w:b/>
                <w:bCs/>
                <w:color w:val="000000" w:themeColor="text1"/>
              </w:rPr>
            </w:pPr>
            <w:r w:rsidRPr="0017181D">
              <w:rPr>
                <w:rFonts w:ascii="Arial" w:eastAsia="Calibri" w:hAnsi="Arial" w:cs="Arial"/>
                <w:b/>
                <w:bCs/>
                <w:color w:val="000000" w:themeColor="text1"/>
              </w:rPr>
              <w:t>Genotypic</w:t>
            </w:r>
          </w:p>
        </w:tc>
        <w:tc>
          <w:tcPr>
            <w:tcW w:w="1606" w:type="dxa"/>
            <w:vAlign w:val="center"/>
            <w:hideMark/>
          </w:tcPr>
          <w:p w14:paraId="1DC45E55" w14:textId="77777777" w:rsidR="00C32BDD" w:rsidRPr="0017181D" w:rsidRDefault="00C32BDD" w:rsidP="00C32BDD">
            <w:pPr>
              <w:contextualSpacing/>
              <w:rPr>
                <w:rFonts w:ascii="Arial" w:eastAsia="Calibri" w:hAnsi="Arial" w:cs="Arial"/>
                <w:b/>
                <w:bCs/>
                <w:color w:val="000000" w:themeColor="text1"/>
              </w:rPr>
            </w:pPr>
            <w:r w:rsidRPr="0017181D">
              <w:rPr>
                <w:rFonts w:ascii="Arial" w:eastAsia="Calibri" w:hAnsi="Arial" w:cs="Arial"/>
                <w:b/>
                <w:bCs/>
                <w:color w:val="000000" w:themeColor="text1"/>
              </w:rPr>
              <w:t>Environmental</w:t>
            </w:r>
          </w:p>
        </w:tc>
        <w:tc>
          <w:tcPr>
            <w:tcW w:w="1032" w:type="dxa"/>
            <w:vAlign w:val="center"/>
          </w:tcPr>
          <w:p w14:paraId="1163AB90" w14:textId="77777777" w:rsidR="00C32BDD" w:rsidRPr="0017181D" w:rsidRDefault="00C32BDD" w:rsidP="00C32BDD">
            <w:pPr>
              <w:contextualSpacing/>
              <w:rPr>
                <w:rFonts w:ascii="Arial" w:eastAsia="Calibri" w:hAnsi="Arial" w:cs="Arial"/>
                <w:b/>
                <w:bCs/>
                <w:color w:val="000000" w:themeColor="text1"/>
              </w:rPr>
            </w:pPr>
            <w:r w:rsidRPr="0017181D">
              <w:rPr>
                <w:rFonts w:ascii="Arial" w:hAnsi="Arial" w:cs="Arial"/>
                <w:b/>
                <w:bCs/>
                <w:color w:val="000000" w:themeColor="text1"/>
              </w:rPr>
              <w:t>GCV</w:t>
            </w:r>
          </w:p>
        </w:tc>
        <w:tc>
          <w:tcPr>
            <w:tcW w:w="1032" w:type="dxa"/>
            <w:vAlign w:val="center"/>
          </w:tcPr>
          <w:p w14:paraId="37B96E22" w14:textId="77777777" w:rsidR="00C32BDD" w:rsidRPr="0017181D" w:rsidRDefault="00C32BDD" w:rsidP="00C32BDD">
            <w:pPr>
              <w:contextualSpacing/>
              <w:rPr>
                <w:rFonts w:ascii="Arial" w:eastAsia="Calibri" w:hAnsi="Arial" w:cs="Arial"/>
                <w:b/>
                <w:bCs/>
                <w:color w:val="000000" w:themeColor="text1"/>
              </w:rPr>
            </w:pPr>
            <w:r w:rsidRPr="0017181D">
              <w:rPr>
                <w:rFonts w:ascii="Arial" w:hAnsi="Arial" w:cs="Arial"/>
                <w:b/>
                <w:bCs/>
                <w:color w:val="000000" w:themeColor="text1"/>
              </w:rPr>
              <w:t>PCV</w:t>
            </w:r>
          </w:p>
        </w:tc>
        <w:tc>
          <w:tcPr>
            <w:tcW w:w="1032" w:type="dxa"/>
            <w:vAlign w:val="center"/>
          </w:tcPr>
          <w:p w14:paraId="5FC2D861" w14:textId="77777777" w:rsidR="00C32BDD" w:rsidRPr="0017181D" w:rsidRDefault="00C32BDD" w:rsidP="00C32BDD">
            <w:pPr>
              <w:contextualSpacing/>
              <w:rPr>
                <w:rFonts w:ascii="Arial" w:eastAsia="Calibri" w:hAnsi="Arial" w:cs="Arial"/>
                <w:b/>
                <w:bCs/>
                <w:color w:val="000000" w:themeColor="text1"/>
              </w:rPr>
            </w:pPr>
            <w:r w:rsidRPr="0017181D">
              <w:rPr>
                <w:rFonts w:ascii="Arial" w:hAnsi="Arial" w:cs="Arial"/>
                <w:b/>
                <w:bCs/>
                <w:color w:val="000000" w:themeColor="text1"/>
              </w:rPr>
              <w:t>ECV</w:t>
            </w:r>
          </w:p>
        </w:tc>
        <w:tc>
          <w:tcPr>
            <w:tcW w:w="1032" w:type="dxa"/>
            <w:vAlign w:val="center"/>
          </w:tcPr>
          <w:p w14:paraId="50F3ECC2" w14:textId="77777777" w:rsidR="00C32BDD" w:rsidRPr="0017181D" w:rsidRDefault="00C32BDD" w:rsidP="00C32BDD">
            <w:pPr>
              <w:contextualSpacing/>
              <w:rPr>
                <w:rFonts w:ascii="Arial" w:eastAsia="Calibri" w:hAnsi="Arial" w:cs="Arial"/>
                <w:b/>
                <w:bCs/>
                <w:color w:val="000000" w:themeColor="text1"/>
              </w:rPr>
            </w:pPr>
            <w:r w:rsidRPr="0017181D">
              <w:rPr>
                <w:rFonts w:ascii="Arial" w:hAnsi="Arial" w:cs="Arial"/>
                <w:b/>
                <w:bCs/>
                <w:color w:val="000000" w:themeColor="text1"/>
              </w:rPr>
              <w:t>h</w:t>
            </w:r>
            <w:r w:rsidRPr="0017181D">
              <w:rPr>
                <w:rFonts w:ascii="Arial" w:hAnsi="Arial" w:cs="Arial"/>
                <w:b/>
                <w:bCs/>
                <w:color w:val="000000" w:themeColor="text1"/>
                <w:vertAlign w:val="superscript"/>
              </w:rPr>
              <w:t>2</w:t>
            </w:r>
            <w:r w:rsidRPr="0017181D">
              <w:rPr>
                <w:rFonts w:ascii="Arial" w:hAnsi="Arial" w:cs="Arial"/>
                <w:b/>
                <w:bCs/>
                <w:color w:val="000000" w:themeColor="text1"/>
                <w:position w:val="9"/>
              </w:rPr>
              <w:t xml:space="preserve"> </w:t>
            </w:r>
            <w:r w:rsidRPr="0017181D">
              <w:rPr>
                <w:rFonts w:ascii="Arial" w:hAnsi="Arial" w:cs="Arial"/>
                <w:b/>
                <w:bCs/>
                <w:color w:val="000000" w:themeColor="text1"/>
              </w:rPr>
              <w:t>(bs)</w:t>
            </w:r>
          </w:p>
        </w:tc>
        <w:tc>
          <w:tcPr>
            <w:tcW w:w="950" w:type="dxa"/>
            <w:vAlign w:val="center"/>
          </w:tcPr>
          <w:p w14:paraId="38CEC16B" w14:textId="77777777" w:rsidR="00C32BDD" w:rsidRPr="0017181D" w:rsidRDefault="00C32BDD" w:rsidP="00C32BDD">
            <w:pPr>
              <w:contextualSpacing/>
              <w:rPr>
                <w:rFonts w:ascii="Arial" w:eastAsia="Calibri" w:hAnsi="Arial" w:cs="Arial"/>
                <w:b/>
                <w:bCs/>
                <w:color w:val="000000" w:themeColor="text1"/>
              </w:rPr>
            </w:pPr>
            <w:r w:rsidRPr="0017181D">
              <w:rPr>
                <w:rFonts w:ascii="Arial" w:hAnsi="Arial" w:cs="Arial"/>
                <w:b/>
                <w:bCs/>
                <w:color w:val="000000" w:themeColor="text1"/>
              </w:rPr>
              <w:t>GAM</w:t>
            </w:r>
          </w:p>
        </w:tc>
      </w:tr>
      <w:tr w:rsidR="00C32BDD" w:rsidRPr="0017181D" w14:paraId="5B087E6C" w14:textId="77777777" w:rsidTr="00C32BDD">
        <w:trPr>
          <w:trHeight w:val="330"/>
          <w:jc w:val="center"/>
        </w:trPr>
        <w:tc>
          <w:tcPr>
            <w:tcW w:w="0" w:type="auto"/>
            <w:vAlign w:val="center"/>
            <w:hideMark/>
          </w:tcPr>
          <w:p w14:paraId="79EE12D7"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w:t>
            </w:r>
          </w:p>
        </w:tc>
        <w:tc>
          <w:tcPr>
            <w:tcW w:w="4531" w:type="dxa"/>
            <w:vAlign w:val="center"/>
            <w:hideMark/>
          </w:tcPr>
          <w:p w14:paraId="3D55C11C"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lang w:bidi="en-US"/>
              </w:rPr>
              <w:t>Days to 50 % flowering</w:t>
            </w:r>
          </w:p>
        </w:tc>
        <w:tc>
          <w:tcPr>
            <w:tcW w:w="992" w:type="dxa"/>
            <w:vAlign w:val="bottom"/>
          </w:tcPr>
          <w:p w14:paraId="1DDE248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29.52</w:t>
            </w:r>
          </w:p>
        </w:tc>
        <w:tc>
          <w:tcPr>
            <w:tcW w:w="1430" w:type="dxa"/>
            <w:vAlign w:val="bottom"/>
          </w:tcPr>
          <w:p w14:paraId="6E2BB18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14.40</w:t>
            </w:r>
          </w:p>
        </w:tc>
        <w:tc>
          <w:tcPr>
            <w:tcW w:w="1606" w:type="dxa"/>
            <w:vAlign w:val="bottom"/>
          </w:tcPr>
          <w:p w14:paraId="1D4625CB"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15.12</w:t>
            </w:r>
          </w:p>
        </w:tc>
        <w:tc>
          <w:tcPr>
            <w:tcW w:w="1032" w:type="dxa"/>
          </w:tcPr>
          <w:p w14:paraId="27249492"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5.51</w:t>
            </w:r>
          </w:p>
        </w:tc>
        <w:tc>
          <w:tcPr>
            <w:tcW w:w="1032" w:type="dxa"/>
          </w:tcPr>
          <w:p w14:paraId="416464E1"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7.88</w:t>
            </w:r>
          </w:p>
        </w:tc>
        <w:tc>
          <w:tcPr>
            <w:tcW w:w="1032" w:type="dxa"/>
          </w:tcPr>
          <w:p w14:paraId="437EDC49"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5.64</w:t>
            </w:r>
          </w:p>
        </w:tc>
        <w:tc>
          <w:tcPr>
            <w:tcW w:w="1032" w:type="dxa"/>
          </w:tcPr>
          <w:p w14:paraId="74D5C079"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48.79</w:t>
            </w:r>
          </w:p>
        </w:tc>
        <w:tc>
          <w:tcPr>
            <w:tcW w:w="950" w:type="dxa"/>
          </w:tcPr>
          <w:p w14:paraId="4745C7A2"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7.92</w:t>
            </w:r>
          </w:p>
        </w:tc>
      </w:tr>
      <w:tr w:rsidR="00C32BDD" w:rsidRPr="0017181D" w14:paraId="66EDC681" w14:textId="77777777" w:rsidTr="00C32BDD">
        <w:trPr>
          <w:trHeight w:val="330"/>
          <w:jc w:val="center"/>
        </w:trPr>
        <w:tc>
          <w:tcPr>
            <w:tcW w:w="0" w:type="auto"/>
            <w:vAlign w:val="center"/>
            <w:hideMark/>
          </w:tcPr>
          <w:p w14:paraId="6FE6D6A3"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w:t>
            </w:r>
          </w:p>
        </w:tc>
        <w:tc>
          <w:tcPr>
            <w:tcW w:w="4531" w:type="dxa"/>
            <w:vAlign w:val="center"/>
            <w:hideMark/>
          </w:tcPr>
          <w:p w14:paraId="05C53084"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lang w:bidi="en-US"/>
              </w:rPr>
              <w:t>Days to maturity</w:t>
            </w:r>
          </w:p>
        </w:tc>
        <w:tc>
          <w:tcPr>
            <w:tcW w:w="992" w:type="dxa"/>
            <w:vAlign w:val="bottom"/>
          </w:tcPr>
          <w:p w14:paraId="78E2F0D2"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46.43</w:t>
            </w:r>
          </w:p>
        </w:tc>
        <w:tc>
          <w:tcPr>
            <w:tcW w:w="1430" w:type="dxa"/>
            <w:vAlign w:val="bottom"/>
          </w:tcPr>
          <w:p w14:paraId="353DA353"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17.16</w:t>
            </w:r>
          </w:p>
        </w:tc>
        <w:tc>
          <w:tcPr>
            <w:tcW w:w="1606" w:type="dxa"/>
            <w:vAlign w:val="bottom"/>
          </w:tcPr>
          <w:p w14:paraId="18AF648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29.26</w:t>
            </w:r>
          </w:p>
        </w:tc>
        <w:tc>
          <w:tcPr>
            <w:tcW w:w="1032" w:type="dxa"/>
          </w:tcPr>
          <w:p w14:paraId="1BB0131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4.00</w:t>
            </w:r>
          </w:p>
        </w:tc>
        <w:tc>
          <w:tcPr>
            <w:tcW w:w="1032" w:type="dxa"/>
          </w:tcPr>
          <w:p w14:paraId="4CD92BDA"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6.58</w:t>
            </w:r>
          </w:p>
        </w:tc>
        <w:tc>
          <w:tcPr>
            <w:tcW w:w="1032" w:type="dxa"/>
          </w:tcPr>
          <w:p w14:paraId="42742383"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5.22</w:t>
            </w:r>
          </w:p>
        </w:tc>
        <w:tc>
          <w:tcPr>
            <w:tcW w:w="1032" w:type="dxa"/>
          </w:tcPr>
          <w:p w14:paraId="7C831FD8"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36.97</w:t>
            </w:r>
          </w:p>
        </w:tc>
        <w:tc>
          <w:tcPr>
            <w:tcW w:w="950" w:type="dxa"/>
          </w:tcPr>
          <w:p w14:paraId="4D6997B5"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5.01</w:t>
            </w:r>
          </w:p>
        </w:tc>
      </w:tr>
      <w:tr w:rsidR="00C32BDD" w:rsidRPr="0017181D" w14:paraId="58519DAC" w14:textId="77777777" w:rsidTr="00C32BDD">
        <w:trPr>
          <w:trHeight w:val="330"/>
          <w:jc w:val="center"/>
        </w:trPr>
        <w:tc>
          <w:tcPr>
            <w:tcW w:w="0" w:type="auto"/>
            <w:vAlign w:val="center"/>
            <w:hideMark/>
          </w:tcPr>
          <w:p w14:paraId="4AE53534"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3.</w:t>
            </w:r>
          </w:p>
        </w:tc>
        <w:tc>
          <w:tcPr>
            <w:tcW w:w="4531" w:type="dxa"/>
            <w:vAlign w:val="center"/>
          </w:tcPr>
          <w:p w14:paraId="5636ECC6"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lang w:bidi="en-US"/>
              </w:rPr>
              <w:t>Plant height (cm)</w:t>
            </w:r>
          </w:p>
        </w:tc>
        <w:tc>
          <w:tcPr>
            <w:tcW w:w="992" w:type="dxa"/>
            <w:vAlign w:val="bottom"/>
          </w:tcPr>
          <w:p w14:paraId="14263C74"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238.82</w:t>
            </w:r>
          </w:p>
        </w:tc>
        <w:tc>
          <w:tcPr>
            <w:tcW w:w="1430" w:type="dxa"/>
            <w:vAlign w:val="bottom"/>
          </w:tcPr>
          <w:p w14:paraId="19E9DD6C"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55.23</w:t>
            </w:r>
          </w:p>
        </w:tc>
        <w:tc>
          <w:tcPr>
            <w:tcW w:w="1606" w:type="dxa"/>
            <w:vAlign w:val="bottom"/>
          </w:tcPr>
          <w:p w14:paraId="3BE04350"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183.59</w:t>
            </w:r>
          </w:p>
        </w:tc>
        <w:tc>
          <w:tcPr>
            <w:tcW w:w="1032" w:type="dxa"/>
          </w:tcPr>
          <w:p w14:paraId="25832E0E"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6.56</w:t>
            </w:r>
          </w:p>
        </w:tc>
        <w:tc>
          <w:tcPr>
            <w:tcW w:w="1032" w:type="dxa"/>
          </w:tcPr>
          <w:p w14:paraId="348A8855"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13.64</w:t>
            </w:r>
          </w:p>
        </w:tc>
        <w:tc>
          <w:tcPr>
            <w:tcW w:w="1032" w:type="dxa"/>
          </w:tcPr>
          <w:p w14:paraId="419CF60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11.96</w:t>
            </w:r>
          </w:p>
        </w:tc>
        <w:tc>
          <w:tcPr>
            <w:tcW w:w="1032" w:type="dxa"/>
          </w:tcPr>
          <w:p w14:paraId="3D973985"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23.12</w:t>
            </w:r>
          </w:p>
        </w:tc>
        <w:tc>
          <w:tcPr>
            <w:tcW w:w="950" w:type="dxa"/>
          </w:tcPr>
          <w:p w14:paraId="6D86680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6.50</w:t>
            </w:r>
          </w:p>
        </w:tc>
      </w:tr>
      <w:tr w:rsidR="00C32BDD" w:rsidRPr="0017181D" w14:paraId="71271C0E" w14:textId="77777777" w:rsidTr="00C32BDD">
        <w:trPr>
          <w:trHeight w:val="330"/>
          <w:jc w:val="center"/>
        </w:trPr>
        <w:tc>
          <w:tcPr>
            <w:tcW w:w="0" w:type="auto"/>
            <w:vAlign w:val="center"/>
            <w:hideMark/>
          </w:tcPr>
          <w:p w14:paraId="4E1AB41D"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4.</w:t>
            </w:r>
          </w:p>
        </w:tc>
        <w:tc>
          <w:tcPr>
            <w:tcW w:w="4531" w:type="dxa"/>
            <w:vAlign w:val="center"/>
          </w:tcPr>
          <w:p w14:paraId="717C9433" w14:textId="77777777" w:rsidR="00C32BDD" w:rsidRPr="0017181D" w:rsidRDefault="00C32BDD" w:rsidP="00C32BDD">
            <w:pPr>
              <w:ind w:firstLine="24"/>
              <w:contextualSpacing/>
              <w:rPr>
                <w:rFonts w:ascii="Arial" w:eastAsia="Calibri" w:hAnsi="Arial" w:cs="Arial"/>
                <w:bCs/>
                <w:color w:val="000000" w:themeColor="text1"/>
                <w:lang w:bidi="en-US"/>
              </w:rPr>
            </w:pPr>
            <w:bookmarkStart w:id="1" w:name="_Hlk217867313"/>
            <w:r w:rsidRPr="0017181D">
              <w:rPr>
                <w:rFonts w:ascii="Arial" w:eastAsia="Calibri" w:hAnsi="Arial" w:cs="Arial"/>
                <w:bCs/>
                <w:color w:val="000000" w:themeColor="text1"/>
                <w:lang w:bidi="en-US"/>
              </w:rPr>
              <w:t>Productive tillers per plant</w:t>
            </w:r>
            <w:bookmarkEnd w:id="1"/>
          </w:p>
        </w:tc>
        <w:tc>
          <w:tcPr>
            <w:tcW w:w="992" w:type="dxa"/>
            <w:vAlign w:val="bottom"/>
          </w:tcPr>
          <w:p w14:paraId="534E564C"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0.92</w:t>
            </w:r>
          </w:p>
        </w:tc>
        <w:tc>
          <w:tcPr>
            <w:tcW w:w="1430" w:type="dxa"/>
            <w:vAlign w:val="bottom"/>
          </w:tcPr>
          <w:p w14:paraId="7F517F7E"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0.07</w:t>
            </w:r>
          </w:p>
        </w:tc>
        <w:tc>
          <w:tcPr>
            <w:tcW w:w="1606" w:type="dxa"/>
            <w:vAlign w:val="bottom"/>
          </w:tcPr>
          <w:p w14:paraId="7494F576"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0.85</w:t>
            </w:r>
          </w:p>
        </w:tc>
        <w:tc>
          <w:tcPr>
            <w:tcW w:w="1032" w:type="dxa"/>
          </w:tcPr>
          <w:p w14:paraId="1199B744"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11.49</w:t>
            </w:r>
          </w:p>
        </w:tc>
        <w:tc>
          <w:tcPr>
            <w:tcW w:w="1032" w:type="dxa"/>
          </w:tcPr>
          <w:p w14:paraId="511867DF"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42.74</w:t>
            </w:r>
          </w:p>
        </w:tc>
        <w:tc>
          <w:tcPr>
            <w:tcW w:w="1032" w:type="dxa"/>
          </w:tcPr>
          <w:p w14:paraId="3055AA62"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41.17</w:t>
            </w:r>
          </w:p>
        </w:tc>
        <w:tc>
          <w:tcPr>
            <w:tcW w:w="1032" w:type="dxa"/>
          </w:tcPr>
          <w:p w14:paraId="6176394E"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7.22</w:t>
            </w:r>
          </w:p>
        </w:tc>
        <w:tc>
          <w:tcPr>
            <w:tcW w:w="950" w:type="dxa"/>
          </w:tcPr>
          <w:p w14:paraId="0F815F0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6.36</w:t>
            </w:r>
          </w:p>
        </w:tc>
      </w:tr>
      <w:tr w:rsidR="00C32BDD" w:rsidRPr="0017181D" w14:paraId="0B740E68" w14:textId="77777777" w:rsidTr="00C32BDD">
        <w:trPr>
          <w:trHeight w:val="330"/>
          <w:jc w:val="center"/>
        </w:trPr>
        <w:tc>
          <w:tcPr>
            <w:tcW w:w="0" w:type="auto"/>
            <w:vAlign w:val="center"/>
            <w:hideMark/>
          </w:tcPr>
          <w:p w14:paraId="046C2BBE"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5.</w:t>
            </w:r>
          </w:p>
        </w:tc>
        <w:tc>
          <w:tcPr>
            <w:tcW w:w="4531" w:type="dxa"/>
            <w:vAlign w:val="center"/>
          </w:tcPr>
          <w:p w14:paraId="44D6C5CE" w14:textId="77777777" w:rsidR="00C32BDD" w:rsidRPr="0017181D" w:rsidRDefault="00C32BDD" w:rsidP="00C32BDD">
            <w:pPr>
              <w:ind w:firstLine="24"/>
              <w:contextualSpacing/>
              <w:rPr>
                <w:rFonts w:ascii="Arial" w:eastAsia="Calibri" w:hAnsi="Arial" w:cs="Arial"/>
                <w:bCs/>
                <w:color w:val="000000" w:themeColor="text1"/>
                <w:lang w:eastAsia="en-IN"/>
              </w:rPr>
            </w:pPr>
            <w:bookmarkStart w:id="2" w:name="_Hlk217867534"/>
            <w:r w:rsidRPr="0017181D">
              <w:rPr>
                <w:rFonts w:ascii="Arial" w:eastAsia="Calibri" w:hAnsi="Arial" w:cs="Arial"/>
                <w:bCs/>
                <w:color w:val="000000" w:themeColor="text1"/>
              </w:rPr>
              <w:t>Ear head length (cm)</w:t>
            </w:r>
            <w:bookmarkEnd w:id="2"/>
          </w:p>
        </w:tc>
        <w:tc>
          <w:tcPr>
            <w:tcW w:w="992" w:type="dxa"/>
            <w:vAlign w:val="bottom"/>
          </w:tcPr>
          <w:p w14:paraId="7E6F48FF"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2.73</w:t>
            </w:r>
          </w:p>
        </w:tc>
        <w:tc>
          <w:tcPr>
            <w:tcW w:w="1430" w:type="dxa"/>
            <w:vAlign w:val="bottom"/>
          </w:tcPr>
          <w:p w14:paraId="0E5064B0"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1.95</w:t>
            </w:r>
          </w:p>
        </w:tc>
        <w:tc>
          <w:tcPr>
            <w:tcW w:w="1606" w:type="dxa"/>
            <w:vAlign w:val="bottom"/>
          </w:tcPr>
          <w:p w14:paraId="3D3365C4"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0.78</w:t>
            </w:r>
          </w:p>
        </w:tc>
        <w:tc>
          <w:tcPr>
            <w:tcW w:w="1032" w:type="dxa"/>
          </w:tcPr>
          <w:p w14:paraId="77D3E20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17.68</w:t>
            </w:r>
          </w:p>
        </w:tc>
        <w:tc>
          <w:tcPr>
            <w:tcW w:w="1032" w:type="dxa"/>
          </w:tcPr>
          <w:p w14:paraId="1692E782"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20.91</w:t>
            </w:r>
          </w:p>
        </w:tc>
        <w:tc>
          <w:tcPr>
            <w:tcW w:w="1032" w:type="dxa"/>
          </w:tcPr>
          <w:p w14:paraId="1CC82C49"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11.17</w:t>
            </w:r>
          </w:p>
        </w:tc>
        <w:tc>
          <w:tcPr>
            <w:tcW w:w="1032" w:type="dxa"/>
          </w:tcPr>
          <w:p w14:paraId="4657BFFD"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71.46</w:t>
            </w:r>
          </w:p>
        </w:tc>
        <w:tc>
          <w:tcPr>
            <w:tcW w:w="950" w:type="dxa"/>
          </w:tcPr>
          <w:p w14:paraId="2F6D341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30.78</w:t>
            </w:r>
          </w:p>
        </w:tc>
      </w:tr>
      <w:tr w:rsidR="00C32BDD" w:rsidRPr="0017181D" w14:paraId="08FD2A17" w14:textId="77777777" w:rsidTr="00C32BDD">
        <w:trPr>
          <w:trHeight w:val="330"/>
          <w:jc w:val="center"/>
        </w:trPr>
        <w:tc>
          <w:tcPr>
            <w:tcW w:w="0" w:type="auto"/>
            <w:vAlign w:val="center"/>
            <w:hideMark/>
          </w:tcPr>
          <w:p w14:paraId="7E595A29"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6.</w:t>
            </w:r>
          </w:p>
        </w:tc>
        <w:tc>
          <w:tcPr>
            <w:tcW w:w="4531" w:type="dxa"/>
            <w:vAlign w:val="center"/>
          </w:tcPr>
          <w:p w14:paraId="44E4C171" w14:textId="77777777" w:rsidR="00C32BDD" w:rsidRPr="0017181D" w:rsidRDefault="00C32BDD" w:rsidP="00C32BDD">
            <w:pPr>
              <w:ind w:firstLine="24"/>
              <w:contextualSpacing/>
              <w:rPr>
                <w:rFonts w:ascii="Arial" w:eastAsia="Calibri" w:hAnsi="Arial" w:cs="Arial"/>
                <w:bCs/>
                <w:color w:val="000000" w:themeColor="text1"/>
                <w:lang w:eastAsia="en-IN"/>
              </w:rPr>
            </w:pPr>
            <w:bookmarkStart w:id="3" w:name="_Hlk217867661"/>
            <w:r w:rsidRPr="0017181D">
              <w:rPr>
                <w:rFonts w:ascii="Arial" w:eastAsia="Calibri" w:hAnsi="Arial" w:cs="Arial"/>
                <w:bCs/>
                <w:color w:val="000000" w:themeColor="text1"/>
                <w:lang w:eastAsia="en-IN"/>
              </w:rPr>
              <w:t>Fingers per panicle</w:t>
            </w:r>
            <w:bookmarkEnd w:id="3"/>
          </w:p>
        </w:tc>
        <w:tc>
          <w:tcPr>
            <w:tcW w:w="992" w:type="dxa"/>
            <w:vAlign w:val="bottom"/>
          </w:tcPr>
          <w:p w14:paraId="16DDF148"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2.80</w:t>
            </w:r>
          </w:p>
        </w:tc>
        <w:tc>
          <w:tcPr>
            <w:tcW w:w="1430" w:type="dxa"/>
            <w:vAlign w:val="bottom"/>
          </w:tcPr>
          <w:p w14:paraId="5B7E19D7"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0.24</w:t>
            </w:r>
          </w:p>
        </w:tc>
        <w:tc>
          <w:tcPr>
            <w:tcW w:w="1606" w:type="dxa"/>
            <w:vAlign w:val="bottom"/>
          </w:tcPr>
          <w:p w14:paraId="0FB24046"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2.57</w:t>
            </w:r>
          </w:p>
        </w:tc>
        <w:tc>
          <w:tcPr>
            <w:tcW w:w="1032" w:type="dxa"/>
          </w:tcPr>
          <w:p w14:paraId="445877E0"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6.55</w:t>
            </w:r>
          </w:p>
        </w:tc>
        <w:tc>
          <w:tcPr>
            <w:tcW w:w="1032" w:type="dxa"/>
          </w:tcPr>
          <w:p w14:paraId="10FB99EE"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22.45</w:t>
            </w:r>
          </w:p>
        </w:tc>
        <w:tc>
          <w:tcPr>
            <w:tcW w:w="1032" w:type="dxa"/>
          </w:tcPr>
          <w:p w14:paraId="1F4CF2DD"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21.47</w:t>
            </w:r>
          </w:p>
        </w:tc>
        <w:tc>
          <w:tcPr>
            <w:tcW w:w="1032" w:type="dxa"/>
          </w:tcPr>
          <w:p w14:paraId="660DD2FD"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8.51</w:t>
            </w:r>
          </w:p>
        </w:tc>
        <w:tc>
          <w:tcPr>
            <w:tcW w:w="950" w:type="dxa"/>
          </w:tcPr>
          <w:p w14:paraId="3B64116C"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3.93</w:t>
            </w:r>
          </w:p>
        </w:tc>
      </w:tr>
      <w:tr w:rsidR="00C32BDD" w:rsidRPr="0017181D" w14:paraId="7CCDF021" w14:textId="77777777" w:rsidTr="00C32BDD">
        <w:trPr>
          <w:trHeight w:val="330"/>
          <w:jc w:val="center"/>
        </w:trPr>
        <w:tc>
          <w:tcPr>
            <w:tcW w:w="0" w:type="auto"/>
            <w:vAlign w:val="center"/>
            <w:hideMark/>
          </w:tcPr>
          <w:p w14:paraId="73445D43"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7.</w:t>
            </w:r>
          </w:p>
        </w:tc>
        <w:tc>
          <w:tcPr>
            <w:tcW w:w="4531" w:type="dxa"/>
            <w:vAlign w:val="center"/>
          </w:tcPr>
          <w:p w14:paraId="20BADA4A" w14:textId="77777777" w:rsidR="00C32BDD" w:rsidRPr="0017181D" w:rsidRDefault="00C32BDD" w:rsidP="00C32BDD">
            <w:pPr>
              <w:ind w:firstLine="24"/>
              <w:contextualSpacing/>
              <w:rPr>
                <w:rFonts w:ascii="Arial" w:eastAsia="Calibri" w:hAnsi="Arial" w:cs="Arial"/>
                <w:bCs/>
                <w:color w:val="000000" w:themeColor="text1"/>
                <w:lang w:eastAsia="en-IN"/>
              </w:rPr>
            </w:pPr>
            <w:bookmarkStart w:id="4" w:name="_Hlk217867702"/>
            <w:r w:rsidRPr="0017181D">
              <w:rPr>
                <w:rFonts w:ascii="Arial" w:eastAsia="Calibri" w:hAnsi="Arial" w:cs="Arial"/>
                <w:bCs/>
                <w:color w:val="000000" w:themeColor="text1"/>
              </w:rPr>
              <w:t>Finger width (cm)</w:t>
            </w:r>
            <w:bookmarkEnd w:id="4"/>
          </w:p>
        </w:tc>
        <w:tc>
          <w:tcPr>
            <w:tcW w:w="992" w:type="dxa"/>
            <w:vAlign w:val="bottom"/>
          </w:tcPr>
          <w:p w14:paraId="3B55019B"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0.021</w:t>
            </w:r>
          </w:p>
        </w:tc>
        <w:tc>
          <w:tcPr>
            <w:tcW w:w="1430" w:type="dxa"/>
            <w:vAlign w:val="bottom"/>
          </w:tcPr>
          <w:p w14:paraId="472B5E0A"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0.015</w:t>
            </w:r>
          </w:p>
        </w:tc>
        <w:tc>
          <w:tcPr>
            <w:tcW w:w="1606" w:type="dxa"/>
            <w:vAlign w:val="bottom"/>
          </w:tcPr>
          <w:p w14:paraId="65C39174"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0.006</w:t>
            </w:r>
          </w:p>
        </w:tc>
        <w:tc>
          <w:tcPr>
            <w:tcW w:w="1032" w:type="dxa"/>
          </w:tcPr>
          <w:p w14:paraId="1AAFF798"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12.05</w:t>
            </w:r>
          </w:p>
        </w:tc>
        <w:tc>
          <w:tcPr>
            <w:tcW w:w="1032" w:type="dxa"/>
          </w:tcPr>
          <w:p w14:paraId="6BBA3DA2"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14.28</w:t>
            </w:r>
          </w:p>
        </w:tc>
        <w:tc>
          <w:tcPr>
            <w:tcW w:w="1032" w:type="dxa"/>
          </w:tcPr>
          <w:p w14:paraId="62DB71A0"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7.67</w:t>
            </w:r>
          </w:p>
        </w:tc>
        <w:tc>
          <w:tcPr>
            <w:tcW w:w="1032" w:type="dxa"/>
          </w:tcPr>
          <w:p w14:paraId="17A2F80B"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71.19</w:t>
            </w:r>
          </w:p>
        </w:tc>
        <w:tc>
          <w:tcPr>
            <w:tcW w:w="950" w:type="dxa"/>
          </w:tcPr>
          <w:p w14:paraId="62128D91"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20.95</w:t>
            </w:r>
          </w:p>
        </w:tc>
      </w:tr>
      <w:tr w:rsidR="00C32BDD" w:rsidRPr="0017181D" w14:paraId="768F9DC4" w14:textId="77777777" w:rsidTr="00C32BDD">
        <w:trPr>
          <w:trHeight w:val="330"/>
          <w:jc w:val="center"/>
        </w:trPr>
        <w:tc>
          <w:tcPr>
            <w:tcW w:w="0" w:type="auto"/>
            <w:vAlign w:val="center"/>
            <w:hideMark/>
          </w:tcPr>
          <w:p w14:paraId="038216E1"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8.</w:t>
            </w:r>
          </w:p>
        </w:tc>
        <w:tc>
          <w:tcPr>
            <w:tcW w:w="4531" w:type="dxa"/>
            <w:vAlign w:val="center"/>
          </w:tcPr>
          <w:p w14:paraId="30B47701" w14:textId="77777777" w:rsidR="00C32BDD" w:rsidRPr="0017181D" w:rsidRDefault="00C32BDD" w:rsidP="00C32BDD">
            <w:pPr>
              <w:ind w:firstLine="24"/>
              <w:contextualSpacing/>
              <w:rPr>
                <w:rFonts w:ascii="Arial" w:eastAsia="Calibri" w:hAnsi="Arial" w:cs="Arial"/>
                <w:bCs/>
                <w:color w:val="000000" w:themeColor="text1"/>
              </w:rPr>
            </w:pPr>
            <w:bookmarkStart w:id="5" w:name="_Hlk217868341"/>
            <w:r w:rsidRPr="0017181D">
              <w:rPr>
                <w:rFonts w:ascii="Arial" w:eastAsia="Calibri" w:hAnsi="Arial" w:cs="Arial"/>
                <w:bCs/>
                <w:color w:val="000000" w:themeColor="text1"/>
              </w:rPr>
              <w:t>Weight of matured panicle per plant (g)</w:t>
            </w:r>
            <w:bookmarkEnd w:id="5"/>
          </w:p>
        </w:tc>
        <w:tc>
          <w:tcPr>
            <w:tcW w:w="992" w:type="dxa"/>
            <w:vAlign w:val="bottom"/>
          </w:tcPr>
          <w:p w14:paraId="16461CDC"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15.94</w:t>
            </w:r>
          </w:p>
        </w:tc>
        <w:tc>
          <w:tcPr>
            <w:tcW w:w="1430" w:type="dxa"/>
            <w:vAlign w:val="bottom"/>
          </w:tcPr>
          <w:p w14:paraId="1ACDDFF1"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6.25</w:t>
            </w:r>
          </w:p>
        </w:tc>
        <w:tc>
          <w:tcPr>
            <w:tcW w:w="1606" w:type="dxa"/>
            <w:vAlign w:val="bottom"/>
          </w:tcPr>
          <w:p w14:paraId="6714E6FB"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9.69</w:t>
            </w:r>
          </w:p>
        </w:tc>
        <w:tc>
          <w:tcPr>
            <w:tcW w:w="1032" w:type="dxa"/>
          </w:tcPr>
          <w:p w14:paraId="27EE217F"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17.61</w:t>
            </w:r>
          </w:p>
        </w:tc>
        <w:tc>
          <w:tcPr>
            <w:tcW w:w="1032" w:type="dxa"/>
          </w:tcPr>
          <w:p w14:paraId="7587D7B4"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28.12</w:t>
            </w:r>
          </w:p>
        </w:tc>
        <w:tc>
          <w:tcPr>
            <w:tcW w:w="1032" w:type="dxa"/>
          </w:tcPr>
          <w:p w14:paraId="776B1B09"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21.93</w:t>
            </w:r>
          </w:p>
        </w:tc>
        <w:tc>
          <w:tcPr>
            <w:tcW w:w="1032" w:type="dxa"/>
          </w:tcPr>
          <w:p w14:paraId="62F911D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39.21</w:t>
            </w:r>
          </w:p>
        </w:tc>
        <w:tc>
          <w:tcPr>
            <w:tcW w:w="950" w:type="dxa"/>
          </w:tcPr>
          <w:p w14:paraId="082E62C4"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22.71</w:t>
            </w:r>
          </w:p>
        </w:tc>
      </w:tr>
      <w:tr w:rsidR="00C32BDD" w:rsidRPr="0017181D" w14:paraId="5C1FFE0E" w14:textId="77777777" w:rsidTr="00C32BDD">
        <w:trPr>
          <w:trHeight w:val="330"/>
          <w:jc w:val="center"/>
        </w:trPr>
        <w:tc>
          <w:tcPr>
            <w:tcW w:w="0" w:type="auto"/>
            <w:vAlign w:val="center"/>
            <w:hideMark/>
          </w:tcPr>
          <w:p w14:paraId="7EA45A9D"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9.</w:t>
            </w:r>
          </w:p>
        </w:tc>
        <w:tc>
          <w:tcPr>
            <w:tcW w:w="4531" w:type="dxa"/>
            <w:vAlign w:val="center"/>
          </w:tcPr>
          <w:p w14:paraId="02354754" w14:textId="77777777" w:rsidR="00C32BDD" w:rsidRPr="0017181D" w:rsidRDefault="00C32BDD" w:rsidP="00C32BDD">
            <w:pPr>
              <w:ind w:firstLine="24"/>
              <w:contextualSpacing/>
              <w:rPr>
                <w:rFonts w:ascii="Arial" w:eastAsia="Calibri" w:hAnsi="Arial" w:cs="Arial"/>
                <w:bCs/>
                <w:color w:val="000000" w:themeColor="text1"/>
                <w:lang w:bidi="en-US"/>
              </w:rPr>
            </w:pPr>
            <w:bookmarkStart w:id="6" w:name="_Hlk217868447"/>
            <w:r w:rsidRPr="0017181D">
              <w:rPr>
                <w:rFonts w:ascii="Arial" w:eastAsia="Calibri" w:hAnsi="Arial" w:cs="Arial"/>
                <w:bCs/>
                <w:color w:val="000000" w:themeColor="text1"/>
                <w:lang w:bidi="en-US"/>
              </w:rPr>
              <w:t>1000 Seed weight (g)</w:t>
            </w:r>
            <w:bookmarkEnd w:id="6"/>
          </w:p>
        </w:tc>
        <w:tc>
          <w:tcPr>
            <w:tcW w:w="992" w:type="dxa"/>
            <w:vAlign w:val="bottom"/>
          </w:tcPr>
          <w:p w14:paraId="50FE1298"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0.12</w:t>
            </w:r>
          </w:p>
        </w:tc>
        <w:tc>
          <w:tcPr>
            <w:tcW w:w="1430" w:type="dxa"/>
            <w:vAlign w:val="bottom"/>
          </w:tcPr>
          <w:p w14:paraId="3E1C2A16"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0.11</w:t>
            </w:r>
          </w:p>
        </w:tc>
        <w:tc>
          <w:tcPr>
            <w:tcW w:w="1606" w:type="dxa"/>
            <w:vAlign w:val="bottom"/>
          </w:tcPr>
          <w:p w14:paraId="598768CE"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0.011</w:t>
            </w:r>
          </w:p>
        </w:tc>
        <w:tc>
          <w:tcPr>
            <w:tcW w:w="1032" w:type="dxa"/>
          </w:tcPr>
          <w:p w14:paraId="3ACC865F"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14.32</w:t>
            </w:r>
          </w:p>
        </w:tc>
        <w:tc>
          <w:tcPr>
            <w:tcW w:w="1032" w:type="dxa"/>
          </w:tcPr>
          <w:p w14:paraId="534BB4B1"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15.03</w:t>
            </w:r>
          </w:p>
        </w:tc>
        <w:tc>
          <w:tcPr>
            <w:tcW w:w="1032" w:type="dxa"/>
          </w:tcPr>
          <w:p w14:paraId="1A5FBD6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4.57</w:t>
            </w:r>
          </w:p>
        </w:tc>
        <w:tc>
          <w:tcPr>
            <w:tcW w:w="1032" w:type="dxa"/>
          </w:tcPr>
          <w:p w14:paraId="65F1B663"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90.77</w:t>
            </w:r>
          </w:p>
        </w:tc>
        <w:tc>
          <w:tcPr>
            <w:tcW w:w="950" w:type="dxa"/>
          </w:tcPr>
          <w:p w14:paraId="04EEE6FC"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28.10</w:t>
            </w:r>
          </w:p>
        </w:tc>
      </w:tr>
      <w:tr w:rsidR="00C32BDD" w:rsidRPr="0017181D" w14:paraId="3265BF93" w14:textId="77777777" w:rsidTr="00C32BDD">
        <w:trPr>
          <w:trHeight w:val="330"/>
          <w:jc w:val="center"/>
        </w:trPr>
        <w:tc>
          <w:tcPr>
            <w:tcW w:w="0" w:type="auto"/>
            <w:vAlign w:val="center"/>
            <w:hideMark/>
          </w:tcPr>
          <w:p w14:paraId="526234E1"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10.</w:t>
            </w:r>
          </w:p>
        </w:tc>
        <w:tc>
          <w:tcPr>
            <w:tcW w:w="4531" w:type="dxa"/>
            <w:vAlign w:val="center"/>
          </w:tcPr>
          <w:p w14:paraId="1C9374C1" w14:textId="77777777" w:rsidR="00C32BDD" w:rsidRPr="0017181D" w:rsidRDefault="00C32BDD" w:rsidP="00C32BDD">
            <w:pPr>
              <w:ind w:firstLine="24"/>
              <w:contextualSpacing/>
              <w:rPr>
                <w:rFonts w:ascii="Arial" w:eastAsia="Calibri" w:hAnsi="Arial" w:cs="Arial"/>
                <w:bCs/>
                <w:color w:val="000000" w:themeColor="text1"/>
                <w:lang w:bidi="en-US"/>
              </w:rPr>
            </w:pPr>
            <w:bookmarkStart w:id="7" w:name="_Hlk217869401"/>
            <w:r w:rsidRPr="0017181D">
              <w:rPr>
                <w:rFonts w:ascii="Arial" w:eastAsia="Calibri" w:hAnsi="Arial" w:cs="Arial"/>
                <w:bCs/>
                <w:color w:val="000000" w:themeColor="text1"/>
                <w:lang w:bidi="en-US"/>
              </w:rPr>
              <w:t xml:space="preserve">Harvest index (%) </w:t>
            </w:r>
            <w:bookmarkEnd w:id="7"/>
          </w:p>
        </w:tc>
        <w:tc>
          <w:tcPr>
            <w:tcW w:w="992" w:type="dxa"/>
            <w:vAlign w:val="bottom"/>
          </w:tcPr>
          <w:p w14:paraId="5FF2E1DC"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36.95</w:t>
            </w:r>
          </w:p>
        </w:tc>
        <w:tc>
          <w:tcPr>
            <w:tcW w:w="1430" w:type="dxa"/>
            <w:vAlign w:val="bottom"/>
          </w:tcPr>
          <w:p w14:paraId="03CF9549"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16.47</w:t>
            </w:r>
          </w:p>
        </w:tc>
        <w:tc>
          <w:tcPr>
            <w:tcW w:w="1606" w:type="dxa"/>
            <w:vAlign w:val="bottom"/>
          </w:tcPr>
          <w:p w14:paraId="4D9EB543"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20.48</w:t>
            </w:r>
          </w:p>
        </w:tc>
        <w:tc>
          <w:tcPr>
            <w:tcW w:w="1032" w:type="dxa"/>
          </w:tcPr>
          <w:p w14:paraId="5C9C977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15.15</w:t>
            </w:r>
          </w:p>
        </w:tc>
        <w:tc>
          <w:tcPr>
            <w:tcW w:w="1032" w:type="dxa"/>
          </w:tcPr>
          <w:p w14:paraId="7E6B9F0C"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22.70</w:t>
            </w:r>
          </w:p>
        </w:tc>
        <w:tc>
          <w:tcPr>
            <w:tcW w:w="1032" w:type="dxa"/>
          </w:tcPr>
          <w:p w14:paraId="01C18201"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16.90</w:t>
            </w:r>
          </w:p>
        </w:tc>
        <w:tc>
          <w:tcPr>
            <w:tcW w:w="1032" w:type="dxa"/>
          </w:tcPr>
          <w:p w14:paraId="77A5108A"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44.58</w:t>
            </w:r>
          </w:p>
        </w:tc>
        <w:tc>
          <w:tcPr>
            <w:tcW w:w="950" w:type="dxa"/>
          </w:tcPr>
          <w:p w14:paraId="12787679"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20.84</w:t>
            </w:r>
          </w:p>
        </w:tc>
      </w:tr>
      <w:tr w:rsidR="00C32BDD" w:rsidRPr="0017181D" w14:paraId="7E2707D9" w14:textId="77777777" w:rsidTr="00C32BDD">
        <w:trPr>
          <w:trHeight w:val="330"/>
          <w:jc w:val="center"/>
        </w:trPr>
        <w:tc>
          <w:tcPr>
            <w:tcW w:w="0" w:type="auto"/>
            <w:vAlign w:val="center"/>
            <w:hideMark/>
          </w:tcPr>
          <w:p w14:paraId="0473260D"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11.</w:t>
            </w:r>
          </w:p>
        </w:tc>
        <w:tc>
          <w:tcPr>
            <w:tcW w:w="4531" w:type="dxa"/>
            <w:vAlign w:val="center"/>
          </w:tcPr>
          <w:p w14:paraId="50876450" w14:textId="77777777" w:rsidR="00C32BDD" w:rsidRPr="0017181D" w:rsidRDefault="00C32BDD" w:rsidP="00C32BDD">
            <w:pPr>
              <w:ind w:firstLine="24"/>
              <w:contextualSpacing/>
              <w:rPr>
                <w:rFonts w:ascii="Arial" w:eastAsia="Calibri" w:hAnsi="Arial" w:cs="Arial"/>
                <w:bCs/>
                <w:color w:val="000000" w:themeColor="text1"/>
                <w:lang w:bidi="en-US"/>
              </w:rPr>
            </w:pPr>
            <w:bookmarkStart w:id="8" w:name="_Hlk217869490"/>
            <w:r w:rsidRPr="0017181D">
              <w:rPr>
                <w:rFonts w:ascii="Arial" w:eastAsia="Calibri" w:hAnsi="Arial" w:cs="Arial"/>
                <w:bCs/>
                <w:color w:val="000000" w:themeColor="text1"/>
                <w:lang w:bidi="en-US"/>
              </w:rPr>
              <w:t>Fodder yield per plant (g)</w:t>
            </w:r>
            <w:bookmarkEnd w:id="8"/>
          </w:p>
        </w:tc>
        <w:tc>
          <w:tcPr>
            <w:tcW w:w="992" w:type="dxa"/>
            <w:vAlign w:val="bottom"/>
          </w:tcPr>
          <w:p w14:paraId="7520359D"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26.42</w:t>
            </w:r>
          </w:p>
        </w:tc>
        <w:tc>
          <w:tcPr>
            <w:tcW w:w="1430" w:type="dxa"/>
            <w:vAlign w:val="bottom"/>
          </w:tcPr>
          <w:p w14:paraId="6FB5BF18"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9.42</w:t>
            </w:r>
          </w:p>
        </w:tc>
        <w:tc>
          <w:tcPr>
            <w:tcW w:w="1606" w:type="dxa"/>
            <w:vAlign w:val="bottom"/>
          </w:tcPr>
          <w:p w14:paraId="2A70EDB0"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17.01</w:t>
            </w:r>
          </w:p>
        </w:tc>
        <w:tc>
          <w:tcPr>
            <w:tcW w:w="1032" w:type="dxa"/>
          </w:tcPr>
          <w:p w14:paraId="495B370E"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15.40</w:t>
            </w:r>
          </w:p>
        </w:tc>
        <w:tc>
          <w:tcPr>
            <w:tcW w:w="1032" w:type="dxa"/>
          </w:tcPr>
          <w:p w14:paraId="4B5BDDD1"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25.79</w:t>
            </w:r>
          </w:p>
        </w:tc>
        <w:tc>
          <w:tcPr>
            <w:tcW w:w="1032" w:type="dxa"/>
          </w:tcPr>
          <w:p w14:paraId="1E596A94"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20.69</w:t>
            </w:r>
          </w:p>
        </w:tc>
        <w:tc>
          <w:tcPr>
            <w:tcW w:w="1032" w:type="dxa"/>
          </w:tcPr>
          <w:p w14:paraId="675A667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35.64</w:t>
            </w:r>
          </w:p>
        </w:tc>
        <w:tc>
          <w:tcPr>
            <w:tcW w:w="950" w:type="dxa"/>
          </w:tcPr>
          <w:p w14:paraId="1219ADA3"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18.93</w:t>
            </w:r>
          </w:p>
        </w:tc>
      </w:tr>
      <w:tr w:rsidR="00C32BDD" w:rsidRPr="0017181D" w14:paraId="068C1260" w14:textId="77777777" w:rsidTr="00C32BDD">
        <w:trPr>
          <w:trHeight w:val="330"/>
          <w:jc w:val="center"/>
        </w:trPr>
        <w:tc>
          <w:tcPr>
            <w:tcW w:w="0" w:type="auto"/>
            <w:vAlign w:val="center"/>
            <w:hideMark/>
          </w:tcPr>
          <w:p w14:paraId="3A651488"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12.</w:t>
            </w:r>
          </w:p>
        </w:tc>
        <w:tc>
          <w:tcPr>
            <w:tcW w:w="4531" w:type="dxa"/>
            <w:vAlign w:val="center"/>
          </w:tcPr>
          <w:p w14:paraId="52D17342"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lang w:bidi="en-US"/>
              </w:rPr>
              <w:t>Grain yield per plant (g)</w:t>
            </w:r>
          </w:p>
        </w:tc>
        <w:tc>
          <w:tcPr>
            <w:tcW w:w="992" w:type="dxa"/>
            <w:vAlign w:val="bottom"/>
          </w:tcPr>
          <w:p w14:paraId="483F7A40"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5.56</w:t>
            </w:r>
          </w:p>
        </w:tc>
        <w:tc>
          <w:tcPr>
            <w:tcW w:w="1430" w:type="dxa"/>
            <w:vAlign w:val="bottom"/>
          </w:tcPr>
          <w:p w14:paraId="4641C9D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2.04</w:t>
            </w:r>
          </w:p>
        </w:tc>
        <w:tc>
          <w:tcPr>
            <w:tcW w:w="1606" w:type="dxa"/>
            <w:vAlign w:val="bottom"/>
          </w:tcPr>
          <w:p w14:paraId="64E8CF63"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3.52</w:t>
            </w:r>
          </w:p>
        </w:tc>
        <w:tc>
          <w:tcPr>
            <w:tcW w:w="1032" w:type="dxa"/>
          </w:tcPr>
          <w:p w14:paraId="5268EF1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19.64</w:t>
            </w:r>
          </w:p>
        </w:tc>
        <w:tc>
          <w:tcPr>
            <w:tcW w:w="1032" w:type="dxa"/>
          </w:tcPr>
          <w:p w14:paraId="1EA9354D"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32.44</w:t>
            </w:r>
          </w:p>
        </w:tc>
        <w:tc>
          <w:tcPr>
            <w:tcW w:w="1032" w:type="dxa"/>
          </w:tcPr>
          <w:p w14:paraId="5C6E8CAF"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25.82</w:t>
            </w:r>
          </w:p>
        </w:tc>
        <w:tc>
          <w:tcPr>
            <w:tcW w:w="1032" w:type="dxa"/>
          </w:tcPr>
          <w:p w14:paraId="1817FAE1"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36.66</w:t>
            </w:r>
          </w:p>
        </w:tc>
        <w:tc>
          <w:tcPr>
            <w:tcW w:w="950" w:type="dxa"/>
          </w:tcPr>
          <w:p w14:paraId="6B005364"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24.50</w:t>
            </w:r>
          </w:p>
        </w:tc>
      </w:tr>
      <w:tr w:rsidR="00C32BDD" w:rsidRPr="0017181D" w14:paraId="056F4789" w14:textId="77777777" w:rsidTr="00C32BDD">
        <w:trPr>
          <w:trHeight w:val="330"/>
          <w:jc w:val="center"/>
        </w:trPr>
        <w:tc>
          <w:tcPr>
            <w:tcW w:w="0" w:type="auto"/>
            <w:vAlign w:val="center"/>
            <w:hideMark/>
          </w:tcPr>
          <w:p w14:paraId="46A9A7D8"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13.</w:t>
            </w:r>
          </w:p>
        </w:tc>
        <w:tc>
          <w:tcPr>
            <w:tcW w:w="4531" w:type="dxa"/>
            <w:vAlign w:val="center"/>
          </w:tcPr>
          <w:p w14:paraId="7598E16E"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rPr>
              <w:t>Protein content (%)</w:t>
            </w:r>
          </w:p>
        </w:tc>
        <w:tc>
          <w:tcPr>
            <w:tcW w:w="992" w:type="dxa"/>
            <w:vAlign w:val="bottom"/>
          </w:tcPr>
          <w:p w14:paraId="050D429C"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1.66</w:t>
            </w:r>
          </w:p>
        </w:tc>
        <w:tc>
          <w:tcPr>
            <w:tcW w:w="1430" w:type="dxa"/>
            <w:vAlign w:val="bottom"/>
          </w:tcPr>
          <w:p w14:paraId="68C101B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1.64</w:t>
            </w:r>
          </w:p>
        </w:tc>
        <w:tc>
          <w:tcPr>
            <w:tcW w:w="1606" w:type="dxa"/>
            <w:vAlign w:val="bottom"/>
          </w:tcPr>
          <w:p w14:paraId="4F6B6EF2"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0.02</w:t>
            </w:r>
          </w:p>
        </w:tc>
        <w:tc>
          <w:tcPr>
            <w:tcW w:w="1032" w:type="dxa"/>
          </w:tcPr>
          <w:p w14:paraId="678C0CDC"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18.31</w:t>
            </w:r>
          </w:p>
        </w:tc>
        <w:tc>
          <w:tcPr>
            <w:tcW w:w="1032" w:type="dxa"/>
          </w:tcPr>
          <w:p w14:paraId="02D630B0"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18.42</w:t>
            </w:r>
          </w:p>
        </w:tc>
        <w:tc>
          <w:tcPr>
            <w:tcW w:w="1032" w:type="dxa"/>
          </w:tcPr>
          <w:p w14:paraId="6E167E7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2.03</w:t>
            </w:r>
          </w:p>
        </w:tc>
        <w:tc>
          <w:tcPr>
            <w:tcW w:w="1032" w:type="dxa"/>
          </w:tcPr>
          <w:p w14:paraId="6FFE93B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98.79</w:t>
            </w:r>
          </w:p>
        </w:tc>
        <w:tc>
          <w:tcPr>
            <w:tcW w:w="950" w:type="dxa"/>
          </w:tcPr>
          <w:p w14:paraId="1475C76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37.48</w:t>
            </w:r>
          </w:p>
        </w:tc>
      </w:tr>
      <w:tr w:rsidR="00C32BDD" w:rsidRPr="0017181D" w14:paraId="02F6C203" w14:textId="77777777" w:rsidTr="00C32BDD">
        <w:trPr>
          <w:trHeight w:val="330"/>
          <w:jc w:val="center"/>
        </w:trPr>
        <w:tc>
          <w:tcPr>
            <w:tcW w:w="0" w:type="auto"/>
            <w:vAlign w:val="center"/>
            <w:hideMark/>
          </w:tcPr>
          <w:p w14:paraId="1917FE1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14.</w:t>
            </w:r>
          </w:p>
        </w:tc>
        <w:tc>
          <w:tcPr>
            <w:tcW w:w="4531" w:type="dxa"/>
            <w:vAlign w:val="center"/>
          </w:tcPr>
          <w:p w14:paraId="487B1EA8"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rPr>
              <w:t>Calcium content (mg/100g)</w:t>
            </w:r>
          </w:p>
        </w:tc>
        <w:tc>
          <w:tcPr>
            <w:tcW w:w="992" w:type="dxa"/>
            <w:vAlign w:val="bottom"/>
          </w:tcPr>
          <w:p w14:paraId="3653E142"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2378.08</w:t>
            </w:r>
          </w:p>
        </w:tc>
        <w:tc>
          <w:tcPr>
            <w:tcW w:w="1430" w:type="dxa"/>
            <w:vAlign w:val="bottom"/>
          </w:tcPr>
          <w:p w14:paraId="4AF56CBB"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2363.47</w:t>
            </w:r>
          </w:p>
        </w:tc>
        <w:tc>
          <w:tcPr>
            <w:tcW w:w="1606" w:type="dxa"/>
            <w:vAlign w:val="bottom"/>
          </w:tcPr>
          <w:p w14:paraId="44590DE9"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14.62</w:t>
            </w:r>
          </w:p>
        </w:tc>
        <w:tc>
          <w:tcPr>
            <w:tcW w:w="1032" w:type="dxa"/>
          </w:tcPr>
          <w:p w14:paraId="27778487"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18.13</w:t>
            </w:r>
          </w:p>
        </w:tc>
        <w:tc>
          <w:tcPr>
            <w:tcW w:w="1032" w:type="dxa"/>
          </w:tcPr>
          <w:p w14:paraId="2F240390"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18.19</w:t>
            </w:r>
          </w:p>
        </w:tc>
        <w:tc>
          <w:tcPr>
            <w:tcW w:w="1032" w:type="dxa"/>
          </w:tcPr>
          <w:p w14:paraId="13A980F5"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1.43</w:t>
            </w:r>
          </w:p>
        </w:tc>
        <w:tc>
          <w:tcPr>
            <w:tcW w:w="1032" w:type="dxa"/>
          </w:tcPr>
          <w:p w14:paraId="68C50214"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99.39</w:t>
            </w:r>
          </w:p>
        </w:tc>
        <w:tc>
          <w:tcPr>
            <w:tcW w:w="950" w:type="dxa"/>
          </w:tcPr>
          <w:p w14:paraId="68EDB99E"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37.24</w:t>
            </w:r>
          </w:p>
        </w:tc>
      </w:tr>
      <w:tr w:rsidR="00C32BDD" w:rsidRPr="0017181D" w14:paraId="27D4C846" w14:textId="77777777" w:rsidTr="00C32BDD">
        <w:trPr>
          <w:trHeight w:val="330"/>
          <w:jc w:val="center"/>
        </w:trPr>
        <w:tc>
          <w:tcPr>
            <w:tcW w:w="0" w:type="auto"/>
            <w:vAlign w:val="center"/>
            <w:hideMark/>
          </w:tcPr>
          <w:p w14:paraId="4F7D97E0"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15.</w:t>
            </w:r>
          </w:p>
        </w:tc>
        <w:tc>
          <w:tcPr>
            <w:tcW w:w="4531" w:type="dxa"/>
            <w:vAlign w:val="center"/>
          </w:tcPr>
          <w:p w14:paraId="20383B5B"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rPr>
              <w:t>Iron content (mg/100g)</w:t>
            </w:r>
          </w:p>
        </w:tc>
        <w:tc>
          <w:tcPr>
            <w:tcW w:w="992" w:type="dxa"/>
            <w:vAlign w:val="bottom"/>
          </w:tcPr>
          <w:p w14:paraId="2849C769"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0.95</w:t>
            </w:r>
          </w:p>
        </w:tc>
        <w:tc>
          <w:tcPr>
            <w:tcW w:w="1430" w:type="dxa"/>
            <w:vAlign w:val="bottom"/>
          </w:tcPr>
          <w:p w14:paraId="3173C736"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0.95</w:t>
            </w:r>
          </w:p>
        </w:tc>
        <w:tc>
          <w:tcPr>
            <w:tcW w:w="1606" w:type="dxa"/>
            <w:vAlign w:val="bottom"/>
          </w:tcPr>
          <w:p w14:paraId="41AE21B5"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0.0011</w:t>
            </w:r>
          </w:p>
        </w:tc>
        <w:tc>
          <w:tcPr>
            <w:tcW w:w="1032" w:type="dxa"/>
          </w:tcPr>
          <w:p w14:paraId="504FF458"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31.70</w:t>
            </w:r>
          </w:p>
        </w:tc>
        <w:tc>
          <w:tcPr>
            <w:tcW w:w="1032" w:type="dxa"/>
          </w:tcPr>
          <w:p w14:paraId="265DBAC6"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31.71</w:t>
            </w:r>
          </w:p>
        </w:tc>
        <w:tc>
          <w:tcPr>
            <w:tcW w:w="1032" w:type="dxa"/>
          </w:tcPr>
          <w:p w14:paraId="74D2F97F"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1.08</w:t>
            </w:r>
          </w:p>
        </w:tc>
        <w:tc>
          <w:tcPr>
            <w:tcW w:w="1032" w:type="dxa"/>
          </w:tcPr>
          <w:p w14:paraId="5CBA667C"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99.88</w:t>
            </w:r>
          </w:p>
        </w:tc>
        <w:tc>
          <w:tcPr>
            <w:tcW w:w="950" w:type="dxa"/>
          </w:tcPr>
          <w:p w14:paraId="75FA8BDE"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65.26</w:t>
            </w:r>
          </w:p>
        </w:tc>
      </w:tr>
      <w:tr w:rsidR="00C32BDD" w:rsidRPr="0017181D" w14:paraId="49A18C83" w14:textId="77777777" w:rsidTr="00C32BDD">
        <w:trPr>
          <w:trHeight w:val="330"/>
          <w:jc w:val="center"/>
        </w:trPr>
        <w:tc>
          <w:tcPr>
            <w:tcW w:w="0" w:type="auto"/>
            <w:vAlign w:val="center"/>
            <w:hideMark/>
          </w:tcPr>
          <w:p w14:paraId="2913EC63"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16.</w:t>
            </w:r>
          </w:p>
        </w:tc>
        <w:tc>
          <w:tcPr>
            <w:tcW w:w="4531" w:type="dxa"/>
            <w:vAlign w:val="center"/>
          </w:tcPr>
          <w:p w14:paraId="7C606C53" w14:textId="77777777" w:rsidR="00C32BDD" w:rsidRPr="0017181D" w:rsidRDefault="00C32BDD" w:rsidP="00C32BDD">
            <w:pPr>
              <w:ind w:firstLine="24"/>
              <w:contextualSpacing/>
              <w:rPr>
                <w:rFonts w:ascii="Arial" w:eastAsia="Calibri" w:hAnsi="Arial" w:cs="Arial"/>
                <w:bCs/>
                <w:color w:val="000000" w:themeColor="text1"/>
                <w:lang w:bidi="en-US"/>
              </w:rPr>
            </w:pPr>
            <w:r w:rsidRPr="0017181D">
              <w:rPr>
                <w:rFonts w:ascii="Arial" w:eastAsia="Calibri" w:hAnsi="Arial" w:cs="Arial"/>
                <w:bCs/>
                <w:color w:val="000000" w:themeColor="text1"/>
              </w:rPr>
              <w:t>Crude fiber content (%)</w:t>
            </w:r>
          </w:p>
        </w:tc>
        <w:tc>
          <w:tcPr>
            <w:tcW w:w="992" w:type="dxa"/>
            <w:vAlign w:val="bottom"/>
          </w:tcPr>
          <w:p w14:paraId="1A28AE9B"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0.59</w:t>
            </w:r>
          </w:p>
        </w:tc>
        <w:tc>
          <w:tcPr>
            <w:tcW w:w="1430" w:type="dxa"/>
            <w:vAlign w:val="bottom"/>
          </w:tcPr>
          <w:p w14:paraId="25BF2CED"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0.59</w:t>
            </w:r>
          </w:p>
        </w:tc>
        <w:tc>
          <w:tcPr>
            <w:tcW w:w="1606" w:type="dxa"/>
            <w:vAlign w:val="bottom"/>
          </w:tcPr>
          <w:p w14:paraId="322B57EA" w14:textId="77777777" w:rsidR="00C32BDD" w:rsidRPr="0017181D" w:rsidRDefault="00C32BDD" w:rsidP="00C32BDD">
            <w:pPr>
              <w:contextualSpacing/>
              <w:rPr>
                <w:rFonts w:ascii="Arial" w:eastAsia="Calibri" w:hAnsi="Arial" w:cs="Arial"/>
                <w:color w:val="000000" w:themeColor="text1"/>
              </w:rPr>
            </w:pPr>
            <w:r w:rsidRPr="0017181D">
              <w:rPr>
                <w:rFonts w:ascii="Arial" w:eastAsia="Calibri" w:hAnsi="Arial" w:cs="Arial"/>
                <w:color w:val="000000" w:themeColor="text1"/>
              </w:rPr>
              <w:t>0.003</w:t>
            </w:r>
          </w:p>
        </w:tc>
        <w:tc>
          <w:tcPr>
            <w:tcW w:w="1032" w:type="dxa"/>
          </w:tcPr>
          <w:p w14:paraId="43D8815A"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14.66</w:t>
            </w:r>
          </w:p>
        </w:tc>
        <w:tc>
          <w:tcPr>
            <w:tcW w:w="1032" w:type="dxa"/>
          </w:tcPr>
          <w:p w14:paraId="63E72F43"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14.70</w:t>
            </w:r>
          </w:p>
        </w:tc>
        <w:tc>
          <w:tcPr>
            <w:tcW w:w="1032" w:type="dxa"/>
          </w:tcPr>
          <w:p w14:paraId="370D07D0"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1.05</w:t>
            </w:r>
          </w:p>
        </w:tc>
        <w:tc>
          <w:tcPr>
            <w:tcW w:w="1032" w:type="dxa"/>
          </w:tcPr>
          <w:p w14:paraId="09F194AD"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99.49</w:t>
            </w:r>
          </w:p>
        </w:tc>
        <w:tc>
          <w:tcPr>
            <w:tcW w:w="950" w:type="dxa"/>
          </w:tcPr>
          <w:p w14:paraId="13E169B9" w14:textId="77777777" w:rsidR="00C32BDD" w:rsidRPr="0017181D" w:rsidRDefault="00C32BDD" w:rsidP="00C32BDD">
            <w:pPr>
              <w:contextualSpacing/>
              <w:rPr>
                <w:rFonts w:ascii="Arial" w:eastAsia="Calibri" w:hAnsi="Arial" w:cs="Arial"/>
                <w:color w:val="000000" w:themeColor="text1"/>
              </w:rPr>
            </w:pPr>
            <w:r w:rsidRPr="0017181D">
              <w:rPr>
                <w:rFonts w:ascii="Arial" w:hAnsi="Arial" w:cs="Arial"/>
                <w:color w:val="000000" w:themeColor="text1"/>
              </w:rPr>
              <w:t>30.12</w:t>
            </w:r>
          </w:p>
        </w:tc>
      </w:tr>
      <w:bookmarkEnd w:id="0"/>
    </w:tbl>
    <w:p w14:paraId="5598612B" w14:textId="77777777" w:rsidR="00A73B96" w:rsidRPr="0017181D" w:rsidRDefault="00A73B96" w:rsidP="00A73B96">
      <w:pPr>
        <w:ind w:left="1170" w:hanging="1170"/>
        <w:rPr>
          <w:rFonts w:ascii="Arial" w:hAnsi="Arial" w:cs="Arial"/>
          <w:b/>
          <w:bCs/>
          <w:color w:val="000000" w:themeColor="text1"/>
        </w:rPr>
      </w:pPr>
    </w:p>
    <w:p w14:paraId="51D497D2" w14:textId="77777777" w:rsidR="00C32BDD" w:rsidRPr="0017181D" w:rsidRDefault="00C32BDD" w:rsidP="00C32BDD">
      <w:pPr>
        <w:ind w:firstLine="720"/>
        <w:rPr>
          <w:rFonts w:ascii="Arial" w:hAnsi="Arial" w:cs="Arial"/>
          <w:color w:val="000000" w:themeColor="text1"/>
        </w:rPr>
      </w:pPr>
      <w:r w:rsidRPr="0017181D">
        <w:rPr>
          <w:rFonts w:ascii="Arial" w:hAnsi="Arial" w:cs="Arial"/>
          <w:b/>
          <w:bCs/>
          <w:color w:val="000000" w:themeColor="text1"/>
        </w:rPr>
        <w:t>GCV:</w:t>
      </w:r>
      <w:r w:rsidRPr="0017181D">
        <w:rPr>
          <w:rFonts w:ascii="Arial" w:hAnsi="Arial" w:cs="Arial"/>
          <w:color w:val="000000" w:themeColor="text1"/>
        </w:rPr>
        <w:t xml:space="preserve"> Genotypic coefficient of variation, </w:t>
      </w:r>
      <w:r w:rsidRPr="0017181D">
        <w:rPr>
          <w:rFonts w:ascii="Arial" w:hAnsi="Arial" w:cs="Arial"/>
          <w:b/>
          <w:bCs/>
          <w:color w:val="000000" w:themeColor="text1"/>
        </w:rPr>
        <w:t>PCV:</w:t>
      </w:r>
      <w:r w:rsidRPr="0017181D">
        <w:rPr>
          <w:rFonts w:ascii="Arial" w:hAnsi="Arial" w:cs="Arial"/>
          <w:color w:val="000000" w:themeColor="text1"/>
        </w:rPr>
        <w:t xml:space="preserve"> phenotypic coefficient of variation, </w:t>
      </w:r>
      <w:r w:rsidRPr="0017181D">
        <w:rPr>
          <w:rFonts w:ascii="Arial" w:hAnsi="Arial" w:cs="Arial"/>
          <w:b/>
          <w:bCs/>
          <w:color w:val="000000" w:themeColor="text1"/>
        </w:rPr>
        <w:t>ECV:</w:t>
      </w:r>
      <w:r w:rsidRPr="0017181D">
        <w:rPr>
          <w:rFonts w:ascii="Arial" w:hAnsi="Arial" w:cs="Arial"/>
          <w:color w:val="000000" w:themeColor="text1"/>
        </w:rPr>
        <w:t xml:space="preserve"> Environmental coefficient of variation, </w:t>
      </w:r>
    </w:p>
    <w:p w14:paraId="63D12E06" w14:textId="77777777" w:rsidR="00A73B96" w:rsidRPr="0017181D" w:rsidRDefault="00C32BDD" w:rsidP="00C32BDD">
      <w:pPr>
        <w:ind w:firstLine="720"/>
        <w:rPr>
          <w:rFonts w:ascii="Arial" w:hAnsi="Arial" w:cs="Arial"/>
          <w:color w:val="000000" w:themeColor="text1"/>
        </w:rPr>
      </w:pPr>
      <w:r w:rsidRPr="0017181D">
        <w:rPr>
          <w:rFonts w:ascii="Arial" w:hAnsi="Arial" w:cs="Arial"/>
          <w:b/>
          <w:bCs/>
          <w:color w:val="000000" w:themeColor="text1"/>
        </w:rPr>
        <w:t>h</w:t>
      </w:r>
      <w:r w:rsidRPr="0017181D">
        <w:rPr>
          <w:rFonts w:ascii="Arial" w:hAnsi="Arial" w:cs="Arial"/>
          <w:b/>
          <w:bCs/>
          <w:color w:val="000000" w:themeColor="text1"/>
          <w:vertAlign w:val="superscript"/>
        </w:rPr>
        <w:t>2</w:t>
      </w:r>
      <w:r w:rsidRPr="0017181D">
        <w:rPr>
          <w:rFonts w:ascii="Arial" w:hAnsi="Arial" w:cs="Arial"/>
          <w:b/>
          <w:bCs/>
          <w:color w:val="000000" w:themeColor="text1"/>
          <w:position w:val="9"/>
        </w:rPr>
        <w:t xml:space="preserve"> </w:t>
      </w:r>
      <w:r w:rsidRPr="0017181D">
        <w:rPr>
          <w:rFonts w:ascii="Arial" w:hAnsi="Arial" w:cs="Arial"/>
          <w:b/>
          <w:bCs/>
          <w:color w:val="000000" w:themeColor="text1"/>
        </w:rPr>
        <w:t>(bs):</w:t>
      </w:r>
      <w:r w:rsidRPr="0017181D">
        <w:rPr>
          <w:rFonts w:ascii="Arial" w:hAnsi="Arial" w:cs="Arial"/>
          <w:color w:val="000000" w:themeColor="text1"/>
        </w:rPr>
        <w:t xml:space="preserve"> Heritability in broad sense, </w:t>
      </w:r>
      <w:r w:rsidRPr="0017181D">
        <w:rPr>
          <w:rFonts w:ascii="Arial" w:hAnsi="Arial" w:cs="Arial"/>
          <w:b/>
          <w:bCs/>
          <w:color w:val="000000" w:themeColor="text1"/>
        </w:rPr>
        <w:t>GAM:</w:t>
      </w:r>
      <w:r w:rsidRPr="0017181D">
        <w:rPr>
          <w:rFonts w:ascii="Arial" w:hAnsi="Arial" w:cs="Arial"/>
          <w:color w:val="000000" w:themeColor="text1"/>
        </w:rPr>
        <w:t xml:space="preserve"> Genetic advance (% of mean), </w:t>
      </w:r>
      <w:r w:rsidRPr="0017181D">
        <w:rPr>
          <w:rFonts w:ascii="Arial" w:hAnsi="Arial" w:cs="Arial"/>
          <w:b/>
          <w:bCs/>
          <w:color w:val="000000" w:themeColor="text1"/>
        </w:rPr>
        <w:t>GA:</w:t>
      </w:r>
      <w:r w:rsidRPr="0017181D">
        <w:rPr>
          <w:rFonts w:ascii="Arial" w:hAnsi="Arial" w:cs="Arial"/>
          <w:color w:val="000000" w:themeColor="text1"/>
        </w:rPr>
        <w:t xml:space="preserve"> Genetic advanc</w:t>
      </w:r>
      <w:r w:rsidR="00233387" w:rsidRPr="0017181D">
        <w:rPr>
          <w:rFonts w:ascii="Arial" w:hAnsi="Arial" w:cs="Arial"/>
          <w:color w:val="000000" w:themeColor="text1"/>
        </w:rPr>
        <w:t>e</w:t>
      </w:r>
    </w:p>
    <w:p w14:paraId="6ADF9B1B" w14:textId="77777777" w:rsidR="008E6DF0" w:rsidRPr="0017181D" w:rsidRDefault="008E6DF0" w:rsidP="00C32BDD">
      <w:pPr>
        <w:ind w:firstLine="720"/>
        <w:rPr>
          <w:rFonts w:ascii="Arial" w:hAnsi="Arial" w:cs="Arial"/>
          <w:color w:val="000000" w:themeColor="text1"/>
        </w:rPr>
      </w:pPr>
    </w:p>
    <w:p w14:paraId="1F4E4F79" w14:textId="77777777" w:rsidR="008E6DF0" w:rsidRPr="0017181D" w:rsidRDefault="008E6DF0" w:rsidP="00C32BDD">
      <w:pPr>
        <w:ind w:firstLine="720"/>
        <w:rPr>
          <w:rFonts w:ascii="Arial" w:hAnsi="Arial" w:cs="Arial"/>
          <w:color w:val="000000" w:themeColor="text1"/>
        </w:rPr>
      </w:pPr>
    </w:p>
    <w:p w14:paraId="1A4BA7C1" w14:textId="77777777" w:rsidR="008E6DF0" w:rsidRPr="0017181D" w:rsidRDefault="008E6DF0" w:rsidP="00C32BDD">
      <w:pPr>
        <w:ind w:firstLine="720"/>
        <w:rPr>
          <w:rFonts w:ascii="Arial" w:hAnsi="Arial" w:cs="Arial"/>
          <w:color w:val="000000" w:themeColor="text1"/>
        </w:rPr>
      </w:pPr>
    </w:p>
    <w:p w14:paraId="636F65F0" w14:textId="77777777" w:rsidR="008E6DF0" w:rsidRPr="0017181D" w:rsidRDefault="008E6DF0" w:rsidP="00C32BDD">
      <w:pPr>
        <w:ind w:firstLine="720"/>
        <w:rPr>
          <w:rFonts w:ascii="Arial" w:hAnsi="Arial" w:cs="Arial"/>
          <w:color w:val="000000" w:themeColor="text1"/>
        </w:rPr>
        <w:sectPr w:rsidR="008E6DF0" w:rsidRPr="0017181D" w:rsidSect="00C6181B">
          <w:pgSz w:w="16840" w:h="11907" w:orient="landscape" w:code="9"/>
          <w:pgMar w:top="1440" w:right="1440" w:bottom="2160" w:left="1440" w:header="720" w:footer="720" w:gutter="0"/>
          <w:cols w:space="720"/>
          <w:docGrid w:linePitch="360"/>
        </w:sectPr>
      </w:pPr>
    </w:p>
    <w:p w14:paraId="43A68553" w14:textId="77777777" w:rsidR="008E6DF0" w:rsidRPr="0017181D" w:rsidRDefault="008E6DF0" w:rsidP="008E6DF0">
      <w:pPr>
        <w:spacing w:after="160" w:line="259" w:lineRule="auto"/>
        <w:rPr>
          <w:rFonts w:eastAsia="Calibri"/>
          <w:b/>
          <w:bCs/>
          <w:color w:val="000000" w:themeColor="text1"/>
          <w:kern w:val="2"/>
        </w:rPr>
      </w:pPr>
      <w:r w:rsidRPr="0017181D">
        <w:rPr>
          <w:noProof/>
          <w:color w:val="000000" w:themeColor="text1"/>
        </w:rPr>
        <w:lastRenderedPageBreak/>
        <w:drawing>
          <wp:inline distT="0" distB="0" distL="0" distR="0" wp14:anchorId="4609D823" wp14:editId="1D1F9648">
            <wp:extent cx="8431619" cy="4019107"/>
            <wp:effectExtent l="0" t="0" r="0" b="0"/>
            <wp:docPr id="1815648997" name="Chart 1">
              <a:extLst xmlns:a="http://schemas.openxmlformats.org/drawingml/2006/main">
                <a:ext uri="{FF2B5EF4-FFF2-40B4-BE49-F238E27FC236}">
                  <a16:creationId xmlns:a16="http://schemas.microsoft.com/office/drawing/2014/main" id="{72E9109B-4084-A07C-B4D1-11ED95AFA3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6559286" w14:textId="77777777" w:rsidR="008E6DF0" w:rsidRPr="0017181D" w:rsidRDefault="008E6DF0" w:rsidP="008E6DF0">
      <w:pPr>
        <w:spacing w:after="160" w:line="259" w:lineRule="auto"/>
        <w:rPr>
          <w:rFonts w:eastAsia="Calibri"/>
          <w:b/>
          <w:bCs/>
          <w:color w:val="000000" w:themeColor="text1"/>
          <w:kern w:val="2"/>
        </w:rPr>
      </w:pPr>
      <w:r w:rsidRPr="0017181D">
        <w:rPr>
          <w:rFonts w:eastAsia="Calibri"/>
          <w:b/>
          <w:bCs/>
          <w:color w:val="000000" w:themeColor="text1"/>
          <w:kern w:val="2"/>
        </w:rPr>
        <w:t xml:space="preserve">Fig </w:t>
      </w:r>
      <w:r w:rsidR="003540F4" w:rsidRPr="0017181D">
        <w:rPr>
          <w:rFonts w:eastAsia="Calibri"/>
          <w:b/>
          <w:bCs/>
          <w:color w:val="000000" w:themeColor="text1"/>
          <w:kern w:val="2"/>
        </w:rPr>
        <w:t>1</w:t>
      </w:r>
      <w:r w:rsidRPr="0017181D">
        <w:rPr>
          <w:rFonts w:eastAsia="Calibri"/>
          <w:b/>
          <w:bCs/>
          <w:color w:val="000000" w:themeColor="text1"/>
          <w:kern w:val="2"/>
        </w:rPr>
        <w:t xml:space="preserve">: </w:t>
      </w:r>
      <w:r w:rsidRPr="0017181D">
        <w:rPr>
          <w:b/>
          <w:bCs/>
          <w:color w:val="000000" w:themeColor="text1"/>
        </w:rPr>
        <w:t xml:space="preserve">Bar graph representing </w:t>
      </w:r>
      <w:r w:rsidRPr="0017181D">
        <w:rPr>
          <w:rFonts w:eastAsia="Calibri"/>
          <w:b/>
          <w:bCs/>
          <w:color w:val="000000" w:themeColor="text1"/>
          <w:kern w:val="2"/>
        </w:rPr>
        <w:t>GCV (%), PCV (%) and ECV (%) for sixteen characters in finger millet</w:t>
      </w:r>
    </w:p>
    <w:tbl>
      <w:tblPr>
        <w:tblStyle w:val="TableGrid2"/>
        <w:tblW w:w="136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4113"/>
        <w:gridCol w:w="3290"/>
        <w:gridCol w:w="3232"/>
      </w:tblGrid>
      <w:tr w:rsidR="008E6DF0" w:rsidRPr="0017181D" w14:paraId="59EF71B9" w14:textId="77777777" w:rsidTr="00AF3BE4">
        <w:trPr>
          <w:trHeight w:val="281"/>
          <w:jc w:val="center"/>
        </w:trPr>
        <w:tc>
          <w:tcPr>
            <w:tcW w:w="3031" w:type="dxa"/>
          </w:tcPr>
          <w:p w14:paraId="7BE3028E"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Dff</w:t>
            </w:r>
            <w:proofErr w:type="spellEnd"/>
            <w:r w:rsidRPr="0017181D">
              <w:rPr>
                <w:rFonts w:eastAsia="Calibri"/>
                <w:b/>
                <w:bCs/>
                <w:color w:val="000000" w:themeColor="text1"/>
              </w:rPr>
              <w:t>:</w:t>
            </w:r>
            <w:r w:rsidRPr="0017181D">
              <w:rPr>
                <w:rFonts w:eastAsia="Calibri"/>
                <w:color w:val="000000" w:themeColor="text1"/>
              </w:rPr>
              <w:t xml:space="preserve"> Days to 50 % flowering</w:t>
            </w:r>
          </w:p>
        </w:tc>
        <w:tc>
          <w:tcPr>
            <w:tcW w:w="4113" w:type="dxa"/>
          </w:tcPr>
          <w:p w14:paraId="4EE606A8" w14:textId="77777777" w:rsidR="008E6DF0" w:rsidRPr="0017181D" w:rsidRDefault="008E6DF0" w:rsidP="00A51CE2">
            <w:pPr>
              <w:rPr>
                <w:rFonts w:eastAsia="Calibri"/>
                <w:b/>
                <w:bCs/>
                <w:color w:val="000000" w:themeColor="text1"/>
              </w:rPr>
            </w:pPr>
            <w:r w:rsidRPr="0017181D">
              <w:rPr>
                <w:rFonts w:eastAsia="Calibri"/>
                <w:b/>
                <w:bCs/>
                <w:color w:val="000000" w:themeColor="text1"/>
              </w:rPr>
              <w:t>Ehl:</w:t>
            </w:r>
            <w:r w:rsidRPr="0017181D">
              <w:rPr>
                <w:rFonts w:eastAsia="Calibri"/>
                <w:color w:val="000000" w:themeColor="text1"/>
              </w:rPr>
              <w:t xml:space="preserve"> Ear head length (cm)</w:t>
            </w:r>
          </w:p>
        </w:tc>
        <w:tc>
          <w:tcPr>
            <w:tcW w:w="3290" w:type="dxa"/>
          </w:tcPr>
          <w:p w14:paraId="699A4BA5" w14:textId="77777777" w:rsidR="008E6DF0" w:rsidRPr="0017181D" w:rsidRDefault="008E6DF0" w:rsidP="00A51CE2">
            <w:pPr>
              <w:rPr>
                <w:rFonts w:eastAsia="Calibri"/>
                <w:b/>
                <w:bCs/>
                <w:color w:val="000000" w:themeColor="text1"/>
              </w:rPr>
            </w:pPr>
            <w:r w:rsidRPr="0017181D">
              <w:rPr>
                <w:rFonts w:eastAsia="Calibri"/>
                <w:b/>
                <w:bCs/>
                <w:color w:val="000000" w:themeColor="text1"/>
              </w:rPr>
              <w:t>Tw:</w:t>
            </w:r>
            <w:r w:rsidRPr="0017181D">
              <w:rPr>
                <w:rFonts w:eastAsia="Calibri"/>
                <w:color w:val="000000" w:themeColor="text1"/>
              </w:rPr>
              <w:t xml:space="preserve"> 1000 Seed weight (g)</w:t>
            </w:r>
          </w:p>
        </w:tc>
        <w:tc>
          <w:tcPr>
            <w:tcW w:w="3232" w:type="dxa"/>
          </w:tcPr>
          <w:p w14:paraId="5F54F95E" w14:textId="77777777" w:rsidR="008E6DF0" w:rsidRPr="0017181D" w:rsidRDefault="008E6DF0" w:rsidP="00A51CE2">
            <w:pPr>
              <w:rPr>
                <w:rFonts w:eastAsia="Calibri"/>
                <w:b/>
                <w:bCs/>
                <w:color w:val="000000" w:themeColor="text1"/>
              </w:rPr>
            </w:pPr>
            <w:r w:rsidRPr="0017181D">
              <w:rPr>
                <w:rFonts w:eastAsia="Calibri"/>
                <w:b/>
                <w:bCs/>
                <w:color w:val="000000" w:themeColor="text1"/>
              </w:rPr>
              <w:t>Pc:</w:t>
            </w:r>
            <w:r w:rsidRPr="0017181D">
              <w:rPr>
                <w:rFonts w:eastAsia="Calibri"/>
                <w:color w:val="000000" w:themeColor="text1"/>
              </w:rPr>
              <w:t xml:space="preserve"> Protein content (%)</w:t>
            </w:r>
          </w:p>
        </w:tc>
      </w:tr>
      <w:tr w:rsidR="008E6DF0" w:rsidRPr="0017181D" w14:paraId="6304AD52" w14:textId="77777777" w:rsidTr="00AF3BE4">
        <w:trPr>
          <w:trHeight w:val="293"/>
          <w:jc w:val="center"/>
        </w:trPr>
        <w:tc>
          <w:tcPr>
            <w:tcW w:w="3031" w:type="dxa"/>
          </w:tcPr>
          <w:p w14:paraId="51EAB999" w14:textId="77777777" w:rsidR="008E6DF0" w:rsidRPr="0017181D" w:rsidRDefault="008E6DF0" w:rsidP="00A51CE2">
            <w:pPr>
              <w:rPr>
                <w:rFonts w:eastAsia="Calibri"/>
                <w:b/>
                <w:bCs/>
                <w:color w:val="000000" w:themeColor="text1"/>
              </w:rPr>
            </w:pPr>
            <w:r w:rsidRPr="0017181D">
              <w:rPr>
                <w:rFonts w:eastAsia="Calibri"/>
                <w:b/>
                <w:bCs/>
                <w:color w:val="000000" w:themeColor="text1"/>
              </w:rPr>
              <w:t>Dm:</w:t>
            </w:r>
            <w:r w:rsidRPr="0017181D">
              <w:rPr>
                <w:rFonts w:eastAsia="Calibri"/>
                <w:color w:val="000000" w:themeColor="text1"/>
              </w:rPr>
              <w:t xml:space="preserve"> Days to maturity</w:t>
            </w:r>
          </w:p>
        </w:tc>
        <w:tc>
          <w:tcPr>
            <w:tcW w:w="4113" w:type="dxa"/>
          </w:tcPr>
          <w:p w14:paraId="34DEF1EF"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Fp</w:t>
            </w:r>
            <w:proofErr w:type="spellEnd"/>
            <w:r w:rsidRPr="0017181D">
              <w:rPr>
                <w:rFonts w:eastAsia="Calibri"/>
                <w:b/>
                <w:bCs/>
                <w:color w:val="000000" w:themeColor="text1"/>
              </w:rPr>
              <w:t>:</w:t>
            </w:r>
            <w:r w:rsidRPr="0017181D">
              <w:rPr>
                <w:rFonts w:eastAsia="Calibri"/>
                <w:color w:val="000000" w:themeColor="text1"/>
              </w:rPr>
              <w:t xml:space="preserve"> Fingers per panicle,</w:t>
            </w:r>
          </w:p>
        </w:tc>
        <w:tc>
          <w:tcPr>
            <w:tcW w:w="3290" w:type="dxa"/>
          </w:tcPr>
          <w:p w14:paraId="67F41F02" w14:textId="77777777" w:rsidR="008E6DF0" w:rsidRPr="0017181D" w:rsidRDefault="008E6DF0" w:rsidP="00A51CE2">
            <w:pPr>
              <w:rPr>
                <w:rFonts w:eastAsia="Calibri"/>
                <w:b/>
                <w:bCs/>
                <w:color w:val="000000" w:themeColor="text1"/>
              </w:rPr>
            </w:pPr>
            <w:r w:rsidRPr="0017181D">
              <w:rPr>
                <w:rFonts w:eastAsia="Calibri"/>
                <w:b/>
                <w:bCs/>
                <w:color w:val="000000" w:themeColor="text1"/>
              </w:rPr>
              <w:t>Hi:</w:t>
            </w:r>
            <w:r w:rsidRPr="0017181D">
              <w:rPr>
                <w:rFonts w:eastAsia="Calibri"/>
                <w:color w:val="000000" w:themeColor="text1"/>
              </w:rPr>
              <w:t xml:space="preserve"> Harvest index (%)</w:t>
            </w:r>
          </w:p>
        </w:tc>
        <w:tc>
          <w:tcPr>
            <w:tcW w:w="3232" w:type="dxa"/>
          </w:tcPr>
          <w:p w14:paraId="1B5690FB" w14:textId="77777777" w:rsidR="008E6DF0" w:rsidRPr="0017181D" w:rsidRDefault="008E6DF0" w:rsidP="00AF3BE4">
            <w:pPr>
              <w:ind w:right="-53"/>
              <w:rPr>
                <w:rFonts w:eastAsia="Calibri"/>
                <w:b/>
                <w:bCs/>
                <w:color w:val="000000" w:themeColor="text1"/>
              </w:rPr>
            </w:pPr>
            <w:r w:rsidRPr="0017181D">
              <w:rPr>
                <w:rFonts w:eastAsia="Calibri"/>
                <w:b/>
                <w:bCs/>
                <w:color w:val="000000" w:themeColor="text1"/>
              </w:rPr>
              <w:t>Cc:</w:t>
            </w:r>
            <w:r w:rsidRPr="0017181D">
              <w:rPr>
                <w:rFonts w:eastAsia="Calibri"/>
                <w:color w:val="000000" w:themeColor="text1"/>
              </w:rPr>
              <w:t xml:space="preserve"> Calcium content (mg/100g)</w:t>
            </w:r>
          </w:p>
        </w:tc>
      </w:tr>
      <w:tr w:rsidR="008E6DF0" w:rsidRPr="0017181D" w14:paraId="5603D885" w14:textId="77777777" w:rsidTr="00AF3BE4">
        <w:trPr>
          <w:trHeight w:val="281"/>
          <w:jc w:val="center"/>
        </w:trPr>
        <w:tc>
          <w:tcPr>
            <w:tcW w:w="3031" w:type="dxa"/>
          </w:tcPr>
          <w:p w14:paraId="457A0F36" w14:textId="77777777" w:rsidR="008E6DF0" w:rsidRPr="0017181D" w:rsidRDefault="008E6DF0" w:rsidP="00A51CE2">
            <w:pPr>
              <w:rPr>
                <w:rFonts w:eastAsia="Calibri"/>
                <w:b/>
                <w:bCs/>
                <w:color w:val="000000" w:themeColor="text1"/>
              </w:rPr>
            </w:pPr>
            <w:r w:rsidRPr="0017181D">
              <w:rPr>
                <w:rFonts w:eastAsia="Calibri"/>
                <w:b/>
                <w:bCs/>
                <w:color w:val="000000" w:themeColor="text1"/>
              </w:rPr>
              <w:t>Ph:</w:t>
            </w:r>
            <w:r w:rsidRPr="0017181D">
              <w:rPr>
                <w:rFonts w:eastAsia="Calibri"/>
                <w:color w:val="000000" w:themeColor="text1"/>
              </w:rPr>
              <w:t xml:space="preserve"> Plant height (cm)</w:t>
            </w:r>
          </w:p>
        </w:tc>
        <w:tc>
          <w:tcPr>
            <w:tcW w:w="4113" w:type="dxa"/>
          </w:tcPr>
          <w:p w14:paraId="76A65E16"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Fw</w:t>
            </w:r>
            <w:proofErr w:type="spellEnd"/>
            <w:r w:rsidRPr="0017181D">
              <w:rPr>
                <w:rFonts w:eastAsia="Calibri"/>
                <w:b/>
                <w:bCs/>
                <w:color w:val="000000" w:themeColor="text1"/>
              </w:rPr>
              <w:t>:</w:t>
            </w:r>
            <w:r w:rsidRPr="0017181D">
              <w:rPr>
                <w:rFonts w:eastAsia="Calibri"/>
                <w:color w:val="000000" w:themeColor="text1"/>
              </w:rPr>
              <w:t xml:space="preserve"> Finger width (cm)</w:t>
            </w:r>
          </w:p>
        </w:tc>
        <w:tc>
          <w:tcPr>
            <w:tcW w:w="3290" w:type="dxa"/>
          </w:tcPr>
          <w:p w14:paraId="6774592B" w14:textId="77777777" w:rsidR="008E6DF0" w:rsidRPr="0017181D" w:rsidRDefault="008E6DF0" w:rsidP="00A51CE2">
            <w:pPr>
              <w:rPr>
                <w:rFonts w:eastAsia="Calibri"/>
                <w:b/>
                <w:bCs/>
                <w:color w:val="000000" w:themeColor="text1"/>
              </w:rPr>
            </w:pPr>
            <w:r w:rsidRPr="0017181D">
              <w:rPr>
                <w:rFonts w:eastAsia="Calibri"/>
                <w:b/>
                <w:bCs/>
                <w:color w:val="000000" w:themeColor="text1"/>
              </w:rPr>
              <w:t>Fy:</w:t>
            </w:r>
            <w:r w:rsidRPr="0017181D">
              <w:rPr>
                <w:rFonts w:eastAsia="Calibri"/>
                <w:color w:val="000000" w:themeColor="text1"/>
              </w:rPr>
              <w:t xml:space="preserve"> Fodder yield per plant (g)</w:t>
            </w:r>
          </w:p>
        </w:tc>
        <w:tc>
          <w:tcPr>
            <w:tcW w:w="3232" w:type="dxa"/>
          </w:tcPr>
          <w:p w14:paraId="758DA51A"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Ic</w:t>
            </w:r>
            <w:proofErr w:type="spellEnd"/>
            <w:r w:rsidRPr="0017181D">
              <w:rPr>
                <w:rFonts w:eastAsia="Calibri"/>
                <w:b/>
                <w:bCs/>
                <w:color w:val="000000" w:themeColor="text1"/>
              </w:rPr>
              <w:t>:</w:t>
            </w:r>
            <w:r w:rsidRPr="0017181D">
              <w:rPr>
                <w:rFonts w:eastAsia="Calibri"/>
                <w:color w:val="000000" w:themeColor="text1"/>
              </w:rPr>
              <w:t xml:space="preserve"> Iron content (mg/100g)</w:t>
            </w:r>
          </w:p>
        </w:tc>
      </w:tr>
      <w:tr w:rsidR="008E6DF0" w:rsidRPr="0017181D" w14:paraId="49E8F120" w14:textId="77777777" w:rsidTr="00AF3BE4">
        <w:trPr>
          <w:trHeight w:val="293"/>
          <w:jc w:val="center"/>
        </w:trPr>
        <w:tc>
          <w:tcPr>
            <w:tcW w:w="3031" w:type="dxa"/>
          </w:tcPr>
          <w:p w14:paraId="6C964CBE" w14:textId="77777777" w:rsidR="008E6DF0" w:rsidRPr="0017181D" w:rsidRDefault="008E6DF0" w:rsidP="00A51CE2">
            <w:pPr>
              <w:rPr>
                <w:rFonts w:eastAsia="Calibri"/>
                <w:b/>
                <w:bCs/>
                <w:color w:val="000000" w:themeColor="text1"/>
              </w:rPr>
            </w:pPr>
            <w:r w:rsidRPr="0017181D">
              <w:rPr>
                <w:rFonts w:eastAsia="Calibri"/>
                <w:b/>
                <w:bCs/>
                <w:color w:val="000000" w:themeColor="text1"/>
              </w:rPr>
              <w:t>Pt:</w:t>
            </w:r>
            <w:r w:rsidRPr="0017181D">
              <w:rPr>
                <w:rFonts w:eastAsia="Calibri"/>
                <w:color w:val="000000" w:themeColor="text1"/>
              </w:rPr>
              <w:t xml:space="preserve"> Productive tillers per plant</w:t>
            </w:r>
          </w:p>
        </w:tc>
        <w:tc>
          <w:tcPr>
            <w:tcW w:w="4113" w:type="dxa"/>
          </w:tcPr>
          <w:p w14:paraId="5D0AFA7A" w14:textId="77777777" w:rsidR="008E6DF0" w:rsidRPr="0017181D" w:rsidRDefault="008E6DF0" w:rsidP="00A51CE2">
            <w:pPr>
              <w:rPr>
                <w:rFonts w:eastAsia="Calibri"/>
                <w:b/>
                <w:bCs/>
                <w:color w:val="000000" w:themeColor="text1"/>
              </w:rPr>
            </w:pPr>
            <w:r w:rsidRPr="0017181D">
              <w:rPr>
                <w:rFonts w:eastAsia="Calibri"/>
                <w:b/>
                <w:bCs/>
                <w:color w:val="000000" w:themeColor="text1"/>
              </w:rPr>
              <w:t>Pw:</w:t>
            </w:r>
            <w:r w:rsidRPr="0017181D">
              <w:rPr>
                <w:rFonts w:eastAsia="Calibri"/>
                <w:color w:val="000000" w:themeColor="text1"/>
              </w:rPr>
              <w:t xml:space="preserve"> Weight of matured panicle per plant (g)</w:t>
            </w:r>
          </w:p>
        </w:tc>
        <w:tc>
          <w:tcPr>
            <w:tcW w:w="3290" w:type="dxa"/>
          </w:tcPr>
          <w:p w14:paraId="0937F211" w14:textId="77777777" w:rsidR="008E6DF0" w:rsidRPr="0017181D" w:rsidRDefault="008E6DF0" w:rsidP="00A51CE2">
            <w:pPr>
              <w:rPr>
                <w:rFonts w:eastAsia="Calibri"/>
                <w:b/>
                <w:bCs/>
                <w:color w:val="000000" w:themeColor="text1"/>
              </w:rPr>
            </w:pPr>
            <w:r w:rsidRPr="0017181D">
              <w:rPr>
                <w:rFonts w:eastAsia="Calibri"/>
                <w:b/>
                <w:bCs/>
                <w:color w:val="000000" w:themeColor="text1"/>
              </w:rPr>
              <w:t>Gy:</w:t>
            </w:r>
            <w:r w:rsidRPr="0017181D">
              <w:rPr>
                <w:rFonts w:eastAsia="Calibri"/>
                <w:color w:val="000000" w:themeColor="text1"/>
              </w:rPr>
              <w:t xml:space="preserve"> Grain yield per plant (g)</w:t>
            </w:r>
          </w:p>
        </w:tc>
        <w:tc>
          <w:tcPr>
            <w:tcW w:w="3232" w:type="dxa"/>
          </w:tcPr>
          <w:p w14:paraId="424E1E30" w14:textId="77777777" w:rsidR="008E6DF0" w:rsidRPr="0017181D" w:rsidRDefault="008E6DF0" w:rsidP="00A51CE2">
            <w:pPr>
              <w:rPr>
                <w:rFonts w:eastAsia="Calibri"/>
                <w:b/>
                <w:bCs/>
                <w:color w:val="000000" w:themeColor="text1"/>
              </w:rPr>
            </w:pPr>
            <w:r w:rsidRPr="0017181D">
              <w:rPr>
                <w:rFonts w:eastAsia="Calibri"/>
                <w:b/>
                <w:bCs/>
                <w:color w:val="000000" w:themeColor="text1"/>
              </w:rPr>
              <w:t>Cf:</w:t>
            </w:r>
            <w:r w:rsidRPr="0017181D">
              <w:rPr>
                <w:rFonts w:eastAsia="Calibri"/>
                <w:color w:val="000000" w:themeColor="text1"/>
              </w:rPr>
              <w:t xml:space="preserve"> Crude </w:t>
            </w:r>
            <w:proofErr w:type="spellStart"/>
            <w:r w:rsidRPr="0017181D">
              <w:rPr>
                <w:rFonts w:eastAsia="Calibri"/>
                <w:color w:val="000000" w:themeColor="text1"/>
              </w:rPr>
              <w:t>fiber</w:t>
            </w:r>
            <w:proofErr w:type="spellEnd"/>
            <w:r w:rsidRPr="0017181D">
              <w:rPr>
                <w:rFonts w:eastAsia="Calibri"/>
                <w:color w:val="000000" w:themeColor="text1"/>
              </w:rPr>
              <w:t xml:space="preserve"> content (%)</w:t>
            </w:r>
          </w:p>
        </w:tc>
      </w:tr>
    </w:tbl>
    <w:p w14:paraId="087742BA" w14:textId="77777777" w:rsidR="008E6DF0" w:rsidRPr="0017181D" w:rsidRDefault="008E6DF0" w:rsidP="008E6DF0">
      <w:pPr>
        <w:spacing w:after="160" w:line="259" w:lineRule="auto"/>
        <w:rPr>
          <w:rFonts w:eastAsia="Calibri"/>
          <w:b/>
          <w:bCs/>
          <w:color w:val="000000" w:themeColor="text1"/>
          <w:kern w:val="2"/>
        </w:rPr>
        <w:sectPr w:rsidR="008E6DF0" w:rsidRPr="0017181D" w:rsidSect="008E6DF0">
          <w:pgSz w:w="16840" w:h="11907" w:orient="landscape" w:code="9"/>
          <w:pgMar w:top="1440" w:right="1440" w:bottom="2160" w:left="1440" w:header="720" w:footer="720" w:gutter="0"/>
          <w:cols w:space="720"/>
          <w:docGrid w:linePitch="360"/>
        </w:sectPr>
      </w:pPr>
    </w:p>
    <w:p w14:paraId="624794D6" w14:textId="77777777" w:rsidR="008E6DF0" w:rsidRPr="0017181D" w:rsidRDefault="008E6DF0" w:rsidP="008E6DF0">
      <w:pPr>
        <w:spacing w:after="160" w:line="259" w:lineRule="auto"/>
        <w:rPr>
          <w:rFonts w:eastAsia="Calibri"/>
          <w:b/>
          <w:bCs/>
          <w:color w:val="000000" w:themeColor="text1"/>
          <w:kern w:val="2"/>
        </w:rPr>
      </w:pPr>
      <w:r w:rsidRPr="0017181D">
        <w:rPr>
          <w:rFonts w:eastAsia="Calibri"/>
          <w:noProof/>
          <w:color w:val="000000" w:themeColor="text1"/>
          <w:kern w:val="2"/>
        </w:rPr>
        <w:lastRenderedPageBreak/>
        <w:drawing>
          <wp:inline distT="0" distB="0" distL="0" distR="0" wp14:anchorId="0D5FE7C4" wp14:editId="3AF27B5D">
            <wp:extent cx="8356600" cy="3817088"/>
            <wp:effectExtent l="0" t="0" r="0" b="0"/>
            <wp:docPr id="558951770" name="Chart 1">
              <a:extLst xmlns:a="http://schemas.openxmlformats.org/drawingml/2006/main">
                <a:ext uri="{FF2B5EF4-FFF2-40B4-BE49-F238E27FC236}">
                  <a16:creationId xmlns:a16="http://schemas.microsoft.com/office/drawing/2014/main" id="{DEF69B83-7D96-0EB8-B960-21BBB2D041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25C994" w14:textId="77777777" w:rsidR="008E6DF0" w:rsidRPr="0017181D" w:rsidRDefault="008E6DF0" w:rsidP="008E6DF0">
      <w:pPr>
        <w:spacing w:after="160" w:line="259" w:lineRule="auto"/>
        <w:rPr>
          <w:rFonts w:eastAsia="Calibri"/>
          <w:b/>
          <w:bCs/>
          <w:color w:val="000000" w:themeColor="text1"/>
          <w:kern w:val="2"/>
        </w:rPr>
      </w:pPr>
      <w:r w:rsidRPr="0017181D">
        <w:rPr>
          <w:rFonts w:eastAsia="Calibri"/>
          <w:b/>
          <w:bCs/>
          <w:color w:val="000000" w:themeColor="text1"/>
          <w:kern w:val="2"/>
        </w:rPr>
        <w:t xml:space="preserve">Fig. </w:t>
      </w:r>
      <w:r w:rsidR="003540F4" w:rsidRPr="0017181D">
        <w:rPr>
          <w:rFonts w:eastAsia="Calibri"/>
          <w:b/>
          <w:bCs/>
          <w:color w:val="000000" w:themeColor="text1"/>
          <w:kern w:val="2"/>
        </w:rPr>
        <w:t>2</w:t>
      </w:r>
      <w:r w:rsidRPr="0017181D">
        <w:rPr>
          <w:rFonts w:eastAsia="Calibri"/>
          <w:b/>
          <w:bCs/>
          <w:color w:val="000000" w:themeColor="text1"/>
          <w:kern w:val="2"/>
        </w:rPr>
        <w:t xml:space="preserve">: </w:t>
      </w:r>
      <w:r w:rsidRPr="0017181D">
        <w:rPr>
          <w:b/>
          <w:bCs/>
          <w:color w:val="000000" w:themeColor="text1"/>
        </w:rPr>
        <w:t>Bar graph representing h</w:t>
      </w:r>
      <w:r w:rsidRPr="0017181D">
        <w:rPr>
          <w:rFonts w:eastAsia="Calibri"/>
          <w:b/>
          <w:bCs/>
          <w:color w:val="000000" w:themeColor="text1"/>
          <w:kern w:val="2"/>
        </w:rPr>
        <w:t xml:space="preserve">eritability </w:t>
      </w:r>
      <w:r w:rsidRPr="0017181D">
        <w:rPr>
          <w:b/>
          <w:bCs/>
          <w:color w:val="000000" w:themeColor="text1"/>
        </w:rPr>
        <w:t xml:space="preserve">(broad sense) </w:t>
      </w:r>
      <w:r w:rsidRPr="0017181D">
        <w:rPr>
          <w:rFonts w:eastAsia="Calibri"/>
          <w:b/>
          <w:bCs/>
          <w:color w:val="000000" w:themeColor="text1"/>
          <w:kern w:val="2"/>
        </w:rPr>
        <w:t>and genetic advance (% mean) for sixteen characters in finger millet</w:t>
      </w:r>
    </w:p>
    <w:tbl>
      <w:tblPr>
        <w:tblStyle w:val="TableGrid2"/>
        <w:tblW w:w="13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1"/>
        <w:gridCol w:w="4163"/>
        <w:gridCol w:w="3327"/>
        <w:gridCol w:w="3096"/>
      </w:tblGrid>
      <w:tr w:rsidR="008E6DF0" w:rsidRPr="0017181D" w14:paraId="425FEEAF" w14:textId="77777777" w:rsidTr="00A51CE2">
        <w:trPr>
          <w:trHeight w:val="291"/>
          <w:jc w:val="center"/>
        </w:trPr>
        <w:tc>
          <w:tcPr>
            <w:tcW w:w="3061" w:type="dxa"/>
          </w:tcPr>
          <w:p w14:paraId="17B32BED"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Dff</w:t>
            </w:r>
            <w:proofErr w:type="spellEnd"/>
            <w:r w:rsidRPr="0017181D">
              <w:rPr>
                <w:rFonts w:eastAsia="Calibri"/>
                <w:b/>
                <w:bCs/>
                <w:color w:val="000000" w:themeColor="text1"/>
              </w:rPr>
              <w:t>:</w:t>
            </w:r>
            <w:r w:rsidRPr="0017181D">
              <w:rPr>
                <w:rFonts w:eastAsia="Calibri"/>
                <w:color w:val="000000" w:themeColor="text1"/>
              </w:rPr>
              <w:t xml:space="preserve"> Days to 50 % flowering</w:t>
            </w:r>
          </w:p>
        </w:tc>
        <w:tc>
          <w:tcPr>
            <w:tcW w:w="4163" w:type="dxa"/>
          </w:tcPr>
          <w:p w14:paraId="4FA8F1FF" w14:textId="77777777" w:rsidR="008E6DF0" w:rsidRPr="0017181D" w:rsidRDefault="008E6DF0" w:rsidP="00A51CE2">
            <w:pPr>
              <w:rPr>
                <w:rFonts w:eastAsia="Calibri"/>
                <w:b/>
                <w:bCs/>
                <w:color w:val="000000" w:themeColor="text1"/>
              </w:rPr>
            </w:pPr>
            <w:r w:rsidRPr="0017181D">
              <w:rPr>
                <w:rFonts w:eastAsia="Calibri"/>
                <w:b/>
                <w:bCs/>
                <w:color w:val="000000" w:themeColor="text1"/>
              </w:rPr>
              <w:t>Ehl:</w:t>
            </w:r>
            <w:r w:rsidRPr="0017181D">
              <w:rPr>
                <w:rFonts w:eastAsia="Calibri"/>
                <w:color w:val="000000" w:themeColor="text1"/>
              </w:rPr>
              <w:t xml:space="preserve"> Ear head length (cm)</w:t>
            </w:r>
          </w:p>
        </w:tc>
        <w:tc>
          <w:tcPr>
            <w:tcW w:w="3327" w:type="dxa"/>
          </w:tcPr>
          <w:p w14:paraId="1F58A7BE" w14:textId="77777777" w:rsidR="008E6DF0" w:rsidRPr="0017181D" w:rsidRDefault="008E6DF0" w:rsidP="00A51CE2">
            <w:pPr>
              <w:rPr>
                <w:rFonts w:eastAsia="Calibri"/>
                <w:b/>
                <w:bCs/>
                <w:color w:val="000000" w:themeColor="text1"/>
              </w:rPr>
            </w:pPr>
            <w:r w:rsidRPr="0017181D">
              <w:rPr>
                <w:rFonts w:eastAsia="Calibri"/>
                <w:b/>
                <w:bCs/>
                <w:color w:val="000000" w:themeColor="text1"/>
              </w:rPr>
              <w:t>Tw:</w:t>
            </w:r>
            <w:r w:rsidRPr="0017181D">
              <w:rPr>
                <w:rFonts w:eastAsia="Calibri"/>
                <w:color w:val="000000" w:themeColor="text1"/>
              </w:rPr>
              <w:t xml:space="preserve"> 1000 Seed weight (g)</w:t>
            </w:r>
          </w:p>
        </w:tc>
        <w:tc>
          <w:tcPr>
            <w:tcW w:w="3096" w:type="dxa"/>
          </w:tcPr>
          <w:p w14:paraId="2727F147" w14:textId="77777777" w:rsidR="008E6DF0" w:rsidRPr="0017181D" w:rsidRDefault="008E6DF0" w:rsidP="00A51CE2">
            <w:pPr>
              <w:rPr>
                <w:rFonts w:eastAsia="Calibri"/>
                <w:b/>
                <w:bCs/>
                <w:color w:val="000000" w:themeColor="text1"/>
              </w:rPr>
            </w:pPr>
            <w:r w:rsidRPr="0017181D">
              <w:rPr>
                <w:rFonts w:eastAsia="Calibri"/>
                <w:b/>
                <w:bCs/>
                <w:color w:val="000000" w:themeColor="text1"/>
              </w:rPr>
              <w:t>Pc:</w:t>
            </w:r>
            <w:r w:rsidRPr="0017181D">
              <w:rPr>
                <w:rFonts w:eastAsia="Calibri"/>
                <w:color w:val="000000" w:themeColor="text1"/>
              </w:rPr>
              <w:t xml:space="preserve"> Protein content (%)</w:t>
            </w:r>
          </w:p>
        </w:tc>
      </w:tr>
      <w:tr w:rsidR="008E6DF0" w:rsidRPr="0017181D" w14:paraId="373148E1" w14:textId="77777777" w:rsidTr="00A51CE2">
        <w:trPr>
          <w:trHeight w:val="304"/>
          <w:jc w:val="center"/>
        </w:trPr>
        <w:tc>
          <w:tcPr>
            <w:tcW w:w="3061" w:type="dxa"/>
          </w:tcPr>
          <w:p w14:paraId="75548AC2" w14:textId="77777777" w:rsidR="008E6DF0" w:rsidRPr="0017181D" w:rsidRDefault="008E6DF0" w:rsidP="00A51CE2">
            <w:pPr>
              <w:rPr>
                <w:rFonts w:eastAsia="Calibri"/>
                <w:b/>
                <w:bCs/>
                <w:color w:val="000000" w:themeColor="text1"/>
              </w:rPr>
            </w:pPr>
            <w:r w:rsidRPr="0017181D">
              <w:rPr>
                <w:rFonts w:eastAsia="Calibri"/>
                <w:b/>
                <w:bCs/>
                <w:color w:val="000000" w:themeColor="text1"/>
              </w:rPr>
              <w:t>Dm:</w:t>
            </w:r>
            <w:r w:rsidRPr="0017181D">
              <w:rPr>
                <w:rFonts w:eastAsia="Calibri"/>
                <w:color w:val="000000" w:themeColor="text1"/>
              </w:rPr>
              <w:t xml:space="preserve"> Days to maturity</w:t>
            </w:r>
          </w:p>
        </w:tc>
        <w:tc>
          <w:tcPr>
            <w:tcW w:w="4163" w:type="dxa"/>
          </w:tcPr>
          <w:p w14:paraId="475C36DA"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Fp</w:t>
            </w:r>
            <w:proofErr w:type="spellEnd"/>
            <w:r w:rsidRPr="0017181D">
              <w:rPr>
                <w:rFonts w:eastAsia="Calibri"/>
                <w:b/>
                <w:bCs/>
                <w:color w:val="000000" w:themeColor="text1"/>
              </w:rPr>
              <w:t>:</w:t>
            </w:r>
            <w:r w:rsidRPr="0017181D">
              <w:rPr>
                <w:rFonts w:eastAsia="Calibri"/>
                <w:color w:val="000000" w:themeColor="text1"/>
              </w:rPr>
              <w:t xml:space="preserve"> Fingers per panicle,</w:t>
            </w:r>
          </w:p>
        </w:tc>
        <w:tc>
          <w:tcPr>
            <w:tcW w:w="3327" w:type="dxa"/>
          </w:tcPr>
          <w:p w14:paraId="37B12522" w14:textId="77777777" w:rsidR="008E6DF0" w:rsidRPr="0017181D" w:rsidRDefault="008E6DF0" w:rsidP="00A51CE2">
            <w:pPr>
              <w:rPr>
                <w:rFonts w:eastAsia="Calibri"/>
                <w:b/>
                <w:bCs/>
                <w:color w:val="000000" w:themeColor="text1"/>
              </w:rPr>
            </w:pPr>
            <w:r w:rsidRPr="0017181D">
              <w:rPr>
                <w:rFonts w:eastAsia="Calibri"/>
                <w:b/>
                <w:bCs/>
                <w:color w:val="000000" w:themeColor="text1"/>
              </w:rPr>
              <w:t>Hi:</w:t>
            </w:r>
            <w:r w:rsidRPr="0017181D">
              <w:rPr>
                <w:rFonts w:eastAsia="Calibri"/>
                <w:color w:val="000000" w:themeColor="text1"/>
              </w:rPr>
              <w:t xml:space="preserve"> Harvest index (%)</w:t>
            </w:r>
          </w:p>
        </w:tc>
        <w:tc>
          <w:tcPr>
            <w:tcW w:w="3096" w:type="dxa"/>
          </w:tcPr>
          <w:p w14:paraId="21EA5E53" w14:textId="77777777" w:rsidR="008E6DF0" w:rsidRPr="0017181D" w:rsidRDefault="008E6DF0" w:rsidP="00AF3BE4">
            <w:pPr>
              <w:ind w:right="-273"/>
              <w:rPr>
                <w:rFonts w:eastAsia="Calibri"/>
                <w:b/>
                <w:bCs/>
                <w:color w:val="000000" w:themeColor="text1"/>
              </w:rPr>
            </w:pPr>
            <w:r w:rsidRPr="0017181D">
              <w:rPr>
                <w:rFonts w:eastAsia="Calibri"/>
                <w:b/>
                <w:bCs/>
                <w:color w:val="000000" w:themeColor="text1"/>
              </w:rPr>
              <w:t>Cc:</w:t>
            </w:r>
            <w:r w:rsidRPr="0017181D">
              <w:rPr>
                <w:rFonts w:eastAsia="Calibri"/>
                <w:color w:val="000000" w:themeColor="text1"/>
              </w:rPr>
              <w:t xml:space="preserve"> Calcium content (mg/100g)</w:t>
            </w:r>
          </w:p>
        </w:tc>
      </w:tr>
      <w:tr w:rsidR="008E6DF0" w:rsidRPr="0017181D" w14:paraId="2EC527E2" w14:textId="77777777" w:rsidTr="00A51CE2">
        <w:trPr>
          <w:trHeight w:val="291"/>
          <w:jc w:val="center"/>
        </w:trPr>
        <w:tc>
          <w:tcPr>
            <w:tcW w:w="3061" w:type="dxa"/>
          </w:tcPr>
          <w:p w14:paraId="78C5B873" w14:textId="77777777" w:rsidR="008E6DF0" w:rsidRPr="0017181D" w:rsidRDefault="008E6DF0" w:rsidP="00A51CE2">
            <w:pPr>
              <w:rPr>
                <w:rFonts w:eastAsia="Calibri"/>
                <w:b/>
                <w:bCs/>
                <w:color w:val="000000" w:themeColor="text1"/>
              </w:rPr>
            </w:pPr>
            <w:r w:rsidRPr="0017181D">
              <w:rPr>
                <w:rFonts w:eastAsia="Calibri"/>
                <w:b/>
                <w:bCs/>
                <w:color w:val="000000" w:themeColor="text1"/>
              </w:rPr>
              <w:t>Ph:</w:t>
            </w:r>
            <w:r w:rsidRPr="0017181D">
              <w:rPr>
                <w:rFonts w:eastAsia="Calibri"/>
                <w:color w:val="000000" w:themeColor="text1"/>
              </w:rPr>
              <w:t xml:space="preserve"> Plant height (cm)</w:t>
            </w:r>
          </w:p>
        </w:tc>
        <w:tc>
          <w:tcPr>
            <w:tcW w:w="4163" w:type="dxa"/>
          </w:tcPr>
          <w:p w14:paraId="54421660"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Fw</w:t>
            </w:r>
            <w:proofErr w:type="spellEnd"/>
            <w:r w:rsidRPr="0017181D">
              <w:rPr>
                <w:rFonts w:eastAsia="Calibri"/>
                <w:b/>
                <w:bCs/>
                <w:color w:val="000000" w:themeColor="text1"/>
              </w:rPr>
              <w:t>:</w:t>
            </w:r>
            <w:r w:rsidRPr="0017181D">
              <w:rPr>
                <w:rFonts w:eastAsia="Calibri"/>
                <w:color w:val="000000" w:themeColor="text1"/>
              </w:rPr>
              <w:t xml:space="preserve"> Finger width (cm)</w:t>
            </w:r>
          </w:p>
        </w:tc>
        <w:tc>
          <w:tcPr>
            <w:tcW w:w="3327" w:type="dxa"/>
          </w:tcPr>
          <w:p w14:paraId="066151CC" w14:textId="77777777" w:rsidR="008E6DF0" w:rsidRPr="0017181D" w:rsidRDefault="008E6DF0" w:rsidP="00A51CE2">
            <w:pPr>
              <w:rPr>
                <w:rFonts w:eastAsia="Calibri"/>
                <w:b/>
                <w:bCs/>
                <w:color w:val="000000" w:themeColor="text1"/>
              </w:rPr>
            </w:pPr>
            <w:r w:rsidRPr="0017181D">
              <w:rPr>
                <w:rFonts w:eastAsia="Calibri"/>
                <w:b/>
                <w:bCs/>
                <w:color w:val="000000" w:themeColor="text1"/>
              </w:rPr>
              <w:t>Fy:</w:t>
            </w:r>
            <w:r w:rsidRPr="0017181D">
              <w:rPr>
                <w:rFonts w:eastAsia="Calibri"/>
                <w:color w:val="000000" w:themeColor="text1"/>
              </w:rPr>
              <w:t xml:space="preserve"> Fodder yield per plant (g)</w:t>
            </w:r>
          </w:p>
        </w:tc>
        <w:tc>
          <w:tcPr>
            <w:tcW w:w="3096" w:type="dxa"/>
          </w:tcPr>
          <w:p w14:paraId="5E8BA852" w14:textId="77777777" w:rsidR="008E6DF0" w:rsidRPr="0017181D" w:rsidRDefault="008E6DF0" w:rsidP="00A51CE2">
            <w:pPr>
              <w:rPr>
                <w:rFonts w:eastAsia="Calibri"/>
                <w:b/>
                <w:bCs/>
                <w:color w:val="000000" w:themeColor="text1"/>
              </w:rPr>
            </w:pPr>
            <w:proofErr w:type="spellStart"/>
            <w:r w:rsidRPr="0017181D">
              <w:rPr>
                <w:rFonts w:eastAsia="Calibri"/>
                <w:b/>
                <w:bCs/>
                <w:color w:val="000000" w:themeColor="text1"/>
              </w:rPr>
              <w:t>Ic</w:t>
            </w:r>
            <w:proofErr w:type="spellEnd"/>
            <w:r w:rsidRPr="0017181D">
              <w:rPr>
                <w:rFonts w:eastAsia="Calibri"/>
                <w:b/>
                <w:bCs/>
                <w:color w:val="000000" w:themeColor="text1"/>
              </w:rPr>
              <w:t>:</w:t>
            </w:r>
            <w:r w:rsidRPr="0017181D">
              <w:rPr>
                <w:rFonts w:eastAsia="Calibri"/>
                <w:color w:val="000000" w:themeColor="text1"/>
              </w:rPr>
              <w:t xml:space="preserve"> Iron content (mg/100g)</w:t>
            </w:r>
          </w:p>
        </w:tc>
      </w:tr>
      <w:tr w:rsidR="008E6DF0" w:rsidRPr="0017181D" w14:paraId="5A6483BB" w14:textId="77777777" w:rsidTr="00A51CE2">
        <w:trPr>
          <w:trHeight w:val="304"/>
          <w:jc w:val="center"/>
        </w:trPr>
        <w:tc>
          <w:tcPr>
            <w:tcW w:w="3061" w:type="dxa"/>
          </w:tcPr>
          <w:p w14:paraId="5C97D7A0" w14:textId="77777777" w:rsidR="008E6DF0" w:rsidRPr="0017181D" w:rsidRDefault="008E6DF0" w:rsidP="00A51CE2">
            <w:pPr>
              <w:rPr>
                <w:rFonts w:eastAsia="Calibri"/>
                <w:b/>
                <w:bCs/>
                <w:color w:val="000000" w:themeColor="text1"/>
              </w:rPr>
            </w:pPr>
            <w:r w:rsidRPr="0017181D">
              <w:rPr>
                <w:rFonts w:eastAsia="Calibri"/>
                <w:b/>
                <w:bCs/>
                <w:color w:val="000000" w:themeColor="text1"/>
              </w:rPr>
              <w:t>Pt:</w:t>
            </w:r>
            <w:r w:rsidRPr="0017181D">
              <w:rPr>
                <w:rFonts w:eastAsia="Calibri"/>
                <w:color w:val="000000" w:themeColor="text1"/>
              </w:rPr>
              <w:t xml:space="preserve"> Productive tillers per plant</w:t>
            </w:r>
          </w:p>
        </w:tc>
        <w:tc>
          <w:tcPr>
            <w:tcW w:w="4163" w:type="dxa"/>
          </w:tcPr>
          <w:p w14:paraId="4837FCC0" w14:textId="77777777" w:rsidR="008E6DF0" w:rsidRPr="0017181D" w:rsidRDefault="008E6DF0" w:rsidP="00A51CE2">
            <w:pPr>
              <w:rPr>
                <w:rFonts w:eastAsia="Calibri"/>
                <w:b/>
                <w:bCs/>
                <w:color w:val="000000" w:themeColor="text1"/>
              </w:rPr>
            </w:pPr>
            <w:r w:rsidRPr="0017181D">
              <w:rPr>
                <w:rFonts w:eastAsia="Calibri"/>
                <w:b/>
                <w:bCs/>
                <w:color w:val="000000" w:themeColor="text1"/>
              </w:rPr>
              <w:t>Pw:</w:t>
            </w:r>
            <w:r w:rsidRPr="0017181D">
              <w:rPr>
                <w:rFonts w:eastAsia="Calibri"/>
                <w:color w:val="000000" w:themeColor="text1"/>
              </w:rPr>
              <w:t xml:space="preserve"> Weight of matured panicle per plant (g)</w:t>
            </w:r>
          </w:p>
        </w:tc>
        <w:tc>
          <w:tcPr>
            <w:tcW w:w="3327" w:type="dxa"/>
          </w:tcPr>
          <w:p w14:paraId="26E8339C" w14:textId="77777777" w:rsidR="008E6DF0" w:rsidRPr="0017181D" w:rsidRDefault="008E6DF0" w:rsidP="00A51CE2">
            <w:pPr>
              <w:rPr>
                <w:rFonts w:eastAsia="Calibri"/>
                <w:b/>
                <w:bCs/>
                <w:color w:val="000000" w:themeColor="text1"/>
              </w:rPr>
            </w:pPr>
            <w:r w:rsidRPr="0017181D">
              <w:rPr>
                <w:rFonts w:eastAsia="Calibri"/>
                <w:b/>
                <w:bCs/>
                <w:color w:val="000000" w:themeColor="text1"/>
              </w:rPr>
              <w:t>Gy:</w:t>
            </w:r>
            <w:r w:rsidRPr="0017181D">
              <w:rPr>
                <w:rFonts w:eastAsia="Calibri"/>
                <w:color w:val="000000" w:themeColor="text1"/>
              </w:rPr>
              <w:t xml:space="preserve"> Grain yield per plant (g)</w:t>
            </w:r>
          </w:p>
        </w:tc>
        <w:tc>
          <w:tcPr>
            <w:tcW w:w="3096" w:type="dxa"/>
          </w:tcPr>
          <w:p w14:paraId="3510A3B1" w14:textId="77777777" w:rsidR="008E6DF0" w:rsidRPr="0017181D" w:rsidRDefault="008E6DF0" w:rsidP="00A51CE2">
            <w:pPr>
              <w:rPr>
                <w:rFonts w:eastAsia="Calibri"/>
                <w:b/>
                <w:bCs/>
                <w:color w:val="000000" w:themeColor="text1"/>
              </w:rPr>
            </w:pPr>
            <w:r w:rsidRPr="0017181D">
              <w:rPr>
                <w:rFonts w:eastAsia="Calibri"/>
                <w:b/>
                <w:bCs/>
                <w:color w:val="000000" w:themeColor="text1"/>
              </w:rPr>
              <w:t>Cf:</w:t>
            </w:r>
            <w:r w:rsidRPr="0017181D">
              <w:rPr>
                <w:rFonts w:eastAsia="Calibri"/>
                <w:color w:val="000000" w:themeColor="text1"/>
              </w:rPr>
              <w:t xml:space="preserve"> Crude </w:t>
            </w:r>
            <w:proofErr w:type="spellStart"/>
            <w:r w:rsidRPr="0017181D">
              <w:rPr>
                <w:rFonts w:eastAsia="Calibri"/>
                <w:color w:val="000000" w:themeColor="text1"/>
              </w:rPr>
              <w:t>fiber</w:t>
            </w:r>
            <w:proofErr w:type="spellEnd"/>
            <w:r w:rsidRPr="0017181D">
              <w:rPr>
                <w:rFonts w:eastAsia="Calibri"/>
                <w:color w:val="000000" w:themeColor="text1"/>
              </w:rPr>
              <w:t xml:space="preserve"> content (%)</w:t>
            </w:r>
          </w:p>
        </w:tc>
      </w:tr>
    </w:tbl>
    <w:p w14:paraId="5D1E933E" w14:textId="77777777" w:rsidR="008E6DF0" w:rsidRPr="0017181D" w:rsidRDefault="008E6DF0" w:rsidP="00441B6F">
      <w:pPr>
        <w:pStyle w:val="ConcHead"/>
        <w:spacing w:after="0"/>
        <w:jc w:val="both"/>
        <w:rPr>
          <w:rFonts w:ascii="Arial" w:hAnsi="Arial" w:cs="Arial"/>
          <w:color w:val="000000" w:themeColor="text1"/>
        </w:rPr>
        <w:sectPr w:rsidR="008E6DF0" w:rsidRPr="0017181D" w:rsidSect="008E6DF0">
          <w:pgSz w:w="15840" w:h="12240" w:orient="landscape"/>
          <w:pgMar w:top="2019" w:right="2019" w:bottom="2019" w:left="1440" w:header="720" w:footer="1123" w:gutter="0"/>
          <w:cols w:space="720"/>
          <w:docGrid w:linePitch="272"/>
        </w:sectPr>
      </w:pPr>
    </w:p>
    <w:p w14:paraId="7903AA74" w14:textId="77777777" w:rsidR="00B01FCD" w:rsidRPr="0017181D" w:rsidRDefault="00B01FCD" w:rsidP="00441B6F">
      <w:pPr>
        <w:pStyle w:val="ConcHead"/>
        <w:spacing w:after="0"/>
        <w:jc w:val="both"/>
        <w:rPr>
          <w:rFonts w:ascii="Arial" w:hAnsi="Arial" w:cs="Arial"/>
          <w:color w:val="000000" w:themeColor="text1"/>
        </w:rPr>
      </w:pPr>
      <w:r w:rsidRPr="0017181D">
        <w:rPr>
          <w:rFonts w:ascii="Arial" w:hAnsi="Arial" w:cs="Arial"/>
          <w:color w:val="000000" w:themeColor="text1"/>
        </w:rPr>
        <w:lastRenderedPageBreak/>
        <w:t>Conclusion</w:t>
      </w:r>
    </w:p>
    <w:p w14:paraId="1CAF2ACA" w14:textId="77777777" w:rsidR="003B713A" w:rsidRPr="0017181D" w:rsidRDefault="003B713A" w:rsidP="00E30645">
      <w:pPr>
        <w:jc w:val="both"/>
        <w:rPr>
          <w:rFonts w:ascii="Arial" w:hAnsi="Arial" w:cs="Arial"/>
          <w:color w:val="000000" w:themeColor="text1"/>
        </w:rPr>
      </w:pPr>
    </w:p>
    <w:p w14:paraId="07094A99" w14:textId="77777777" w:rsidR="003B713A" w:rsidRPr="0017181D" w:rsidRDefault="00591193" w:rsidP="00591193">
      <w:pPr>
        <w:jc w:val="both"/>
        <w:rPr>
          <w:rFonts w:ascii="Arial" w:hAnsi="Arial" w:cs="Arial"/>
          <w:color w:val="000000" w:themeColor="text1"/>
        </w:rPr>
      </w:pPr>
      <w:r w:rsidRPr="0017181D">
        <w:rPr>
          <w:rFonts w:ascii="Arial" w:hAnsi="Arial" w:cs="Arial"/>
          <w:color w:val="000000" w:themeColor="text1"/>
        </w:rPr>
        <w:t>Findings from this study showed that significant genetic variability was present among the 45 finger millet genotypes. Phenotypic selection would be effective for ear head length (cm), finger width (cm), 1000-seed weight (g), protein content (%), calcium content (mg/100 g), iron content (mg/100 g) and crude fibre (%) because of the comparatively lower environmental influence on the expression of these traits. A combination of selective breeding and multi-location trials, coupled with phenotypic selection, would be effective for days to 50% flowering, days to maturity, plant height (cm), productive tillers per plant, fingers per panicle, weight of matured panicle per plant (g), harvest index (%), fodder yield per plant (g) and grain yield per plant (g).</w:t>
      </w:r>
    </w:p>
    <w:p w14:paraId="0A7F8070" w14:textId="77777777" w:rsidR="00D65EAF" w:rsidRPr="0017181D" w:rsidRDefault="00D65EAF" w:rsidP="00D65EAF">
      <w:pPr>
        <w:jc w:val="both"/>
        <w:rPr>
          <w:rFonts w:ascii="Arial" w:hAnsi="Arial" w:cs="Arial"/>
          <w:color w:val="000000" w:themeColor="text1"/>
          <w:lang w:bidi="en-US"/>
        </w:rPr>
      </w:pPr>
    </w:p>
    <w:p w14:paraId="586F0CA5" w14:textId="77777777" w:rsidR="003B713A" w:rsidRPr="0017181D" w:rsidRDefault="003B713A" w:rsidP="00D65EAF">
      <w:pPr>
        <w:jc w:val="both"/>
        <w:rPr>
          <w:rFonts w:ascii="Arial" w:hAnsi="Arial" w:cs="Arial"/>
          <w:color w:val="000000" w:themeColor="text1"/>
        </w:rPr>
      </w:pPr>
      <w:r w:rsidRPr="0017181D">
        <w:rPr>
          <w:rFonts w:ascii="Arial" w:hAnsi="Arial" w:cs="Arial"/>
          <w:color w:val="000000" w:themeColor="text1"/>
          <w:lang w:bidi="en-US"/>
        </w:rPr>
        <w:t>Moderate GCV and PCV, coupled with moderate to high heritability and genetic advance, were found for traits such as ear head length (cm), finger width (cm), weight of matured panicle per plant (g), 1000-seed weight (g), harvest index (%), fodder yield per plant (g) and grain yield per plant (g). These traits can be improved by introducing new genetic material into the breeding programme to enhance genetic variability and by increasing the intensity of selection through choosing individuals with the highest phenotypic values for the target traits. This approach helps to concentrate favourable alleles and increase the frequency of desired genetic variants in subsequent generations.</w:t>
      </w:r>
    </w:p>
    <w:p w14:paraId="37450C7B" w14:textId="77777777" w:rsidR="00E30645" w:rsidRPr="0017181D" w:rsidRDefault="00E30645" w:rsidP="00441B6F">
      <w:pPr>
        <w:pStyle w:val="AcknHead"/>
        <w:spacing w:after="0"/>
        <w:jc w:val="both"/>
        <w:rPr>
          <w:rFonts w:ascii="Arial" w:hAnsi="Arial" w:cs="Arial"/>
          <w:color w:val="000000" w:themeColor="text1"/>
        </w:rPr>
      </w:pPr>
    </w:p>
    <w:p w14:paraId="101D64C7" w14:textId="77777777" w:rsidR="008D5CFD" w:rsidRPr="008D5CFD" w:rsidRDefault="005D679F" w:rsidP="008D5CFD">
      <w:pPr>
        <w:rPr>
          <w:rFonts w:ascii="Arial" w:hAnsi="Arial" w:cs="Arial"/>
          <w:b/>
          <w:bCs/>
          <w:color w:val="000000" w:themeColor="text1"/>
        </w:rPr>
      </w:pPr>
      <w:r w:rsidRPr="008D5CFD">
        <w:rPr>
          <w:rFonts w:ascii="Arial" w:hAnsi="Arial" w:cs="Arial"/>
          <w:b/>
          <w:bCs/>
          <w:color w:val="000000" w:themeColor="text1"/>
        </w:rPr>
        <w:t xml:space="preserve">Limitations of the study: </w:t>
      </w:r>
    </w:p>
    <w:p w14:paraId="698BE507" w14:textId="02DDC00D" w:rsidR="005D679F" w:rsidRPr="0017181D" w:rsidRDefault="008D5CFD" w:rsidP="008D5CFD">
      <w:pPr>
        <w:rPr>
          <w:rFonts w:ascii="Arial" w:hAnsi="Arial" w:cs="Arial"/>
          <w:bCs/>
          <w:color w:val="000000" w:themeColor="text1"/>
        </w:rPr>
      </w:pPr>
      <w:r w:rsidRPr="008D5CFD">
        <w:rPr>
          <w:rFonts w:ascii="Arial" w:hAnsi="Arial" w:cs="Arial"/>
          <w:color w:val="000000" w:themeColor="text1"/>
        </w:rPr>
        <w:t xml:space="preserve">The study evaluated 45 finger millet genotypes across two locations during summer 2024 and summer 2025. Although this multi-environment assessment captured variation across the tested conditions, the findings remain specific to the evaluated germplasm and environments. Several agronomic traits showed significant environmental and genotype × environment effects, which may reduce the consistency of selection responses across other production settings. Further multilocation and </w:t>
      </w:r>
      <w:proofErr w:type="spellStart"/>
      <w:r w:rsidRPr="008D5CFD">
        <w:rPr>
          <w:rFonts w:ascii="Arial" w:hAnsi="Arial" w:cs="Arial"/>
          <w:color w:val="000000" w:themeColor="text1"/>
        </w:rPr>
        <w:t>multiseason</w:t>
      </w:r>
      <w:proofErr w:type="spellEnd"/>
      <w:r w:rsidRPr="008D5CFD">
        <w:rPr>
          <w:rFonts w:ascii="Arial" w:hAnsi="Arial" w:cs="Arial"/>
          <w:color w:val="000000" w:themeColor="text1"/>
        </w:rPr>
        <w:t xml:space="preserve"> evaluation of the identified traits and genotypes would help confirm their stability and improve the wider applicability of the selection criteria.</w:t>
      </w:r>
    </w:p>
    <w:p w14:paraId="36DE282B" w14:textId="77777777" w:rsidR="005D679F" w:rsidRPr="0017181D" w:rsidRDefault="005D679F" w:rsidP="00441B6F">
      <w:pPr>
        <w:pStyle w:val="ReferHead"/>
        <w:spacing w:after="0"/>
        <w:jc w:val="both"/>
        <w:rPr>
          <w:rFonts w:ascii="Arial" w:hAnsi="Arial" w:cs="Arial"/>
          <w:bCs/>
          <w:color w:val="000000" w:themeColor="text1"/>
        </w:rPr>
      </w:pPr>
    </w:p>
    <w:p w14:paraId="03B7BF4F" w14:textId="77777777" w:rsidR="00860000" w:rsidRPr="0017181D" w:rsidRDefault="00860000" w:rsidP="00441B6F">
      <w:pPr>
        <w:pStyle w:val="ReferHead"/>
        <w:spacing w:after="0"/>
        <w:jc w:val="both"/>
        <w:rPr>
          <w:rFonts w:ascii="Arial" w:hAnsi="Arial" w:cs="Arial"/>
          <w:bCs/>
          <w:color w:val="000000" w:themeColor="text1"/>
        </w:rPr>
      </w:pPr>
      <w:r w:rsidRPr="0017181D">
        <w:rPr>
          <w:rFonts w:ascii="Arial" w:hAnsi="Arial" w:cs="Arial"/>
          <w:bCs/>
          <w:color w:val="000000" w:themeColor="text1"/>
        </w:rPr>
        <w:t>Competing interests</w:t>
      </w:r>
    </w:p>
    <w:p w14:paraId="3B32EA54" w14:textId="77777777" w:rsidR="00860000" w:rsidRPr="0017181D" w:rsidRDefault="00860000" w:rsidP="00441B6F">
      <w:pPr>
        <w:pStyle w:val="ReferHead"/>
        <w:spacing w:after="0"/>
        <w:jc w:val="both"/>
        <w:rPr>
          <w:rFonts w:ascii="Arial" w:hAnsi="Arial" w:cs="Arial"/>
          <w:color w:val="000000" w:themeColor="text1"/>
        </w:rPr>
      </w:pPr>
    </w:p>
    <w:p w14:paraId="2B546DEF" w14:textId="77777777" w:rsidR="00E30645" w:rsidRPr="0017181D" w:rsidRDefault="00E30645" w:rsidP="00E30645">
      <w:pPr>
        <w:jc w:val="both"/>
        <w:rPr>
          <w:rFonts w:ascii="Arial" w:hAnsi="Arial" w:cs="Arial"/>
          <w:color w:val="000000" w:themeColor="text1"/>
        </w:rPr>
      </w:pPr>
      <w:r w:rsidRPr="0017181D">
        <w:rPr>
          <w:rFonts w:ascii="Arial" w:hAnsi="Arial" w:cs="Arial"/>
          <w:color w:val="000000" w:themeColor="text1"/>
        </w:rPr>
        <w:t>Authors have declared that no competing interests exist.</w:t>
      </w:r>
    </w:p>
    <w:p w14:paraId="610A465C" w14:textId="77777777" w:rsidR="00A32CBB" w:rsidRPr="0017181D" w:rsidRDefault="00A32CBB" w:rsidP="00E30645">
      <w:pPr>
        <w:jc w:val="both"/>
        <w:rPr>
          <w:rFonts w:ascii="Arial" w:hAnsi="Arial" w:cs="Arial"/>
          <w:color w:val="000000" w:themeColor="text1"/>
        </w:rPr>
      </w:pPr>
    </w:p>
    <w:p w14:paraId="623A1DC6" w14:textId="77777777" w:rsidR="00A32CBB" w:rsidRPr="0017181D" w:rsidRDefault="00A32CBB" w:rsidP="00A32CBB">
      <w:pPr>
        <w:pStyle w:val="AcknHead"/>
        <w:spacing w:after="0"/>
        <w:jc w:val="both"/>
        <w:rPr>
          <w:rFonts w:ascii="Arial" w:hAnsi="Arial" w:cs="Arial"/>
          <w:color w:val="000000" w:themeColor="text1"/>
        </w:rPr>
      </w:pPr>
      <w:r w:rsidRPr="0017181D">
        <w:rPr>
          <w:rFonts w:ascii="Arial" w:hAnsi="Arial" w:cs="Arial"/>
          <w:color w:val="000000" w:themeColor="text1"/>
        </w:rPr>
        <w:t>AcknowledgEments</w:t>
      </w:r>
    </w:p>
    <w:p w14:paraId="6A951369" w14:textId="77777777" w:rsidR="00A32CBB" w:rsidRPr="0017181D" w:rsidRDefault="00A32CBB" w:rsidP="00A32CBB">
      <w:pPr>
        <w:pStyle w:val="AcknHead"/>
        <w:spacing w:after="0"/>
        <w:jc w:val="both"/>
        <w:rPr>
          <w:rFonts w:ascii="Arial" w:hAnsi="Arial" w:cs="Arial"/>
          <w:color w:val="000000" w:themeColor="text1"/>
        </w:rPr>
      </w:pPr>
    </w:p>
    <w:p w14:paraId="7416A538" w14:textId="77777777" w:rsidR="00A32CBB" w:rsidRPr="0017181D" w:rsidRDefault="00A32CBB" w:rsidP="00A32CBB">
      <w:pPr>
        <w:jc w:val="both"/>
        <w:rPr>
          <w:rFonts w:ascii="Arial" w:hAnsi="Arial" w:cs="Arial"/>
          <w:color w:val="000000" w:themeColor="text1"/>
        </w:rPr>
      </w:pPr>
      <w:r w:rsidRPr="0017181D">
        <w:rPr>
          <w:rFonts w:ascii="Arial" w:hAnsi="Arial" w:cs="Arial"/>
          <w:color w:val="000000" w:themeColor="text1"/>
        </w:rPr>
        <w:t>This manuscript forms part of the Ph.D. thesis submitted by the first author to Navsari Agricultural University. The authors express their gratitude to Navsari Agricultural University, Navsari, for providing laboratory and analytical support, and to the Hill Millet Research Station, Waghai, and the Cotton Research Sub-Station, Achhaliya, for providing genetic material and field support.</w:t>
      </w:r>
    </w:p>
    <w:p w14:paraId="23CD3BC6" w14:textId="77777777" w:rsidR="00A32CBB" w:rsidRPr="0017181D" w:rsidRDefault="00A32CBB" w:rsidP="00E30645">
      <w:pPr>
        <w:jc w:val="both"/>
        <w:rPr>
          <w:rFonts w:ascii="Arial" w:hAnsi="Arial" w:cs="Arial"/>
          <w:color w:val="000000" w:themeColor="text1"/>
        </w:rPr>
      </w:pPr>
    </w:p>
    <w:p w14:paraId="137ADA19" w14:textId="77777777" w:rsidR="00371FB6" w:rsidRPr="0017181D" w:rsidRDefault="00371FB6" w:rsidP="00441B6F">
      <w:pPr>
        <w:pStyle w:val="ReferHead"/>
        <w:spacing w:after="0"/>
        <w:jc w:val="both"/>
        <w:rPr>
          <w:rFonts w:ascii="Arial" w:hAnsi="Arial" w:cs="Arial"/>
          <w:b w:val="0"/>
          <w:caps w:val="0"/>
          <w:color w:val="000000" w:themeColor="text1"/>
          <w:sz w:val="20"/>
        </w:rPr>
      </w:pPr>
    </w:p>
    <w:p w14:paraId="6B0DA947" w14:textId="77777777" w:rsidR="005C784C" w:rsidRPr="0017181D" w:rsidRDefault="005C784C" w:rsidP="00441B6F">
      <w:pPr>
        <w:pStyle w:val="ReferHead"/>
        <w:spacing w:after="0"/>
        <w:jc w:val="both"/>
        <w:rPr>
          <w:rFonts w:ascii="Arial" w:hAnsi="Arial" w:cs="Arial"/>
          <w:b w:val="0"/>
          <w:caps w:val="0"/>
          <w:color w:val="000000" w:themeColor="text1"/>
          <w:sz w:val="20"/>
        </w:rPr>
      </w:pPr>
    </w:p>
    <w:p w14:paraId="0623EB7A" w14:textId="77777777" w:rsidR="004E6CD6" w:rsidRPr="0017181D" w:rsidRDefault="004E6CD6" w:rsidP="00E30645">
      <w:pPr>
        <w:jc w:val="both"/>
        <w:rPr>
          <w:rFonts w:ascii="Arial" w:hAnsi="Arial" w:cs="Arial"/>
          <w:color w:val="000000" w:themeColor="text1"/>
        </w:rPr>
      </w:pPr>
    </w:p>
    <w:p w14:paraId="2B0D6357" w14:textId="77777777" w:rsidR="00B12F28" w:rsidRPr="0017181D" w:rsidRDefault="00B12F28" w:rsidP="00B12F28">
      <w:pPr>
        <w:rPr>
          <w:rFonts w:ascii="Times New Roman" w:hAnsi="Times New Roman"/>
          <w:b/>
        </w:rPr>
      </w:pPr>
      <w:r w:rsidRPr="0017181D">
        <w:rPr>
          <w:rFonts w:ascii="Times New Roman" w:hAnsi="Times New Roman"/>
          <w:b/>
        </w:rPr>
        <w:t>Declaration of AI Use</w:t>
      </w:r>
    </w:p>
    <w:p w14:paraId="3BA8C70A" w14:textId="77777777" w:rsidR="00B12F28" w:rsidRPr="0017181D" w:rsidRDefault="00B12F28" w:rsidP="00B12F28">
      <w:pPr>
        <w:rPr>
          <w:rFonts w:ascii="Times New Roman" w:hAnsi="Times New Roman"/>
        </w:rPr>
      </w:pPr>
    </w:p>
    <w:p w14:paraId="54E89A95" w14:textId="77777777" w:rsidR="00B12F28" w:rsidRPr="0017181D" w:rsidRDefault="004E6CD6" w:rsidP="00E30645">
      <w:pPr>
        <w:jc w:val="both"/>
        <w:rPr>
          <w:rFonts w:ascii="Times New Roman" w:hAnsi="Times New Roman"/>
        </w:rPr>
      </w:pPr>
      <w:r w:rsidRPr="0017181D">
        <w:rPr>
          <w:rFonts w:ascii="Times New Roman" w:hAnsi="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A7F18B2" w14:textId="77777777" w:rsidR="00A32CBB" w:rsidRPr="0017181D" w:rsidRDefault="00A32CBB" w:rsidP="00E30645">
      <w:pPr>
        <w:jc w:val="both"/>
        <w:rPr>
          <w:rFonts w:ascii="Times New Roman" w:hAnsi="Times New Roman"/>
        </w:rPr>
      </w:pPr>
    </w:p>
    <w:p w14:paraId="78E36B4F" w14:textId="77777777" w:rsidR="001632B1" w:rsidRPr="0017181D" w:rsidRDefault="001632B1" w:rsidP="00E30645">
      <w:pPr>
        <w:jc w:val="both"/>
        <w:rPr>
          <w:b/>
          <w:bCs/>
          <w:lang w:val="en-GB"/>
        </w:rPr>
      </w:pPr>
    </w:p>
    <w:p w14:paraId="47989F46" w14:textId="77777777" w:rsidR="00A32CBB" w:rsidRPr="0017181D" w:rsidRDefault="001632B1" w:rsidP="00E30645">
      <w:pPr>
        <w:jc w:val="both"/>
        <w:rPr>
          <w:b/>
          <w:bCs/>
          <w:lang w:val="en-GB"/>
        </w:rPr>
      </w:pPr>
      <w:r w:rsidRPr="0017181D">
        <w:rPr>
          <w:b/>
          <w:bCs/>
          <w:lang w:val="en-GB"/>
        </w:rPr>
        <w:t>I</w:t>
      </w:r>
      <w:r w:rsidR="00A32CBB" w:rsidRPr="0017181D">
        <w:rPr>
          <w:b/>
          <w:bCs/>
          <w:lang w:val="en-GB"/>
        </w:rPr>
        <w:t>mportance of this manuscript</w:t>
      </w:r>
    </w:p>
    <w:p w14:paraId="452317B9" w14:textId="77777777" w:rsidR="00A32CBB" w:rsidRPr="0017181D" w:rsidRDefault="00A32CBB" w:rsidP="00E30645">
      <w:pPr>
        <w:jc w:val="both"/>
      </w:pPr>
    </w:p>
    <w:p w14:paraId="6E51DF22" w14:textId="77777777" w:rsidR="00A32CBB" w:rsidRPr="0017181D" w:rsidRDefault="00A32CBB" w:rsidP="00E30645">
      <w:pPr>
        <w:jc w:val="both"/>
        <w:rPr>
          <w:rFonts w:ascii="Arial" w:hAnsi="Arial" w:cs="Arial"/>
          <w:color w:val="000000" w:themeColor="text1"/>
        </w:rPr>
      </w:pPr>
      <w:r w:rsidRPr="0017181D">
        <w:t xml:space="preserve">The manuscript is relevant to finger millet improvement as it evaluates genetic variability for both morphological and nutritional traits in 45 diverse genotypes. The study provides useful information on GCV, PCV, heritability and genetic advance, which can help breeders identify traits with good potential for selection. The inclusion of nutritional traits such as protein, calcium, iron and crude </w:t>
      </w:r>
      <w:proofErr w:type="spellStart"/>
      <w:r w:rsidRPr="0017181D">
        <w:t>fibre</w:t>
      </w:r>
      <w:proofErr w:type="spellEnd"/>
      <w:r w:rsidRPr="0017181D">
        <w:t xml:space="preserve"> adds value to the study from a nutritional improvement perspective. The findings may support the development of high-yielding and nutritionally superior finger millet varieties and can therefore be useful for breeders and researchers working on finger millet improvement.</w:t>
      </w:r>
    </w:p>
    <w:p w14:paraId="55EA0DC4" w14:textId="77777777" w:rsidR="00860000" w:rsidRPr="0017181D" w:rsidRDefault="00860000" w:rsidP="00441B6F">
      <w:pPr>
        <w:pStyle w:val="ReferHead"/>
        <w:spacing w:after="0"/>
        <w:jc w:val="both"/>
        <w:rPr>
          <w:rFonts w:ascii="Arial" w:hAnsi="Arial" w:cs="Arial"/>
          <w:color w:val="000000" w:themeColor="text1"/>
        </w:rPr>
      </w:pPr>
    </w:p>
    <w:p w14:paraId="0F1F0022" w14:textId="77777777" w:rsidR="00B01FCD" w:rsidRPr="0017181D" w:rsidRDefault="00B01FCD" w:rsidP="00441B6F">
      <w:pPr>
        <w:pStyle w:val="ReferHead"/>
        <w:spacing w:after="0"/>
        <w:jc w:val="both"/>
        <w:rPr>
          <w:rFonts w:ascii="Arial" w:hAnsi="Arial" w:cs="Arial"/>
          <w:color w:val="000000" w:themeColor="text1"/>
        </w:rPr>
      </w:pPr>
      <w:r w:rsidRPr="0017181D">
        <w:rPr>
          <w:rFonts w:ascii="Arial" w:hAnsi="Arial" w:cs="Arial"/>
          <w:color w:val="000000" w:themeColor="text1"/>
        </w:rPr>
        <w:t>References</w:t>
      </w:r>
    </w:p>
    <w:p w14:paraId="3354C95B" w14:textId="77777777" w:rsidR="00790ADA" w:rsidRPr="0017181D" w:rsidRDefault="00790ADA" w:rsidP="00441B6F">
      <w:pPr>
        <w:pStyle w:val="ReferHead"/>
        <w:spacing w:after="0"/>
        <w:jc w:val="both"/>
        <w:rPr>
          <w:rFonts w:ascii="Arial" w:hAnsi="Arial" w:cs="Arial"/>
          <w:color w:val="000000" w:themeColor="text1"/>
        </w:rPr>
      </w:pPr>
    </w:p>
    <w:p w14:paraId="56BD79F4"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Association of Official Analytical Chemists. (1990). </w:t>
      </w:r>
      <w:r w:rsidRPr="0017181D">
        <w:rPr>
          <w:rFonts w:ascii="Times New Roman" w:hAnsi="Times New Roman"/>
          <w:i/>
          <w:iCs/>
          <w:sz w:val="24"/>
          <w:szCs w:val="24"/>
        </w:rPr>
        <w:t>Official methods of analysis of the Association of Official Analytical Chemists</w:t>
      </w:r>
      <w:r w:rsidRPr="0017181D">
        <w:rPr>
          <w:rFonts w:ascii="Times New Roman" w:hAnsi="Times New Roman"/>
          <w:sz w:val="24"/>
          <w:szCs w:val="24"/>
        </w:rPr>
        <w:t xml:space="preserve"> (15th ed.). Association of Official Analytical Chemists. </w:t>
      </w:r>
      <w:hyperlink r:id="rId20" w:history="1">
        <w:r w:rsidRPr="0017181D">
          <w:rPr>
            <w:rFonts w:ascii="Times New Roman" w:hAnsi="Times New Roman"/>
            <w:color w:val="0000FF"/>
            <w:sz w:val="24"/>
            <w:szCs w:val="24"/>
            <w:u w:val="single"/>
          </w:rPr>
          <w:t>https://sibr.nist.gov/record/official-methods-analysis-15th-edition-0</w:t>
        </w:r>
      </w:hyperlink>
    </w:p>
    <w:p w14:paraId="3DFC73EF"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Allard, R. W. (1999). </w:t>
      </w:r>
      <w:r w:rsidRPr="0017181D">
        <w:rPr>
          <w:rFonts w:ascii="Times New Roman" w:hAnsi="Times New Roman"/>
          <w:i/>
          <w:iCs/>
          <w:sz w:val="24"/>
          <w:szCs w:val="24"/>
        </w:rPr>
        <w:t>Principles of plant breeding</w:t>
      </w:r>
      <w:r w:rsidRPr="0017181D">
        <w:rPr>
          <w:rFonts w:ascii="Times New Roman" w:hAnsi="Times New Roman"/>
          <w:sz w:val="24"/>
          <w:szCs w:val="24"/>
        </w:rPr>
        <w:t xml:space="preserve"> (2nd ed.). John Wiley &amp; Sons. </w:t>
      </w:r>
      <w:hyperlink r:id="rId21" w:history="1">
        <w:r w:rsidRPr="0017181D">
          <w:rPr>
            <w:rFonts w:ascii="Times New Roman" w:hAnsi="Times New Roman"/>
            <w:color w:val="0000FF"/>
            <w:sz w:val="24"/>
            <w:szCs w:val="24"/>
            <w:u w:val="single"/>
          </w:rPr>
          <w:t>https://opac.narc.gov.np/opac_css/index.php?id=2719&amp;lvl=notice_display</w:t>
        </w:r>
      </w:hyperlink>
    </w:p>
    <w:p w14:paraId="18F8800D"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Directorate of Economics and Statistics. (2023). </w:t>
      </w:r>
      <w:r w:rsidRPr="0017181D">
        <w:rPr>
          <w:rFonts w:ascii="Times New Roman" w:hAnsi="Times New Roman"/>
          <w:i/>
          <w:iCs/>
          <w:sz w:val="24"/>
          <w:szCs w:val="24"/>
        </w:rPr>
        <w:t>Area, production and productivity data</w:t>
      </w:r>
      <w:r w:rsidRPr="0017181D">
        <w:rPr>
          <w:rFonts w:ascii="Times New Roman" w:hAnsi="Times New Roman"/>
          <w:sz w:val="24"/>
          <w:szCs w:val="24"/>
        </w:rPr>
        <w:t xml:space="preserve">. Department of Agriculture &amp; Farmers Welfare, Ministry of Agriculture &amp; Farmers Welfare, Government of India. </w:t>
      </w:r>
      <w:hyperlink r:id="rId22" w:history="1">
        <w:r w:rsidRPr="0017181D">
          <w:rPr>
            <w:rFonts w:ascii="Times New Roman" w:hAnsi="Times New Roman"/>
            <w:color w:val="0000FF"/>
            <w:sz w:val="24"/>
            <w:szCs w:val="24"/>
            <w:u w:val="single"/>
          </w:rPr>
          <w:t>https://desagri.gov.in/</w:t>
        </w:r>
      </w:hyperlink>
    </w:p>
    <w:p w14:paraId="10553F9A"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Directorate of Agriculture, Gujarat State. (2023). </w:t>
      </w:r>
      <w:r w:rsidRPr="0017181D">
        <w:rPr>
          <w:rFonts w:ascii="Times New Roman" w:hAnsi="Times New Roman"/>
          <w:i/>
          <w:iCs/>
          <w:sz w:val="24"/>
          <w:szCs w:val="24"/>
        </w:rPr>
        <w:t>District-wise area, production and yield of important food &amp; non-food crops in Gujarat State: 2019–20, 2020–21 &amp; 2021–22</w:t>
      </w:r>
      <w:r w:rsidRPr="0017181D">
        <w:rPr>
          <w:rFonts w:ascii="Times New Roman" w:hAnsi="Times New Roman"/>
          <w:sz w:val="24"/>
          <w:szCs w:val="24"/>
        </w:rPr>
        <w:t xml:space="preserve">. Government of Gujarat. </w:t>
      </w:r>
      <w:hyperlink r:id="rId23" w:history="1">
        <w:r w:rsidRPr="0017181D">
          <w:rPr>
            <w:rFonts w:ascii="Times New Roman" w:hAnsi="Times New Roman"/>
            <w:color w:val="0000FF"/>
            <w:sz w:val="24"/>
            <w:szCs w:val="24"/>
            <w:u w:val="single"/>
          </w:rPr>
          <w:t>https://dag.gujarat.gov.in/</w:t>
        </w:r>
      </w:hyperlink>
    </w:p>
    <w:p w14:paraId="3175B85C"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Anuradha, N., Patro, T. S. S. K., Triveni, U., &amp; Joga Rao, P. (2020). Assessment of genetic variability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Journal of Pharmacognosy and Phytochemistry, 9</w:t>
      </w:r>
      <w:r w:rsidRPr="0017181D">
        <w:rPr>
          <w:rFonts w:ascii="Times New Roman" w:hAnsi="Times New Roman"/>
          <w:sz w:val="24"/>
          <w:szCs w:val="24"/>
        </w:rPr>
        <w:t xml:space="preserve">(4), 764–767. </w:t>
      </w:r>
      <w:hyperlink r:id="rId24" w:history="1">
        <w:r w:rsidRPr="0017181D">
          <w:rPr>
            <w:rFonts w:ascii="Times New Roman" w:hAnsi="Times New Roman"/>
            <w:color w:val="0000FF"/>
            <w:sz w:val="24"/>
            <w:szCs w:val="24"/>
            <w:u w:val="single"/>
          </w:rPr>
          <w:t>https://www.phytojournal.com/archives/2020.v9.i4.11792/assessment-of-genetic-variability-in-finger-millet-eleusine-coracana-l-gaertn</w:t>
        </w:r>
      </w:hyperlink>
    </w:p>
    <w:p w14:paraId="0C2E6ADB"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Bharathi, G., Radhika, K., Anuradha, N., Jayalalitha, K., Srinivasa Rao, V., Elangovan, M., &amp; Patro, T. S. S. K. (2022). Genetic parameters for yield and yield attributing traits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genotypes. </w:t>
      </w:r>
      <w:r w:rsidRPr="0017181D">
        <w:rPr>
          <w:rFonts w:ascii="Times New Roman" w:hAnsi="Times New Roman"/>
          <w:i/>
          <w:iCs/>
          <w:sz w:val="24"/>
          <w:szCs w:val="24"/>
        </w:rPr>
        <w:t>The Pharma Innovation Journal, 11</w:t>
      </w:r>
      <w:r w:rsidRPr="0017181D">
        <w:rPr>
          <w:rFonts w:ascii="Times New Roman" w:hAnsi="Times New Roman"/>
          <w:sz w:val="24"/>
          <w:szCs w:val="24"/>
        </w:rPr>
        <w:t xml:space="preserve">(3), 1883–1885. </w:t>
      </w:r>
      <w:hyperlink r:id="rId25" w:history="1">
        <w:r w:rsidRPr="0017181D">
          <w:rPr>
            <w:rFonts w:ascii="Times New Roman" w:hAnsi="Times New Roman"/>
            <w:color w:val="0000FF"/>
            <w:sz w:val="24"/>
            <w:szCs w:val="24"/>
            <w:u w:val="single"/>
          </w:rPr>
          <w:t>https://www.thepharmajournal.com/archives/?ArticleId=11607&amp;issue=3&amp;vol=11&amp;year=2022</w:t>
        </w:r>
      </w:hyperlink>
    </w:p>
    <w:p w14:paraId="6BC60755"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Bhat, B. V., Hariprasanna, K., </w:t>
      </w:r>
      <w:proofErr w:type="spellStart"/>
      <w:r w:rsidRPr="0017181D">
        <w:rPr>
          <w:rFonts w:ascii="Times New Roman" w:hAnsi="Times New Roman"/>
          <w:sz w:val="24"/>
          <w:szCs w:val="24"/>
        </w:rPr>
        <w:t>Sooganna</w:t>
      </w:r>
      <w:proofErr w:type="spellEnd"/>
      <w:r w:rsidRPr="0017181D">
        <w:rPr>
          <w:rFonts w:ascii="Times New Roman" w:hAnsi="Times New Roman"/>
          <w:sz w:val="24"/>
          <w:szCs w:val="24"/>
        </w:rPr>
        <w:t xml:space="preserve">, &amp; Ratnavathi, C. V. (2023). Global and Indian scenario of millets. </w:t>
      </w:r>
      <w:r w:rsidRPr="0017181D">
        <w:rPr>
          <w:rFonts w:ascii="Times New Roman" w:hAnsi="Times New Roman"/>
          <w:i/>
          <w:iCs/>
          <w:sz w:val="24"/>
          <w:szCs w:val="24"/>
        </w:rPr>
        <w:t>Indian Farming, 73</w:t>
      </w:r>
      <w:r w:rsidRPr="0017181D">
        <w:rPr>
          <w:rFonts w:ascii="Times New Roman" w:hAnsi="Times New Roman"/>
          <w:sz w:val="24"/>
          <w:szCs w:val="24"/>
        </w:rPr>
        <w:t xml:space="preserve">(1), 16–18. </w:t>
      </w:r>
      <w:hyperlink r:id="rId26" w:history="1">
        <w:r w:rsidRPr="0017181D">
          <w:rPr>
            <w:rFonts w:ascii="Times New Roman" w:hAnsi="Times New Roman"/>
            <w:color w:val="0000FF"/>
            <w:sz w:val="24"/>
            <w:szCs w:val="24"/>
            <w:u w:val="single"/>
          </w:rPr>
          <w:t>https://epubs.icar.org.in/index.php/IndFarm/article/view/132561</w:t>
        </w:r>
      </w:hyperlink>
    </w:p>
    <w:p w14:paraId="2714356D"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Bhatt, D., Negi, M., Sharma, P., Saxena, S. C., Dobriyal, A. K., &amp; Arora, S. (2011). Responses to drought induced oxidative stress in five finger millet varieties differing in their geographical distribution. </w:t>
      </w:r>
      <w:r w:rsidRPr="0017181D">
        <w:rPr>
          <w:rFonts w:ascii="Times New Roman" w:hAnsi="Times New Roman"/>
          <w:i/>
          <w:iCs/>
          <w:sz w:val="24"/>
          <w:szCs w:val="24"/>
        </w:rPr>
        <w:t>Physiology and Molecular Biology of Plants, 17</w:t>
      </w:r>
      <w:r w:rsidRPr="0017181D">
        <w:rPr>
          <w:rFonts w:ascii="Times New Roman" w:hAnsi="Times New Roman"/>
          <w:sz w:val="24"/>
          <w:szCs w:val="24"/>
        </w:rPr>
        <w:t xml:space="preserve">(4), 347–353. </w:t>
      </w:r>
      <w:hyperlink r:id="rId27" w:history="1">
        <w:r w:rsidRPr="0017181D">
          <w:rPr>
            <w:rFonts w:ascii="Times New Roman" w:hAnsi="Times New Roman"/>
            <w:color w:val="0000FF"/>
            <w:sz w:val="24"/>
            <w:szCs w:val="24"/>
            <w:u w:val="single"/>
          </w:rPr>
          <w:t>https://doi.org/10.1007/s12298-011-0084-4</w:t>
        </w:r>
      </w:hyperlink>
    </w:p>
    <w:p w14:paraId="4D525FA7"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Burton, G. W. (1952). Quantitative inheritance in grasses. In </w:t>
      </w:r>
      <w:r w:rsidRPr="0017181D">
        <w:rPr>
          <w:rFonts w:ascii="Times New Roman" w:hAnsi="Times New Roman"/>
          <w:i/>
          <w:iCs/>
          <w:sz w:val="24"/>
          <w:szCs w:val="24"/>
        </w:rPr>
        <w:t>Proceedings of the Sixth International Grassland Congress</w:t>
      </w:r>
      <w:r w:rsidRPr="0017181D">
        <w:rPr>
          <w:rFonts w:ascii="Times New Roman" w:hAnsi="Times New Roman"/>
          <w:sz w:val="24"/>
          <w:szCs w:val="24"/>
        </w:rPr>
        <w:t xml:space="preserve"> (Vol. 1, pp. 277–283). Pennsylvania State College. </w:t>
      </w:r>
    </w:p>
    <w:p w14:paraId="6C2C6753"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Chandrasekara, A., &amp; Shahidi, F. (2011). Inhibitory activities of soluble and bound millet seed phenolics on free radicals and reactive oxygen species. </w:t>
      </w:r>
      <w:r w:rsidRPr="0017181D">
        <w:rPr>
          <w:rFonts w:ascii="Times New Roman" w:hAnsi="Times New Roman"/>
          <w:i/>
          <w:iCs/>
          <w:sz w:val="24"/>
          <w:szCs w:val="24"/>
        </w:rPr>
        <w:t>Journal of Agricultural and Food Chemistry, 59</w:t>
      </w:r>
      <w:r w:rsidRPr="0017181D">
        <w:rPr>
          <w:rFonts w:ascii="Times New Roman" w:hAnsi="Times New Roman"/>
          <w:sz w:val="24"/>
          <w:szCs w:val="24"/>
        </w:rPr>
        <w:t xml:space="preserve">(1), 428–436. </w:t>
      </w:r>
      <w:hyperlink r:id="rId28" w:history="1">
        <w:r w:rsidRPr="0017181D">
          <w:rPr>
            <w:rFonts w:ascii="Times New Roman" w:hAnsi="Times New Roman"/>
            <w:color w:val="0000FF"/>
            <w:sz w:val="24"/>
            <w:szCs w:val="24"/>
            <w:u w:val="single"/>
          </w:rPr>
          <w:t>https://doi.org/10.1021/jf103896z</w:t>
        </w:r>
      </w:hyperlink>
    </w:p>
    <w:p w14:paraId="7E84DD4D"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Devi, P. B., Vijayabharathi, R., Sathyabama, S., Malleshi, N. G., &amp; </w:t>
      </w:r>
      <w:proofErr w:type="spellStart"/>
      <w:r w:rsidRPr="0017181D">
        <w:rPr>
          <w:rFonts w:ascii="Times New Roman" w:hAnsi="Times New Roman"/>
          <w:sz w:val="24"/>
          <w:szCs w:val="24"/>
        </w:rPr>
        <w:t>Priyadarisini</w:t>
      </w:r>
      <w:proofErr w:type="spellEnd"/>
      <w:r w:rsidRPr="0017181D">
        <w:rPr>
          <w:rFonts w:ascii="Times New Roman" w:hAnsi="Times New Roman"/>
          <w:sz w:val="24"/>
          <w:szCs w:val="24"/>
        </w:rPr>
        <w:t>, V. B. (2014). Health benefits of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polyphenols and dietary fiber: A review. </w:t>
      </w:r>
      <w:r w:rsidRPr="0017181D">
        <w:rPr>
          <w:rFonts w:ascii="Times New Roman" w:hAnsi="Times New Roman"/>
          <w:i/>
          <w:iCs/>
          <w:sz w:val="24"/>
          <w:szCs w:val="24"/>
        </w:rPr>
        <w:t>Journal of Food Science and Technology, 51</w:t>
      </w:r>
      <w:r w:rsidRPr="0017181D">
        <w:rPr>
          <w:rFonts w:ascii="Times New Roman" w:hAnsi="Times New Roman"/>
          <w:sz w:val="24"/>
          <w:szCs w:val="24"/>
        </w:rPr>
        <w:t xml:space="preserve">, 1021–1040. </w:t>
      </w:r>
      <w:hyperlink r:id="rId29" w:history="1">
        <w:r w:rsidRPr="0017181D">
          <w:rPr>
            <w:rFonts w:ascii="Times New Roman" w:hAnsi="Times New Roman"/>
            <w:color w:val="0000FF"/>
            <w:sz w:val="24"/>
            <w:szCs w:val="24"/>
            <w:u w:val="single"/>
          </w:rPr>
          <w:t>https://doi.org/10.1007/s13197-011-0584-9</w:t>
        </w:r>
      </w:hyperlink>
    </w:p>
    <w:p w14:paraId="4A2AC071" w14:textId="77777777" w:rsidR="0037036B" w:rsidRPr="0017181D" w:rsidRDefault="0037036B" w:rsidP="0037036B">
      <w:pPr>
        <w:ind w:left="540" w:hanging="540"/>
        <w:jc w:val="both"/>
        <w:rPr>
          <w:rFonts w:ascii="Times New Roman" w:hAnsi="Times New Roman"/>
          <w:sz w:val="24"/>
          <w:szCs w:val="24"/>
        </w:rPr>
      </w:pPr>
      <w:proofErr w:type="spellStart"/>
      <w:r w:rsidRPr="0017181D">
        <w:rPr>
          <w:rFonts w:ascii="Times New Roman" w:hAnsi="Times New Roman"/>
          <w:sz w:val="24"/>
          <w:szCs w:val="24"/>
        </w:rPr>
        <w:t>Haradari</w:t>
      </w:r>
      <w:proofErr w:type="spellEnd"/>
      <w:r w:rsidRPr="0017181D">
        <w:rPr>
          <w:rFonts w:ascii="Times New Roman" w:hAnsi="Times New Roman"/>
          <w:sz w:val="24"/>
          <w:szCs w:val="24"/>
        </w:rPr>
        <w:t xml:space="preserve">, C., Mallikarjuna, N. M., Nagabhushan, </w:t>
      </w:r>
      <w:proofErr w:type="spellStart"/>
      <w:r w:rsidRPr="0017181D">
        <w:rPr>
          <w:rFonts w:ascii="Times New Roman" w:hAnsi="Times New Roman"/>
          <w:sz w:val="24"/>
          <w:szCs w:val="24"/>
        </w:rPr>
        <w:t>Prahalada</w:t>
      </w:r>
      <w:proofErr w:type="spellEnd"/>
      <w:r w:rsidRPr="0017181D">
        <w:rPr>
          <w:rFonts w:ascii="Times New Roman" w:hAnsi="Times New Roman"/>
          <w:sz w:val="24"/>
          <w:szCs w:val="24"/>
        </w:rPr>
        <w:t xml:space="preserve">, G. D., &amp; </w:t>
      </w:r>
      <w:proofErr w:type="spellStart"/>
      <w:r w:rsidRPr="0017181D">
        <w:rPr>
          <w:rFonts w:ascii="Times New Roman" w:hAnsi="Times New Roman"/>
          <w:sz w:val="24"/>
          <w:szCs w:val="24"/>
        </w:rPr>
        <w:t>Ugalat</w:t>
      </w:r>
      <w:proofErr w:type="spellEnd"/>
      <w:r w:rsidRPr="0017181D">
        <w:rPr>
          <w:rFonts w:ascii="Times New Roman" w:hAnsi="Times New Roman"/>
          <w:sz w:val="24"/>
          <w:szCs w:val="24"/>
        </w:rPr>
        <w:t>, J. (2011). Morpho-agronomic characterization of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germplasm accessions. </w:t>
      </w:r>
      <w:r w:rsidRPr="0017181D">
        <w:rPr>
          <w:rFonts w:ascii="Times New Roman" w:hAnsi="Times New Roman"/>
          <w:i/>
          <w:iCs/>
          <w:sz w:val="24"/>
          <w:szCs w:val="24"/>
        </w:rPr>
        <w:t xml:space="preserve">Current </w:t>
      </w:r>
      <w:proofErr w:type="spellStart"/>
      <w:r w:rsidRPr="0017181D">
        <w:rPr>
          <w:rFonts w:ascii="Times New Roman" w:hAnsi="Times New Roman"/>
          <w:i/>
          <w:iCs/>
          <w:sz w:val="24"/>
          <w:szCs w:val="24"/>
        </w:rPr>
        <w:t>Biotica</w:t>
      </w:r>
      <w:proofErr w:type="spellEnd"/>
      <w:r w:rsidRPr="0017181D">
        <w:rPr>
          <w:rFonts w:ascii="Times New Roman" w:hAnsi="Times New Roman"/>
          <w:i/>
          <w:iCs/>
          <w:sz w:val="24"/>
          <w:szCs w:val="24"/>
        </w:rPr>
        <w:t>, 5</w:t>
      </w:r>
      <w:r w:rsidRPr="0017181D">
        <w:rPr>
          <w:rFonts w:ascii="Times New Roman" w:hAnsi="Times New Roman"/>
          <w:sz w:val="24"/>
          <w:szCs w:val="24"/>
        </w:rPr>
        <w:t xml:space="preserve">(2), 130–136. </w:t>
      </w:r>
    </w:p>
    <w:p w14:paraId="6525976D"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Jackson, M. L. (1967). </w:t>
      </w:r>
      <w:r w:rsidRPr="0017181D">
        <w:rPr>
          <w:rFonts w:ascii="Times New Roman" w:hAnsi="Times New Roman"/>
          <w:i/>
          <w:iCs/>
          <w:sz w:val="24"/>
          <w:szCs w:val="24"/>
        </w:rPr>
        <w:t>Soil chemical analysis</w:t>
      </w:r>
      <w:r w:rsidRPr="0017181D">
        <w:rPr>
          <w:rFonts w:ascii="Times New Roman" w:hAnsi="Times New Roman"/>
          <w:sz w:val="24"/>
          <w:szCs w:val="24"/>
        </w:rPr>
        <w:t xml:space="preserve">. Prentice-Hall of India. </w:t>
      </w:r>
    </w:p>
    <w:p w14:paraId="6E2F0B69"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John, K. (2006). Variability and correlation studies in quantitative traits of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Agricultural Science Digest, 26</w:t>
      </w:r>
      <w:r w:rsidRPr="0017181D">
        <w:rPr>
          <w:rFonts w:ascii="Times New Roman" w:hAnsi="Times New Roman"/>
          <w:sz w:val="24"/>
          <w:szCs w:val="24"/>
        </w:rPr>
        <w:t xml:space="preserve">(3), 166–169. </w:t>
      </w:r>
      <w:hyperlink r:id="rId30" w:history="1">
        <w:r w:rsidRPr="0017181D">
          <w:rPr>
            <w:rFonts w:ascii="Times New Roman" w:hAnsi="Times New Roman"/>
            <w:color w:val="0000FF"/>
            <w:sz w:val="24"/>
            <w:szCs w:val="24"/>
            <w:u w:val="single"/>
          </w:rPr>
          <w:t>https://arccjournals.com/journal/agricultural-science-digest/ARCC4564</w:t>
        </w:r>
      </w:hyperlink>
    </w:p>
    <w:p w14:paraId="1DD59AAE"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Johnson, H. W., Robinson, H. F., &amp; Comstock, R. E. (1955a). Estimates of genetic and environmental variability in soybeans. </w:t>
      </w:r>
      <w:r w:rsidRPr="0017181D">
        <w:rPr>
          <w:rFonts w:ascii="Times New Roman" w:hAnsi="Times New Roman"/>
          <w:i/>
          <w:iCs/>
          <w:sz w:val="24"/>
          <w:szCs w:val="24"/>
        </w:rPr>
        <w:t>Agronomy Journal, 47</w:t>
      </w:r>
      <w:r w:rsidRPr="0017181D">
        <w:rPr>
          <w:rFonts w:ascii="Times New Roman" w:hAnsi="Times New Roman"/>
          <w:sz w:val="24"/>
          <w:szCs w:val="24"/>
        </w:rPr>
        <w:t xml:space="preserve">(7), 314–318. </w:t>
      </w:r>
      <w:hyperlink r:id="rId31" w:history="1">
        <w:r w:rsidRPr="0017181D">
          <w:rPr>
            <w:rFonts w:ascii="Times New Roman" w:hAnsi="Times New Roman"/>
            <w:color w:val="0000FF"/>
            <w:sz w:val="24"/>
            <w:szCs w:val="24"/>
            <w:u w:val="single"/>
          </w:rPr>
          <w:t>https://doi.org/10.2134/agronj1955.00021962004700070009x</w:t>
        </w:r>
      </w:hyperlink>
    </w:p>
    <w:p w14:paraId="269BCF77"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Johnson, H. W., Robinson, H. F., &amp; Comstock, R. E. (1955b). Genotypic and phenotypic correlations in soybeans and their implications in selection. </w:t>
      </w:r>
      <w:r w:rsidRPr="0017181D">
        <w:rPr>
          <w:rFonts w:ascii="Times New Roman" w:hAnsi="Times New Roman"/>
          <w:i/>
          <w:iCs/>
          <w:sz w:val="24"/>
          <w:szCs w:val="24"/>
        </w:rPr>
        <w:t>Agronomy Journal, 47</w:t>
      </w:r>
      <w:r w:rsidRPr="0017181D">
        <w:rPr>
          <w:rFonts w:ascii="Times New Roman" w:hAnsi="Times New Roman"/>
          <w:sz w:val="24"/>
          <w:szCs w:val="24"/>
        </w:rPr>
        <w:t xml:space="preserve">(10), 477–483. </w:t>
      </w:r>
      <w:hyperlink r:id="rId32" w:history="1">
        <w:r w:rsidRPr="0017181D">
          <w:rPr>
            <w:rFonts w:ascii="Times New Roman" w:hAnsi="Times New Roman"/>
            <w:color w:val="0000FF"/>
            <w:sz w:val="24"/>
            <w:szCs w:val="24"/>
            <w:u w:val="single"/>
          </w:rPr>
          <w:t>https://doi.org/10.2134/agronj1955.00021962004700100008x</w:t>
        </w:r>
      </w:hyperlink>
    </w:p>
    <w:p w14:paraId="4272E24B"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Karad, S. R., &amp; Patil, J. V. (2013). Assessment of genetic diversity among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genotypes. </w:t>
      </w:r>
      <w:r w:rsidRPr="0017181D">
        <w:rPr>
          <w:rFonts w:ascii="Times New Roman" w:hAnsi="Times New Roman"/>
          <w:i/>
          <w:iCs/>
          <w:sz w:val="24"/>
          <w:szCs w:val="24"/>
        </w:rPr>
        <w:t>International Journal of Integrative Sciences, Innovation and Technology, 2</w:t>
      </w:r>
      <w:r w:rsidRPr="0017181D">
        <w:rPr>
          <w:rFonts w:ascii="Times New Roman" w:hAnsi="Times New Roman"/>
          <w:sz w:val="24"/>
          <w:szCs w:val="24"/>
        </w:rPr>
        <w:t xml:space="preserve">(4), 37–43. </w:t>
      </w:r>
    </w:p>
    <w:p w14:paraId="4C603DD3"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lastRenderedPageBreak/>
        <w:t>Keerthana, K., Chitra, S., Subramanian, A., Nithila, S., &amp; Elangovan, M. (2019). Studies on genetic variability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genotypes under sodic conditions. </w:t>
      </w:r>
      <w:r w:rsidRPr="0017181D">
        <w:rPr>
          <w:rFonts w:ascii="Times New Roman" w:hAnsi="Times New Roman"/>
          <w:i/>
          <w:iCs/>
          <w:sz w:val="24"/>
          <w:szCs w:val="24"/>
        </w:rPr>
        <w:t>Electronic Journal of Plant Breeding, 10</w:t>
      </w:r>
      <w:r w:rsidRPr="0017181D">
        <w:rPr>
          <w:rFonts w:ascii="Times New Roman" w:hAnsi="Times New Roman"/>
          <w:sz w:val="24"/>
          <w:szCs w:val="24"/>
        </w:rPr>
        <w:t xml:space="preserve">(2), 566–569. </w:t>
      </w:r>
      <w:hyperlink r:id="rId33" w:history="1">
        <w:r w:rsidRPr="0017181D">
          <w:rPr>
            <w:rFonts w:ascii="Times New Roman" w:hAnsi="Times New Roman"/>
            <w:color w:val="0000FF"/>
            <w:sz w:val="24"/>
            <w:szCs w:val="24"/>
            <w:u w:val="single"/>
          </w:rPr>
          <w:t>https://doi.org/10.5958/0975-928X.2019.00071.1</w:t>
        </w:r>
      </w:hyperlink>
    </w:p>
    <w:p w14:paraId="233094AE"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Kumari, S., &amp; Singh, S. K. (2015). </w:t>
      </w:r>
      <w:proofErr w:type="spellStart"/>
      <w:r w:rsidRPr="0017181D">
        <w:rPr>
          <w:rFonts w:ascii="Times New Roman" w:hAnsi="Times New Roman"/>
          <w:sz w:val="24"/>
          <w:szCs w:val="24"/>
        </w:rPr>
        <w:t>Assesment</w:t>
      </w:r>
      <w:proofErr w:type="spellEnd"/>
      <w:r w:rsidRPr="0017181D">
        <w:rPr>
          <w:rFonts w:ascii="Times New Roman" w:hAnsi="Times New Roman"/>
          <w:sz w:val="24"/>
          <w:szCs w:val="24"/>
        </w:rPr>
        <w:t xml:space="preserve"> of genetic diversity in promising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genotypes. </w:t>
      </w:r>
      <w:r w:rsidRPr="0017181D">
        <w:rPr>
          <w:rFonts w:ascii="Times New Roman" w:hAnsi="Times New Roman"/>
          <w:i/>
          <w:iCs/>
          <w:sz w:val="24"/>
          <w:szCs w:val="24"/>
        </w:rPr>
        <w:t>The Bioscan, 10</w:t>
      </w:r>
      <w:r w:rsidRPr="0017181D">
        <w:rPr>
          <w:rFonts w:ascii="Times New Roman" w:hAnsi="Times New Roman"/>
          <w:sz w:val="24"/>
          <w:szCs w:val="24"/>
        </w:rPr>
        <w:t xml:space="preserve">(Supplement 2), 825–830. </w:t>
      </w:r>
      <w:hyperlink r:id="rId34" w:history="1">
        <w:r w:rsidRPr="0017181D">
          <w:rPr>
            <w:rFonts w:ascii="Times New Roman" w:hAnsi="Times New Roman"/>
            <w:color w:val="0000FF"/>
            <w:sz w:val="24"/>
            <w:szCs w:val="24"/>
            <w:u w:val="single"/>
          </w:rPr>
          <w:t>https://thebioscan.com/index.php/pub/article/view/1606</w:t>
        </w:r>
      </w:hyperlink>
    </w:p>
    <w:p w14:paraId="19C4A690"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Li, X., &amp; Siddique, K. H. M. (2020). Future smart food: Harnessing the potential of neglected and underutilized species for zero hunger. </w:t>
      </w:r>
      <w:r w:rsidRPr="0017181D">
        <w:rPr>
          <w:rFonts w:ascii="Times New Roman" w:hAnsi="Times New Roman"/>
          <w:i/>
          <w:iCs/>
          <w:sz w:val="24"/>
          <w:szCs w:val="24"/>
        </w:rPr>
        <w:t>Maternal &amp; Child Nutrition, 16</w:t>
      </w:r>
      <w:r w:rsidRPr="0017181D">
        <w:rPr>
          <w:rFonts w:ascii="Times New Roman" w:hAnsi="Times New Roman"/>
          <w:sz w:val="24"/>
          <w:szCs w:val="24"/>
        </w:rPr>
        <w:t xml:space="preserve">(S3), e13008. </w:t>
      </w:r>
      <w:hyperlink r:id="rId35" w:history="1">
        <w:r w:rsidRPr="0017181D">
          <w:rPr>
            <w:rFonts w:ascii="Times New Roman" w:hAnsi="Times New Roman"/>
            <w:color w:val="0000FF"/>
            <w:sz w:val="24"/>
            <w:szCs w:val="24"/>
            <w:u w:val="single"/>
          </w:rPr>
          <w:t>https://doi.org/10.1111/mcn.13008</w:t>
        </w:r>
      </w:hyperlink>
    </w:p>
    <w:p w14:paraId="2836A380"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Mirza, N., &amp; Marla, S. S. (2019).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Gartn</w:t>
      </w:r>
      <w:proofErr w:type="spellEnd"/>
      <w:r w:rsidRPr="0017181D">
        <w:rPr>
          <w:rFonts w:ascii="Times New Roman" w:hAnsi="Times New Roman"/>
          <w:sz w:val="24"/>
          <w:szCs w:val="24"/>
        </w:rPr>
        <w:t xml:space="preserve">.) breeding. In J. M. Al-Khayri, S. M. Jain, &amp; D. V. Johnson (Eds.), </w:t>
      </w:r>
      <w:r w:rsidRPr="0017181D">
        <w:rPr>
          <w:rFonts w:ascii="Times New Roman" w:hAnsi="Times New Roman"/>
          <w:i/>
          <w:iCs/>
          <w:sz w:val="24"/>
          <w:szCs w:val="24"/>
        </w:rPr>
        <w:t>Advances in plant breeding strategies: Cereals</w:t>
      </w:r>
      <w:r w:rsidRPr="0017181D">
        <w:rPr>
          <w:rFonts w:ascii="Times New Roman" w:hAnsi="Times New Roman"/>
          <w:sz w:val="24"/>
          <w:szCs w:val="24"/>
        </w:rPr>
        <w:t xml:space="preserve"> (Vol. 5, pp. 83–132). Springer International Publishing. </w:t>
      </w:r>
      <w:hyperlink r:id="rId36" w:history="1">
        <w:r w:rsidRPr="0017181D">
          <w:rPr>
            <w:rFonts w:ascii="Times New Roman" w:hAnsi="Times New Roman"/>
            <w:color w:val="0000FF"/>
            <w:sz w:val="24"/>
            <w:szCs w:val="24"/>
            <w:u w:val="single"/>
          </w:rPr>
          <w:t>https://doi.org/10.1007/978-3-030-23108-8_3</w:t>
        </w:r>
      </w:hyperlink>
    </w:p>
    <w:p w14:paraId="532B4063"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Lule, D., Tesfaye, K., Fetene, M., &amp; de Villiers, S. (2012). Inheritance and association of quantitative traits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subsp. </w:t>
      </w:r>
      <w:r w:rsidRPr="0017181D">
        <w:rPr>
          <w:rFonts w:ascii="Times New Roman" w:hAnsi="Times New Roman"/>
          <w:i/>
          <w:iCs/>
          <w:sz w:val="24"/>
          <w:szCs w:val="24"/>
        </w:rPr>
        <w:t>coracana</w:t>
      </w:r>
      <w:r w:rsidRPr="0017181D">
        <w:rPr>
          <w:rFonts w:ascii="Times New Roman" w:hAnsi="Times New Roman"/>
          <w:sz w:val="24"/>
          <w:szCs w:val="24"/>
        </w:rPr>
        <w:t xml:space="preserve">) landraces collected from eastern and south eastern Africa. </w:t>
      </w:r>
      <w:r w:rsidRPr="0017181D">
        <w:rPr>
          <w:rFonts w:ascii="Times New Roman" w:hAnsi="Times New Roman"/>
          <w:i/>
          <w:iCs/>
          <w:sz w:val="24"/>
          <w:szCs w:val="24"/>
        </w:rPr>
        <w:t>International Journal of Genetics, 2</w:t>
      </w:r>
      <w:r w:rsidRPr="0017181D">
        <w:rPr>
          <w:rFonts w:ascii="Times New Roman" w:hAnsi="Times New Roman"/>
          <w:sz w:val="24"/>
          <w:szCs w:val="24"/>
        </w:rPr>
        <w:t xml:space="preserve">(2), 12–21. </w:t>
      </w:r>
      <w:hyperlink r:id="rId37" w:history="1">
        <w:r w:rsidRPr="0017181D">
          <w:rPr>
            <w:rFonts w:ascii="Times New Roman" w:hAnsi="Times New Roman"/>
            <w:color w:val="0000FF"/>
            <w:sz w:val="24"/>
            <w:szCs w:val="24"/>
            <w:u w:val="single"/>
          </w:rPr>
          <w:t>https://agris.fao.org/search/en/providers/122437/records/669fb14f4295623862508ce7</w:t>
        </w:r>
      </w:hyperlink>
    </w:p>
    <w:p w14:paraId="3D51FC78" w14:textId="77777777" w:rsidR="0037036B" w:rsidRPr="0017181D" w:rsidRDefault="0037036B" w:rsidP="0037036B">
      <w:pPr>
        <w:ind w:left="540" w:hanging="540"/>
        <w:jc w:val="both"/>
        <w:rPr>
          <w:rFonts w:ascii="Times New Roman" w:hAnsi="Times New Roman"/>
          <w:sz w:val="24"/>
          <w:szCs w:val="24"/>
        </w:rPr>
      </w:pPr>
      <w:proofErr w:type="spellStart"/>
      <w:r w:rsidRPr="0017181D">
        <w:rPr>
          <w:rFonts w:ascii="Times New Roman" w:hAnsi="Times New Roman"/>
          <w:sz w:val="24"/>
          <w:szCs w:val="24"/>
        </w:rPr>
        <w:t>Madhavilatha</w:t>
      </w:r>
      <w:proofErr w:type="spellEnd"/>
      <w:r w:rsidRPr="0017181D">
        <w:rPr>
          <w:rFonts w:ascii="Times New Roman" w:hAnsi="Times New Roman"/>
          <w:sz w:val="24"/>
          <w:szCs w:val="24"/>
        </w:rPr>
        <w:t xml:space="preserve">, L., Sudhakar, P., Latha, P., Shanthi Priya, M., &amp; Hemanth Kumar, M. (2021). Studies on genetic variability, correlation and path analysis for quantitative traits in finger millet. </w:t>
      </w:r>
      <w:r w:rsidRPr="0017181D">
        <w:rPr>
          <w:rFonts w:ascii="Times New Roman" w:hAnsi="Times New Roman"/>
          <w:i/>
          <w:iCs/>
          <w:sz w:val="24"/>
          <w:szCs w:val="24"/>
        </w:rPr>
        <w:t>The Pharma Innovation Journal, 10</w:t>
      </w:r>
      <w:r w:rsidRPr="0017181D">
        <w:rPr>
          <w:rFonts w:ascii="Times New Roman" w:hAnsi="Times New Roman"/>
          <w:sz w:val="24"/>
          <w:szCs w:val="24"/>
        </w:rPr>
        <w:t xml:space="preserve">(6), 709–712. </w:t>
      </w:r>
      <w:hyperlink r:id="rId38" w:history="1">
        <w:r w:rsidRPr="0017181D">
          <w:rPr>
            <w:rFonts w:ascii="Times New Roman" w:hAnsi="Times New Roman"/>
            <w:color w:val="0000FF"/>
            <w:sz w:val="24"/>
            <w:szCs w:val="24"/>
            <w:u w:val="single"/>
          </w:rPr>
          <w:t>https://www.thepharmajournal.com/archives/?ArticleId=6610&amp;issue=6&amp;vol=10&amp;year=2021</w:t>
        </w:r>
      </w:hyperlink>
    </w:p>
    <w:p w14:paraId="0D4F4DA8"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Madhusri, D., Lavanya, G. R., &amp; Elangovan, M. (2022). Phenotypic diversity of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genotypes for grain yield characters. </w:t>
      </w:r>
      <w:r w:rsidRPr="0017181D">
        <w:rPr>
          <w:rFonts w:ascii="Times New Roman" w:hAnsi="Times New Roman"/>
          <w:i/>
          <w:iCs/>
          <w:sz w:val="24"/>
          <w:szCs w:val="24"/>
        </w:rPr>
        <w:t>International Journal of Plant &amp; Soil Science, 34</w:t>
      </w:r>
      <w:r w:rsidRPr="0017181D">
        <w:rPr>
          <w:rFonts w:ascii="Times New Roman" w:hAnsi="Times New Roman"/>
          <w:sz w:val="24"/>
          <w:szCs w:val="24"/>
        </w:rPr>
        <w:t xml:space="preserve">(20), 139–148. </w:t>
      </w:r>
      <w:hyperlink r:id="rId39" w:history="1">
        <w:r w:rsidRPr="0017181D">
          <w:rPr>
            <w:rFonts w:ascii="Times New Roman" w:hAnsi="Times New Roman"/>
            <w:color w:val="0000FF"/>
            <w:sz w:val="24"/>
            <w:szCs w:val="24"/>
            <w:u w:val="single"/>
          </w:rPr>
          <w:t>https://doi.org/10.9734/ijpss/2022/v34i2031137</w:t>
        </w:r>
      </w:hyperlink>
    </w:p>
    <w:p w14:paraId="3662D324" w14:textId="77777777" w:rsidR="0037036B" w:rsidRPr="0017181D" w:rsidRDefault="0037036B" w:rsidP="0037036B">
      <w:pPr>
        <w:ind w:left="540" w:hanging="540"/>
        <w:jc w:val="both"/>
        <w:rPr>
          <w:rFonts w:ascii="Times New Roman" w:hAnsi="Times New Roman"/>
          <w:sz w:val="24"/>
          <w:szCs w:val="24"/>
        </w:rPr>
      </w:pPr>
      <w:proofErr w:type="spellStart"/>
      <w:r w:rsidRPr="0017181D">
        <w:rPr>
          <w:rFonts w:ascii="Times New Roman" w:hAnsi="Times New Roman"/>
          <w:sz w:val="24"/>
          <w:szCs w:val="24"/>
        </w:rPr>
        <w:t>Mahalle</w:t>
      </w:r>
      <w:proofErr w:type="spellEnd"/>
      <w:r w:rsidRPr="0017181D">
        <w:rPr>
          <w:rFonts w:ascii="Times New Roman" w:hAnsi="Times New Roman"/>
          <w:sz w:val="24"/>
          <w:szCs w:val="24"/>
        </w:rPr>
        <w:t xml:space="preserve">, P. D., </w:t>
      </w:r>
      <w:proofErr w:type="spellStart"/>
      <w:r w:rsidRPr="0017181D">
        <w:rPr>
          <w:rFonts w:ascii="Times New Roman" w:hAnsi="Times New Roman"/>
          <w:sz w:val="24"/>
          <w:szCs w:val="24"/>
        </w:rPr>
        <w:t>Sonkamble</w:t>
      </w:r>
      <w:proofErr w:type="spellEnd"/>
      <w:r w:rsidRPr="0017181D">
        <w:rPr>
          <w:rFonts w:ascii="Times New Roman" w:hAnsi="Times New Roman"/>
          <w:sz w:val="24"/>
          <w:szCs w:val="24"/>
        </w:rPr>
        <w:t xml:space="preserve">, P. A., </w:t>
      </w:r>
      <w:proofErr w:type="spellStart"/>
      <w:r w:rsidRPr="0017181D">
        <w:rPr>
          <w:rFonts w:ascii="Times New Roman" w:hAnsi="Times New Roman"/>
          <w:sz w:val="24"/>
          <w:szCs w:val="24"/>
        </w:rPr>
        <w:t>Ghorade</w:t>
      </w:r>
      <w:proofErr w:type="spellEnd"/>
      <w:r w:rsidRPr="0017181D">
        <w:rPr>
          <w:rFonts w:ascii="Times New Roman" w:hAnsi="Times New Roman"/>
          <w:sz w:val="24"/>
          <w:szCs w:val="24"/>
        </w:rPr>
        <w:t xml:space="preserve">, R. B., </w:t>
      </w:r>
      <w:proofErr w:type="spellStart"/>
      <w:r w:rsidRPr="0017181D">
        <w:rPr>
          <w:rFonts w:ascii="Times New Roman" w:hAnsi="Times New Roman"/>
          <w:sz w:val="24"/>
          <w:szCs w:val="24"/>
        </w:rPr>
        <w:t>Kanwade</w:t>
      </w:r>
      <w:proofErr w:type="spellEnd"/>
      <w:r w:rsidRPr="0017181D">
        <w:rPr>
          <w:rFonts w:ascii="Times New Roman" w:hAnsi="Times New Roman"/>
          <w:sz w:val="24"/>
          <w:szCs w:val="24"/>
        </w:rPr>
        <w:t xml:space="preserve">, D. G., </w:t>
      </w:r>
      <w:proofErr w:type="spellStart"/>
      <w:r w:rsidRPr="0017181D">
        <w:rPr>
          <w:rFonts w:ascii="Times New Roman" w:hAnsi="Times New Roman"/>
          <w:sz w:val="24"/>
          <w:szCs w:val="24"/>
        </w:rPr>
        <w:t>Hadole</w:t>
      </w:r>
      <w:proofErr w:type="spellEnd"/>
      <w:r w:rsidRPr="0017181D">
        <w:rPr>
          <w:rFonts w:ascii="Times New Roman" w:hAnsi="Times New Roman"/>
          <w:sz w:val="24"/>
          <w:szCs w:val="24"/>
        </w:rPr>
        <w:t xml:space="preserve">, S. S., </w:t>
      </w:r>
      <w:proofErr w:type="spellStart"/>
      <w:r w:rsidRPr="0017181D">
        <w:rPr>
          <w:rFonts w:ascii="Times New Roman" w:hAnsi="Times New Roman"/>
          <w:sz w:val="24"/>
          <w:szCs w:val="24"/>
        </w:rPr>
        <w:t>Wadibhasme</w:t>
      </w:r>
      <w:proofErr w:type="spellEnd"/>
      <w:r w:rsidRPr="0017181D">
        <w:rPr>
          <w:rFonts w:ascii="Times New Roman" w:hAnsi="Times New Roman"/>
          <w:sz w:val="24"/>
          <w:szCs w:val="24"/>
        </w:rPr>
        <w:t xml:space="preserve">, P. P., &amp; </w:t>
      </w:r>
      <w:proofErr w:type="spellStart"/>
      <w:r w:rsidRPr="0017181D">
        <w:rPr>
          <w:rFonts w:ascii="Times New Roman" w:hAnsi="Times New Roman"/>
          <w:sz w:val="24"/>
          <w:szCs w:val="24"/>
        </w:rPr>
        <w:t>Naiknaware</w:t>
      </w:r>
      <w:proofErr w:type="spellEnd"/>
      <w:r w:rsidRPr="0017181D">
        <w:rPr>
          <w:rFonts w:ascii="Times New Roman" w:hAnsi="Times New Roman"/>
          <w:sz w:val="24"/>
          <w:szCs w:val="24"/>
        </w:rPr>
        <w:t>, A. A. (2024). Genetic variability studies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International Journal of Advanced Biochemistry Research, 8</w:t>
      </w:r>
      <w:r w:rsidRPr="0017181D">
        <w:rPr>
          <w:rFonts w:ascii="Times New Roman" w:hAnsi="Times New Roman"/>
          <w:sz w:val="24"/>
          <w:szCs w:val="24"/>
        </w:rPr>
        <w:t xml:space="preserve">(9), 593–597. </w:t>
      </w:r>
      <w:hyperlink r:id="rId40" w:history="1">
        <w:r w:rsidRPr="0017181D">
          <w:rPr>
            <w:rFonts w:ascii="Times New Roman" w:hAnsi="Times New Roman"/>
            <w:color w:val="0000FF"/>
            <w:sz w:val="24"/>
            <w:szCs w:val="24"/>
            <w:u w:val="single"/>
          </w:rPr>
          <w:t>https://doi.org/10.33545/26174693.2024.v8.i9h.2243</w:t>
        </w:r>
      </w:hyperlink>
    </w:p>
    <w:p w14:paraId="084ACCE5"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Mahanthesha, M., Sujatha, M., Meena, A. K., &amp; </w:t>
      </w:r>
      <w:proofErr w:type="spellStart"/>
      <w:r w:rsidRPr="0017181D">
        <w:rPr>
          <w:rFonts w:ascii="Times New Roman" w:hAnsi="Times New Roman"/>
          <w:sz w:val="24"/>
          <w:szCs w:val="24"/>
        </w:rPr>
        <w:t>Pandravada</w:t>
      </w:r>
      <w:proofErr w:type="spellEnd"/>
      <w:r w:rsidRPr="0017181D">
        <w:rPr>
          <w:rFonts w:ascii="Times New Roman" w:hAnsi="Times New Roman"/>
          <w:sz w:val="24"/>
          <w:szCs w:val="24"/>
        </w:rPr>
        <w:t>, S. R. (2017). Studies on variability, heritability and genetic advance for quantitative characters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germplasm. </w:t>
      </w:r>
      <w:r w:rsidRPr="0017181D">
        <w:rPr>
          <w:rFonts w:ascii="Times New Roman" w:hAnsi="Times New Roman"/>
          <w:i/>
          <w:iCs/>
          <w:sz w:val="24"/>
          <w:szCs w:val="24"/>
        </w:rPr>
        <w:t>International Journal of Current Microbiology and Applied Sciences, 6</w:t>
      </w:r>
      <w:r w:rsidRPr="0017181D">
        <w:rPr>
          <w:rFonts w:ascii="Times New Roman" w:hAnsi="Times New Roman"/>
          <w:sz w:val="24"/>
          <w:szCs w:val="24"/>
        </w:rPr>
        <w:t xml:space="preserve">(6), 970–974. </w:t>
      </w:r>
      <w:hyperlink r:id="rId41" w:history="1">
        <w:r w:rsidRPr="0017181D">
          <w:rPr>
            <w:rFonts w:ascii="Times New Roman" w:hAnsi="Times New Roman"/>
            <w:color w:val="0000FF"/>
            <w:sz w:val="24"/>
            <w:szCs w:val="24"/>
            <w:u w:val="single"/>
          </w:rPr>
          <w:t>https://doi.org/10.20546/ijcmas.2017.606.113</w:t>
        </w:r>
      </w:hyperlink>
    </w:p>
    <w:p w14:paraId="38A3253D"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Mukherjee, B., Jha, R. K., Sattar, A., Dutta, S., Bhattacharya, U., Samanta, S., </w:t>
      </w:r>
      <w:proofErr w:type="spellStart"/>
      <w:r w:rsidRPr="0017181D">
        <w:rPr>
          <w:rFonts w:ascii="Times New Roman" w:hAnsi="Times New Roman"/>
          <w:sz w:val="24"/>
          <w:szCs w:val="24"/>
        </w:rPr>
        <w:t>Huiren</w:t>
      </w:r>
      <w:proofErr w:type="spellEnd"/>
      <w:r w:rsidRPr="0017181D">
        <w:rPr>
          <w:rFonts w:ascii="Times New Roman" w:hAnsi="Times New Roman"/>
          <w:sz w:val="24"/>
          <w:szCs w:val="24"/>
        </w:rPr>
        <w:t xml:space="preserve">, B., Singh, S. K., Das, S., &amp; Bal, S. K. (2025). Harnessing the potential of millets for climate-resilient and sustainable agriculture. </w:t>
      </w:r>
      <w:r w:rsidRPr="0017181D">
        <w:rPr>
          <w:rFonts w:ascii="Times New Roman" w:hAnsi="Times New Roman"/>
          <w:i/>
          <w:iCs/>
          <w:sz w:val="24"/>
          <w:szCs w:val="24"/>
        </w:rPr>
        <w:t>Frontiers in Plant Science, 16</w:t>
      </w:r>
      <w:r w:rsidRPr="0017181D">
        <w:rPr>
          <w:rFonts w:ascii="Times New Roman" w:hAnsi="Times New Roman"/>
          <w:sz w:val="24"/>
          <w:szCs w:val="24"/>
        </w:rPr>
        <w:t xml:space="preserve">, 1574699. </w:t>
      </w:r>
      <w:hyperlink r:id="rId42" w:history="1">
        <w:r w:rsidRPr="0017181D">
          <w:rPr>
            <w:rFonts w:ascii="Times New Roman" w:hAnsi="Times New Roman"/>
            <w:color w:val="0000FF"/>
            <w:sz w:val="24"/>
            <w:szCs w:val="24"/>
            <w:u w:val="single"/>
          </w:rPr>
          <w:t>https://doi.org/10.3389/fpls.2025.1574699</w:t>
        </w:r>
      </w:hyperlink>
    </w:p>
    <w:p w14:paraId="65D869E7"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Panse, V. G., &amp; </w:t>
      </w:r>
      <w:proofErr w:type="spellStart"/>
      <w:r w:rsidRPr="0017181D">
        <w:rPr>
          <w:rFonts w:ascii="Times New Roman" w:hAnsi="Times New Roman"/>
          <w:sz w:val="24"/>
          <w:szCs w:val="24"/>
        </w:rPr>
        <w:t>Sukhatme</w:t>
      </w:r>
      <w:proofErr w:type="spellEnd"/>
      <w:r w:rsidRPr="0017181D">
        <w:rPr>
          <w:rFonts w:ascii="Times New Roman" w:hAnsi="Times New Roman"/>
          <w:sz w:val="24"/>
          <w:szCs w:val="24"/>
        </w:rPr>
        <w:t xml:space="preserve">, P. V. (1978). </w:t>
      </w:r>
      <w:r w:rsidRPr="0017181D">
        <w:rPr>
          <w:rFonts w:ascii="Times New Roman" w:hAnsi="Times New Roman"/>
          <w:i/>
          <w:iCs/>
          <w:sz w:val="24"/>
          <w:szCs w:val="24"/>
        </w:rPr>
        <w:t>Statistical methods for agricultural workers</w:t>
      </w:r>
      <w:r w:rsidRPr="0017181D">
        <w:rPr>
          <w:rFonts w:ascii="Times New Roman" w:hAnsi="Times New Roman"/>
          <w:sz w:val="24"/>
          <w:szCs w:val="24"/>
        </w:rPr>
        <w:t xml:space="preserve"> (3rd rev. ed.; P. V. </w:t>
      </w:r>
      <w:proofErr w:type="spellStart"/>
      <w:r w:rsidRPr="0017181D">
        <w:rPr>
          <w:rFonts w:ascii="Times New Roman" w:hAnsi="Times New Roman"/>
          <w:sz w:val="24"/>
          <w:szCs w:val="24"/>
        </w:rPr>
        <w:t>Sukhatme</w:t>
      </w:r>
      <w:proofErr w:type="spellEnd"/>
      <w:r w:rsidRPr="0017181D">
        <w:rPr>
          <w:rFonts w:ascii="Times New Roman" w:hAnsi="Times New Roman"/>
          <w:sz w:val="24"/>
          <w:szCs w:val="24"/>
        </w:rPr>
        <w:t xml:space="preserve"> &amp; V. N. Amble, Rev.). Indian Council of Agricultural Research. </w:t>
      </w:r>
      <w:hyperlink r:id="rId43" w:history="1">
        <w:r w:rsidRPr="0017181D">
          <w:rPr>
            <w:rFonts w:ascii="Times New Roman" w:hAnsi="Times New Roman"/>
            <w:color w:val="0000FF"/>
            <w:sz w:val="24"/>
            <w:szCs w:val="24"/>
            <w:u w:val="single"/>
          </w:rPr>
          <w:t>https://agris.fao.org/search/en/providers/122535/records/65ddd65b7c7033e84be8472c</w:t>
        </w:r>
      </w:hyperlink>
    </w:p>
    <w:p w14:paraId="3A63AD77"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Patel, U., Patil, H., Parekh, V., Vadodaria, G., &amp; Shrivastava, A. (2024). Genetic variability, heritability and genetic advance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genotypes. </w:t>
      </w:r>
      <w:r w:rsidRPr="0017181D">
        <w:rPr>
          <w:rFonts w:ascii="Times New Roman" w:hAnsi="Times New Roman"/>
          <w:i/>
          <w:iCs/>
          <w:sz w:val="24"/>
          <w:szCs w:val="24"/>
        </w:rPr>
        <w:t>Electronic Journal of Plant Breeding, 15</w:t>
      </w:r>
      <w:r w:rsidRPr="0017181D">
        <w:rPr>
          <w:rFonts w:ascii="Times New Roman" w:hAnsi="Times New Roman"/>
          <w:sz w:val="24"/>
          <w:szCs w:val="24"/>
        </w:rPr>
        <w:t xml:space="preserve">(2), 471–477. </w:t>
      </w:r>
      <w:hyperlink r:id="rId44" w:history="1">
        <w:r w:rsidRPr="0017181D">
          <w:rPr>
            <w:rFonts w:ascii="Times New Roman" w:hAnsi="Times New Roman"/>
            <w:color w:val="0000FF"/>
            <w:sz w:val="24"/>
            <w:szCs w:val="24"/>
            <w:u w:val="single"/>
          </w:rPr>
          <w:t>https://doi.org/10.37992/2024.1502.058</w:t>
        </w:r>
      </w:hyperlink>
    </w:p>
    <w:p w14:paraId="1D029350"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Priyadharshini, C., </w:t>
      </w:r>
      <w:proofErr w:type="spellStart"/>
      <w:r w:rsidRPr="0017181D">
        <w:rPr>
          <w:rFonts w:ascii="Times New Roman" w:hAnsi="Times New Roman"/>
          <w:sz w:val="24"/>
          <w:szCs w:val="24"/>
        </w:rPr>
        <w:t>Nirmalakumari</w:t>
      </w:r>
      <w:proofErr w:type="spellEnd"/>
      <w:r w:rsidRPr="0017181D">
        <w:rPr>
          <w:rFonts w:ascii="Times New Roman" w:hAnsi="Times New Roman"/>
          <w:sz w:val="24"/>
          <w:szCs w:val="24"/>
        </w:rPr>
        <w:t xml:space="preserve">, A., John Joel, A., &amp; Raveendran, M. (2011). Genetic variability and trait relationships in finger millet hybrids. </w:t>
      </w:r>
      <w:r w:rsidRPr="0017181D">
        <w:rPr>
          <w:rFonts w:ascii="Times New Roman" w:hAnsi="Times New Roman"/>
          <w:i/>
          <w:iCs/>
          <w:sz w:val="24"/>
          <w:szCs w:val="24"/>
        </w:rPr>
        <w:t>Madras Agricultural Journal, 98</w:t>
      </w:r>
      <w:r w:rsidRPr="0017181D">
        <w:rPr>
          <w:rFonts w:ascii="Times New Roman" w:hAnsi="Times New Roman"/>
          <w:sz w:val="24"/>
          <w:szCs w:val="24"/>
        </w:rPr>
        <w:t xml:space="preserve">(1–3), 18–21. </w:t>
      </w:r>
      <w:hyperlink r:id="rId45" w:history="1">
        <w:r w:rsidRPr="0017181D">
          <w:rPr>
            <w:rFonts w:ascii="Times New Roman" w:hAnsi="Times New Roman"/>
            <w:color w:val="0000FF"/>
            <w:sz w:val="24"/>
            <w:szCs w:val="24"/>
            <w:u w:val="single"/>
          </w:rPr>
          <w:t>https://doi.org/10.29321/MAJ.10.100232</w:t>
        </w:r>
      </w:hyperlink>
    </w:p>
    <w:p w14:paraId="06DA18D1"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Reddy, C. V. C. M., Reddy, P. V. R. M., </w:t>
      </w:r>
      <w:proofErr w:type="spellStart"/>
      <w:r w:rsidRPr="0017181D">
        <w:rPr>
          <w:rFonts w:ascii="Times New Roman" w:hAnsi="Times New Roman"/>
          <w:sz w:val="24"/>
          <w:szCs w:val="24"/>
        </w:rPr>
        <w:t>Munirathnam</w:t>
      </w:r>
      <w:proofErr w:type="spellEnd"/>
      <w:r w:rsidRPr="0017181D">
        <w:rPr>
          <w:rFonts w:ascii="Times New Roman" w:hAnsi="Times New Roman"/>
          <w:sz w:val="24"/>
          <w:szCs w:val="24"/>
        </w:rPr>
        <w:t>, P., &amp; Gowda, J. (2013). Studies of genetic variability in yield and yield attributing traits of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Indian Journal of Agricultural Research, 47</w:t>
      </w:r>
      <w:r w:rsidRPr="0017181D">
        <w:rPr>
          <w:rFonts w:ascii="Times New Roman" w:hAnsi="Times New Roman"/>
          <w:sz w:val="24"/>
          <w:szCs w:val="24"/>
        </w:rPr>
        <w:t xml:space="preserve">(6), 549–552. </w:t>
      </w:r>
      <w:hyperlink r:id="rId46" w:history="1">
        <w:r w:rsidRPr="0017181D">
          <w:rPr>
            <w:rFonts w:ascii="Times New Roman" w:hAnsi="Times New Roman"/>
            <w:color w:val="0000FF"/>
            <w:sz w:val="24"/>
            <w:szCs w:val="24"/>
            <w:u w:val="single"/>
          </w:rPr>
          <w:t>https://arccjournals.com/journal/indian-journal-of-agricultural-research/ARCC084</w:t>
        </w:r>
      </w:hyperlink>
    </w:p>
    <w:p w14:paraId="77F6B89A"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Saleh, A. S. M., Zhang, Q., Chen, J., &amp; Shen, Q. (2013). Millet grains: Nutritional quality, processing, and potential health benefits. </w:t>
      </w:r>
      <w:r w:rsidRPr="0017181D">
        <w:rPr>
          <w:rFonts w:ascii="Times New Roman" w:hAnsi="Times New Roman"/>
          <w:i/>
          <w:iCs/>
          <w:sz w:val="24"/>
          <w:szCs w:val="24"/>
        </w:rPr>
        <w:t>Comprehensive Reviews in Food Science and Food Safety, 12</w:t>
      </w:r>
      <w:r w:rsidRPr="0017181D">
        <w:rPr>
          <w:rFonts w:ascii="Times New Roman" w:hAnsi="Times New Roman"/>
          <w:sz w:val="24"/>
          <w:szCs w:val="24"/>
        </w:rPr>
        <w:t xml:space="preserve">(3), 281–295. </w:t>
      </w:r>
      <w:hyperlink r:id="rId47" w:history="1">
        <w:r w:rsidRPr="0017181D">
          <w:rPr>
            <w:rFonts w:ascii="Times New Roman" w:hAnsi="Times New Roman"/>
            <w:color w:val="0000FF"/>
            <w:sz w:val="24"/>
            <w:szCs w:val="24"/>
            <w:u w:val="single"/>
          </w:rPr>
          <w:t>https://doi.org/10.1111/1541-4337.12012</w:t>
        </w:r>
      </w:hyperlink>
    </w:p>
    <w:p w14:paraId="4F14F25E"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lastRenderedPageBreak/>
        <w:t xml:space="preserve">Shet, R. M., </w:t>
      </w:r>
      <w:proofErr w:type="spellStart"/>
      <w:r w:rsidRPr="0017181D">
        <w:rPr>
          <w:rFonts w:ascii="Times New Roman" w:hAnsi="Times New Roman"/>
          <w:sz w:val="24"/>
          <w:szCs w:val="24"/>
        </w:rPr>
        <w:t>Jagadeesha</w:t>
      </w:r>
      <w:proofErr w:type="spellEnd"/>
      <w:r w:rsidRPr="0017181D">
        <w:rPr>
          <w:rFonts w:ascii="Times New Roman" w:hAnsi="Times New Roman"/>
          <w:sz w:val="24"/>
          <w:szCs w:val="24"/>
        </w:rPr>
        <w:t>, N., Lokesh, G. Y., Gireesh, C., &amp; Gowda, J. (2010). Genetic variability, association and path coefficient studies in two interspecific crosses of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International Journal of Plant Sciences, 5</w:t>
      </w:r>
      <w:r w:rsidRPr="0017181D">
        <w:rPr>
          <w:rFonts w:ascii="Times New Roman" w:hAnsi="Times New Roman"/>
          <w:sz w:val="24"/>
          <w:szCs w:val="24"/>
        </w:rPr>
        <w:t xml:space="preserve">(1), 24–29. </w:t>
      </w:r>
    </w:p>
    <w:p w14:paraId="71A2D4E4"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Suryanarayana, L., Sekhar, D., &amp; Rao, N. V. (2014). Genetic variability and divergence studies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International Journal of Current Microbiology and Applied Sciences, 3</w:t>
      </w:r>
      <w:r w:rsidRPr="0017181D">
        <w:rPr>
          <w:rFonts w:ascii="Times New Roman" w:hAnsi="Times New Roman"/>
          <w:sz w:val="24"/>
          <w:szCs w:val="24"/>
        </w:rPr>
        <w:t xml:space="preserve">(4), 931–936. </w:t>
      </w:r>
      <w:hyperlink r:id="rId48" w:history="1">
        <w:r w:rsidRPr="0017181D">
          <w:rPr>
            <w:rFonts w:ascii="Times New Roman" w:hAnsi="Times New Roman"/>
            <w:color w:val="0000FF"/>
            <w:sz w:val="24"/>
            <w:szCs w:val="24"/>
            <w:u w:val="single"/>
          </w:rPr>
          <w:t>https://www.ijcmas.com/vol-3-4/L.Suryanarayana%2C%20et%20al.pdf</w:t>
        </w:r>
      </w:hyperlink>
    </w:p>
    <w:p w14:paraId="0ECE1961" w14:textId="77777777" w:rsidR="0037036B" w:rsidRPr="0017181D" w:rsidRDefault="0037036B" w:rsidP="0037036B">
      <w:pPr>
        <w:ind w:left="540" w:hanging="540"/>
        <w:jc w:val="both"/>
        <w:rPr>
          <w:rFonts w:ascii="Times New Roman" w:hAnsi="Times New Roman"/>
          <w:sz w:val="24"/>
          <w:szCs w:val="24"/>
        </w:rPr>
      </w:pPr>
      <w:proofErr w:type="spellStart"/>
      <w:r w:rsidRPr="0017181D">
        <w:rPr>
          <w:rFonts w:ascii="Times New Roman" w:hAnsi="Times New Roman"/>
          <w:sz w:val="24"/>
          <w:szCs w:val="24"/>
        </w:rPr>
        <w:t>Udamala</w:t>
      </w:r>
      <w:proofErr w:type="spellEnd"/>
      <w:r w:rsidRPr="0017181D">
        <w:rPr>
          <w:rFonts w:ascii="Times New Roman" w:hAnsi="Times New Roman"/>
          <w:sz w:val="24"/>
          <w:szCs w:val="24"/>
        </w:rPr>
        <w:t>, A., Vijayalakshmi, B., Anuradha, N., Patro, T. S. S. K., &amp; Sekhar, V. (2020). Studies on genetic variability for yield and quality traits in finger millet [</w:t>
      </w:r>
      <w:r w:rsidRPr="0017181D">
        <w:rPr>
          <w:rFonts w:ascii="Times New Roman" w:hAnsi="Times New Roman"/>
          <w:i/>
          <w:iCs/>
          <w:sz w:val="24"/>
          <w:szCs w:val="24"/>
        </w:rPr>
        <w:t>Eleusine coracana</w:t>
      </w:r>
      <w:r w:rsidRPr="0017181D">
        <w:rPr>
          <w:rFonts w:ascii="Times New Roman" w:hAnsi="Times New Roman"/>
          <w:sz w:val="24"/>
          <w:szCs w:val="24"/>
        </w:rPr>
        <w:t xml:space="preserve"> (L.) </w:t>
      </w:r>
      <w:proofErr w:type="spellStart"/>
      <w:r w:rsidRPr="0017181D">
        <w:rPr>
          <w:rFonts w:ascii="Times New Roman" w:hAnsi="Times New Roman"/>
          <w:sz w:val="24"/>
          <w:szCs w:val="24"/>
        </w:rPr>
        <w:t>Gaertn</w:t>
      </w:r>
      <w:proofErr w:type="spellEnd"/>
      <w:r w:rsidRPr="0017181D">
        <w:rPr>
          <w:rFonts w:ascii="Times New Roman" w:hAnsi="Times New Roman"/>
          <w:sz w:val="24"/>
          <w:szCs w:val="24"/>
        </w:rPr>
        <w:t xml:space="preserve">.]. </w:t>
      </w:r>
      <w:r w:rsidRPr="0017181D">
        <w:rPr>
          <w:rFonts w:ascii="Times New Roman" w:hAnsi="Times New Roman"/>
          <w:i/>
          <w:iCs/>
          <w:sz w:val="24"/>
          <w:szCs w:val="24"/>
        </w:rPr>
        <w:t>International Journal of Current Microbiology and Applied Sciences, 9</w:t>
      </w:r>
      <w:r w:rsidRPr="0017181D">
        <w:rPr>
          <w:rFonts w:ascii="Times New Roman" w:hAnsi="Times New Roman"/>
          <w:sz w:val="24"/>
          <w:szCs w:val="24"/>
        </w:rPr>
        <w:t xml:space="preserve">(9), 641–649. </w:t>
      </w:r>
      <w:hyperlink r:id="rId49" w:history="1">
        <w:r w:rsidRPr="0017181D">
          <w:rPr>
            <w:rFonts w:ascii="Times New Roman" w:hAnsi="Times New Roman"/>
            <w:color w:val="0000FF"/>
            <w:sz w:val="24"/>
            <w:szCs w:val="24"/>
            <w:u w:val="single"/>
          </w:rPr>
          <w:t>https://doi.org/10.20546/ijcmas.2020.909.081</w:t>
        </w:r>
      </w:hyperlink>
    </w:p>
    <w:p w14:paraId="13B05D1B"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Ulaganathan, V., &amp; </w:t>
      </w:r>
      <w:proofErr w:type="spellStart"/>
      <w:r w:rsidRPr="0017181D">
        <w:rPr>
          <w:rFonts w:ascii="Times New Roman" w:hAnsi="Times New Roman"/>
          <w:sz w:val="24"/>
          <w:szCs w:val="24"/>
        </w:rPr>
        <w:t>Nirmalakumari</w:t>
      </w:r>
      <w:proofErr w:type="spellEnd"/>
      <w:r w:rsidRPr="0017181D">
        <w:rPr>
          <w:rFonts w:ascii="Times New Roman" w:hAnsi="Times New Roman"/>
          <w:sz w:val="24"/>
          <w:szCs w:val="24"/>
        </w:rPr>
        <w:t xml:space="preserve">, A. (2011). </w:t>
      </w:r>
      <w:r w:rsidRPr="0017181D">
        <w:rPr>
          <w:rFonts w:ascii="Times New Roman" w:hAnsi="Times New Roman"/>
          <w:i/>
          <w:iCs/>
          <w:sz w:val="24"/>
          <w:szCs w:val="24"/>
        </w:rPr>
        <w:t xml:space="preserve">Genetic variability for yield and yield related traits in finger millet [Eleusine coracana (L.) </w:t>
      </w:r>
      <w:proofErr w:type="spellStart"/>
      <w:r w:rsidRPr="0017181D">
        <w:rPr>
          <w:rFonts w:ascii="Times New Roman" w:hAnsi="Times New Roman"/>
          <w:i/>
          <w:iCs/>
          <w:sz w:val="24"/>
          <w:szCs w:val="24"/>
        </w:rPr>
        <w:t>Gaertn</w:t>
      </w:r>
      <w:proofErr w:type="spellEnd"/>
      <w:r w:rsidRPr="0017181D">
        <w:rPr>
          <w:rFonts w:ascii="Times New Roman" w:hAnsi="Times New Roman"/>
          <w:i/>
          <w:iCs/>
          <w:sz w:val="24"/>
          <w:szCs w:val="24"/>
        </w:rPr>
        <w:t>.] genotypes</w:t>
      </w:r>
      <w:r w:rsidRPr="0017181D">
        <w:rPr>
          <w:rFonts w:ascii="Times New Roman" w:hAnsi="Times New Roman"/>
          <w:sz w:val="24"/>
          <w:szCs w:val="24"/>
        </w:rPr>
        <w:t xml:space="preserve"> [Conference contribution]. Department of Millets, Centre for Plant Breeding and Genetics, Tamil Nadu Agricultural University. </w:t>
      </w:r>
    </w:p>
    <w:p w14:paraId="6FF0977E" w14:textId="77777777" w:rsidR="0037036B" w:rsidRPr="0017181D" w:rsidRDefault="0037036B" w:rsidP="0037036B">
      <w:pPr>
        <w:ind w:left="540" w:hanging="540"/>
        <w:jc w:val="both"/>
        <w:rPr>
          <w:rFonts w:ascii="Times New Roman" w:hAnsi="Times New Roman"/>
          <w:sz w:val="24"/>
          <w:szCs w:val="24"/>
        </w:rPr>
      </w:pPr>
      <w:r w:rsidRPr="0017181D">
        <w:rPr>
          <w:rFonts w:ascii="Times New Roman" w:hAnsi="Times New Roman"/>
          <w:sz w:val="24"/>
          <w:szCs w:val="24"/>
        </w:rPr>
        <w:t xml:space="preserve">Vinoth, A., &amp; </w:t>
      </w:r>
      <w:proofErr w:type="spellStart"/>
      <w:r w:rsidRPr="0017181D">
        <w:rPr>
          <w:rFonts w:ascii="Times New Roman" w:hAnsi="Times New Roman"/>
          <w:sz w:val="24"/>
          <w:szCs w:val="24"/>
        </w:rPr>
        <w:t>Ravindhran</w:t>
      </w:r>
      <w:proofErr w:type="spellEnd"/>
      <w:r w:rsidRPr="0017181D">
        <w:rPr>
          <w:rFonts w:ascii="Times New Roman" w:hAnsi="Times New Roman"/>
          <w:sz w:val="24"/>
          <w:szCs w:val="24"/>
        </w:rPr>
        <w:t xml:space="preserve">, R. (2017). Biofortification in millets: A sustainable approach for nutritional security. </w:t>
      </w:r>
      <w:r w:rsidRPr="0017181D">
        <w:rPr>
          <w:rFonts w:ascii="Times New Roman" w:hAnsi="Times New Roman"/>
          <w:i/>
          <w:iCs/>
          <w:sz w:val="24"/>
          <w:szCs w:val="24"/>
        </w:rPr>
        <w:t>Frontiers in Plant Science, 8</w:t>
      </w:r>
      <w:r w:rsidRPr="0017181D">
        <w:rPr>
          <w:rFonts w:ascii="Times New Roman" w:hAnsi="Times New Roman"/>
          <w:sz w:val="24"/>
          <w:szCs w:val="24"/>
        </w:rPr>
        <w:t xml:space="preserve">, Article 29. </w:t>
      </w:r>
      <w:hyperlink r:id="rId50" w:history="1">
        <w:r w:rsidRPr="0017181D">
          <w:rPr>
            <w:rFonts w:ascii="Times New Roman" w:hAnsi="Times New Roman"/>
            <w:color w:val="0000FF"/>
            <w:sz w:val="24"/>
            <w:szCs w:val="24"/>
            <w:u w:val="single"/>
          </w:rPr>
          <w:t>https://doi.org/10.3389/fpls.2017.00029</w:t>
        </w:r>
      </w:hyperlink>
    </w:p>
    <w:p w14:paraId="7BF0AFEF" w14:textId="77777777" w:rsidR="005E0135" w:rsidRPr="0017181D" w:rsidRDefault="0037036B" w:rsidP="0037036B">
      <w:pPr>
        <w:pStyle w:val="Appendix"/>
        <w:spacing w:after="0"/>
        <w:ind w:left="540" w:hanging="540"/>
        <w:jc w:val="both"/>
        <w:rPr>
          <w:rFonts w:ascii="Arial" w:hAnsi="Arial" w:cs="Arial"/>
          <w:b w:val="0"/>
          <w:color w:val="000000" w:themeColor="text1"/>
        </w:rPr>
      </w:pPr>
      <w:r w:rsidRPr="0017181D">
        <w:rPr>
          <w:rFonts w:ascii="Times New Roman" w:hAnsi="Times New Roman"/>
          <w:b w:val="0"/>
          <w:caps w:val="0"/>
          <w:sz w:val="24"/>
          <w:szCs w:val="24"/>
        </w:rPr>
        <w:t xml:space="preserve">Yadilal, G., Manisha, M., Pavani, E., Navya, M., Alekhya, C., Chandini, G. H., &amp; Madhu, C. (2017). Estimation of crude fiber content in spices and fruits. </w:t>
      </w:r>
      <w:r w:rsidRPr="0017181D">
        <w:rPr>
          <w:rFonts w:ascii="Times New Roman" w:hAnsi="Times New Roman"/>
          <w:b w:val="0"/>
          <w:i/>
          <w:iCs/>
          <w:caps w:val="0"/>
          <w:sz w:val="24"/>
          <w:szCs w:val="24"/>
        </w:rPr>
        <w:t>Indo American Journal of Pharmaceutical Sciences, 4</w:t>
      </w:r>
      <w:r w:rsidRPr="0017181D">
        <w:rPr>
          <w:rFonts w:ascii="Times New Roman" w:hAnsi="Times New Roman"/>
          <w:b w:val="0"/>
          <w:caps w:val="0"/>
          <w:sz w:val="24"/>
          <w:szCs w:val="24"/>
        </w:rPr>
        <w:t xml:space="preserve">(10), 3864–3868. </w:t>
      </w:r>
      <w:hyperlink r:id="rId51" w:history="1">
        <w:r w:rsidRPr="0017181D">
          <w:rPr>
            <w:rFonts w:ascii="Times New Roman" w:hAnsi="Times New Roman"/>
            <w:b w:val="0"/>
            <w:caps w:val="0"/>
            <w:color w:val="0000FF"/>
            <w:sz w:val="24"/>
            <w:szCs w:val="24"/>
            <w:u w:val="single"/>
          </w:rPr>
          <w:t>https://doi.org/10.5281/zenodo.1034544</w:t>
        </w:r>
      </w:hyperlink>
    </w:p>
    <w:p w14:paraId="5B9A6B12" w14:textId="77777777" w:rsidR="00DF0A23" w:rsidRPr="0017181D" w:rsidRDefault="00000000">
      <w:pPr>
        <w:ind w:left="540" w:hanging="540"/>
        <w:jc w:val="both"/>
      </w:pPr>
      <w:r w:rsidRPr="0017181D">
        <w:rPr>
          <w:rFonts w:ascii="Times New Roman" w:hAnsi="Times New Roman"/>
          <w:b/>
          <w:sz w:val="24"/>
        </w:rPr>
        <w:t xml:space="preserve">Anand, K., Bhuyan, J., Zaman, S., Choudhary, H., Sonowal, S., Rajkumar, A., &amp; Kro, A. (2024). Assessment of genetic variability, heritability, genetic advance, and diversity analysis for morpho physiological traits in finger millet [Eleusine coracana (L.) Gaertn.]. </w:t>
      </w:r>
      <w:r w:rsidRPr="0017181D">
        <w:rPr>
          <w:rFonts w:ascii="Times New Roman" w:hAnsi="Times New Roman"/>
          <w:b/>
          <w:i/>
          <w:sz w:val="24"/>
        </w:rPr>
        <w:t>International Journal of Plant &amp; Soil Science, 36</w:t>
      </w:r>
      <w:r w:rsidRPr="0017181D">
        <w:rPr>
          <w:rFonts w:ascii="Times New Roman" w:hAnsi="Times New Roman"/>
          <w:b/>
          <w:sz w:val="24"/>
        </w:rPr>
        <w:t>(4), 352–361. https://doi.org/10.9734/ijpss/2024/v36i44488</w:t>
      </w:r>
    </w:p>
    <w:p w14:paraId="4E0A6622" w14:textId="77777777" w:rsidR="00DF0A23" w:rsidRPr="0017181D" w:rsidRDefault="00000000">
      <w:pPr>
        <w:ind w:left="540" w:hanging="540"/>
        <w:jc w:val="both"/>
      </w:pPr>
      <w:r w:rsidRPr="0017181D">
        <w:rPr>
          <w:rFonts w:ascii="Times New Roman" w:hAnsi="Times New Roman"/>
          <w:b/>
          <w:sz w:val="24"/>
        </w:rPr>
        <w:t xml:space="preserve">Tiwari, N., Srivastava, S., &amp; Verma, H. (2025). Nutritional and antioxidant comparison of finger millet, foxtail millet, and refined wheat flour. </w:t>
      </w:r>
      <w:r w:rsidRPr="0017181D">
        <w:rPr>
          <w:rFonts w:ascii="Times New Roman" w:hAnsi="Times New Roman"/>
          <w:b/>
          <w:i/>
          <w:sz w:val="24"/>
        </w:rPr>
        <w:t>Asian Journal of Current Research, 10</w:t>
      </w:r>
      <w:r w:rsidRPr="0017181D">
        <w:rPr>
          <w:rFonts w:ascii="Times New Roman" w:hAnsi="Times New Roman"/>
          <w:b/>
          <w:sz w:val="24"/>
        </w:rPr>
        <w:t>(1), 185–192. https://doi.org/10.56557/ajocr/2025/v10i19149</w:t>
      </w:r>
    </w:p>
    <w:p w14:paraId="7FFD02F6" w14:textId="77777777" w:rsidR="00DF0A23" w:rsidRPr="0017181D" w:rsidRDefault="00000000">
      <w:pPr>
        <w:ind w:left="540" w:hanging="540"/>
        <w:jc w:val="both"/>
      </w:pPr>
      <w:r w:rsidRPr="0017181D">
        <w:rPr>
          <w:rFonts w:ascii="Times New Roman" w:hAnsi="Times New Roman"/>
          <w:b/>
          <w:sz w:val="24"/>
        </w:rPr>
        <w:t>Kayastha, S., Sahoo, J. P., Mahapatra, M., &amp; Sharma, S. S. (2024). Finger millet (</w:t>
      </w:r>
      <w:r w:rsidRPr="0017181D">
        <w:rPr>
          <w:rFonts w:ascii="Times New Roman" w:hAnsi="Times New Roman"/>
          <w:b/>
          <w:i/>
          <w:iCs/>
          <w:sz w:val="24"/>
        </w:rPr>
        <w:t>Eleusine coracana</w:t>
      </w:r>
      <w:r w:rsidRPr="0017181D">
        <w:rPr>
          <w:rFonts w:ascii="Times New Roman" w:hAnsi="Times New Roman"/>
          <w:b/>
          <w:sz w:val="24"/>
        </w:rPr>
        <w:t xml:space="preserve">) enhancement through genomic resources and breeding methods: current implications and potential future </w:t>
      </w:r>
      <w:proofErr w:type="gramStart"/>
      <w:r w:rsidRPr="0017181D">
        <w:rPr>
          <w:rFonts w:ascii="Times New Roman" w:hAnsi="Times New Roman"/>
          <w:b/>
          <w:sz w:val="24"/>
        </w:rPr>
        <w:t>interventions.</w:t>
      </w:r>
      <w:r w:rsidRPr="0017181D">
        <w:rPr>
          <w:rFonts w:ascii="Times New Roman" w:hAnsi="Times New Roman"/>
          <w:b/>
          <w:i/>
          <w:sz w:val="24"/>
        </w:rPr>
        <w:t>Planta</w:t>
      </w:r>
      <w:proofErr w:type="gramEnd"/>
      <w:r w:rsidRPr="0017181D">
        <w:rPr>
          <w:rFonts w:ascii="Times New Roman" w:hAnsi="Times New Roman"/>
          <w:b/>
          <w:i/>
          <w:sz w:val="24"/>
        </w:rPr>
        <w:t>, 259</w:t>
      </w:r>
      <w:r w:rsidRPr="0017181D">
        <w:rPr>
          <w:rFonts w:ascii="Times New Roman" w:hAnsi="Times New Roman"/>
          <w:b/>
          <w:sz w:val="24"/>
        </w:rPr>
        <w:t>(6), 139. https://doi.org/10.1007/s00425-024-04415-0</w:t>
      </w:r>
    </w:p>
    <w:p w14:paraId="286784B0" w14:textId="77777777" w:rsidR="00DF0A23" w:rsidRPr="0017181D" w:rsidRDefault="00000000">
      <w:pPr>
        <w:ind w:left="540" w:hanging="540"/>
        <w:jc w:val="both"/>
      </w:pPr>
      <w:r w:rsidRPr="0017181D">
        <w:rPr>
          <w:rFonts w:ascii="Times New Roman" w:hAnsi="Times New Roman"/>
          <w:b/>
          <w:sz w:val="24"/>
        </w:rPr>
        <w:t xml:space="preserve">Wright, H., &amp; Devos, K. M. (2024). Finger millet: a hero in the making to combat food insecurity. </w:t>
      </w:r>
      <w:r w:rsidRPr="0017181D">
        <w:rPr>
          <w:rFonts w:ascii="Times New Roman" w:hAnsi="Times New Roman"/>
          <w:b/>
          <w:i/>
          <w:sz w:val="24"/>
        </w:rPr>
        <w:t>Theoretical and Applied Genetics, 137</w:t>
      </w:r>
      <w:r w:rsidRPr="0017181D">
        <w:rPr>
          <w:rFonts w:ascii="Times New Roman" w:hAnsi="Times New Roman"/>
          <w:b/>
          <w:sz w:val="24"/>
        </w:rPr>
        <w:t>(6), 139. https://doi.org/10.1007/s00122-024-04637-6</w:t>
      </w:r>
    </w:p>
    <w:p w14:paraId="265A2E61" w14:textId="77777777" w:rsidR="00DF0A23" w:rsidRDefault="00000000">
      <w:pPr>
        <w:ind w:left="540" w:hanging="540"/>
        <w:jc w:val="both"/>
      </w:pPr>
      <w:r w:rsidRPr="0017181D">
        <w:rPr>
          <w:rFonts w:ascii="Times New Roman" w:hAnsi="Times New Roman"/>
          <w:b/>
          <w:sz w:val="24"/>
        </w:rPr>
        <w:t xml:space="preserve">Suthar, K. P., Singh, D., Patel, J. V., Niyaria, R., Lakhani, K. G., &amp; Pandey, A. K. (2025). Genetic diversity analysis in finger millet through RAPD and ISSR marker. </w:t>
      </w:r>
      <w:r w:rsidRPr="0017181D">
        <w:rPr>
          <w:rFonts w:ascii="Times New Roman" w:hAnsi="Times New Roman"/>
          <w:b/>
          <w:i/>
          <w:sz w:val="24"/>
        </w:rPr>
        <w:t>Ecological Genetics and Genomics, 35</w:t>
      </w:r>
      <w:r w:rsidRPr="0017181D">
        <w:rPr>
          <w:rFonts w:ascii="Times New Roman" w:hAnsi="Times New Roman"/>
          <w:b/>
          <w:sz w:val="24"/>
        </w:rPr>
        <w:t>, 100350. https://doi.org/10.1016/j.egg.2025.100350</w:t>
      </w:r>
    </w:p>
    <w:sectPr w:rsidR="00DF0A23" w:rsidSect="0037036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5CDC1" w14:textId="77777777" w:rsidR="00A76ED9" w:rsidRDefault="00A76ED9" w:rsidP="00C37E61">
      <w:r>
        <w:separator/>
      </w:r>
    </w:p>
  </w:endnote>
  <w:endnote w:type="continuationSeparator" w:id="0">
    <w:p w14:paraId="2A0027A7" w14:textId="77777777" w:rsidR="00A76ED9" w:rsidRDefault="00A76ED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2F317" w14:textId="77777777" w:rsidR="00C6181B" w:rsidRDefault="00C61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1969" w14:textId="77777777" w:rsidR="00C6181B" w:rsidRDefault="00C61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1DD4" w14:textId="77777777" w:rsidR="00754C9A" w:rsidRPr="001808FC" w:rsidRDefault="00754C9A" w:rsidP="00180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CE1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1AFCE" w14:textId="77777777" w:rsidR="00A76ED9" w:rsidRDefault="00A76ED9" w:rsidP="00C37E61">
      <w:r>
        <w:separator/>
      </w:r>
    </w:p>
  </w:footnote>
  <w:footnote w:type="continuationSeparator" w:id="0">
    <w:p w14:paraId="4F8807DD" w14:textId="77777777" w:rsidR="00A76ED9" w:rsidRDefault="00A76ED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61CC" w14:textId="77777777" w:rsidR="00C6181B" w:rsidRDefault="00000000">
    <w:pPr>
      <w:pStyle w:val="Header"/>
    </w:pPr>
    <w:r>
      <w:rPr>
        <w:noProof/>
      </w:rPr>
      <w:pict w14:anchorId="3D3354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1" o:spid="_x0000_s1026" type="#_x0000_t136" style="position:absolute;margin-left:0;margin-top:0;width:520.65pt;height:57.85pt;rotation:315;z-index:-25165414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24F9" w14:textId="77777777" w:rsidR="00C6181B" w:rsidRDefault="00000000">
    <w:pPr>
      <w:pStyle w:val="Header"/>
    </w:pPr>
    <w:r>
      <w:rPr>
        <w:noProof/>
      </w:rPr>
      <w:pict w14:anchorId="19B60D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DBC4" w14:textId="77777777" w:rsidR="00296529" w:rsidRPr="00296529" w:rsidRDefault="00000000" w:rsidP="00296529">
    <w:pPr>
      <w:ind w:left="2160"/>
      <w:jc w:val="center"/>
      <w:rPr>
        <w:rFonts w:ascii="Times New Roman" w:eastAsia="Calibri" w:hAnsi="Times New Roman"/>
        <w:i/>
        <w:sz w:val="18"/>
        <w:szCs w:val="22"/>
      </w:rPr>
    </w:pPr>
    <w:r>
      <w:rPr>
        <w:noProof/>
      </w:rPr>
      <w:pict w14:anchorId="5670C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0" o:spid="_x0000_s1025" type="#_x0000_t136" style="position:absolute;left:0;text-align:left;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1DF9EA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AD7670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49968DE"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C58CBE3"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592A8FE"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669F6D4"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0D84" w14:textId="77777777" w:rsidR="00C6181B" w:rsidRDefault="00000000">
    <w:pPr>
      <w:pStyle w:val="Header"/>
    </w:pPr>
    <w:r>
      <w:rPr>
        <w:noProof/>
      </w:rPr>
      <w:pict w14:anchorId="534A0C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4" o:spid="_x0000_s1031" type="#_x0000_t136" style="position:absolute;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sidR="00F50A4E">
      <w:rPr>
        <w:noProof/>
      </w:rPr>
      <mc:AlternateContent>
        <mc:Choice Requires="wps">
          <w:drawing>
            <wp:anchor distT="0" distB="0" distL="114300" distR="114300" simplePos="0" relativeHeight="251654656" behindDoc="1" locked="0" layoutInCell="0" allowOverlap="1" wp14:anchorId="17600DD2" wp14:editId="2B4BFDDE">
              <wp:simplePos x="0" y="0"/>
              <wp:positionH relativeFrom="margin">
                <wp:align>center</wp:align>
              </wp:positionH>
              <wp:positionV relativeFrom="margin">
                <wp:align>center</wp:align>
              </wp:positionV>
              <wp:extent cx="6612255" cy="734695"/>
              <wp:effectExtent l="0" t="0" r="0" b="0"/>
              <wp:wrapNone/>
              <wp:docPr id="1968938516" nam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612255" cy="734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D811CC" w14:textId="77777777" w:rsidR="00F50A4E" w:rsidRDefault="00F50A4E" w:rsidP="00F50A4E">
                          <w:pPr>
                            <w:jc w:val="center"/>
                            <w:rPr>
                              <w:rFonts w:cs="Helvetica"/>
                              <w:color w:val="C0C0C0"/>
                              <w:sz w:val="16"/>
                              <w:szCs w:val="16"/>
                              <w14:textFill>
                                <w14:solidFill>
                                  <w14:srgbClr w14:val="C0C0C0">
                                    <w14:alpha w14:val="50000"/>
                                  </w14:srgbClr>
                                </w14:solidFill>
                              </w14:textFill>
                            </w:rPr>
                          </w:pPr>
                          <w:r>
                            <w:rPr>
                              <w:rFonts w:cs="Helvetica"/>
                              <w:color w:val="C0C0C0"/>
                              <w:sz w:val="16"/>
                              <w:szCs w:val="16"/>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600DD2" id="_x0000_t202" coordsize="21600,21600" o:spt="202" path="m,l,21600r21600,l21600,xe">
              <v:stroke joinstyle="miter"/>
              <v:path gradientshapeok="t" o:connecttype="rect"/>
            </v:shapetype>
            <v:shape id=" 6" o:spid="_x0000_s1026" type="#_x0000_t202" style="position:absolute;margin-left:0;margin-top:0;width:520.65pt;height:57.8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" o:allowincell="f" filled="f" stroked="f">
              <v:stroke joinstyle="round"/>
              <v:path arrowok="t"/>
              <v:textbox>
                <w:txbxContent>
                  <w:p w14:paraId="05D811CC" w14:textId="77777777" w:rsidR="00F50A4E" w:rsidRDefault="00F50A4E" w:rsidP="00F50A4E">
                    <w:pPr>
                      <w:jc w:val="center"/>
                      <w:rPr>
                        <w:rFonts w:cs="Helvetica"/>
                        <w:color w:val="C0C0C0"/>
                        <w:sz w:val="16"/>
                        <w:szCs w:val="16"/>
                        <w14:textFill>
                          <w14:solidFill>
                            <w14:srgbClr w14:val="C0C0C0">
                              <w14:alpha w14:val="50000"/>
                            </w14:srgbClr>
                          </w14:solidFill>
                        </w14:textFill>
                      </w:rPr>
                    </w:pPr>
                    <w:r>
                      <w:rPr>
                        <w:rFonts w:cs="Helvetica"/>
                        <w:color w:val="C0C0C0"/>
                        <w:sz w:val="16"/>
                        <w:szCs w:val="16"/>
                        <w14:textFill>
                          <w14:solidFill>
                            <w14:srgbClr w14:val="C0C0C0">
                              <w14:alpha w14:val="50000"/>
                            </w14:srgbClr>
                          </w14:solidFill>
                        </w14:textFill>
                      </w:rPr>
                      <w:t>UNDER PEER REVIEW</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5E2E" w14:textId="77777777" w:rsidR="00C6181B" w:rsidRDefault="00000000">
    <w:pPr>
      <w:pStyle w:val="Header"/>
    </w:pPr>
    <w:r>
      <w:rPr>
        <w:noProof/>
      </w:rPr>
      <w:pict w14:anchorId="3A42F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5" o:spid="_x0000_s1033" type="#_x0000_t136" style="position:absolute;margin-left:0;margin-top:0;width:520.65pt;height:57.85pt;rotation:315;z-index:-25165004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sidR="00F50A4E">
      <w:rPr>
        <w:noProof/>
      </w:rPr>
      <mc:AlternateContent>
        <mc:Choice Requires="wps">
          <w:drawing>
            <wp:anchor distT="0" distB="0" distL="114300" distR="114300" simplePos="0" relativeHeight="251655680" behindDoc="1" locked="0" layoutInCell="0" allowOverlap="1" wp14:anchorId="3C4C0F51" wp14:editId="29E1D078">
              <wp:simplePos x="0" y="0"/>
              <wp:positionH relativeFrom="margin">
                <wp:align>center</wp:align>
              </wp:positionH>
              <wp:positionV relativeFrom="margin">
                <wp:align>center</wp:align>
              </wp:positionV>
              <wp:extent cx="6612255" cy="734695"/>
              <wp:effectExtent l="0" t="0" r="0" b="0"/>
              <wp:wrapNone/>
              <wp:docPr id="1116689370" nam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612255" cy="734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CCE4D6" w14:textId="77777777" w:rsidR="00F50A4E" w:rsidRDefault="00F50A4E" w:rsidP="00F50A4E">
                          <w:pPr>
                            <w:jc w:val="center"/>
                            <w:rPr>
                              <w:rFonts w:cs="Helvetica"/>
                              <w:color w:val="C0C0C0"/>
                              <w:sz w:val="16"/>
                              <w:szCs w:val="16"/>
                              <w14:textFill>
                                <w14:solidFill>
                                  <w14:srgbClr w14:val="C0C0C0">
                                    <w14:alpha w14:val="50000"/>
                                  </w14:srgbClr>
                                </w14:solidFill>
                              </w14:textFill>
                            </w:rPr>
                          </w:pPr>
                          <w:r>
                            <w:rPr>
                              <w:rFonts w:cs="Helvetica"/>
                              <w:color w:val="C0C0C0"/>
                              <w:sz w:val="16"/>
                              <w:szCs w:val="16"/>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C4C0F51" id="_x0000_t202" coordsize="21600,21600" o:spt="202" path="m,l,21600r21600,l21600,xe">
              <v:stroke joinstyle="miter"/>
              <v:path gradientshapeok="t" o:connecttype="rect"/>
            </v:shapetype>
            <v:shape id=" 8" o:spid="_x0000_s1027" type="#_x0000_t202" style="position:absolute;margin-left:0;margin-top:0;width:520.65pt;height:57.8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" o:allowincell="f" filled="f" stroked="f">
              <v:stroke joinstyle="round"/>
              <v:path arrowok="t"/>
              <v:textbox>
                <w:txbxContent>
                  <w:p w14:paraId="31CCE4D6" w14:textId="77777777" w:rsidR="00F50A4E" w:rsidRDefault="00F50A4E" w:rsidP="00F50A4E">
                    <w:pPr>
                      <w:jc w:val="center"/>
                      <w:rPr>
                        <w:rFonts w:cs="Helvetica"/>
                        <w:color w:val="C0C0C0"/>
                        <w:sz w:val="16"/>
                        <w:szCs w:val="16"/>
                        <w14:textFill>
                          <w14:solidFill>
                            <w14:srgbClr w14:val="C0C0C0">
                              <w14:alpha w14:val="50000"/>
                            </w14:srgbClr>
                          </w14:solidFill>
                        </w14:textFill>
                      </w:rPr>
                    </w:pPr>
                    <w:r>
                      <w:rPr>
                        <w:rFonts w:cs="Helvetica"/>
                        <w:color w:val="C0C0C0"/>
                        <w:sz w:val="16"/>
                        <w:szCs w:val="16"/>
                        <w14:textFill>
                          <w14:solidFill>
                            <w14:srgbClr w14:val="C0C0C0">
                              <w14:alpha w14:val="50000"/>
                            </w14:srgbClr>
                          </w14:solidFill>
                        </w14:textFill>
                      </w:rPr>
                      <w:t>UNDER PEER REVIEW</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ED11" w14:textId="77777777" w:rsidR="00C6181B" w:rsidRPr="00296529" w:rsidRDefault="00000000" w:rsidP="00296529">
    <w:pPr>
      <w:ind w:left="2160"/>
      <w:jc w:val="center"/>
      <w:rPr>
        <w:rFonts w:ascii="Times New Roman" w:eastAsia="Calibri" w:hAnsi="Times New Roman"/>
        <w:i/>
        <w:sz w:val="18"/>
        <w:szCs w:val="22"/>
      </w:rPr>
    </w:pPr>
    <w:r>
      <w:rPr>
        <w:noProof/>
      </w:rPr>
      <w:pict w14:anchorId="73F4A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183003" o:spid="_x0000_s1029" type="#_x0000_t136" style="position:absolute;left:0;text-align:left;margin-left:0;margin-top:0;width:520.65pt;height:57.85pt;rotation:315;z-index:-25165209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sidR="00F50A4E">
      <w:rPr>
        <w:noProof/>
      </w:rPr>
      <mc:AlternateContent>
        <mc:Choice Requires="wps">
          <w:drawing>
            <wp:anchor distT="0" distB="0" distL="114300" distR="114300" simplePos="0" relativeHeight="251653632" behindDoc="1" locked="0" layoutInCell="0" allowOverlap="1" wp14:anchorId="6CDB94C8" wp14:editId="50C870A2">
              <wp:simplePos x="0" y="0"/>
              <wp:positionH relativeFrom="margin">
                <wp:align>center</wp:align>
              </wp:positionH>
              <wp:positionV relativeFrom="margin">
                <wp:align>center</wp:align>
              </wp:positionV>
              <wp:extent cx="6612255" cy="734695"/>
              <wp:effectExtent l="0" t="0" r="0" b="0"/>
              <wp:wrapNone/>
              <wp:docPr id="551173251"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612255" cy="7346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D33A3B4" w14:textId="77777777" w:rsidR="00F50A4E" w:rsidRDefault="00F50A4E" w:rsidP="00F50A4E">
                          <w:pPr>
                            <w:jc w:val="center"/>
                            <w:rPr>
                              <w:rFonts w:cs="Helvetica"/>
                              <w:color w:val="C0C0C0"/>
                              <w:sz w:val="16"/>
                              <w:szCs w:val="16"/>
                              <w14:textFill>
                                <w14:solidFill>
                                  <w14:srgbClr w14:val="C0C0C0">
                                    <w14:alpha w14:val="50000"/>
                                  </w14:srgbClr>
                                </w14:solidFill>
                              </w14:textFill>
                            </w:rPr>
                          </w:pPr>
                          <w:r>
                            <w:rPr>
                              <w:rFonts w:cs="Helvetica"/>
                              <w:color w:val="C0C0C0"/>
                              <w:sz w:val="16"/>
                              <w:szCs w:val="16"/>
                              <w14:textFill>
                                <w14:solidFill>
                                  <w14:srgbClr w14:val="C0C0C0">
                                    <w14:alpha w14:val="50000"/>
                                  </w14:srgbClr>
                                </w14:solidFill>
                              </w14:textFill>
                            </w:rPr>
                            <w:t>UNDER PEER REVIEW</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CDB94C8" id="_x0000_t202" coordsize="21600,21600" o:spt="202" path="m,l,21600r21600,l21600,xe">
              <v:stroke joinstyle="miter"/>
              <v:path gradientshapeok="t" o:connecttype="rect"/>
            </v:shapetype>
            <v:shape id=" 4" o:spid="_x0000_s1028" type="#_x0000_t202" style="position:absolute;left:0;text-align:left;margin-left:0;margin-top:0;width:520.65pt;height:57.85pt;rotation:-45;z-index:-2516628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" o:allowincell="f" filled="f" stroked="f">
              <v:stroke joinstyle="round"/>
              <v:path arrowok="t"/>
              <v:textbox>
                <w:txbxContent>
                  <w:p w14:paraId="1D33A3B4" w14:textId="77777777" w:rsidR="00F50A4E" w:rsidRDefault="00F50A4E" w:rsidP="00F50A4E">
                    <w:pPr>
                      <w:jc w:val="center"/>
                      <w:rPr>
                        <w:rFonts w:cs="Helvetica"/>
                        <w:color w:val="C0C0C0"/>
                        <w:sz w:val="16"/>
                        <w:szCs w:val="16"/>
                        <w14:textFill>
                          <w14:solidFill>
                            <w14:srgbClr w14:val="C0C0C0">
                              <w14:alpha w14:val="50000"/>
                            </w14:srgbClr>
                          </w14:solidFill>
                        </w14:textFill>
                      </w:rPr>
                    </w:pPr>
                    <w:r>
                      <w:rPr>
                        <w:rFonts w:cs="Helvetica"/>
                        <w:color w:val="C0C0C0"/>
                        <w:sz w:val="16"/>
                        <w:szCs w:val="16"/>
                        <w14:textFill>
                          <w14:solidFill>
                            <w14:srgbClr w14:val="C0C0C0">
                              <w14:alpha w14:val="50000"/>
                            </w14:srgbClr>
                          </w14:solidFill>
                        </w14:textFill>
                      </w:rPr>
                      <w:t>UNDER PEER REVIEW</w:t>
                    </w:r>
                  </w:p>
                </w:txbxContent>
              </v:textbox>
              <w10:wrap anchorx="margin" anchory="margin"/>
            </v:shape>
          </w:pict>
        </mc:Fallback>
      </mc:AlternateContent>
    </w:r>
  </w:p>
  <w:p w14:paraId="3F3377D2" w14:textId="77777777" w:rsidR="00C6181B" w:rsidRPr="00296529" w:rsidRDefault="00C6181B"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4889A8B" w14:textId="77777777" w:rsidR="00C6181B" w:rsidRPr="00296529" w:rsidRDefault="00C6181B"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79D8582" w14:textId="77777777" w:rsidR="00C6181B" w:rsidRPr="00296529" w:rsidRDefault="00C6181B"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117C336" w14:textId="77777777" w:rsidR="00C6181B" w:rsidRDefault="00C6181B"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7A8D98A" w14:textId="77777777" w:rsidR="00C6181B" w:rsidRDefault="00C6181B"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3AE64C3" w14:textId="77777777" w:rsidR="00C6181B" w:rsidRDefault="00C6181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4B2F0EEF"/>
    <w:multiLevelType w:val="hybridMultilevel"/>
    <w:tmpl w:val="13E207B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F9E337E"/>
    <w:multiLevelType w:val="hybridMultilevel"/>
    <w:tmpl w:val="49FEF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56265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64454507">
    <w:abstractNumId w:val="15"/>
  </w:num>
  <w:num w:numId="3" w16cid:durableId="1862208800">
    <w:abstractNumId w:val="24"/>
  </w:num>
  <w:num w:numId="4" w16cid:durableId="21878904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32356873">
    <w:abstractNumId w:val="7"/>
  </w:num>
  <w:num w:numId="6" w16cid:durableId="1429697929">
    <w:abstractNumId w:val="6"/>
  </w:num>
  <w:num w:numId="7" w16cid:durableId="1133400994">
    <w:abstractNumId w:val="1"/>
  </w:num>
  <w:num w:numId="8" w16cid:durableId="637422094">
    <w:abstractNumId w:val="12"/>
  </w:num>
  <w:num w:numId="9" w16cid:durableId="227618092">
    <w:abstractNumId w:val="26"/>
  </w:num>
  <w:num w:numId="10" w16cid:durableId="198514157">
    <w:abstractNumId w:val="2"/>
  </w:num>
  <w:num w:numId="11" w16cid:durableId="1331448819">
    <w:abstractNumId w:val="19"/>
  </w:num>
  <w:num w:numId="12" w16cid:durableId="2014919316">
    <w:abstractNumId w:val="3"/>
  </w:num>
  <w:num w:numId="13" w16cid:durableId="778187148">
    <w:abstractNumId w:val="18"/>
  </w:num>
  <w:num w:numId="14" w16cid:durableId="1579821974">
    <w:abstractNumId w:val="8"/>
  </w:num>
  <w:num w:numId="15" w16cid:durableId="1591624540">
    <w:abstractNumId w:val="22"/>
  </w:num>
  <w:num w:numId="16" w16cid:durableId="1854224184">
    <w:abstractNumId w:val="5"/>
  </w:num>
  <w:num w:numId="17" w16cid:durableId="337510957">
    <w:abstractNumId w:val="23"/>
  </w:num>
  <w:num w:numId="18" w16cid:durableId="800659923">
    <w:abstractNumId w:val="14"/>
  </w:num>
  <w:num w:numId="19" w16cid:durableId="1448236888">
    <w:abstractNumId w:val="29"/>
  </w:num>
  <w:num w:numId="20" w16cid:durableId="1167019106">
    <w:abstractNumId w:val="11"/>
  </w:num>
  <w:num w:numId="21" w16cid:durableId="756512241">
    <w:abstractNumId w:val="9"/>
  </w:num>
  <w:num w:numId="22" w16cid:durableId="1323969259">
    <w:abstractNumId w:val="13"/>
  </w:num>
  <w:num w:numId="23" w16cid:durableId="654073166">
    <w:abstractNumId w:val="20"/>
  </w:num>
  <w:num w:numId="24" w16cid:durableId="125398694">
    <w:abstractNumId w:val="27"/>
  </w:num>
  <w:num w:numId="25" w16cid:durableId="858741313">
    <w:abstractNumId w:val="4"/>
  </w:num>
  <w:num w:numId="26" w16cid:durableId="1371683689">
    <w:abstractNumId w:val="17"/>
  </w:num>
  <w:num w:numId="27" w16cid:durableId="442725572">
    <w:abstractNumId w:val="21"/>
  </w:num>
  <w:num w:numId="28" w16cid:durableId="1722050089">
    <w:abstractNumId w:val="28"/>
  </w:num>
  <w:num w:numId="29" w16cid:durableId="631253552">
    <w:abstractNumId w:val="25"/>
  </w:num>
  <w:num w:numId="30" w16cid:durableId="1753772435">
    <w:abstractNumId w:val="10"/>
  </w:num>
  <w:num w:numId="31" w16cid:durableId="445077826">
    <w:abstractNumId w:val="30"/>
  </w:num>
  <w:num w:numId="32" w16cid:durableId="13121014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EAnNjQ3NzY2NLMyUdpeDU4uLM/DyQAsNaAAcrDVAsAAAA"/>
  </w:docVars>
  <w:rsids>
    <w:rsidRoot w:val="00AA6219"/>
    <w:rsid w:val="00000F8F"/>
    <w:rsid w:val="00011CF9"/>
    <w:rsid w:val="00030174"/>
    <w:rsid w:val="0004579C"/>
    <w:rsid w:val="00055C7F"/>
    <w:rsid w:val="000A0DB1"/>
    <w:rsid w:val="000A47FA"/>
    <w:rsid w:val="000A65D3"/>
    <w:rsid w:val="000B1E33"/>
    <w:rsid w:val="000C0DDC"/>
    <w:rsid w:val="000C7C10"/>
    <w:rsid w:val="000D689F"/>
    <w:rsid w:val="000E7B7B"/>
    <w:rsid w:val="000E7D62"/>
    <w:rsid w:val="000F456B"/>
    <w:rsid w:val="00103357"/>
    <w:rsid w:val="001233F4"/>
    <w:rsid w:val="00123C9F"/>
    <w:rsid w:val="00126190"/>
    <w:rsid w:val="00130F17"/>
    <w:rsid w:val="00131730"/>
    <w:rsid w:val="001320BF"/>
    <w:rsid w:val="00151F9E"/>
    <w:rsid w:val="001632B1"/>
    <w:rsid w:val="00163BC4"/>
    <w:rsid w:val="0017181D"/>
    <w:rsid w:val="001808FC"/>
    <w:rsid w:val="00191062"/>
    <w:rsid w:val="00192B72"/>
    <w:rsid w:val="00195131"/>
    <w:rsid w:val="001A29D8"/>
    <w:rsid w:val="001A5CAA"/>
    <w:rsid w:val="001B0427"/>
    <w:rsid w:val="001B0BB6"/>
    <w:rsid w:val="001B13E8"/>
    <w:rsid w:val="001B5B11"/>
    <w:rsid w:val="001B7613"/>
    <w:rsid w:val="001C300F"/>
    <w:rsid w:val="001D3A51"/>
    <w:rsid w:val="001E10D2"/>
    <w:rsid w:val="001E25B4"/>
    <w:rsid w:val="001E44FE"/>
    <w:rsid w:val="001F7680"/>
    <w:rsid w:val="00200595"/>
    <w:rsid w:val="00204835"/>
    <w:rsid w:val="0022694E"/>
    <w:rsid w:val="00231920"/>
    <w:rsid w:val="0023195C"/>
    <w:rsid w:val="00232D6D"/>
    <w:rsid w:val="00233387"/>
    <w:rsid w:val="0023597E"/>
    <w:rsid w:val="00235D50"/>
    <w:rsid w:val="0024282C"/>
    <w:rsid w:val="002460DC"/>
    <w:rsid w:val="00250985"/>
    <w:rsid w:val="002556F6"/>
    <w:rsid w:val="00283105"/>
    <w:rsid w:val="002838B9"/>
    <w:rsid w:val="00284C4C"/>
    <w:rsid w:val="00285E4F"/>
    <w:rsid w:val="00287723"/>
    <w:rsid w:val="00287E68"/>
    <w:rsid w:val="00296529"/>
    <w:rsid w:val="002B27FB"/>
    <w:rsid w:val="002B685A"/>
    <w:rsid w:val="002C57D2"/>
    <w:rsid w:val="002D1D3B"/>
    <w:rsid w:val="002D2EA8"/>
    <w:rsid w:val="002E0D56"/>
    <w:rsid w:val="00315186"/>
    <w:rsid w:val="00317355"/>
    <w:rsid w:val="0033343E"/>
    <w:rsid w:val="003467D6"/>
    <w:rsid w:val="003512C2"/>
    <w:rsid w:val="0035183F"/>
    <w:rsid w:val="003540F4"/>
    <w:rsid w:val="0037036B"/>
    <w:rsid w:val="00371FB6"/>
    <w:rsid w:val="003763C1"/>
    <w:rsid w:val="00376BBE"/>
    <w:rsid w:val="0039224F"/>
    <w:rsid w:val="0039540D"/>
    <w:rsid w:val="003A43A4"/>
    <w:rsid w:val="003A7E18"/>
    <w:rsid w:val="003B713A"/>
    <w:rsid w:val="003C4C86"/>
    <w:rsid w:val="003C6258"/>
    <w:rsid w:val="003D23FC"/>
    <w:rsid w:val="003E2904"/>
    <w:rsid w:val="003F5B81"/>
    <w:rsid w:val="004003E3"/>
    <w:rsid w:val="00401927"/>
    <w:rsid w:val="0041027F"/>
    <w:rsid w:val="00412475"/>
    <w:rsid w:val="00413DC7"/>
    <w:rsid w:val="00421F52"/>
    <w:rsid w:val="00423789"/>
    <w:rsid w:val="00440F43"/>
    <w:rsid w:val="00441B6F"/>
    <w:rsid w:val="00446221"/>
    <w:rsid w:val="00446778"/>
    <w:rsid w:val="00450E62"/>
    <w:rsid w:val="004539DB"/>
    <w:rsid w:val="00462A54"/>
    <w:rsid w:val="00471A80"/>
    <w:rsid w:val="00484102"/>
    <w:rsid w:val="00490916"/>
    <w:rsid w:val="004B050B"/>
    <w:rsid w:val="004D305E"/>
    <w:rsid w:val="004D3A97"/>
    <w:rsid w:val="004D4277"/>
    <w:rsid w:val="004D6E7E"/>
    <w:rsid w:val="004E6CD6"/>
    <w:rsid w:val="00502516"/>
    <w:rsid w:val="00505F06"/>
    <w:rsid w:val="00506828"/>
    <w:rsid w:val="0051120C"/>
    <w:rsid w:val="005210D7"/>
    <w:rsid w:val="0053056E"/>
    <w:rsid w:val="00552EB7"/>
    <w:rsid w:val="00554FDA"/>
    <w:rsid w:val="00557B81"/>
    <w:rsid w:val="005613F1"/>
    <w:rsid w:val="0056509C"/>
    <w:rsid w:val="00565F55"/>
    <w:rsid w:val="00585698"/>
    <w:rsid w:val="00591193"/>
    <w:rsid w:val="0059713D"/>
    <w:rsid w:val="005A2F2C"/>
    <w:rsid w:val="005C784C"/>
    <w:rsid w:val="005D17F6"/>
    <w:rsid w:val="005D672D"/>
    <w:rsid w:val="005D679F"/>
    <w:rsid w:val="005E0135"/>
    <w:rsid w:val="005E5539"/>
    <w:rsid w:val="005F4C6C"/>
    <w:rsid w:val="00600BED"/>
    <w:rsid w:val="00602BF5"/>
    <w:rsid w:val="00603835"/>
    <w:rsid w:val="00617FDD"/>
    <w:rsid w:val="00627D2F"/>
    <w:rsid w:val="00633614"/>
    <w:rsid w:val="00633F68"/>
    <w:rsid w:val="00636EB2"/>
    <w:rsid w:val="006375B8"/>
    <w:rsid w:val="0066510A"/>
    <w:rsid w:val="00673F9F"/>
    <w:rsid w:val="00676251"/>
    <w:rsid w:val="00682C38"/>
    <w:rsid w:val="00686953"/>
    <w:rsid w:val="00687DEA"/>
    <w:rsid w:val="00687E67"/>
    <w:rsid w:val="0069346D"/>
    <w:rsid w:val="006967F7"/>
    <w:rsid w:val="006A0983"/>
    <w:rsid w:val="006A250C"/>
    <w:rsid w:val="006B21D3"/>
    <w:rsid w:val="006B57D0"/>
    <w:rsid w:val="006D30FF"/>
    <w:rsid w:val="006D6940"/>
    <w:rsid w:val="006F11EC"/>
    <w:rsid w:val="0070082C"/>
    <w:rsid w:val="00702E57"/>
    <w:rsid w:val="00707D24"/>
    <w:rsid w:val="0071046F"/>
    <w:rsid w:val="00725D28"/>
    <w:rsid w:val="00732331"/>
    <w:rsid w:val="007369E6"/>
    <w:rsid w:val="00746E59"/>
    <w:rsid w:val="00754C9A"/>
    <w:rsid w:val="0075599A"/>
    <w:rsid w:val="00756CAD"/>
    <w:rsid w:val="00761CDB"/>
    <w:rsid w:val="00761D52"/>
    <w:rsid w:val="007628E4"/>
    <w:rsid w:val="007728BF"/>
    <w:rsid w:val="0077749E"/>
    <w:rsid w:val="00790ADA"/>
    <w:rsid w:val="007B3AAB"/>
    <w:rsid w:val="007B57FA"/>
    <w:rsid w:val="007D2288"/>
    <w:rsid w:val="007E088F"/>
    <w:rsid w:val="007F7B32"/>
    <w:rsid w:val="00802C65"/>
    <w:rsid w:val="00804BC2"/>
    <w:rsid w:val="0081193B"/>
    <w:rsid w:val="00812CCA"/>
    <w:rsid w:val="00813035"/>
    <w:rsid w:val="0081431A"/>
    <w:rsid w:val="0083216F"/>
    <w:rsid w:val="00833353"/>
    <w:rsid w:val="00853FCF"/>
    <w:rsid w:val="00860000"/>
    <w:rsid w:val="00863BD3"/>
    <w:rsid w:val="008641ED"/>
    <w:rsid w:val="0086451C"/>
    <w:rsid w:val="00866D66"/>
    <w:rsid w:val="008671C6"/>
    <w:rsid w:val="00875803"/>
    <w:rsid w:val="008816B0"/>
    <w:rsid w:val="008B459E"/>
    <w:rsid w:val="008C7F74"/>
    <w:rsid w:val="008D5CFD"/>
    <w:rsid w:val="008E13AE"/>
    <w:rsid w:val="008E1506"/>
    <w:rsid w:val="008E3DFD"/>
    <w:rsid w:val="008E6DF0"/>
    <w:rsid w:val="008E710C"/>
    <w:rsid w:val="008F69D6"/>
    <w:rsid w:val="00902823"/>
    <w:rsid w:val="00915CA6"/>
    <w:rsid w:val="0091646B"/>
    <w:rsid w:val="00927834"/>
    <w:rsid w:val="009500A6"/>
    <w:rsid w:val="00957C18"/>
    <w:rsid w:val="009659BA"/>
    <w:rsid w:val="00983040"/>
    <w:rsid w:val="009A2C8E"/>
    <w:rsid w:val="009A5D73"/>
    <w:rsid w:val="009B3898"/>
    <w:rsid w:val="009B3FB9"/>
    <w:rsid w:val="009C2465"/>
    <w:rsid w:val="009C26CE"/>
    <w:rsid w:val="009D35A0"/>
    <w:rsid w:val="009D6023"/>
    <w:rsid w:val="009D7EB7"/>
    <w:rsid w:val="009E048A"/>
    <w:rsid w:val="009E08E9"/>
    <w:rsid w:val="009E3DB9"/>
    <w:rsid w:val="009E6811"/>
    <w:rsid w:val="009E6E35"/>
    <w:rsid w:val="009F0EDA"/>
    <w:rsid w:val="00A034FC"/>
    <w:rsid w:val="00A03B96"/>
    <w:rsid w:val="00A05B19"/>
    <w:rsid w:val="00A1134E"/>
    <w:rsid w:val="00A24BFB"/>
    <w:rsid w:val="00A24E7E"/>
    <w:rsid w:val="00A258C3"/>
    <w:rsid w:val="00A32CBB"/>
    <w:rsid w:val="00A347C0"/>
    <w:rsid w:val="00A40E9F"/>
    <w:rsid w:val="00A47F0C"/>
    <w:rsid w:val="00A51431"/>
    <w:rsid w:val="00A539AD"/>
    <w:rsid w:val="00A545EB"/>
    <w:rsid w:val="00A548E5"/>
    <w:rsid w:val="00A60C98"/>
    <w:rsid w:val="00A652E3"/>
    <w:rsid w:val="00A73B96"/>
    <w:rsid w:val="00A76ED9"/>
    <w:rsid w:val="00A77C37"/>
    <w:rsid w:val="00A812D4"/>
    <w:rsid w:val="00A83BEC"/>
    <w:rsid w:val="00A94063"/>
    <w:rsid w:val="00A970AF"/>
    <w:rsid w:val="00AA05B2"/>
    <w:rsid w:val="00AA3EE0"/>
    <w:rsid w:val="00AA6152"/>
    <w:rsid w:val="00AA6219"/>
    <w:rsid w:val="00AA74E0"/>
    <w:rsid w:val="00AB4385"/>
    <w:rsid w:val="00AB703F"/>
    <w:rsid w:val="00AC6BB8"/>
    <w:rsid w:val="00AD18EE"/>
    <w:rsid w:val="00AE008F"/>
    <w:rsid w:val="00AF01EE"/>
    <w:rsid w:val="00AF3BE4"/>
    <w:rsid w:val="00B01FCD"/>
    <w:rsid w:val="00B12F28"/>
    <w:rsid w:val="00B1776C"/>
    <w:rsid w:val="00B40053"/>
    <w:rsid w:val="00B52583"/>
    <w:rsid w:val="00B52896"/>
    <w:rsid w:val="00B676E4"/>
    <w:rsid w:val="00B95236"/>
    <w:rsid w:val="00B96BD9"/>
    <w:rsid w:val="00BA1B01"/>
    <w:rsid w:val="00BA2641"/>
    <w:rsid w:val="00BB37AA"/>
    <w:rsid w:val="00BC53A0"/>
    <w:rsid w:val="00BE014D"/>
    <w:rsid w:val="00BE62AD"/>
    <w:rsid w:val="00BF121F"/>
    <w:rsid w:val="00BF1F80"/>
    <w:rsid w:val="00C04D43"/>
    <w:rsid w:val="00C14A11"/>
    <w:rsid w:val="00C166EF"/>
    <w:rsid w:val="00C17EB0"/>
    <w:rsid w:val="00C20475"/>
    <w:rsid w:val="00C27F5F"/>
    <w:rsid w:val="00C30A0F"/>
    <w:rsid w:val="00C32BDD"/>
    <w:rsid w:val="00C33E5A"/>
    <w:rsid w:val="00C34A62"/>
    <w:rsid w:val="00C37E61"/>
    <w:rsid w:val="00C6181B"/>
    <w:rsid w:val="00C70F1B"/>
    <w:rsid w:val="00C71A47"/>
    <w:rsid w:val="00C7464C"/>
    <w:rsid w:val="00C85588"/>
    <w:rsid w:val="00CA6115"/>
    <w:rsid w:val="00CC65C8"/>
    <w:rsid w:val="00CD6755"/>
    <w:rsid w:val="00CD6856"/>
    <w:rsid w:val="00CE0089"/>
    <w:rsid w:val="00CE17F0"/>
    <w:rsid w:val="00CE76C2"/>
    <w:rsid w:val="00CE793C"/>
    <w:rsid w:val="00CF193C"/>
    <w:rsid w:val="00CF37B6"/>
    <w:rsid w:val="00D173F1"/>
    <w:rsid w:val="00D26CAD"/>
    <w:rsid w:val="00D2765F"/>
    <w:rsid w:val="00D65EAF"/>
    <w:rsid w:val="00D73132"/>
    <w:rsid w:val="00D74CB0"/>
    <w:rsid w:val="00D8295D"/>
    <w:rsid w:val="00DB78B6"/>
    <w:rsid w:val="00DC2A65"/>
    <w:rsid w:val="00DE15F0"/>
    <w:rsid w:val="00DE2716"/>
    <w:rsid w:val="00DE5663"/>
    <w:rsid w:val="00DE78AA"/>
    <w:rsid w:val="00DF0A23"/>
    <w:rsid w:val="00DF2DEF"/>
    <w:rsid w:val="00E03361"/>
    <w:rsid w:val="00E053D0"/>
    <w:rsid w:val="00E127D6"/>
    <w:rsid w:val="00E15994"/>
    <w:rsid w:val="00E24F33"/>
    <w:rsid w:val="00E25650"/>
    <w:rsid w:val="00E30645"/>
    <w:rsid w:val="00E3114E"/>
    <w:rsid w:val="00E31A70"/>
    <w:rsid w:val="00E35B02"/>
    <w:rsid w:val="00E40482"/>
    <w:rsid w:val="00E53ECB"/>
    <w:rsid w:val="00E54149"/>
    <w:rsid w:val="00E54641"/>
    <w:rsid w:val="00E66496"/>
    <w:rsid w:val="00E66B35"/>
    <w:rsid w:val="00E66E10"/>
    <w:rsid w:val="00E71039"/>
    <w:rsid w:val="00E740A4"/>
    <w:rsid w:val="00E769F6"/>
    <w:rsid w:val="00E82CE1"/>
    <w:rsid w:val="00E8407C"/>
    <w:rsid w:val="00E84F3C"/>
    <w:rsid w:val="00E85922"/>
    <w:rsid w:val="00E91E6D"/>
    <w:rsid w:val="00EA012C"/>
    <w:rsid w:val="00EA48D1"/>
    <w:rsid w:val="00EC6A55"/>
    <w:rsid w:val="00ED0288"/>
    <w:rsid w:val="00ED0C77"/>
    <w:rsid w:val="00EE52CB"/>
    <w:rsid w:val="00EF581D"/>
    <w:rsid w:val="00EF7FD8"/>
    <w:rsid w:val="00F06F59"/>
    <w:rsid w:val="00F17988"/>
    <w:rsid w:val="00F43C4A"/>
    <w:rsid w:val="00F469F0"/>
    <w:rsid w:val="00F50A4E"/>
    <w:rsid w:val="00F53273"/>
    <w:rsid w:val="00F53936"/>
    <w:rsid w:val="00F5610E"/>
    <w:rsid w:val="00F755E4"/>
    <w:rsid w:val="00F77D02"/>
    <w:rsid w:val="00F9517B"/>
    <w:rsid w:val="00F95317"/>
    <w:rsid w:val="00FA104A"/>
    <w:rsid w:val="00FB270C"/>
    <w:rsid w:val="00FB3A86"/>
    <w:rsid w:val="00FC7BD4"/>
    <w:rsid w:val="00FD36C8"/>
    <w:rsid w:val="00FD7C0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A9F7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styleId="Strong">
    <w:name w:val="Strong"/>
    <w:basedOn w:val="DefaultParagraphFont"/>
    <w:uiPriority w:val="22"/>
    <w:qFormat/>
    <w:rsid w:val="008816B0"/>
    <w:rPr>
      <w:b/>
      <w:bCs/>
    </w:rPr>
  </w:style>
  <w:style w:type="table" w:customStyle="1" w:styleId="TableGrid2">
    <w:name w:val="Table Grid2"/>
    <w:basedOn w:val="TableNormal"/>
    <w:next w:val="TableGrid"/>
    <w:uiPriority w:val="39"/>
    <w:rsid w:val="008E6DF0"/>
    <w:rPr>
      <w:rFonts w:asciiTheme="minorHAnsi" w:eastAsiaTheme="minorHAnsi" w:hAnsiTheme="minorHAnsi" w:cstheme="minorBidi"/>
      <w:kern w:val="2"/>
      <w:sz w:val="22"/>
      <w:szCs w:val="22"/>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03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1.xml"/><Relationship Id="rId26" Type="http://schemas.openxmlformats.org/officeDocument/2006/relationships/hyperlink" Target="https://epubs.icar.org.in/index.php/IndFarm/article/view/132561" TargetMode="External"/><Relationship Id="rId39" Type="http://schemas.openxmlformats.org/officeDocument/2006/relationships/hyperlink" Target="https://doi.org/10.9734/ijpss/2022/v34i2031137" TargetMode="External"/><Relationship Id="rId21" Type="http://schemas.openxmlformats.org/officeDocument/2006/relationships/hyperlink" Target="https://opac.narc.gov.np/opac_css/index.php?id=2719&amp;lvl=notice_display" TargetMode="External"/><Relationship Id="rId34" Type="http://schemas.openxmlformats.org/officeDocument/2006/relationships/hyperlink" Target="https://thebioscan.com/index.php/pub/article/view/1606" TargetMode="External"/><Relationship Id="rId42" Type="http://schemas.openxmlformats.org/officeDocument/2006/relationships/hyperlink" Target="https://doi.org/10.3389/fpls.2025.1574699" TargetMode="External"/><Relationship Id="rId47" Type="http://schemas.openxmlformats.org/officeDocument/2006/relationships/hyperlink" Target="https://doi.org/10.1111/1541-4337.12012" TargetMode="External"/><Relationship Id="rId50" Type="http://schemas.openxmlformats.org/officeDocument/2006/relationships/hyperlink" Target="https://doi.org/10.3389/fpls.2017.0002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007/s13197-011-0584-9" TargetMode="External"/><Relationship Id="rId11" Type="http://schemas.openxmlformats.org/officeDocument/2006/relationships/footer" Target="footer2.xml"/><Relationship Id="rId24" Type="http://schemas.openxmlformats.org/officeDocument/2006/relationships/hyperlink" Target="https://www.phytojournal.com/archives/2020.v9.i4.11792/assessment-of-genetic-variability-in-finger-millet-eleusine-coracana-l-gaertn" TargetMode="External"/><Relationship Id="rId32" Type="http://schemas.openxmlformats.org/officeDocument/2006/relationships/hyperlink" Target="https://doi.org/10.2134/agronj1955.00021962004700100008x" TargetMode="External"/><Relationship Id="rId37" Type="http://schemas.openxmlformats.org/officeDocument/2006/relationships/hyperlink" Target="https://agris.fao.org/search/en/providers/122437/records/669fb14f4295623862508ce7" TargetMode="External"/><Relationship Id="rId40" Type="http://schemas.openxmlformats.org/officeDocument/2006/relationships/hyperlink" Target="https://doi.org/10.33545/26174693.2024.v8.i9h.2243" TargetMode="External"/><Relationship Id="rId45" Type="http://schemas.openxmlformats.org/officeDocument/2006/relationships/hyperlink" Target="https://doi.org/10.29321/MAJ.10.100232"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chart" Target="charts/chart2.xml"/><Relationship Id="rId31" Type="http://schemas.openxmlformats.org/officeDocument/2006/relationships/hyperlink" Target="https://doi.org/10.2134/agronj1955.00021962004700070009x" TargetMode="External"/><Relationship Id="rId44" Type="http://schemas.openxmlformats.org/officeDocument/2006/relationships/hyperlink" Target="https://doi.org/10.37992/2024.1502.058"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esagri.gov.in/" TargetMode="External"/><Relationship Id="rId27" Type="http://schemas.openxmlformats.org/officeDocument/2006/relationships/hyperlink" Target="https://doi.org/10.1007/s12298-011-0084-4" TargetMode="External"/><Relationship Id="rId30" Type="http://schemas.openxmlformats.org/officeDocument/2006/relationships/hyperlink" Target="https://arccjournals.com/journal/agricultural-science-digest/ARCC4564" TargetMode="External"/><Relationship Id="rId35" Type="http://schemas.openxmlformats.org/officeDocument/2006/relationships/hyperlink" Target="https://doi.org/10.1111/mcn.13008" TargetMode="External"/><Relationship Id="rId43" Type="http://schemas.openxmlformats.org/officeDocument/2006/relationships/hyperlink" Target="https://agris.fao.org/search/en/providers/122535/records/65ddd65b7c7033e84be8472c" TargetMode="External"/><Relationship Id="rId48" Type="http://schemas.openxmlformats.org/officeDocument/2006/relationships/hyperlink" Target="https://www.ijcmas.com/vol-3-4/L.Suryanarayana%2C%20et%20al.pdf" TargetMode="External"/><Relationship Id="rId8" Type="http://schemas.openxmlformats.org/officeDocument/2006/relationships/header" Target="header1.xml"/><Relationship Id="rId51" Type="http://schemas.openxmlformats.org/officeDocument/2006/relationships/hyperlink" Target="https://doi.org/10.5281/zenodo.1034544"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www.thepharmajournal.com/archives/?ArticleId=11607&amp;issue=3&amp;vol=11&amp;year=2022" TargetMode="External"/><Relationship Id="rId33" Type="http://schemas.openxmlformats.org/officeDocument/2006/relationships/hyperlink" Target="https://doi.org/10.5958/0975-928X.2019.00071.1" TargetMode="External"/><Relationship Id="rId38" Type="http://schemas.openxmlformats.org/officeDocument/2006/relationships/hyperlink" Target="https://www.thepharmajournal.com/archives/?ArticleId=6610&amp;issue=6&amp;vol=10&amp;year=2021" TargetMode="External"/><Relationship Id="rId46" Type="http://schemas.openxmlformats.org/officeDocument/2006/relationships/hyperlink" Target="https://arccjournals.com/journal/indian-journal-of-agricultural-research/ARCC084" TargetMode="External"/><Relationship Id="rId20" Type="http://schemas.openxmlformats.org/officeDocument/2006/relationships/hyperlink" Target="https://sibr.nist.gov/record/official-methods-analysis-15th-edition-0" TargetMode="External"/><Relationship Id="rId41" Type="http://schemas.openxmlformats.org/officeDocument/2006/relationships/hyperlink" Target="https://doi.org/10.20546/ijcmas.2017.606.11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ag.gujarat.gov.in/" TargetMode="External"/><Relationship Id="rId28" Type="http://schemas.openxmlformats.org/officeDocument/2006/relationships/hyperlink" Target="https://doi.org/10.1021/jf103896z" TargetMode="External"/><Relationship Id="rId36" Type="http://schemas.openxmlformats.org/officeDocument/2006/relationships/hyperlink" Target="https://doi.org/10.1007/978-3-030-23108-8_3" TargetMode="External"/><Relationship Id="rId49" Type="http://schemas.openxmlformats.org/officeDocument/2006/relationships/hyperlink" Target="https://doi.org/10.20546/ijcmas.2020.909.0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atel\Desktop\check%20folder\data\d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patel\Desktop\check%20folder\result%20and%20figures\d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69812796831082"/>
          <c:y val="0.13127067714534424"/>
          <c:w val="0.89476377711015631"/>
          <c:h val="0.63388573915577273"/>
        </c:manualLayout>
      </c:layout>
      <c:barChart>
        <c:barDir val="col"/>
        <c:grouping val="clustered"/>
        <c:varyColors val="0"/>
        <c:ser>
          <c:idx val="0"/>
          <c:order val="0"/>
          <c:tx>
            <c:strRef>
              <c:f>Sheet4!$I$6</c:f>
              <c:strCache>
                <c:ptCount val="1"/>
                <c:pt idx="0">
                  <c:v>GCV</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Sheet4!$H$7:$H$22</c:f>
              <c:strCache>
                <c:ptCount val="16"/>
                <c:pt idx="0">
                  <c:v>DFF</c:v>
                </c:pt>
                <c:pt idx="1">
                  <c:v>DM</c:v>
                </c:pt>
                <c:pt idx="2">
                  <c:v>PH</c:v>
                </c:pt>
                <c:pt idx="3">
                  <c:v>PT</c:v>
                </c:pt>
                <c:pt idx="4">
                  <c:v>EHL</c:v>
                </c:pt>
                <c:pt idx="5">
                  <c:v>FP</c:v>
                </c:pt>
                <c:pt idx="6">
                  <c:v>FW</c:v>
                </c:pt>
                <c:pt idx="7">
                  <c:v>PW</c:v>
                </c:pt>
                <c:pt idx="8">
                  <c:v>TW</c:v>
                </c:pt>
                <c:pt idx="9">
                  <c:v>HI</c:v>
                </c:pt>
                <c:pt idx="10">
                  <c:v>FY</c:v>
                </c:pt>
                <c:pt idx="11">
                  <c:v>GY</c:v>
                </c:pt>
                <c:pt idx="12">
                  <c:v>PC</c:v>
                </c:pt>
                <c:pt idx="13">
                  <c:v>CC</c:v>
                </c:pt>
                <c:pt idx="14">
                  <c:v>IC</c:v>
                </c:pt>
                <c:pt idx="15">
                  <c:v>CF</c:v>
                </c:pt>
              </c:strCache>
            </c:strRef>
          </c:cat>
          <c:val>
            <c:numRef>
              <c:f>Sheet4!$I$7:$I$22</c:f>
              <c:numCache>
                <c:formatCode>General</c:formatCode>
                <c:ptCount val="16"/>
                <c:pt idx="0">
                  <c:v>5.51</c:v>
                </c:pt>
                <c:pt idx="1">
                  <c:v>4</c:v>
                </c:pt>
                <c:pt idx="2">
                  <c:v>6.56</c:v>
                </c:pt>
                <c:pt idx="3">
                  <c:v>11.49</c:v>
                </c:pt>
                <c:pt idx="4">
                  <c:v>17.68</c:v>
                </c:pt>
                <c:pt idx="5">
                  <c:v>6.55</c:v>
                </c:pt>
                <c:pt idx="6">
                  <c:v>12.05</c:v>
                </c:pt>
                <c:pt idx="7">
                  <c:v>17.61</c:v>
                </c:pt>
                <c:pt idx="8">
                  <c:v>14.32</c:v>
                </c:pt>
                <c:pt idx="9">
                  <c:v>15.15</c:v>
                </c:pt>
                <c:pt idx="10">
                  <c:v>15.4</c:v>
                </c:pt>
                <c:pt idx="11">
                  <c:v>19.64</c:v>
                </c:pt>
                <c:pt idx="12">
                  <c:v>18.309999999999999</c:v>
                </c:pt>
                <c:pt idx="13">
                  <c:v>18.13</c:v>
                </c:pt>
                <c:pt idx="14">
                  <c:v>31.7</c:v>
                </c:pt>
                <c:pt idx="15">
                  <c:v>14.66</c:v>
                </c:pt>
              </c:numCache>
            </c:numRef>
          </c:val>
          <c:extLst>
            <c:ext xmlns:c16="http://schemas.microsoft.com/office/drawing/2014/chart" uri="{C3380CC4-5D6E-409C-BE32-E72D297353CC}">
              <c16:uniqueId val="{00000000-0220-49EC-919E-E6667047EDB9}"/>
            </c:ext>
          </c:extLst>
        </c:ser>
        <c:ser>
          <c:idx val="1"/>
          <c:order val="1"/>
          <c:tx>
            <c:strRef>
              <c:f>Sheet4!$J$6</c:f>
              <c:strCache>
                <c:ptCount val="1"/>
                <c:pt idx="0">
                  <c:v>PCV</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Sheet4!$H$7:$H$22</c:f>
              <c:strCache>
                <c:ptCount val="16"/>
                <c:pt idx="0">
                  <c:v>DFF</c:v>
                </c:pt>
                <c:pt idx="1">
                  <c:v>DM</c:v>
                </c:pt>
                <c:pt idx="2">
                  <c:v>PH</c:v>
                </c:pt>
                <c:pt idx="3">
                  <c:v>PT</c:v>
                </c:pt>
                <c:pt idx="4">
                  <c:v>EHL</c:v>
                </c:pt>
                <c:pt idx="5">
                  <c:v>FP</c:v>
                </c:pt>
                <c:pt idx="6">
                  <c:v>FW</c:v>
                </c:pt>
                <c:pt idx="7">
                  <c:v>PW</c:v>
                </c:pt>
                <c:pt idx="8">
                  <c:v>TW</c:v>
                </c:pt>
                <c:pt idx="9">
                  <c:v>HI</c:v>
                </c:pt>
                <c:pt idx="10">
                  <c:v>FY</c:v>
                </c:pt>
                <c:pt idx="11">
                  <c:v>GY</c:v>
                </c:pt>
                <c:pt idx="12">
                  <c:v>PC</c:v>
                </c:pt>
                <c:pt idx="13">
                  <c:v>CC</c:v>
                </c:pt>
                <c:pt idx="14">
                  <c:v>IC</c:v>
                </c:pt>
                <c:pt idx="15">
                  <c:v>CF</c:v>
                </c:pt>
              </c:strCache>
            </c:strRef>
          </c:cat>
          <c:val>
            <c:numRef>
              <c:f>Sheet4!$J$7:$J$22</c:f>
              <c:numCache>
                <c:formatCode>General</c:formatCode>
                <c:ptCount val="16"/>
                <c:pt idx="0">
                  <c:v>7.88</c:v>
                </c:pt>
                <c:pt idx="1">
                  <c:v>6.58</c:v>
                </c:pt>
                <c:pt idx="2">
                  <c:v>13.64</c:v>
                </c:pt>
                <c:pt idx="3">
                  <c:v>42.74</c:v>
                </c:pt>
                <c:pt idx="4">
                  <c:v>20.91</c:v>
                </c:pt>
                <c:pt idx="5">
                  <c:v>22.45</c:v>
                </c:pt>
                <c:pt idx="6">
                  <c:v>14.28</c:v>
                </c:pt>
                <c:pt idx="7">
                  <c:v>28.12</c:v>
                </c:pt>
                <c:pt idx="8">
                  <c:v>15.03</c:v>
                </c:pt>
                <c:pt idx="9">
                  <c:v>22.7</c:v>
                </c:pt>
                <c:pt idx="10">
                  <c:v>25.79</c:v>
                </c:pt>
                <c:pt idx="11">
                  <c:v>32.44</c:v>
                </c:pt>
                <c:pt idx="12">
                  <c:v>18.420000000000002</c:v>
                </c:pt>
                <c:pt idx="13">
                  <c:v>18.190000000000001</c:v>
                </c:pt>
                <c:pt idx="14">
                  <c:v>31.71</c:v>
                </c:pt>
                <c:pt idx="15">
                  <c:v>14.7</c:v>
                </c:pt>
              </c:numCache>
            </c:numRef>
          </c:val>
          <c:extLst>
            <c:ext xmlns:c16="http://schemas.microsoft.com/office/drawing/2014/chart" uri="{C3380CC4-5D6E-409C-BE32-E72D297353CC}">
              <c16:uniqueId val="{00000001-0220-49EC-919E-E6667047EDB9}"/>
            </c:ext>
          </c:extLst>
        </c:ser>
        <c:ser>
          <c:idx val="2"/>
          <c:order val="2"/>
          <c:tx>
            <c:strRef>
              <c:f>Sheet4!$K$6</c:f>
              <c:strCache>
                <c:ptCount val="1"/>
                <c:pt idx="0">
                  <c:v>ECV</c:v>
                </c:pt>
              </c:strCache>
            </c:strRef>
          </c:tx>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5400000" scaled="0"/>
            </a:gra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Sheet4!$H$7:$H$22</c:f>
              <c:strCache>
                <c:ptCount val="16"/>
                <c:pt idx="0">
                  <c:v>DFF</c:v>
                </c:pt>
                <c:pt idx="1">
                  <c:v>DM</c:v>
                </c:pt>
                <c:pt idx="2">
                  <c:v>PH</c:v>
                </c:pt>
                <c:pt idx="3">
                  <c:v>PT</c:v>
                </c:pt>
                <c:pt idx="4">
                  <c:v>EHL</c:v>
                </c:pt>
                <c:pt idx="5">
                  <c:v>FP</c:v>
                </c:pt>
                <c:pt idx="6">
                  <c:v>FW</c:v>
                </c:pt>
                <c:pt idx="7">
                  <c:v>PW</c:v>
                </c:pt>
                <c:pt idx="8">
                  <c:v>TW</c:v>
                </c:pt>
                <c:pt idx="9">
                  <c:v>HI</c:v>
                </c:pt>
                <c:pt idx="10">
                  <c:v>FY</c:v>
                </c:pt>
                <c:pt idx="11">
                  <c:v>GY</c:v>
                </c:pt>
                <c:pt idx="12">
                  <c:v>PC</c:v>
                </c:pt>
                <c:pt idx="13">
                  <c:v>CC</c:v>
                </c:pt>
                <c:pt idx="14">
                  <c:v>IC</c:v>
                </c:pt>
                <c:pt idx="15">
                  <c:v>CF</c:v>
                </c:pt>
              </c:strCache>
            </c:strRef>
          </c:cat>
          <c:val>
            <c:numRef>
              <c:f>Sheet4!$K$7:$K$22</c:f>
              <c:numCache>
                <c:formatCode>General</c:formatCode>
                <c:ptCount val="16"/>
                <c:pt idx="0">
                  <c:v>5.64</c:v>
                </c:pt>
                <c:pt idx="1">
                  <c:v>5.22</c:v>
                </c:pt>
                <c:pt idx="2">
                  <c:v>11.96</c:v>
                </c:pt>
                <c:pt idx="3">
                  <c:v>41.17</c:v>
                </c:pt>
                <c:pt idx="4">
                  <c:v>11.17</c:v>
                </c:pt>
                <c:pt idx="5">
                  <c:v>21.47</c:v>
                </c:pt>
                <c:pt idx="6">
                  <c:v>7.67</c:v>
                </c:pt>
                <c:pt idx="7">
                  <c:v>21.93</c:v>
                </c:pt>
                <c:pt idx="8">
                  <c:v>4.57</c:v>
                </c:pt>
                <c:pt idx="9">
                  <c:v>16.899999999999999</c:v>
                </c:pt>
                <c:pt idx="10">
                  <c:v>20.69</c:v>
                </c:pt>
                <c:pt idx="11">
                  <c:v>25.82</c:v>
                </c:pt>
                <c:pt idx="12">
                  <c:v>2.0299999999999998</c:v>
                </c:pt>
                <c:pt idx="13">
                  <c:v>1.43</c:v>
                </c:pt>
                <c:pt idx="14">
                  <c:v>1.08</c:v>
                </c:pt>
                <c:pt idx="15">
                  <c:v>1.05</c:v>
                </c:pt>
              </c:numCache>
            </c:numRef>
          </c:val>
          <c:extLst>
            <c:ext xmlns:c16="http://schemas.microsoft.com/office/drawing/2014/chart" uri="{C3380CC4-5D6E-409C-BE32-E72D297353CC}">
              <c16:uniqueId val="{00000002-0220-49EC-919E-E6667047EDB9}"/>
            </c:ext>
          </c:extLst>
        </c:ser>
        <c:dLbls>
          <c:dLblPos val="outEnd"/>
          <c:showLegendKey val="0"/>
          <c:showVal val="1"/>
          <c:showCatName val="0"/>
          <c:showSerName val="0"/>
          <c:showPercent val="0"/>
          <c:showBubbleSize val="0"/>
        </c:dLbls>
        <c:gapWidth val="355"/>
        <c:overlap val="-70"/>
        <c:axId val="422900943"/>
        <c:axId val="422903343"/>
      </c:barChart>
      <c:catAx>
        <c:axId val="422900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03343"/>
        <c:crosses val="autoZero"/>
        <c:auto val="1"/>
        <c:lblAlgn val="ctr"/>
        <c:lblOffset val="100"/>
        <c:noMultiLvlLbl val="0"/>
      </c:catAx>
      <c:valAx>
        <c:axId val="422903343"/>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a:t>
                </a:r>
              </a:p>
            </c:rich>
          </c:tx>
          <c:layout>
            <c:manualLayout>
              <c:xMode val="edge"/>
              <c:yMode val="edge"/>
              <c:x val="3.7877143530493144E-2"/>
              <c:y val="0.3912349386321628"/>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00943"/>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ayout>
        <c:manualLayout>
          <c:xMode val="edge"/>
          <c:yMode val="edge"/>
          <c:x val="0.39121497751390988"/>
          <c:y val="0.95243220256032535"/>
          <c:w val="0.21448531190524073"/>
          <c:h val="4.756779743967463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739868088445295"/>
          <c:y val="3.1583975959100445E-2"/>
          <c:w val="0.77260131911554708"/>
          <c:h val="0.75621381866813042"/>
        </c:manualLayout>
      </c:layout>
      <c:barChart>
        <c:barDir val="col"/>
        <c:grouping val="clustered"/>
        <c:varyColors val="0"/>
        <c:ser>
          <c:idx val="0"/>
          <c:order val="0"/>
          <c:tx>
            <c:strRef>
              <c:f>Sheet4!$I$33</c:f>
              <c:strCache>
                <c:ptCount val="1"/>
                <c:pt idx="0">
                  <c:v>Heritability (%BS)</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Sheet4!$H$34:$H$49</c:f>
              <c:strCache>
                <c:ptCount val="16"/>
                <c:pt idx="0">
                  <c:v>DFF</c:v>
                </c:pt>
                <c:pt idx="1">
                  <c:v>DM</c:v>
                </c:pt>
                <c:pt idx="2">
                  <c:v>PH</c:v>
                </c:pt>
                <c:pt idx="3">
                  <c:v>PT</c:v>
                </c:pt>
                <c:pt idx="4">
                  <c:v>EHL</c:v>
                </c:pt>
                <c:pt idx="5">
                  <c:v>FP</c:v>
                </c:pt>
                <c:pt idx="6">
                  <c:v>FW</c:v>
                </c:pt>
                <c:pt idx="7">
                  <c:v>PW</c:v>
                </c:pt>
                <c:pt idx="8">
                  <c:v>TW</c:v>
                </c:pt>
                <c:pt idx="9">
                  <c:v>HI</c:v>
                </c:pt>
                <c:pt idx="10">
                  <c:v>FY</c:v>
                </c:pt>
                <c:pt idx="11">
                  <c:v>GY</c:v>
                </c:pt>
                <c:pt idx="12">
                  <c:v>PC</c:v>
                </c:pt>
                <c:pt idx="13">
                  <c:v>CC</c:v>
                </c:pt>
                <c:pt idx="14">
                  <c:v>IC</c:v>
                </c:pt>
                <c:pt idx="15">
                  <c:v>CF</c:v>
                </c:pt>
              </c:strCache>
            </c:strRef>
          </c:cat>
          <c:val>
            <c:numRef>
              <c:f>Sheet4!$I$34:$I$49</c:f>
              <c:numCache>
                <c:formatCode>General</c:formatCode>
                <c:ptCount val="16"/>
                <c:pt idx="0">
                  <c:v>48.79</c:v>
                </c:pt>
                <c:pt idx="1">
                  <c:v>36.97</c:v>
                </c:pt>
                <c:pt idx="2">
                  <c:v>23.12</c:v>
                </c:pt>
                <c:pt idx="3">
                  <c:v>7.22</c:v>
                </c:pt>
                <c:pt idx="4">
                  <c:v>71.459999999999994</c:v>
                </c:pt>
                <c:pt idx="5">
                  <c:v>8.51</c:v>
                </c:pt>
                <c:pt idx="6">
                  <c:v>71.19</c:v>
                </c:pt>
                <c:pt idx="7">
                  <c:v>39.21</c:v>
                </c:pt>
                <c:pt idx="8">
                  <c:v>90.77</c:v>
                </c:pt>
                <c:pt idx="9">
                  <c:v>44.58</c:v>
                </c:pt>
                <c:pt idx="10">
                  <c:v>35.64</c:v>
                </c:pt>
                <c:pt idx="11">
                  <c:v>36.659999999999997</c:v>
                </c:pt>
                <c:pt idx="12">
                  <c:v>98.79</c:v>
                </c:pt>
                <c:pt idx="13">
                  <c:v>99.39</c:v>
                </c:pt>
                <c:pt idx="14">
                  <c:v>99.88</c:v>
                </c:pt>
                <c:pt idx="15">
                  <c:v>99.49</c:v>
                </c:pt>
              </c:numCache>
            </c:numRef>
          </c:val>
          <c:extLst>
            <c:ext xmlns:c16="http://schemas.microsoft.com/office/drawing/2014/chart" uri="{C3380CC4-5D6E-409C-BE32-E72D297353CC}">
              <c16:uniqueId val="{00000000-2BE0-4009-BF80-BECC7893E3D0}"/>
            </c:ext>
          </c:extLst>
        </c:ser>
        <c:ser>
          <c:idx val="1"/>
          <c:order val="1"/>
          <c:tx>
            <c:strRef>
              <c:f>Sheet4!$J$33</c:f>
              <c:strCache>
                <c:ptCount val="1"/>
                <c:pt idx="0">
                  <c:v>Genetic advance (% of mean)</c:v>
                </c:pt>
              </c:strCache>
            </c:strRef>
          </c:tx>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5400000" scaled="0"/>
            </a:gra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Sheet4!$H$34:$H$49</c:f>
              <c:strCache>
                <c:ptCount val="16"/>
                <c:pt idx="0">
                  <c:v>DFF</c:v>
                </c:pt>
                <c:pt idx="1">
                  <c:v>DM</c:v>
                </c:pt>
                <c:pt idx="2">
                  <c:v>PH</c:v>
                </c:pt>
                <c:pt idx="3">
                  <c:v>PT</c:v>
                </c:pt>
                <c:pt idx="4">
                  <c:v>EHL</c:v>
                </c:pt>
                <c:pt idx="5">
                  <c:v>FP</c:v>
                </c:pt>
                <c:pt idx="6">
                  <c:v>FW</c:v>
                </c:pt>
                <c:pt idx="7">
                  <c:v>PW</c:v>
                </c:pt>
                <c:pt idx="8">
                  <c:v>TW</c:v>
                </c:pt>
                <c:pt idx="9">
                  <c:v>HI</c:v>
                </c:pt>
                <c:pt idx="10">
                  <c:v>FY</c:v>
                </c:pt>
                <c:pt idx="11">
                  <c:v>GY</c:v>
                </c:pt>
                <c:pt idx="12">
                  <c:v>PC</c:v>
                </c:pt>
                <c:pt idx="13">
                  <c:v>CC</c:v>
                </c:pt>
                <c:pt idx="14">
                  <c:v>IC</c:v>
                </c:pt>
                <c:pt idx="15">
                  <c:v>CF</c:v>
                </c:pt>
              </c:strCache>
            </c:strRef>
          </c:cat>
          <c:val>
            <c:numRef>
              <c:f>Sheet4!$J$34:$J$49</c:f>
              <c:numCache>
                <c:formatCode>General</c:formatCode>
                <c:ptCount val="16"/>
                <c:pt idx="0">
                  <c:v>7.92</c:v>
                </c:pt>
                <c:pt idx="1">
                  <c:v>5.01</c:v>
                </c:pt>
                <c:pt idx="2">
                  <c:v>6.5</c:v>
                </c:pt>
                <c:pt idx="3">
                  <c:v>6.36</c:v>
                </c:pt>
                <c:pt idx="4">
                  <c:v>30.78</c:v>
                </c:pt>
                <c:pt idx="5">
                  <c:v>3.93</c:v>
                </c:pt>
                <c:pt idx="6">
                  <c:v>20.95</c:v>
                </c:pt>
                <c:pt idx="7">
                  <c:v>22.71</c:v>
                </c:pt>
                <c:pt idx="8">
                  <c:v>28.1</c:v>
                </c:pt>
                <c:pt idx="9">
                  <c:v>20.84</c:v>
                </c:pt>
                <c:pt idx="10">
                  <c:v>18.93</c:v>
                </c:pt>
                <c:pt idx="11">
                  <c:v>24.5</c:v>
                </c:pt>
                <c:pt idx="12">
                  <c:v>37.479999999999997</c:v>
                </c:pt>
                <c:pt idx="13">
                  <c:v>37.24</c:v>
                </c:pt>
                <c:pt idx="14">
                  <c:v>65.260000000000005</c:v>
                </c:pt>
                <c:pt idx="15">
                  <c:v>30.12</c:v>
                </c:pt>
              </c:numCache>
            </c:numRef>
          </c:val>
          <c:extLst>
            <c:ext xmlns:c16="http://schemas.microsoft.com/office/drawing/2014/chart" uri="{C3380CC4-5D6E-409C-BE32-E72D297353CC}">
              <c16:uniqueId val="{00000001-2BE0-4009-BF80-BECC7893E3D0}"/>
            </c:ext>
          </c:extLst>
        </c:ser>
        <c:dLbls>
          <c:dLblPos val="outEnd"/>
          <c:showLegendKey val="0"/>
          <c:showVal val="1"/>
          <c:showCatName val="0"/>
          <c:showSerName val="0"/>
          <c:showPercent val="0"/>
          <c:showBubbleSize val="0"/>
        </c:dLbls>
        <c:gapWidth val="355"/>
        <c:overlap val="-70"/>
        <c:axId val="422918223"/>
        <c:axId val="422915823"/>
      </c:barChart>
      <c:catAx>
        <c:axId val="42291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15823"/>
        <c:crosses val="autoZero"/>
        <c:auto val="1"/>
        <c:lblAlgn val="ctr"/>
        <c:lblOffset val="100"/>
        <c:noMultiLvlLbl val="0"/>
      </c:catAx>
      <c:valAx>
        <c:axId val="422915823"/>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IN"/>
                  <a: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2918223"/>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layout>
        <c:manualLayout>
          <c:xMode val="edge"/>
          <c:yMode val="edge"/>
          <c:x val="0.30345675544088974"/>
          <c:y val="0.93515377057611937"/>
          <c:w val="0.39394258837030871"/>
          <c:h val="5.78318441864174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TotalTime>
  <Pages>12</Pages>
  <Words>5434</Words>
  <Characters>30975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36337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1020</cp:lastModifiedBy>
  <cp:revision>7</cp:revision>
  <cp:lastPrinted>1999-07-06T11:00:00Z</cp:lastPrinted>
  <dcterms:created xsi:type="dcterms:W3CDTF">2026-08-19T16:10:00Z</dcterms:created>
  <dcterms:modified xsi:type="dcterms:W3CDTF">2026-08-25T06:00:00Z</dcterms:modified>
</cp:coreProperties>
</file>