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A2DD03" w14:textId="77777777" w:rsidR="005E25FE" w:rsidRPr="00AF18A3" w:rsidRDefault="005E25FE" w:rsidP="00D1336B">
      <w:pPr>
        <w:spacing w:after="0" w:line="276" w:lineRule="auto"/>
        <w:jc w:val="right"/>
        <w:rPr>
          <w:rFonts w:ascii="Times New Roman" w:hAnsi="Times New Roman" w:cs="Times New Roman"/>
          <w:b/>
          <w:bCs/>
          <w:i/>
          <w:iCs/>
          <w:sz w:val="32"/>
          <w:szCs w:val="32"/>
          <w:u w:val="single"/>
          <w:lang w:val="en-GB"/>
        </w:rPr>
      </w:pPr>
      <w:r w:rsidRPr="00AF18A3">
        <w:rPr>
          <w:rFonts w:ascii="Times New Roman" w:hAnsi="Times New Roman" w:cs="Times New Roman"/>
          <w:b/>
          <w:bCs/>
          <w:i/>
          <w:iCs/>
          <w:sz w:val="32"/>
          <w:szCs w:val="32"/>
          <w:u w:val="single"/>
          <w:lang w:val="en-GB"/>
        </w:rPr>
        <w:t>Original Research Article</w:t>
      </w:r>
    </w:p>
    <w:p w14:paraId="4C0594CE" w14:textId="77777777" w:rsidR="007E0A41" w:rsidRPr="00AF18A3" w:rsidRDefault="007E0A41" w:rsidP="00D1336B">
      <w:pPr>
        <w:spacing w:after="0" w:line="276" w:lineRule="auto"/>
        <w:jc w:val="right"/>
        <w:rPr>
          <w:rFonts w:ascii="Times New Roman" w:hAnsi="Times New Roman" w:cs="Times New Roman"/>
          <w:b/>
          <w:bCs/>
          <w:sz w:val="32"/>
          <w:szCs w:val="32"/>
          <w:lang w:val="en-GB"/>
        </w:rPr>
      </w:pPr>
      <w:r w:rsidRPr="00AF18A3">
        <w:rPr>
          <w:rFonts w:ascii="Times New Roman" w:hAnsi="Times New Roman" w:cs="Times New Roman"/>
          <w:b/>
          <w:bCs/>
          <w:sz w:val="32"/>
          <w:szCs w:val="32"/>
          <w:lang w:val="en-GB"/>
        </w:rPr>
        <w:t>Effect on the Growth Rate of Sweet Corn through Zinc and Iron biofortification under Temperate Ecology of Kashmir</w:t>
      </w:r>
    </w:p>
    <w:p w14:paraId="0D2A7F13" w14:textId="77777777" w:rsidR="00B13D1B" w:rsidRPr="00AF18A3" w:rsidRDefault="00B13D1B" w:rsidP="00B13D1B">
      <w:pPr>
        <w:spacing w:after="0" w:line="276" w:lineRule="auto"/>
        <w:jc w:val="right"/>
        <w:rPr>
          <w:rFonts w:ascii="Times New Roman" w:hAnsi="Times New Roman" w:cs="Times New Roman"/>
          <w:b/>
          <w:bCs/>
          <w:sz w:val="24"/>
          <w:szCs w:val="24"/>
          <w:lang w:val="en-GB"/>
        </w:rPr>
      </w:pPr>
    </w:p>
    <w:p w14:paraId="3259C662" w14:textId="77777777" w:rsidR="00D1336B" w:rsidRPr="00AF18A3" w:rsidRDefault="00D1336B" w:rsidP="00D1336B">
      <w:pPr>
        <w:spacing w:after="0" w:line="276" w:lineRule="auto"/>
        <w:jc w:val="right"/>
        <w:rPr>
          <w:rFonts w:ascii="Times New Roman" w:hAnsi="Times New Roman" w:cs="Times New Roman"/>
          <w:b/>
          <w:bCs/>
          <w:lang w:val="en-GB"/>
        </w:rPr>
      </w:pPr>
    </w:p>
    <w:p w14:paraId="391C6635" w14:textId="77777777" w:rsidR="007E0A41" w:rsidRPr="00AF18A3" w:rsidRDefault="007E0A41" w:rsidP="00D1336B">
      <w:pPr>
        <w:spacing w:after="0" w:line="276" w:lineRule="auto"/>
        <w:jc w:val="center"/>
        <w:rPr>
          <w:rFonts w:ascii="Times New Roman" w:hAnsi="Times New Roman" w:cs="Times New Roman"/>
          <w:b/>
          <w:bCs/>
          <w:sz w:val="20"/>
          <w:szCs w:val="20"/>
          <w:lang w:val="en-GB"/>
        </w:rPr>
      </w:pPr>
      <w:r w:rsidRPr="00AF18A3">
        <w:rPr>
          <w:rFonts w:ascii="Times New Roman" w:hAnsi="Times New Roman" w:cs="Times New Roman"/>
          <w:b/>
          <w:bCs/>
          <w:sz w:val="20"/>
          <w:szCs w:val="20"/>
          <w:lang w:val="en-GB"/>
        </w:rPr>
        <w:t>Abstract</w:t>
      </w:r>
    </w:p>
    <w:p w14:paraId="1189D979" w14:textId="77777777" w:rsidR="00701562" w:rsidRPr="00AF18A3" w:rsidRDefault="003C5361" w:rsidP="003C5361">
      <w:pPr>
        <w:spacing w:after="0" w:line="276" w:lineRule="auto"/>
        <w:jc w:val="both"/>
        <w:rPr>
          <w:rFonts w:ascii="Times New Roman" w:hAnsi="Times New Roman" w:cs="Times New Roman"/>
          <w:b/>
          <w:bCs/>
          <w:sz w:val="18"/>
          <w:szCs w:val="18"/>
        </w:rPr>
      </w:pPr>
      <w:r w:rsidRPr="00AF18A3">
        <w:rPr>
          <w:rFonts w:ascii="Times New Roman" w:hAnsi="Times New Roman" w:cs="Times New Roman"/>
          <w:sz w:val="20"/>
          <w:szCs w:val="20"/>
        </w:rPr>
        <w:t xml:space="preserve">A two-year field experiment was conducted during the </w:t>
      </w:r>
      <w:r w:rsidRPr="00AF18A3">
        <w:rPr>
          <w:rStyle w:val="Emphasis"/>
          <w:rFonts w:ascii="Times New Roman" w:hAnsi="Times New Roman" w:cs="Times New Roman"/>
          <w:sz w:val="20"/>
          <w:szCs w:val="20"/>
        </w:rPr>
        <w:t>kharif</w:t>
      </w:r>
      <w:r w:rsidRPr="00AF18A3">
        <w:rPr>
          <w:rFonts w:ascii="Times New Roman" w:hAnsi="Times New Roman" w:cs="Times New Roman"/>
          <w:sz w:val="20"/>
          <w:szCs w:val="20"/>
        </w:rPr>
        <w:t xml:space="preserve"> seasons of 2024 and 2025 at the Agronomy Research Farm, Faculty of Agriculture, Sher-e-Kashmir University of Agricultural Sciences and Technology of Kashmir (SKUAST-K), to evaluate the effects of foliar zinc (Zn) and iron (Fe) application on the growth dynamics of sweet corn (</w:t>
      </w:r>
      <w:r w:rsidRPr="00AF18A3">
        <w:rPr>
          <w:rStyle w:val="Emphasis"/>
          <w:rFonts w:ascii="Times New Roman" w:hAnsi="Times New Roman" w:cs="Times New Roman"/>
          <w:sz w:val="20"/>
          <w:szCs w:val="20"/>
        </w:rPr>
        <w:t>Zea mays</w:t>
      </w:r>
      <w:r w:rsidRPr="00AF18A3">
        <w:rPr>
          <w:rFonts w:ascii="Times New Roman" w:hAnsi="Times New Roman" w:cs="Times New Roman"/>
          <w:sz w:val="20"/>
          <w:szCs w:val="20"/>
        </w:rPr>
        <w:t xml:space="preserve"> L.). The experiment was laid out in a randomized complete block design (RCBD) with 13 treatments and three replications. The treatments comprised a control (T₁), chelated Fe at 0.25, 0.50 and 0.75% (T₂–T₄), FeSO₄ at 0.25, 0.50 and 0.75% (T₅–T₇), chelated Zn at 0.25, 0.50 and 0.75% (T₈–T₁₀), and ZnSO₄ at 0.25, 0.50 and 0.75% (T₁₁–T₁₃). The recommended dose of N:P₂O</w:t>
      </w:r>
      <w:proofErr w:type="gramStart"/>
      <w:r w:rsidRPr="00AF18A3">
        <w:rPr>
          <w:rFonts w:ascii="Times New Roman" w:hAnsi="Times New Roman" w:cs="Times New Roman"/>
          <w:sz w:val="20"/>
          <w:szCs w:val="20"/>
        </w:rPr>
        <w:t>₅:K</w:t>
      </w:r>
      <w:proofErr w:type="gramEnd"/>
      <w:r w:rsidRPr="00AF18A3">
        <w:rPr>
          <w:rFonts w:ascii="Times New Roman" w:hAnsi="Times New Roman" w:cs="Times New Roman"/>
          <w:sz w:val="20"/>
          <w:szCs w:val="20"/>
        </w:rPr>
        <w:t>₂O (150:80:60 kg ha⁻¹) was applied uniformly to all treatments, while foliar micronutrient application was performed at the knee-height stage. Sweet corn variety ‘Sugar 75’ was transplanted at a spacing of 60 cm × 20 cm. Crop growth was assessed at different growth intervals using crop growth rate (CGR), relative growth rate (RGR) and net assimilation rate (NAR). During 30–60 days after transplanting (DAT), chelated Zn treatments showed the most pronounced response. Chelated Zn @ 0.75% (T₁₀) recorded the highest CGR (49.99 g m⁻² day⁻¹) and RGR (0.1084 g g⁻¹ day⁻¹), whereas NAR was highest with chelated Zn @ 0.50% (T₉), reaching 2.04 g m⁻² day⁻¹. Iron treatments produced moderate but consistent improvements over the control, although their performance remained lower than that of the zinc treatments. CGR, RGR and NAR declined during 60–90 DAT across treatments, reflecting the progression of crop development; however, zinc-treated plants generally maintained a relative advantage. The results indicate the potential of foliar-applied chelated Zn, particularly at 0.50–0.75%, to enhance the physiological growth efficiency of sweet corn under temperate agro-ecological conditions.</w:t>
      </w:r>
    </w:p>
    <w:p w14:paraId="70689EBE" w14:textId="77777777" w:rsidR="007E0A41" w:rsidRPr="00AF18A3" w:rsidRDefault="007E0A41" w:rsidP="00D1336B">
      <w:pPr>
        <w:spacing w:after="0" w:line="276" w:lineRule="auto"/>
        <w:rPr>
          <w:rFonts w:ascii="Times New Roman" w:hAnsi="Times New Roman" w:cs="Times New Roman"/>
          <w:sz w:val="20"/>
          <w:szCs w:val="20"/>
        </w:rPr>
      </w:pPr>
      <w:r w:rsidRPr="00AF18A3">
        <w:rPr>
          <w:rFonts w:ascii="Times New Roman" w:hAnsi="Times New Roman" w:cs="Times New Roman"/>
          <w:b/>
          <w:bCs/>
          <w:sz w:val="20"/>
          <w:szCs w:val="20"/>
        </w:rPr>
        <w:t>Keywords:</w:t>
      </w:r>
      <w:r w:rsidRPr="00AF18A3">
        <w:rPr>
          <w:rFonts w:ascii="Times New Roman" w:hAnsi="Times New Roman" w:cs="Times New Roman"/>
          <w:sz w:val="20"/>
          <w:szCs w:val="20"/>
        </w:rPr>
        <w:t xml:space="preserve"> Chelated, foliar, sweet corn, treatment and zinc</w:t>
      </w:r>
    </w:p>
    <w:p w14:paraId="789ECA2B" w14:textId="77777777" w:rsidR="00B13D1B" w:rsidRPr="00AF18A3" w:rsidRDefault="00B13D1B" w:rsidP="00D1336B">
      <w:pPr>
        <w:spacing w:after="0" w:line="276" w:lineRule="auto"/>
        <w:rPr>
          <w:rFonts w:ascii="Times New Roman" w:hAnsi="Times New Roman" w:cs="Times New Roman"/>
          <w:b/>
          <w:bCs/>
          <w:sz w:val="20"/>
          <w:szCs w:val="20"/>
          <w:lang w:val="en-GB"/>
        </w:rPr>
      </w:pPr>
    </w:p>
    <w:p w14:paraId="7EBECA3B" w14:textId="77777777" w:rsidR="007E0A41" w:rsidRPr="00AF18A3" w:rsidRDefault="00FB5AB7" w:rsidP="00D1336B">
      <w:pPr>
        <w:spacing w:after="0" w:line="276" w:lineRule="auto"/>
        <w:rPr>
          <w:rFonts w:ascii="Times New Roman" w:hAnsi="Times New Roman" w:cs="Times New Roman"/>
          <w:sz w:val="20"/>
          <w:szCs w:val="20"/>
          <w:lang w:val="en-GB"/>
        </w:rPr>
      </w:pPr>
      <w:r w:rsidRPr="00AF18A3">
        <w:rPr>
          <w:rFonts w:ascii="Times New Roman" w:hAnsi="Times New Roman" w:cs="Times New Roman"/>
          <w:b/>
          <w:bCs/>
          <w:sz w:val="20"/>
          <w:szCs w:val="20"/>
          <w:lang w:val="en-GB"/>
        </w:rPr>
        <w:t xml:space="preserve">1. </w:t>
      </w:r>
      <w:r w:rsidR="007E0A41" w:rsidRPr="00AF18A3">
        <w:rPr>
          <w:rFonts w:ascii="Times New Roman" w:hAnsi="Times New Roman" w:cs="Times New Roman"/>
          <w:b/>
          <w:bCs/>
          <w:sz w:val="20"/>
          <w:szCs w:val="20"/>
          <w:lang w:val="en-GB"/>
        </w:rPr>
        <w:t>Introduction</w:t>
      </w:r>
    </w:p>
    <w:p w14:paraId="786127F3" w14:textId="77777777" w:rsidR="007E0A41" w:rsidRPr="00AF18A3" w:rsidRDefault="007E0A41" w:rsidP="00D1336B">
      <w:pPr>
        <w:spacing w:after="0" w:line="276" w:lineRule="auto"/>
        <w:ind w:firstLine="720"/>
        <w:jc w:val="both"/>
        <w:rPr>
          <w:rFonts w:ascii="Times New Roman" w:hAnsi="Times New Roman" w:cs="Times New Roman"/>
          <w:color w:val="EE0000"/>
          <w:sz w:val="20"/>
          <w:szCs w:val="20"/>
          <w:lang w:val="en-GB"/>
        </w:rPr>
      </w:pPr>
      <w:r w:rsidRPr="00AF18A3">
        <w:rPr>
          <w:rFonts w:ascii="Times New Roman" w:hAnsi="Times New Roman" w:cs="Times New Roman"/>
          <w:sz w:val="20"/>
          <w:szCs w:val="20"/>
          <w:lang w:val="en-GB"/>
        </w:rPr>
        <w:t xml:space="preserve">Maize is considered one of the most important crops in the Gramineae family because of its high yield potential and short growing season. Owing to its broad adaptability, it can be grown in both cold and temperate climates. After rice and wheat, maize is the third most-produced cereal in the world, and its production volume is comparable to that of each of these two cereals. Intensive crop production, together with the cultivation of high-yielding varieties, has significantly depleted soil fertility in terms of both macronutrients and micronutrients. </w:t>
      </w:r>
      <w:r w:rsidRPr="00AF18A3">
        <w:rPr>
          <w:rFonts w:ascii="Times New Roman" w:hAnsi="Times New Roman" w:cs="Times New Roman"/>
          <w:sz w:val="20"/>
          <w:szCs w:val="20"/>
        </w:rPr>
        <w:t>Maize (</w:t>
      </w:r>
      <w:r w:rsidRPr="00AF18A3">
        <w:rPr>
          <w:rFonts w:ascii="Times New Roman" w:hAnsi="Times New Roman" w:cs="Times New Roman"/>
          <w:i/>
          <w:iCs/>
          <w:sz w:val="20"/>
          <w:szCs w:val="20"/>
        </w:rPr>
        <w:t>Zea mays</w:t>
      </w:r>
      <w:r w:rsidRPr="00AF18A3">
        <w:rPr>
          <w:rFonts w:ascii="Times New Roman" w:hAnsi="Times New Roman" w:cs="Times New Roman"/>
          <w:sz w:val="20"/>
          <w:szCs w:val="20"/>
        </w:rPr>
        <w:t xml:space="preserve"> L.) continues to occupy an important position among the world's cereal crops, ranking just behind wheat and rice in overall global significance (Jat </w:t>
      </w:r>
      <w:r w:rsidRPr="00AF18A3">
        <w:rPr>
          <w:rFonts w:ascii="Times New Roman" w:hAnsi="Times New Roman" w:cs="Times New Roman"/>
          <w:i/>
          <w:iCs/>
          <w:sz w:val="20"/>
          <w:szCs w:val="20"/>
        </w:rPr>
        <w:t>et al.</w:t>
      </w:r>
      <w:r w:rsidRPr="00AF18A3">
        <w:rPr>
          <w:rFonts w:ascii="Times New Roman" w:hAnsi="Times New Roman" w:cs="Times New Roman"/>
          <w:sz w:val="20"/>
          <w:szCs w:val="20"/>
        </w:rPr>
        <w:t>, 2022).</w:t>
      </w:r>
      <w:r w:rsidRPr="00AF18A3">
        <w:rPr>
          <w:rFonts w:ascii="Times New Roman" w:hAnsi="Times New Roman" w:cs="Times New Roman"/>
          <w:sz w:val="20"/>
          <w:szCs w:val="20"/>
          <w:lang w:val="en-GB"/>
        </w:rPr>
        <w:t xml:space="preserve"> It performs essential and diverse roles in the global agri-food system </w:t>
      </w:r>
      <w:r w:rsidRPr="00AF18A3">
        <w:rPr>
          <w:rFonts w:ascii="Times New Roman" w:hAnsi="Times New Roman" w:cs="Times New Roman"/>
          <w:b/>
          <w:bCs/>
          <w:sz w:val="20"/>
          <w:szCs w:val="20"/>
          <w:lang w:val="en-GB"/>
        </w:rPr>
        <w:t>(</w:t>
      </w:r>
      <w:r w:rsidRPr="00AF18A3">
        <w:rPr>
          <w:rFonts w:ascii="Times New Roman" w:hAnsi="Times New Roman" w:cs="Times New Roman"/>
          <w:sz w:val="20"/>
          <w:szCs w:val="20"/>
        </w:rPr>
        <w:t xml:space="preserve">Erenstein </w:t>
      </w:r>
      <w:r w:rsidRPr="00AF18A3">
        <w:rPr>
          <w:rFonts w:ascii="Times New Roman" w:hAnsi="Times New Roman" w:cs="Times New Roman"/>
          <w:i/>
          <w:iCs/>
          <w:sz w:val="20"/>
          <w:szCs w:val="20"/>
        </w:rPr>
        <w:t>et al.</w:t>
      </w:r>
      <w:r w:rsidRPr="00AF18A3">
        <w:rPr>
          <w:rFonts w:ascii="Times New Roman" w:hAnsi="Times New Roman" w:cs="Times New Roman"/>
          <w:sz w:val="20"/>
          <w:szCs w:val="20"/>
        </w:rPr>
        <w:t>, 2022</w:t>
      </w:r>
      <w:r w:rsidRPr="00AF18A3">
        <w:rPr>
          <w:rFonts w:ascii="Times New Roman" w:hAnsi="Times New Roman" w:cs="Times New Roman"/>
          <w:b/>
          <w:bCs/>
          <w:sz w:val="20"/>
          <w:szCs w:val="20"/>
        </w:rPr>
        <w:t>;</w:t>
      </w:r>
      <w:r w:rsidRPr="00AF18A3">
        <w:rPr>
          <w:rFonts w:ascii="Times New Roman" w:hAnsi="Times New Roman" w:cs="Times New Roman"/>
          <w:sz w:val="20"/>
          <w:szCs w:val="20"/>
        </w:rPr>
        <w:t xml:space="preserve"> Iseghohi </w:t>
      </w:r>
      <w:r w:rsidRPr="00AF18A3">
        <w:rPr>
          <w:rFonts w:ascii="Times New Roman" w:hAnsi="Times New Roman" w:cs="Times New Roman"/>
          <w:i/>
          <w:iCs/>
          <w:sz w:val="20"/>
          <w:szCs w:val="20"/>
        </w:rPr>
        <w:t>et al.</w:t>
      </w:r>
      <w:r w:rsidRPr="00AF18A3">
        <w:rPr>
          <w:rFonts w:ascii="Times New Roman" w:hAnsi="Times New Roman" w:cs="Times New Roman"/>
          <w:sz w:val="20"/>
          <w:szCs w:val="20"/>
        </w:rPr>
        <w:t xml:space="preserve">, 2024). Its many uses in human food, animal feed and industrial products have earned it the popular title of "queen of cereals" (Karrimi </w:t>
      </w:r>
      <w:r w:rsidRPr="00AF18A3">
        <w:rPr>
          <w:rFonts w:ascii="Times New Roman" w:hAnsi="Times New Roman" w:cs="Times New Roman"/>
          <w:i/>
          <w:iCs/>
          <w:sz w:val="20"/>
          <w:szCs w:val="20"/>
        </w:rPr>
        <w:t>et al.</w:t>
      </w:r>
      <w:r w:rsidRPr="00AF18A3">
        <w:rPr>
          <w:rFonts w:ascii="Times New Roman" w:hAnsi="Times New Roman" w:cs="Times New Roman"/>
          <w:sz w:val="20"/>
          <w:szCs w:val="20"/>
        </w:rPr>
        <w:t xml:space="preserve">, 2018). </w:t>
      </w:r>
      <w:r w:rsidRPr="00AF18A3">
        <w:rPr>
          <w:rFonts w:ascii="Times New Roman" w:hAnsi="Times New Roman" w:cs="Times New Roman"/>
          <w:sz w:val="20"/>
          <w:szCs w:val="20"/>
          <w:lang w:val="en-GB"/>
        </w:rPr>
        <w:t xml:space="preserve">Maize is a C4 plant that is prevalent in tropical regions. Its broad spectrum of adaptation and adaptability has also made it possible to grow successfully in temperate and frigid climates. </w:t>
      </w:r>
      <w:r w:rsidRPr="00AF18A3">
        <w:rPr>
          <w:rFonts w:ascii="Times New Roman" w:hAnsi="Times New Roman" w:cs="Times New Roman"/>
          <w:sz w:val="20"/>
          <w:szCs w:val="20"/>
        </w:rPr>
        <w:t xml:space="preserve">Sweet corn, a specialised form of maize grown primarily for its immature, sugar-rich kernels, has established its own commercial niche because of its short duration and high market demand, both fresh and processed (Malode </w:t>
      </w:r>
      <w:r w:rsidRPr="00AF18A3">
        <w:rPr>
          <w:rFonts w:ascii="Times New Roman" w:hAnsi="Times New Roman" w:cs="Times New Roman"/>
          <w:i/>
          <w:iCs/>
          <w:sz w:val="20"/>
          <w:szCs w:val="20"/>
        </w:rPr>
        <w:t>et al.</w:t>
      </w:r>
      <w:r w:rsidRPr="00AF18A3">
        <w:rPr>
          <w:rFonts w:ascii="Times New Roman" w:hAnsi="Times New Roman" w:cs="Times New Roman"/>
          <w:sz w:val="20"/>
          <w:szCs w:val="20"/>
        </w:rPr>
        <w:t>, 2025). Despite this versatility, the crop remains highly responsive to nutritional status during its vegetative growth phase, during which the physiological basis for eventual yield is established.</w:t>
      </w:r>
    </w:p>
    <w:p w14:paraId="4246927C" w14:textId="77777777" w:rsidR="007E0A41" w:rsidRPr="00AF18A3" w:rsidRDefault="007E0A41" w:rsidP="00D1336B">
      <w:pPr>
        <w:spacing w:after="0" w:line="276" w:lineRule="auto"/>
        <w:ind w:firstLine="720"/>
        <w:jc w:val="both"/>
        <w:rPr>
          <w:rFonts w:ascii="Times New Roman" w:hAnsi="Times New Roman" w:cs="Times New Roman"/>
          <w:sz w:val="20"/>
          <w:szCs w:val="20"/>
        </w:rPr>
      </w:pPr>
      <w:r w:rsidRPr="00AF18A3">
        <w:rPr>
          <w:rFonts w:ascii="Times New Roman" w:hAnsi="Times New Roman" w:cs="Times New Roman"/>
          <w:sz w:val="20"/>
          <w:szCs w:val="20"/>
        </w:rPr>
        <w:t xml:space="preserve">The long-term study of how a crop develops, rather than only how much it produces at the end of the growing season, has been one of the main concerns of crop physiologists. Techniques for studying growth and development (growth analyses) allow the performance of a developing crop to be evaluated throughout its life cycle. Two commonly used measures of crop growth and developmental performance are relative growth rate (RGR) and net assimilation rate (NAR). RGR measures the rate at which a plant produces new biomass relative to its existing biomass, thereby providing an indication of the plant's overall growth potential. NAR evaluates the amount of dry matter gained per unit leaf area; because leaves are responsible for photosynthesis, NAR directly reflects a plant's capacity to produce assimilates through photosynthesis (Thakur </w:t>
      </w:r>
      <w:r w:rsidRPr="00AF18A3">
        <w:rPr>
          <w:rFonts w:ascii="Times New Roman" w:hAnsi="Times New Roman" w:cs="Times New Roman"/>
          <w:i/>
          <w:iCs/>
          <w:sz w:val="20"/>
          <w:szCs w:val="20"/>
        </w:rPr>
        <w:t>et al.</w:t>
      </w:r>
      <w:r w:rsidRPr="00AF18A3">
        <w:rPr>
          <w:rFonts w:ascii="Times New Roman" w:hAnsi="Times New Roman" w:cs="Times New Roman"/>
          <w:sz w:val="20"/>
          <w:szCs w:val="20"/>
        </w:rPr>
        <w:t xml:space="preserve">, 2020). Both RGR and </w:t>
      </w:r>
      <w:r w:rsidRPr="00AF18A3">
        <w:rPr>
          <w:rFonts w:ascii="Times New Roman" w:hAnsi="Times New Roman" w:cs="Times New Roman"/>
          <w:sz w:val="20"/>
          <w:szCs w:val="20"/>
        </w:rPr>
        <w:lastRenderedPageBreak/>
        <w:t>NAR reach their highest levels during the early to mid-vegetative stage of plant growth, when leaves are expanding rapidly, before declining as plants enter late vegetative and, subsequently, reproductive growth. Tracking these growth indices over several growth periods therefore provides a more complete understanding of crop performance than yield data alone.</w:t>
      </w:r>
    </w:p>
    <w:p w14:paraId="286E669B" w14:textId="77777777" w:rsidR="007E0A41" w:rsidRPr="00AF18A3" w:rsidRDefault="007E0A41" w:rsidP="00D1336B">
      <w:pPr>
        <w:spacing w:after="0" w:line="276" w:lineRule="auto"/>
        <w:ind w:firstLine="720"/>
        <w:jc w:val="both"/>
        <w:rPr>
          <w:rFonts w:ascii="Times New Roman" w:hAnsi="Times New Roman" w:cs="Times New Roman"/>
          <w:sz w:val="20"/>
          <w:szCs w:val="20"/>
        </w:rPr>
      </w:pPr>
      <w:r w:rsidRPr="00AF18A3">
        <w:rPr>
          <w:rFonts w:ascii="Times New Roman" w:hAnsi="Times New Roman" w:cs="Times New Roman"/>
          <w:sz w:val="20"/>
          <w:szCs w:val="20"/>
        </w:rPr>
        <w:t xml:space="preserve">One factor that significantly affects these growth indices is the nutrient status of the crop, particularly micronutrient availability, such as Zn and Fe. As maize is considered a "marker crop" for Zn deficiency, it exhibits greater sensitivity to Zn limitation than many other agricultural crops (Jat </w:t>
      </w:r>
      <w:r w:rsidRPr="00AF18A3">
        <w:rPr>
          <w:rFonts w:ascii="Times New Roman" w:hAnsi="Times New Roman" w:cs="Times New Roman"/>
          <w:i/>
          <w:iCs/>
          <w:sz w:val="20"/>
          <w:szCs w:val="20"/>
        </w:rPr>
        <w:t>et al.</w:t>
      </w:r>
      <w:r w:rsidRPr="00AF18A3">
        <w:rPr>
          <w:rFonts w:ascii="Times New Roman" w:hAnsi="Times New Roman" w:cs="Times New Roman"/>
          <w:sz w:val="20"/>
          <w:szCs w:val="20"/>
        </w:rPr>
        <w:t xml:space="preserve">, 2022). Many enzymes involved in different aspects of plant metabolism require Zn. For example, zinc is required for auxin metabolism, protein synthesis and the maintenance of cell-membrane integrity and function. Furthermore, Zn is important for chlorophyll formation and helps improve photosynthetic performance (Dhaliwal </w:t>
      </w:r>
      <w:r w:rsidRPr="00AF18A3">
        <w:rPr>
          <w:rFonts w:ascii="Times New Roman" w:hAnsi="Times New Roman" w:cs="Times New Roman"/>
          <w:i/>
          <w:iCs/>
          <w:sz w:val="20"/>
          <w:szCs w:val="20"/>
        </w:rPr>
        <w:t>et al.</w:t>
      </w:r>
      <w:r w:rsidRPr="00AF18A3">
        <w:rPr>
          <w:rFonts w:ascii="Times New Roman" w:hAnsi="Times New Roman" w:cs="Times New Roman"/>
          <w:sz w:val="20"/>
          <w:szCs w:val="20"/>
        </w:rPr>
        <w:t xml:space="preserve">, 2021). Similarly, iron is required by plants in small amounts but is essential because it contributes to the formation of cytochromes and ferredoxins, which are key components of photosynthetic energy production and respiration (Thakur </w:t>
      </w:r>
      <w:r w:rsidRPr="00AF18A3">
        <w:rPr>
          <w:rFonts w:ascii="Times New Roman" w:hAnsi="Times New Roman" w:cs="Times New Roman"/>
          <w:i/>
          <w:iCs/>
          <w:sz w:val="20"/>
          <w:szCs w:val="20"/>
        </w:rPr>
        <w:t>et al.</w:t>
      </w:r>
      <w:r w:rsidRPr="00AF18A3">
        <w:rPr>
          <w:rFonts w:ascii="Times New Roman" w:hAnsi="Times New Roman" w:cs="Times New Roman"/>
          <w:sz w:val="20"/>
          <w:szCs w:val="20"/>
        </w:rPr>
        <w:t>, 2020). Deficiencies of either element can therefore be expected to slow the processes that RGR and NAR are designed to capture.</w:t>
      </w:r>
    </w:p>
    <w:p w14:paraId="2E630DB2" w14:textId="77777777" w:rsidR="007E0A41" w:rsidRPr="00AF18A3" w:rsidRDefault="007E0A41" w:rsidP="00D1336B">
      <w:pPr>
        <w:spacing w:after="0" w:line="276" w:lineRule="auto"/>
        <w:ind w:firstLine="720"/>
        <w:jc w:val="both"/>
        <w:rPr>
          <w:rFonts w:ascii="Times New Roman" w:hAnsi="Times New Roman" w:cs="Times New Roman"/>
          <w:sz w:val="20"/>
          <w:szCs w:val="20"/>
        </w:rPr>
      </w:pPr>
      <w:r w:rsidRPr="00AF18A3">
        <w:rPr>
          <w:rFonts w:ascii="Times New Roman" w:hAnsi="Times New Roman" w:cs="Times New Roman"/>
          <w:sz w:val="20"/>
          <w:szCs w:val="20"/>
        </w:rPr>
        <w:t xml:space="preserve">In recent years, deficiencies of zinc and iron in agricultural soils have become more serious, mainly because of farming practices focused on high-yield crop production together with lower inputs of organic material. In addition, soils in many areas are alkaline or calcareous, which can reduce the availability of micronutrients to plants (Durgude </w:t>
      </w:r>
      <w:r w:rsidRPr="00AF18A3">
        <w:rPr>
          <w:rFonts w:ascii="Times New Roman" w:hAnsi="Times New Roman" w:cs="Times New Roman"/>
          <w:i/>
          <w:iCs/>
          <w:sz w:val="20"/>
          <w:szCs w:val="20"/>
        </w:rPr>
        <w:t>et al.</w:t>
      </w:r>
      <w:r w:rsidRPr="00AF18A3">
        <w:rPr>
          <w:rFonts w:ascii="Times New Roman" w:hAnsi="Times New Roman" w:cs="Times New Roman"/>
          <w:sz w:val="20"/>
          <w:szCs w:val="20"/>
        </w:rPr>
        <w:t xml:space="preserve">, 2014). In India, a large proportion of cultivated soils have been reported to lack one or both of these nutrients, directly affecting both crop production and human nutrition, particularly because cereals such as maize are staple foods for many populations (Pandey </w:t>
      </w:r>
      <w:r w:rsidRPr="00AF18A3">
        <w:rPr>
          <w:rFonts w:ascii="Times New Roman" w:hAnsi="Times New Roman" w:cs="Times New Roman"/>
          <w:i/>
          <w:iCs/>
          <w:sz w:val="20"/>
          <w:szCs w:val="20"/>
        </w:rPr>
        <w:t>et al.</w:t>
      </w:r>
      <w:r w:rsidRPr="00AF18A3">
        <w:rPr>
          <w:rFonts w:ascii="Times New Roman" w:hAnsi="Times New Roman" w:cs="Times New Roman"/>
          <w:sz w:val="20"/>
          <w:szCs w:val="20"/>
        </w:rPr>
        <w:t xml:space="preserve">, 2021). This link between crop production and nutritional improvement has increased attention to agronomic biofortification. This approach involves supplying small amounts of essential nutrients directly to crops during growth through soil application, foliar spraying, or a combination of both, with the aim of increasing food production while improving nutrient concentration (Xue </w:t>
      </w:r>
      <w:r w:rsidRPr="00AF18A3">
        <w:rPr>
          <w:rFonts w:ascii="Times New Roman" w:hAnsi="Times New Roman" w:cs="Times New Roman"/>
          <w:i/>
          <w:iCs/>
          <w:sz w:val="20"/>
          <w:szCs w:val="20"/>
        </w:rPr>
        <w:t>et al.</w:t>
      </w:r>
      <w:r w:rsidRPr="00AF18A3">
        <w:rPr>
          <w:rFonts w:ascii="Times New Roman" w:hAnsi="Times New Roman" w:cs="Times New Roman"/>
          <w:sz w:val="20"/>
          <w:szCs w:val="20"/>
        </w:rPr>
        <w:t>, 2023).</w:t>
      </w:r>
    </w:p>
    <w:p w14:paraId="291120C9" w14:textId="77777777" w:rsidR="007E0A41" w:rsidRPr="00AF18A3" w:rsidRDefault="007E0A41" w:rsidP="00D1336B">
      <w:pPr>
        <w:spacing w:after="0" w:line="276" w:lineRule="auto"/>
        <w:ind w:firstLine="720"/>
        <w:jc w:val="both"/>
        <w:rPr>
          <w:rFonts w:ascii="Times New Roman" w:hAnsi="Times New Roman" w:cs="Times New Roman"/>
          <w:sz w:val="20"/>
          <w:szCs w:val="20"/>
        </w:rPr>
      </w:pPr>
      <w:r w:rsidRPr="00AF18A3">
        <w:rPr>
          <w:rFonts w:ascii="Times New Roman" w:hAnsi="Times New Roman" w:cs="Times New Roman"/>
          <w:sz w:val="20"/>
          <w:szCs w:val="20"/>
        </w:rPr>
        <w:t xml:space="preserve">Foliar application has become a preferred approach because it allows plants to absorb nutrients directly through their leaves, avoiding several soil-related constraints, such as nutrient fixation and low solubility, which can reduce the effectiveness of soil-applied fertilisers under field conditions (Thakur </w:t>
      </w:r>
      <w:r w:rsidRPr="00AF18A3">
        <w:rPr>
          <w:rFonts w:ascii="Times New Roman" w:hAnsi="Times New Roman" w:cs="Times New Roman"/>
          <w:i/>
          <w:iCs/>
          <w:sz w:val="20"/>
          <w:szCs w:val="20"/>
        </w:rPr>
        <w:t>et al.</w:t>
      </w:r>
      <w:r w:rsidRPr="00AF18A3">
        <w:rPr>
          <w:rFonts w:ascii="Times New Roman" w:hAnsi="Times New Roman" w:cs="Times New Roman"/>
          <w:sz w:val="20"/>
          <w:szCs w:val="20"/>
        </w:rPr>
        <w:t xml:space="preserve">, 2020). Studies on maize and other cereals have found that supplying zinc and iron through different carriers, including sulphates, chelated forms such as EDTA, and newer formulations such as lignosulphonates and nanoparticles, can increase chlorophyll content, dry-matter accumulation and, ultimately, grain production (Malode </w:t>
      </w:r>
      <w:r w:rsidRPr="00AF18A3">
        <w:rPr>
          <w:rFonts w:ascii="Times New Roman" w:hAnsi="Times New Roman" w:cs="Times New Roman"/>
          <w:i/>
          <w:iCs/>
          <w:sz w:val="20"/>
          <w:szCs w:val="20"/>
        </w:rPr>
        <w:t>et al.</w:t>
      </w:r>
      <w:r w:rsidRPr="00AF18A3">
        <w:rPr>
          <w:rFonts w:ascii="Times New Roman" w:hAnsi="Times New Roman" w:cs="Times New Roman"/>
          <w:sz w:val="20"/>
          <w:szCs w:val="20"/>
        </w:rPr>
        <w:t xml:space="preserve">, 2025; Karrimi </w:t>
      </w:r>
      <w:r w:rsidRPr="00AF18A3">
        <w:rPr>
          <w:rFonts w:ascii="Times New Roman" w:hAnsi="Times New Roman" w:cs="Times New Roman"/>
          <w:i/>
          <w:iCs/>
          <w:sz w:val="20"/>
          <w:szCs w:val="20"/>
        </w:rPr>
        <w:t>et al.</w:t>
      </w:r>
      <w:r w:rsidRPr="00AF18A3">
        <w:rPr>
          <w:rFonts w:ascii="Times New Roman" w:hAnsi="Times New Roman" w:cs="Times New Roman"/>
          <w:sz w:val="20"/>
          <w:szCs w:val="20"/>
        </w:rPr>
        <w:t>, 2018).</w:t>
      </w:r>
    </w:p>
    <w:p w14:paraId="11237E90" w14:textId="77777777" w:rsidR="00A62A73" w:rsidRPr="00AF18A3" w:rsidRDefault="00000000">
      <w:pPr>
        <w:spacing w:after="0" w:line="276" w:lineRule="auto"/>
        <w:ind w:firstLine="720"/>
        <w:jc w:val="both"/>
        <w:rPr>
          <w:rFonts w:ascii="Times New Roman" w:hAnsi="Times New Roman" w:cs="Times New Roman"/>
          <w:sz w:val="20"/>
          <w:szCs w:val="20"/>
        </w:rPr>
      </w:pPr>
      <w:r w:rsidRPr="00AF18A3">
        <w:rPr>
          <w:rFonts w:ascii="Times New Roman" w:hAnsi="Times New Roman"/>
          <w:b/>
          <w:sz w:val="20"/>
        </w:rPr>
        <w:t>Recent studies provide additional context for the present work. In sweet corn, a zinc-management strategy combining soil-applied ZnSO₄ with a 0.5% foliar ZnSO₄ spray at the knee-high stage was associated with improved yield attributes, including in the Sugar 75 hybrid (Lone et al., 2022). Recent literature also recognises agronomic approaches as part of the broader biofortification framework for improving crop micronutrient content (Sayooj et al., 2025). A meta-analysis of maize studies identified nutrient-application method and soil conditions as important determinants of grain Zn and Fe responses (Kihara et al., 2024), while a recent field study further showed that micronutrient combinations can influence maize productivity and nutrient concentration (Dawar et al., 2025).</w:t>
      </w:r>
    </w:p>
    <w:p w14:paraId="19BB0EFD" w14:textId="77777777" w:rsidR="00A62A73" w:rsidRPr="00AF18A3" w:rsidRDefault="00000000">
      <w:pPr>
        <w:spacing w:after="0" w:line="276" w:lineRule="auto"/>
        <w:ind w:firstLine="720"/>
        <w:jc w:val="both"/>
        <w:rPr>
          <w:rFonts w:ascii="Times New Roman" w:hAnsi="Times New Roman" w:cs="Times New Roman"/>
          <w:sz w:val="20"/>
          <w:szCs w:val="20"/>
        </w:rPr>
      </w:pPr>
      <w:r w:rsidRPr="00AF18A3">
        <w:rPr>
          <w:rFonts w:ascii="Times New Roman" w:hAnsi="Times New Roman"/>
          <w:b/>
          <w:sz w:val="20"/>
        </w:rPr>
        <w:t>However, the relative responses of CGR, RGR and NAR to chelated and inorganic Zn and Fe sources across the tested foliar concentrations require direct evaluation under the temperate agro-ecology of Kashmir. The present experiment was designed to address this specific comparison.</w:t>
      </w:r>
    </w:p>
    <w:p w14:paraId="383ACDFC" w14:textId="77777777" w:rsidR="00A62A73" w:rsidRPr="00AF18A3" w:rsidRDefault="00000000">
      <w:pPr>
        <w:spacing w:after="0" w:line="276" w:lineRule="auto"/>
        <w:rPr>
          <w:rFonts w:ascii="Times New Roman" w:hAnsi="Times New Roman" w:cs="Times New Roman"/>
          <w:sz w:val="20"/>
          <w:szCs w:val="20"/>
        </w:rPr>
      </w:pPr>
      <w:r w:rsidRPr="00AF18A3">
        <w:rPr>
          <w:rFonts w:ascii="Times New Roman" w:hAnsi="Times New Roman"/>
          <w:b/>
          <w:sz w:val="20"/>
        </w:rPr>
        <w:t>Objective</w:t>
      </w:r>
    </w:p>
    <w:p w14:paraId="42FD20BA" w14:textId="77777777" w:rsidR="007E0A41" w:rsidRPr="00AF18A3" w:rsidRDefault="007E0A41" w:rsidP="00D1336B">
      <w:pPr>
        <w:spacing w:after="0" w:line="276" w:lineRule="auto"/>
        <w:ind w:firstLine="720"/>
        <w:jc w:val="both"/>
        <w:rPr>
          <w:rFonts w:ascii="Times New Roman" w:hAnsi="Times New Roman" w:cs="Times New Roman"/>
          <w:sz w:val="20"/>
          <w:szCs w:val="20"/>
        </w:rPr>
      </w:pPr>
      <w:r w:rsidRPr="00AF18A3">
        <w:rPr>
          <w:rFonts w:ascii="Times New Roman" w:hAnsi="Times New Roman" w:cs="Times New Roman"/>
          <w:sz w:val="20"/>
          <w:szCs w:val="20"/>
        </w:rPr>
        <w:t>In light of this, the current study was conducted to investigate how different concentrations of chelated and inorganic sources of zinc and iron affected the growth rate of sweet corn. To improve agronomic recommendations and contribute to crop-based interventions addressing zinc and iron malnutrition, the study aimed to develop a better understanding of micronutrient nutrition and of when and how it exerts the greatest influence on the physiological efficiency of sweet corn.</w:t>
      </w:r>
    </w:p>
    <w:p w14:paraId="03DD53CB" w14:textId="77777777" w:rsidR="00CF7FBD" w:rsidRPr="00AF18A3" w:rsidRDefault="00CF7FBD" w:rsidP="00D1336B">
      <w:pPr>
        <w:spacing w:after="0" w:line="276" w:lineRule="auto"/>
        <w:jc w:val="both"/>
        <w:rPr>
          <w:rFonts w:ascii="Times New Roman" w:hAnsi="Times New Roman" w:cs="Times New Roman"/>
          <w:b/>
          <w:bCs/>
          <w:sz w:val="20"/>
          <w:szCs w:val="20"/>
          <w:lang w:val="en-GB"/>
        </w:rPr>
      </w:pPr>
    </w:p>
    <w:p w14:paraId="5CE44C84" w14:textId="77777777" w:rsidR="00B318C6" w:rsidRPr="00AF18A3" w:rsidRDefault="00B318C6" w:rsidP="00711478">
      <w:pPr>
        <w:pStyle w:val="Heading2"/>
        <w:spacing w:before="0" w:after="0" w:line="276" w:lineRule="auto"/>
        <w:jc w:val="both"/>
        <w:rPr>
          <w:rFonts w:ascii="Times New Roman" w:hAnsi="Times New Roman" w:cs="Times New Roman"/>
          <w:b/>
          <w:bCs/>
          <w:color w:val="auto"/>
          <w:sz w:val="20"/>
          <w:szCs w:val="20"/>
        </w:rPr>
      </w:pPr>
      <w:r w:rsidRPr="00AF18A3">
        <w:rPr>
          <w:rFonts w:ascii="Times New Roman" w:hAnsi="Times New Roman" w:cs="Times New Roman"/>
          <w:b/>
          <w:bCs/>
          <w:color w:val="auto"/>
          <w:sz w:val="20"/>
          <w:szCs w:val="20"/>
        </w:rPr>
        <w:lastRenderedPageBreak/>
        <w:t>2. Materials and Methods</w:t>
      </w:r>
    </w:p>
    <w:p w14:paraId="3D583F84" w14:textId="77777777" w:rsidR="00B318C6" w:rsidRPr="00AF18A3" w:rsidRDefault="00B318C6" w:rsidP="00711478">
      <w:pPr>
        <w:pStyle w:val="Heading3"/>
        <w:spacing w:before="0" w:after="0" w:line="276" w:lineRule="auto"/>
        <w:jc w:val="both"/>
        <w:rPr>
          <w:rFonts w:ascii="Times New Roman" w:hAnsi="Times New Roman" w:cs="Times New Roman"/>
          <w:b/>
          <w:bCs/>
          <w:color w:val="auto"/>
          <w:sz w:val="20"/>
          <w:szCs w:val="20"/>
        </w:rPr>
      </w:pPr>
      <w:r w:rsidRPr="00AF18A3">
        <w:rPr>
          <w:rFonts w:ascii="Times New Roman" w:hAnsi="Times New Roman" w:cs="Times New Roman"/>
          <w:b/>
          <w:bCs/>
          <w:color w:val="auto"/>
          <w:sz w:val="20"/>
          <w:szCs w:val="20"/>
        </w:rPr>
        <w:t>2.1 Experimental Site and Growing Seasons</w:t>
      </w:r>
    </w:p>
    <w:p w14:paraId="7D898371" w14:textId="77777777" w:rsidR="00B318C6" w:rsidRPr="00AF18A3" w:rsidRDefault="00B318C6" w:rsidP="00711478">
      <w:pPr>
        <w:pStyle w:val="NormalWeb"/>
        <w:spacing w:before="0" w:beforeAutospacing="0" w:after="0" w:afterAutospacing="0" w:line="276" w:lineRule="auto"/>
        <w:jc w:val="both"/>
        <w:rPr>
          <w:sz w:val="20"/>
          <w:szCs w:val="20"/>
        </w:rPr>
      </w:pPr>
      <w:r w:rsidRPr="00AF18A3">
        <w:rPr>
          <w:sz w:val="20"/>
          <w:szCs w:val="20"/>
        </w:rPr>
        <w:t xml:space="preserve">A field experiment was conducted during the </w:t>
      </w:r>
      <w:r w:rsidRPr="00AF18A3">
        <w:rPr>
          <w:rStyle w:val="Emphasis"/>
          <w:rFonts w:eastAsiaTheme="majorEastAsia"/>
          <w:sz w:val="20"/>
          <w:szCs w:val="20"/>
        </w:rPr>
        <w:t>kharif</w:t>
      </w:r>
      <w:r w:rsidRPr="00AF18A3">
        <w:rPr>
          <w:sz w:val="20"/>
          <w:szCs w:val="20"/>
        </w:rPr>
        <w:t xml:space="preserve"> seasons of 2024 and 2025 at the Agronomy Research Farm, Faculty of Agriculture, Sher-e-Kashmir University of Agricultural Sciences and Technology of Kashmir (SKUAST-K), Wadura, Sopore, India. The experimental site was located at 34°21′ N latitude and 74°23′ E longitude, at an elevation of 1,590 m above mean sea level. The study was undertaken to evaluate the effects of foliar zinc (Zn) and iron (Fe) application on the growth dynamics and physiological growth indices of sweet corn under the temperate agro-ecology of Kashmir.</w:t>
      </w:r>
    </w:p>
    <w:p w14:paraId="1F8473C0" w14:textId="77777777" w:rsidR="00711478" w:rsidRPr="00AF18A3" w:rsidRDefault="00711478" w:rsidP="00711478">
      <w:pPr>
        <w:pStyle w:val="Heading3"/>
        <w:spacing w:before="0" w:after="0" w:line="276" w:lineRule="auto"/>
        <w:jc w:val="both"/>
        <w:rPr>
          <w:rFonts w:ascii="Times New Roman" w:hAnsi="Times New Roman" w:cs="Times New Roman"/>
          <w:color w:val="auto"/>
          <w:sz w:val="20"/>
          <w:szCs w:val="20"/>
        </w:rPr>
      </w:pPr>
    </w:p>
    <w:p w14:paraId="37593D3B" w14:textId="77777777" w:rsidR="00B318C6" w:rsidRPr="00AF18A3" w:rsidRDefault="00B318C6" w:rsidP="00711478">
      <w:pPr>
        <w:pStyle w:val="Heading3"/>
        <w:spacing w:before="0" w:after="0" w:line="276" w:lineRule="auto"/>
        <w:jc w:val="both"/>
        <w:rPr>
          <w:rFonts w:ascii="Times New Roman" w:hAnsi="Times New Roman" w:cs="Times New Roman"/>
          <w:b/>
          <w:bCs/>
          <w:color w:val="auto"/>
          <w:sz w:val="20"/>
          <w:szCs w:val="20"/>
        </w:rPr>
      </w:pPr>
      <w:r w:rsidRPr="00AF18A3">
        <w:rPr>
          <w:rFonts w:ascii="Times New Roman" w:hAnsi="Times New Roman" w:cs="Times New Roman"/>
          <w:b/>
          <w:bCs/>
          <w:color w:val="auto"/>
          <w:sz w:val="20"/>
          <w:szCs w:val="20"/>
        </w:rPr>
        <w:t>2.2 Plant Material and Crop Establishment</w:t>
      </w:r>
    </w:p>
    <w:p w14:paraId="758EC7EA" w14:textId="77777777" w:rsidR="00B318C6" w:rsidRPr="00AF18A3" w:rsidRDefault="00B318C6" w:rsidP="00711478">
      <w:pPr>
        <w:pStyle w:val="NormalWeb"/>
        <w:spacing w:before="0" w:beforeAutospacing="0" w:after="0" w:afterAutospacing="0" w:line="276" w:lineRule="auto"/>
        <w:jc w:val="both"/>
        <w:rPr>
          <w:sz w:val="20"/>
          <w:szCs w:val="20"/>
        </w:rPr>
      </w:pPr>
      <w:r w:rsidRPr="00AF18A3">
        <w:rPr>
          <w:sz w:val="20"/>
          <w:szCs w:val="20"/>
        </w:rPr>
        <w:t>Sweet corn (</w:t>
      </w:r>
      <w:r w:rsidRPr="00AF18A3">
        <w:rPr>
          <w:rStyle w:val="Emphasis"/>
          <w:rFonts w:eastAsiaTheme="majorEastAsia"/>
          <w:sz w:val="20"/>
          <w:szCs w:val="20"/>
        </w:rPr>
        <w:t>Zea mays</w:t>
      </w:r>
      <w:r w:rsidRPr="00AF18A3">
        <w:rPr>
          <w:sz w:val="20"/>
          <w:szCs w:val="20"/>
        </w:rPr>
        <w:t xml:space="preserve"> L.) variety ‘Sugar 75’ was used for the experiment. Seeds were sown on 4 May 2024 and 6 June 2025, followed by transplanting on 15 May 2024 and 17 June 2025, respectively. The crop was transplanted at a spacing of 60 cm × 20 cm using a seed rate of 20 kg ha⁻¹. The same cultivar and crop-establishment procedure were followed during both experimental years.</w:t>
      </w:r>
    </w:p>
    <w:p w14:paraId="019840CA" w14:textId="77777777" w:rsidR="00711478" w:rsidRPr="00AF18A3" w:rsidRDefault="00711478" w:rsidP="00711478">
      <w:pPr>
        <w:pStyle w:val="Heading3"/>
        <w:spacing w:before="0" w:after="0" w:line="276" w:lineRule="auto"/>
        <w:jc w:val="both"/>
        <w:rPr>
          <w:rFonts w:ascii="Times New Roman" w:hAnsi="Times New Roman" w:cs="Times New Roman"/>
          <w:color w:val="auto"/>
          <w:sz w:val="20"/>
          <w:szCs w:val="20"/>
        </w:rPr>
      </w:pPr>
    </w:p>
    <w:p w14:paraId="48FA44B2" w14:textId="77777777" w:rsidR="00B318C6" w:rsidRPr="00AF18A3" w:rsidRDefault="00B318C6" w:rsidP="00711478">
      <w:pPr>
        <w:pStyle w:val="Heading3"/>
        <w:spacing w:before="0" w:after="0" w:line="276" w:lineRule="auto"/>
        <w:jc w:val="both"/>
        <w:rPr>
          <w:rFonts w:ascii="Times New Roman" w:hAnsi="Times New Roman" w:cs="Times New Roman"/>
          <w:b/>
          <w:bCs/>
          <w:color w:val="auto"/>
          <w:sz w:val="20"/>
          <w:szCs w:val="20"/>
        </w:rPr>
      </w:pPr>
      <w:r w:rsidRPr="00AF18A3">
        <w:rPr>
          <w:rFonts w:ascii="Times New Roman" w:hAnsi="Times New Roman" w:cs="Times New Roman"/>
          <w:b/>
          <w:bCs/>
          <w:color w:val="auto"/>
          <w:sz w:val="20"/>
          <w:szCs w:val="20"/>
        </w:rPr>
        <w:t>2.3 Experimental Design and Treatments</w:t>
      </w:r>
    </w:p>
    <w:p w14:paraId="442A4D29" w14:textId="77777777" w:rsidR="00B318C6" w:rsidRDefault="00B318C6" w:rsidP="00711478">
      <w:pPr>
        <w:pStyle w:val="NormalWeb"/>
        <w:spacing w:before="0" w:beforeAutospacing="0" w:after="0" w:afterAutospacing="0" w:line="276" w:lineRule="auto"/>
        <w:jc w:val="both"/>
        <w:rPr>
          <w:sz w:val="20"/>
          <w:szCs w:val="20"/>
        </w:rPr>
      </w:pPr>
      <w:r w:rsidRPr="00AF18A3">
        <w:rPr>
          <w:sz w:val="20"/>
          <w:szCs w:val="20"/>
        </w:rPr>
        <w:t>The experiment was laid out in a randomized complete block design (RCBD) comprising 13 treatments with three replications. The recommended dose of fertiliser (RDF), consisting of 150:80:60 kg N:P₂O</w:t>
      </w:r>
      <w:proofErr w:type="gramStart"/>
      <w:r w:rsidRPr="00AF18A3">
        <w:rPr>
          <w:sz w:val="20"/>
          <w:szCs w:val="20"/>
        </w:rPr>
        <w:t>₅:K</w:t>
      </w:r>
      <w:proofErr w:type="gramEnd"/>
      <w:r w:rsidRPr="00AF18A3">
        <w:rPr>
          <w:sz w:val="20"/>
          <w:szCs w:val="20"/>
        </w:rPr>
        <w:t>₂O ha⁻¹, was applied uniformly to all treatments. The micronutrient treatments comprised foliar applications of chelated and inorganic sources of Fe and Zn at different concentrations. The treatments were:</w:t>
      </w:r>
    </w:p>
    <w:p w14:paraId="51952E5D" w14:textId="77777777" w:rsidR="00065665" w:rsidRDefault="00065665" w:rsidP="00711478">
      <w:pPr>
        <w:pStyle w:val="NormalWeb"/>
        <w:spacing w:before="0" w:beforeAutospacing="0" w:after="0" w:afterAutospacing="0" w:line="276" w:lineRule="auto"/>
        <w:jc w:val="both"/>
        <w:rPr>
          <w:sz w:val="20"/>
          <w:szCs w:val="20"/>
        </w:rPr>
      </w:pPr>
    </w:p>
    <w:p w14:paraId="62AA517E" w14:textId="753E5E69" w:rsidR="00965878" w:rsidRDefault="00065665" w:rsidP="00711478">
      <w:pPr>
        <w:pStyle w:val="NormalWeb"/>
        <w:spacing w:before="0" w:beforeAutospacing="0" w:after="0" w:afterAutospacing="0" w:line="276" w:lineRule="auto"/>
        <w:jc w:val="both"/>
        <w:rPr>
          <w:b/>
          <w:bCs/>
          <w:sz w:val="20"/>
          <w:szCs w:val="20"/>
        </w:rPr>
      </w:pPr>
      <w:r w:rsidRPr="006A4FE8">
        <w:rPr>
          <w:b/>
          <w:bCs/>
          <w:sz w:val="20"/>
          <w:szCs w:val="20"/>
          <w:highlight w:val="yellow"/>
        </w:rPr>
        <w:t>List 1: Treatment details of foliar-applied chelated and inorganic iron (Fe) and zinc (Zn) under the recommended dose of fertilizer (RDF)</w:t>
      </w:r>
    </w:p>
    <w:p w14:paraId="71C7F98F" w14:textId="77777777" w:rsidR="00065665" w:rsidRPr="00AF18A3" w:rsidRDefault="00065665" w:rsidP="00711478">
      <w:pPr>
        <w:pStyle w:val="NormalWeb"/>
        <w:spacing w:before="0" w:beforeAutospacing="0" w:after="0" w:afterAutospacing="0" w:line="276" w:lineRule="auto"/>
        <w:jc w:val="both"/>
        <w:rPr>
          <w:sz w:val="20"/>
          <w:szCs w:val="20"/>
        </w:rPr>
      </w:pPr>
    </w:p>
    <w:tbl>
      <w:tblPr>
        <w:tblStyle w:val="TableGrid"/>
        <w:tblW w:w="7531" w:type="dxa"/>
        <w:jc w:val="center"/>
        <w:tblLook w:val="04A0" w:firstRow="1" w:lastRow="0" w:firstColumn="1" w:lastColumn="0" w:noHBand="0" w:noVBand="1"/>
      </w:tblPr>
      <w:tblGrid>
        <w:gridCol w:w="1706"/>
        <w:gridCol w:w="5825"/>
      </w:tblGrid>
      <w:tr w:rsidR="0046655B" w:rsidRPr="00AF18A3" w14:paraId="0A5773E2" w14:textId="77777777" w:rsidTr="0046655B">
        <w:trPr>
          <w:trHeight w:val="284"/>
          <w:jc w:val="center"/>
        </w:trPr>
        <w:tc>
          <w:tcPr>
            <w:tcW w:w="0" w:type="auto"/>
            <w:hideMark/>
          </w:tcPr>
          <w:p w14:paraId="25DF03CD" w14:textId="77777777" w:rsidR="0046655B" w:rsidRPr="00AF18A3" w:rsidRDefault="0046655B" w:rsidP="004D7A6D">
            <w:pPr>
              <w:spacing w:line="276" w:lineRule="auto"/>
              <w:jc w:val="both"/>
              <w:rPr>
                <w:rFonts w:ascii="Times New Roman" w:hAnsi="Times New Roman" w:cs="Times New Roman"/>
                <w:b/>
                <w:bCs/>
                <w:sz w:val="20"/>
                <w:szCs w:val="20"/>
              </w:rPr>
            </w:pPr>
            <w:r w:rsidRPr="00AF18A3">
              <w:rPr>
                <w:rFonts w:ascii="Times New Roman" w:hAnsi="Times New Roman" w:cs="Times New Roman"/>
                <w:b/>
                <w:bCs/>
                <w:sz w:val="20"/>
                <w:szCs w:val="20"/>
              </w:rPr>
              <w:t>Treatment</w:t>
            </w:r>
          </w:p>
        </w:tc>
        <w:tc>
          <w:tcPr>
            <w:tcW w:w="0" w:type="auto"/>
            <w:hideMark/>
          </w:tcPr>
          <w:p w14:paraId="77A18425" w14:textId="77777777" w:rsidR="0046655B" w:rsidRPr="00AF18A3" w:rsidRDefault="0046655B" w:rsidP="004D7A6D">
            <w:pPr>
              <w:spacing w:line="276" w:lineRule="auto"/>
              <w:jc w:val="both"/>
              <w:rPr>
                <w:rFonts w:ascii="Times New Roman" w:hAnsi="Times New Roman" w:cs="Times New Roman"/>
                <w:b/>
                <w:bCs/>
                <w:sz w:val="20"/>
                <w:szCs w:val="20"/>
              </w:rPr>
            </w:pPr>
            <w:r w:rsidRPr="00AF18A3">
              <w:rPr>
                <w:rFonts w:ascii="Times New Roman" w:hAnsi="Times New Roman" w:cs="Times New Roman"/>
                <w:b/>
                <w:bCs/>
                <w:sz w:val="20"/>
                <w:szCs w:val="20"/>
              </w:rPr>
              <w:t>Treatment description</w:t>
            </w:r>
          </w:p>
        </w:tc>
      </w:tr>
      <w:tr w:rsidR="0046655B" w:rsidRPr="00AF18A3" w14:paraId="2D5A45C5" w14:textId="77777777" w:rsidTr="0046655B">
        <w:trPr>
          <w:trHeight w:val="301"/>
          <w:jc w:val="center"/>
        </w:trPr>
        <w:tc>
          <w:tcPr>
            <w:tcW w:w="0" w:type="auto"/>
            <w:hideMark/>
          </w:tcPr>
          <w:p w14:paraId="58056311" w14:textId="77777777" w:rsidR="0046655B" w:rsidRPr="00AF18A3" w:rsidRDefault="0046655B" w:rsidP="004D7A6D">
            <w:pPr>
              <w:spacing w:line="276" w:lineRule="auto"/>
              <w:jc w:val="both"/>
              <w:rPr>
                <w:rFonts w:ascii="Times New Roman" w:hAnsi="Times New Roman" w:cs="Times New Roman"/>
                <w:sz w:val="20"/>
                <w:szCs w:val="20"/>
              </w:rPr>
            </w:pPr>
            <w:r w:rsidRPr="00AF18A3">
              <w:rPr>
                <w:rFonts w:ascii="Times New Roman" w:hAnsi="Times New Roman" w:cs="Times New Roman"/>
                <w:sz w:val="20"/>
                <w:szCs w:val="20"/>
              </w:rPr>
              <w:t>T₁</w:t>
            </w:r>
          </w:p>
        </w:tc>
        <w:tc>
          <w:tcPr>
            <w:tcW w:w="0" w:type="auto"/>
            <w:hideMark/>
          </w:tcPr>
          <w:p w14:paraId="61B66555" w14:textId="77777777" w:rsidR="0046655B" w:rsidRPr="00AF18A3" w:rsidRDefault="0046655B" w:rsidP="004D7A6D">
            <w:pPr>
              <w:spacing w:line="276" w:lineRule="auto"/>
              <w:jc w:val="both"/>
              <w:rPr>
                <w:rFonts w:ascii="Times New Roman" w:hAnsi="Times New Roman" w:cs="Times New Roman"/>
                <w:sz w:val="20"/>
                <w:szCs w:val="20"/>
              </w:rPr>
            </w:pPr>
            <w:r w:rsidRPr="00AF18A3">
              <w:rPr>
                <w:rFonts w:ascii="Times New Roman" w:hAnsi="Times New Roman" w:cs="Times New Roman"/>
                <w:sz w:val="20"/>
                <w:szCs w:val="20"/>
              </w:rPr>
              <w:t>Control (RDF only; no Zn or Fe application)</w:t>
            </w:r>
          </w:p>
        </w:tc>
      </w:tr>
      <w:tr w:rsidR="0046655B" w:rsidRPr="00AF18A3" w14:paraId="27E03D00" w14:textId="77777777" w:rsidTr="0046655B">
        <w:trPr>
          <w:trHeight w:val="284"/>
          <w:jc w:val="center"/>
        </w:trPr>
        <w:tc>
          <w:tcPr>
            <w:tcW w:w="0" w:type="auto"/>
            <w:hideMark/>
          </w:tcPr>
          <w:p w14:paraId="7B3372E0" w14:textId="77777777" w:rsidR="0046655B" w:rsidRPr="00AF18A3" w:rsidRDefault="0046655B" w:rsidP="004D7A6D">
            <w:pPr>
              <w:spacing w:line="276" w:lineRule="auto"/>
              <w:jc w:val="both"/>
              <w:rPr>
                <w:rFonts w:ascii="Times New Roman" w:hAnsi="Times New Roman" w:cs="Times New Roman"/>
                <w:sz w:val="20"/>
                <w:szCs w:val="20"/>
              </w:rPr>
            </w:pPr>
            <w:r w:rsidRPr="00AF18A3">
              <w:rPr>
                <w:rFonts w:ascii="Times New Roman" w:hAnsi="Times New Roman" w:cs="Times New Roman"/>
                <w:sz w:val="20"/>
                <w:szCs w:val="20"/>
              </w:rPr>
              <w:t>T₂</w:t>
            </w:r>
          </w:p>
        </w:tc>
        <w:tc>
          <w:tcPr>
            <w:tcW w:w="0" w:type="auto"/>
            <w:hideMark/>
          </w:tcPr>
          <w:p w14:paraId="7FCAF32F" w14:textId="77777777" w:rsidR="0046655B" w:rsidRPr="00AF18A3" w:rsidRDefault="0046655B" w:rsidP="004D7A6D">
            <w:pPr>
              <w:spacing w:line="276" w:lineRule="auto"/>
              <w:jc w:val="both"/>
              <w:rPr>
                <w:rFonts w:ascii="Times New Roman" w:hAnsi="Times New Roman" w:cs="Times New Roman"/>
                <w:sz w:val="20"/>
                <w:szCs w:val="20"/>
              </w:rPr>
            </w:pPr>
            <w:r w:rsidRPr="00AF18A3">
              <w:rPr>
                <w:rFonts w:ascii="Times New Roman" w:hAnsi="Times New Roman" w:cs="Times New Roman"/>
                <w:sz w:val="20"/>
                <w:szCs w:val="20"/>
              </w:rPr>
              <w:t>Chelated Fe @ 0.25%</w:t>
            </w:r>
          </w:p>
        </w:tc>
      </w:tr>
      <w:tr w:rsidR="0046655B" w:rsidRPr="00AF18A3" w14:paraId="47F8BF4B" w14:textId="77777777" w:rsidTr="0046655B">
        <w:trPr>
          <w:trHeight w:val="284"/>
          <w:jc w:val="center"/>
        </w:trPr>
        <w:tc>
          <w:tcPr>
            <w:tcW w:w="0" w:type="auto"/>
            <w:hideMark/>
          </w:tcPr>
          <w:p w14:paraId="6090E444" w14:textId="77777777" w:rsidR="0046655B" w:rsidRPr="00AF18A3" w:rsidRDefault="0046655B" w:rsidP="004D7A6D">
            <w:pPr>
              <w:spacing w:line="276" w:lineRule="auto"/>
              <w:jc w:val="both"/>
              <w:rPr>
                <w:rFonts w:ascii="Times New Roman" w:hAnsi="Times New Roman" w:cs="Times New Roman"/>
                <w:sz w:val="20"/>
                <w:szCs w:val="20"/>
              </w:rPr>
            </w:pPr>
            <w:r w:rsidRPr="00AF18A3">
              <w:rPr>
                <w:rFonts w:ascii="Times New Roman" w:hAnsi="Times New Roman" w:cs="Times New Roman"/>
                <w:sz w:val="20"/>
                <w:szCs w:val="20"/>
              </w:rPr>
              <w:t>T₃</w:t>
            </w:r>
          </w:p>
        </w:tc>
        <w:tc>
          <w:tcPr>
            <w:tcW w:w="0" w:type="auto"/>
            <w:hideMark/>
          </w:tcPr>
          <w:p w14:paraId="3191F88B" w14:textId="77777777" w:rsidR="0046655B" w:rsidRPr="00AF18A3" w:rsidRDefault="0046655B" w:rsidP="004D7A6D">
            <w:pPr>
              <w:spacing w:line="276" w:lineRule="auto"/>
              <w:jc w:val="both"/>
              <w:rPr>
                <w:rFonts w:ascii="Times New Roman" w:hAnsi="Times New Roman" w:cs="Times New Roman"/>
                <w:sz w:val="20"/>
                <w:szCs w:val="20"/>
              </w:rPr>
            </w:pPr>
            <w:r w:rsidRPr="00AF18A3">
              <w:rPr>
                <w:rFonts w:ascii="Times New Roman" w:hAnsi="Times New Roman" w:cs="Times New Roman"/>
                <w:sz w:val="20"/>
                <w:szCs w:val="20"/>
              </w:rPr>
              <w:t>Chelated Fe @ 0.50%</w:t>
            </w:r>
          </w:p>
        </w:tc>
      </w:tr>
      <w:tr w:rsidR="0046655B" w:rsidRPr="00AF18A3" w14:paraId="63D8D838" w14:textId="77777777" w:rsidTr="0046655B">
        <w:trPr>
          <w:trHeight w:val="284"/>
          <w:jc w:val="center"/>
        </w:trPr>
        <w:tc>
          <w:tcPr>
            <w:tcW w:w="0" w:type="auto"/>
            <w:hideMark/>
          </w:tcPr>
          <w:p w14:paraId="2CCF6F12" w14:textId="77777777" w:rsidR="0046655B" w:rsidRPr="00AF18A3" w:rsidRDefault="0046655B" w:rsidP="004D7A6D">
            <w:pPr>
              <w:spacing w:line="276" w:lineRule="auto"/>
              <w:jc w:val="both"/>
              <w:rPr>
                <w:rFonts w:ascii="Times New Roman" w:hAnsi="Times New Roman" w:cs="Times New Roman"/>
                <w:sz w:val="20"/>
                <w:szCs w:val="20"/>
              </w:rPr>
            </w:pPr>
            <w:r w:rsidRPr="00AF18A3">
              <w:rPr>
                <w:rFonts w:ascii="Times New Roman" w:hAnsi="Times New Roman" w:cs="Times New Roman"/>
                <w:sz w:val="20"/>
                <w:szCs w:val="20"/>
              </w:rPr>
              <w:t>T₄</w:t>
            </w:r>
          </w:p>
        </w:tc>
        <w:tc>
          <w:tcPr>
            <w:tcW w:w="0" w:type="auto"/>
            <w:hideMark/>
          </w:tcPr>
          <w:p w14:paraId="2CE4E2AD" w14:textId="77777777" w:rsidR="0046655B" w:rsidRPr="00AF18A3" w:rsidRDefault="0046655B" w:rsidP="004D7A6D">
            <w:pPr>
              <w:spacing w:line="276" w:lineRule="auto"/>
              <w:jc w:val="both"/>
              <w:rPr>
                <w:rFonts w:ascii="Times New Roman" w:hAnsi="Times New Roman" w:cs="Times New Roman"/>
                <w:sz w:val="20"/>
                <w:szCs w:val="20"/>
              </w:rPr>
            </w:pPr>
            <w:r w:rsidRPr="00AF18A3">
              <w:rPr>
                <w:rFonts w:ascii="Times New Roman" w:hAnsi="Times New Roman" w:cs="Times New Roman"/>
                <w:sz w:val="20"/>
                <w:szCs w:val="20"/>
              </w:rPr>
              <w:t>Chelated Fe @ 0.75%</w:t>
            </w:r>
          </w:p>
        </w:tc>
      </w:tr>
      <w:tr w:rsidR="0046655B" w:rsidRPr="00AF18A3" w14:paraId="3553B820" w14:textId="77777777" w:rsidTr="0046655B">
        <w:trPr>
          <w:trHeight w:val="301"/>
          <w:jc w:val="center"/>
        </w:trPr>
        <w:tc>
          <w:tcPr>
            <w:tcW w:w="0" w:type="auto"/>
            <w:hideMark/>
          </w:tcPr>
          <w:p w14:paraId="10EBC03A" w14:textId="77777777" w:rsidR="0046655B" w:rsidRPr="00AF18A3" w:rsidRDefault="0046655B" w:rsidP="004D7A6D">
            <w:pPr>
              <w:spacing w:line="276" w:lineRule="auto"/>
              <w:jc w:val="both"/>
              <w:rPr>
                <w:rFonts w:ascii="Times New Roman" w:hAnsi="Times New Roman" w:cs="Times New Roman"/>
                <w:sz w:val="20"/>
                <w:szCs w:val="20"/>
              </w:rPr>
            </w:pPr>
            <w:r w:rsidRPr="00AF18A3">
              <w:rPr>
                <w:rFonts w:ascii="Times New Roman" w:hAnsi="Times New Roman" w:cs="Times New Roman"/>
                <w:sz w:val="20"/>
                <w:szCs w:val="20"/>
              </w:rPr>
              <w:t>T₅</w:t>
            </w:r>
          </w:p>
        </w:tc>
        <w:tc>
          <w:tcPr>
            <w:tcW w:w="0" w:type="auto"/>
            <w:hideMark/>
          </w:tcPr>
          <w:p w14:paraId="3F3A296B" w14:textId="77777777" w:rsidR="0046655B" w:rsidRPr="00AF18A3" w:rsidRDefault="0046655B" w:rsidP="004D7A6D">
            <w:pPr>
              <w:spacing w:line="276" w:lineRule="auto"/>
              <w:jc w:val="both"/>
              <w:rPr>
                <w:rFonts w:ascii="Times New Roman" w:hAnsi="Times New Roman" w:cs="Times New Roman"/>
                <w:sz w:val="20"/>
                <w:szCs w:val="20"/>
              </w:rPr>
            </w:pPr>
            <w:proofErr w:type="spellStart"/>
            <w:r w:rsidRPr="00AF18A3">
              <w:rPr>
                <w:rFonts w:ascii="Times New Roman" w:hAnsi="Times New Roman" w:cs="Times New Roman"/>
                <w:sz w:val="20"/>
                <w:szCs w:val="20"/>
              </w:rPr>
              <w:t>FeSO</w:t>
            </w:r>
            <w:proofErr w:type="spellEnd"/>
            <w:r w:rsidRPr="00AF18A3">
              <w:rPr>
                <w:rFonts w:ascii="Times New Roman" w:hAnsi="Times New Roman" w:cs="Times New Roman"/>
                <w:sz w:val="20"/>
                <w:szCs w:val="20"/>
              </w:rPr>
              <w:t>₄ @ 0.25%</w:t>
            </w:r>
          </w:p>
        </w:tc>
      </w:tr>
      <w:tr w:rsidR="0046655B" w:rsidRPr="00AF18A3" w14:paraId="49D727FB" w14:textId="77777777" w:rsidTr="0046655B">
        <w:trPr>
          <w:trHeight w:val="284"/>
          <w:jc w:val="center"/>
        </w:trPr>
        <w:tc>
          <w:tcPr>
            <w:tcW w:w="0" w:type="auto"/>
            <w:hideMark/>
          </w:tcPr>
          <w:p w14:paraId="67CB7DB0" w14:textId="77777777" w:rsidR="0046655B" w:rsidRPr="00AF18A3" w:rsidRDefault="0046655B" w:rsidP="004D7A6D">
            <w:pPr>
              <w:spacing w:line="276" w:lineRule="auto"/>
              <w:jc w:val="both"/>
              <w:rPr>
                <w:rFonts w:ascii="Times New Roman" w:hAnsi="Times New Roman" w:cs="Times New Roman"/>
                <w:sz w:val="20"/>
                <w:szCs w:val="20"/>
              </w:rPr>
            </w:pPr>
            <w:r w:rsidRPr="00AF18A3">
              <w:rPr>
                <w:rFonts w:ascii="Times New Roman" w:hAnsi="Times New Roman" w:cs="Times New Roman"/>
                <w:sz w:val="20"/>
                <w:szCs w:val="20"/>
              </w:rPr>
              <w:t>T₆</w:t>
            </w:r>
          </w:p>
        </w:tc>
        <w:tc>
          <w:tcPr>
            <w:tcW w:w="0" w:type="auto"/>
            <w:hideMark/>
          </w:tcPr>
          <w:p w14:paraId="04A1AF85" w14:textId="77777777" w:rsidR="0046655B" w:rsidRPr="00AF18A3" w:rsidRDefault="0046655B" w:rsidP="004D7A6D">
            <w:pPr>
              <w:spacing w:line="276" w:lineRule="auto"/>
              <w:jc w:val="both"/>
              <w:rPr>
                <w:rFonts w:ascii="Times New Roman" w:hAnsi="Times New Roman" w:cs="Times New Roman"/>
                <w:sz w:val="20"/>
                <w:szCs w:val="20"/>
              </w:rPr>
            </w:pPr>
            <w:proofErr w:type="spellStart"/>
            <w:r w:rsidRPr="00AF18A3">
              <w:rPr>
                <w:rFonts w:ascii="Times New Roman" w:hAnsi="Times New Roman" w:cs="Times New Roman"/>
                <w:sz w:val="20"/>
                <w:szCs w:val="20"/>
              </w:rPr>
              <w:t>FeSO</w:t>
            </w:r>
            <w:proofErr w:type="spellEnd"/>
            <w:r w:rsidRPr="00AF18A3">
              <w:rPr>
                <w:rFonts w:ascii="Times New Roman" w:hAnsi="Times New Roman" w:cs="Times New Roman"/>
                <w:sz w:val="20"/>
                <w:szCs w:val="20"/>
              </w:rPr>
              <w:t>₄ @ 0.50%</w:t>
            </w:r>
          </w:p>
        </w:tc>
      </w:tr>
      <w:tr w:rsidR="0046655B" w:rsidRPr="00AF18A3" w14:paraId="3BF748E4" w14:textId="77777777" w:rsidTr="0046655B">
        <w:trPr>
          <w:trHeight w:val="284"/>
          <w:jc w:val="center"/>
        </w:trPr>
        <w:tc>
          <w:tcPr>
            <w:tcW w:w="0" w:type="auto"/>
            <w:hideMark/>
          </w:tcPr>
          <w:p w14:paraId="5E259788" w14:textId="77777777" w:rsidR="0046655B" w:rsidRPr="00AF18A3" w:rsidRDefault="0046655B" w:rsidP="004D7A6D">
            <w:pPr>
              <w:spacing w:line="276" w:lineRule="auto"/>
              <w:jc w:val="both"/>
              <w:rPr>
                <w:rFonts w:ascii="Times New Roman" w:hAnsi="Times New Roman" w:cs="Times New Roman"/>
                <w:sz w:val="20"/>
                <w:szCs w:val="20"/>
              </w:rPr>
            </w:pPr>
            <w:r w:rsidRPr="00AF18A3">
              <w:rPr>
                <w:rFonts w:ascii="Times New Roman" w:hAnsi="Times New Roman" w:cs="Times New Roman"/>
                <w:sz w:val="20"/>
                <w:szCs w:val="20"/>
              </w:rPr>
              <w:t>T₇</w:t>
            </w:r>
          </w:p>
        </w:tc>
        <w:tc>
          <w:tcPr>
            <w:tcW w:w="0" w:type="auto"/>
            <w:hideMark/>
          </w:tcPr>
          <w:p w14:paraId="633323F5" w14:textId="77777777" w:rsidR="0046655B" w:rsidRPr="00AF18A3" w:rsidRDefault="0046655B" w:rsidP="004D7A6D">
            <w:pPr>
              <w:spacing w:line="276" w:lineRule="auto"/>
              <w:jc w:val="both"/>
              <w:rPr>
                <w:rFonts w:ascii="Times New Roman" w:hAnsi="Times New Roman" w:cs="Times New Roman"/>
                <w:sz w:val="20"/>
                <w:szCs w:val="20"/>
              </w:rPr>
            </w:pPr>
            <w:proofErr w:type="spellStart"/>
            <w:r w:rsidRPr="00AF18A3">
              <w:rPr>
                <w:rFonts w:ascii="Times New Roman" w:hAnsi="Times New Roman" w:cs="Times New Roman"/>
                <w:sz w:val="20"/>
                <w:szCs w:val="20"/>
              </w:rPr>
              <w:t>FeSO</w:t>
            </w:r>
            <w:proofErr w:type="spellEnd"/>
            <w:r w:rsidRPr="00AF18A3">
              <w:rPr>
                <w:rFonts w:ascii="Times New Roman" w:hAnsi="Times New Roman" w:cs="Times New Roman"/>
                <w:sz w:val="20"/>
                <w:szCs w:val="20"/>
              </w:rPr>
              <w:t>₄ @ 0.75%</w:t>
            </w:r>
          </w:p>
        </w:tc>
      </w:tr>
      <w:tr w:rsidR="0046655B" w:rsidRPr="00AF18A3" w14:paraId="3756C5A9" w14:textId="77777777" w:rsidTr="0046655B">
        <w:trPr>
          <w:trHeight w:val="301"/>
          <w:jc w:val="center"/>
        </w:trPr>
        <w:tc>
          <w:tcPr>
            <w:tcW w:w="0" w:type="auto"/>
            <w:hideMark/>
          </w:tcPr>
          <w:p w14:paraId="18B43955" w14:textId="77777777" w:rsidR="0046655B" w:rsidRPr="00AF18A3" w:rsidRDefault="0046655B" w:rsidP="004D7A6D">
            <w:pPr>
              <w:spacing w:line="276" w:lineRule="auto"/>
              <w:jc w:val="both"/>
              <w:rPr>
                <w:rFonts w:ascii="Times New Roman" w:hAnsi="Times New Roman" w:cs="Times New Roman"/>
                <w:sz w:val="20"/>
                <w:szCs w:val="20"/>
              </w:rPr>
            </w:pPr>
            <w:r w:rsidRPr="00AF18A3">
              <w:rPr>
                <w:rFonts w:ascii="Times New Roman" w:hAnsi="Times New Roman" w:cs="Times New Roman"/>
                <w:sz w:val="20"/>
                <w:szCs w:val="20"/>
              </w:rPr>
              <w:t>T₈</w:t>
            </w:r>
          </w:p>
        </w:tc>
        <w:tc>
          <w:tcPr>
            <w:tcW w:w="0" w:type="auto"/>
            <w:hideMark/>
          </w:tcPr>
          <w:p w14:paraId="550837F0" w14:textId="77777777" w:rsidR="0046655B" w:rsidRPr="00AF18A3" w:rsidRDefault="0046655B" w:rsidP="004D7A6D">
            <w:pPr>
              <w:spacing w:line="276" w:lineRule="auto"/>
              <w:jc w:val="both"/>
              <w:rPr>
                <w:rFonts w:ascii="Times New Roman" w:hAnsi="Times New Roman" w:cs="Times New Roman"/>
                <w:sz w:val="20"/>
                <w:szCs w:val="20"/>
              </w:rPr>
            </w:pPr>
            <w:r w:rsidRPr="00AF18A3">
              <w:rPr>
                <w:rFonts w:ascii="Times New Roman" w:hAnsi="Times New Roman" w:cs="Times New Roman"/>
                <w:sz w:val="20"/>
                <w:szCs w:val="20"/>
              </w:rPr>
              <w:t>Chelated Zn @ 0.25%</w:t>
            </w:r>
          </w:p>
        </w:tc>
      </w:tr>
      <w:tr w:rsidR="0046655B" w:rsidRPr="00AF18A3" w14:paraId="1FB30E81" w14:textId="77777777" w:rsidTr="0046655B">
        <w:trPr>
          <w:trHeight w:val="284"/>
          <w:jc w:val="center"/>
        </w:trPr>
        <w:tc>
          <w:tcPr>
            <w:tcW w:w="0" w:type="auto"/>
            <w:hideMark/>
          </w:tcPr>
          <w:p w14:paraId="16E9A536" w14:textId="77777777" w:rsidR="0046655B" w:rsidRPr="00AF18A3" w:rsidRDefault="0046655B" w:rsidP="004D7A6D">
            <w:pPr>
              <w:spacing w:line="276" w:lineRule="auto"/>
              <w:jc w:val="both"/>
              <w:rPr>
                <w:rFonts w:ascii="Times New Roman" w:hAnsi="Times New Roman" w:cs="Times New Roman"/>
                <w:sz w:val="20"/>
                <w:szCs w:val="20"/>
              </w:rPr>
            </w:pPr>
            <w:r w:rsidRPr="00AF18A3">
              <w:rPr>
                <w:rFonts w:ascii="Times New Roman" w:hAnsi="Times New Roman" w:cs="Times New Roman"/>
                <w:sz w:val="20"/>
                <w:szCs w:val="20"/>
              </w:rPr>
              <w:t>T₉</w:t>
            </w:r>
          </w:p>
        </w:tc>
        <w:tc>
          <w:tcPr>
            <w:tcW w:w="0" w:type="auto"/>
            <w:hideMark/>
          </w:tcPr>
          <w:p w14:paraId="1C73C0AB" w14:textId="77777777" w:rsidR="0046655B" w:rsidRPr="00AF18A3" w:rsidRDefault="0046655B" w:rsidP="004D7A6D">
            <w:pPr>
              <w:spacing w:line="276" w:lineRule="auto"/>
              <w:jc w:val="both"/>
              <w:rPr>
                <w:rFonts w:ascii="Times New Roman" w:hAnsi="Times New Roman" w:cs="Times New Roman"/>
                <w:sz w:val="20"/>
                <w:szCs w:val="20"/>
              </w:rPr>
            </w:pPr>
            <w:r w:rsidRPr="00AF18A3">
              <w:rPr>
                <w:rFonts w:ascii="Times New Roman" w:hAnsi="Times New Roman" w:cs="Times New Roman"/>
                <w:sz w:val="20"/>
                <w:szCs w:val="20"/>
              </w:rPr>
              <w:t>Chelated Zn @ 0.50%</w:t>
            </w:r>
          </w:p>
        </w:tc>
      </w:tr>
      <w:tr w:rsidR="0046655B" w:rsidRPr="00AF18A3" w14:paraId="4ED1D7CD" w14:textId="77777777" w:rsidTr="0046655B">
        <w:trPr>
          <w:trHeight w:val="284"/>
          <w:jc w:val="center"/>
        </w:trPr>
        <w:tc>
          <w:tcPr>
            <w:tcW w:w="0" w:type="auto"/>
            <w:hideMark/>
          </w:tcPr>
          <w:p w14:paraId="33402F0D" w14:textId="77777777" w:rsidR="0046655B" w:rsidRPr="00AF18A3" w:rsidRDefault="0046655B" w:rsidP="004D7A6D">
            <w:pPr>
              <w:spacing w:line="276" w:lineRule="auto"/>
              <w:jc w:val="both"/>
              <w:rPr>
                <w:rFonts w:ascii="Times New Roman" w:hAnsi="Times New Roman" w:cs="Times New Roman"/>
                <w:sz w:val="20"/>
                <w:szCs w:val="20"/>
              </w:rPr>
            </w:pPr>
            <w:r w:rsidRPr="00AF18A3">
              <w:rPr>
                <w:rFonts w:ascii="Times New Roman" w:hAnsi="Times New Roman" w:cs="Times New Roman"/>
                <w:sz w:val="20"/>
                <w:szCs w:val="20"/>
              </w:rPr>
              <w:t>T₁₀</w:t>
            </w:r>
          </w:p>
        </w:tc>
        <w:tc>
          <w:tcPr>
            <w:tcW w:w="0" w:type="auto"/>
            <w:hideMark/>
          </w:tcPr>
          <w:p w14:paraId="4059C470" w14:textId="77777777" w:rsidR="0046655B" w:rsidRPr="00AF18A3" w:rsidRDefault="0046655B" w:rsidP="004D7A6D">
            <w:pPr>
              <w:spacing w:line="276" w:lineRule="auto"/>
              <w:jc w:val="both"/>
              <w:rPr>
                <w:rFonts w:ascii="Times New Roman" w:hAnsi="Times New Roman" w:cs="Times New Roman"/>
                <w:sz w:val="20"/>
                <w:szCs w:val="20"/>
              </w:rPr>
            </w:pPr>
            <w:r w:rsidRPr="00AF18A3">
              <w:rPr>
                <w:rFonts w:ascii="Times New Roman" w:hAnsi="Times New Roman" w:cs="Times New Roman"/>
                <w:sz w:val="20"/>
                <w:szCs w:val="20"/>
              </w:rPr>
              <w:t>Chelated Zn @ 0.75%</w:t>
            </w:r>
          </w:p>
        </w:tc>
      </w:tr>
      <w:tr w:rsidR="0046655B" w:rsidRPr="00AF18A3" w14:paraId="2D3637AF" w14:textId="77777777" w:rsidTr="0046655B">
        <w:trPr>
          <w:trHeight w:val="301"/>
          <w:jc w:val="center"/>
        </w:trPr>
        <w:tc>
          <w:tcPr>
            <w:tcW w:w="0" w:type="auto"/>
            <w:hideMark/>
          </w:tcPr>
          <w:p w14:paraId="6350A884" w14:textId="77777777" w:rsidR="0046655B" w:rsidRPr="00AF18A3" w:rsidRDefault="0046655B" w:rsidP="004D7A6D">
            <w:pPr>
              <w:spacing w:line="276" w:lineRule="auto"/>
              <w:jc w:val="both"/>
              <w:rPr>
                <w:rFonts w:ascii="Times New Roman" w:hAnsi="Times New Roman" w:cs="Times New Roman"/>
                <w:sz w:val="20"/>
                <w:szCs w:val="20"/>
              </w:rPr>
            </w:pPr>
            <w:r w:rsidRPr="00AF18A3">
              <w:rPr>
                <w:rFonts w:ascii="Times New Roman" w:hAnsi="Times New Roman" w:cs="Times New Roman"/>
                <w:sz w:val="20"/>
                <w:szCs w:val="20"/>
              </w:rPr>
              <w:t>T₁₁</w:t>
            </w:r>
          </w:p>
        </w:tc>
        <w:tc>
          <w:tcPr>
            <w:tcW w:w="0" w:type="auto"/>
            <w:hideMark/>
          </w:tcPr>
          <w:p w14:paraId="285DB003" w14:textId="77777777" w:rsidR="0046655B" w:rsidRPr="00AF18A3" w:rsidRDefault="0046655B" w:rsidP="004D7A6D">
            <w:pPr>
              <w:spacing w:line="276" w:lineRule="auto"/>
              <w:jc w:val="both"/>
              <w:rPr>
                <w:rFonts w:ascii="Times New Roman" w:hAnsi="Times New Roman" w:cs="Times New Roman"/>
                <w:sz w:val="20"/>
                <w:szCs w:val="20"/>
              </w:rPr>
            </w:pPr>
            <w:proofErr w:type="spellStart"/>
            <w:r w:rsidRPr="00AF18A3">
              <w:rPr>
                <w:rFonts w:ascii="Times New Roman" w:hAnsi="Times New Roman" w:cs="Times New Roman"/>
                <w:sz w:val="20"/>
                <w:szCs w:val="20"/>
              </w:rPr>
              <w:t>ZnSO</w:t>
            </w:r>
            <w:proofErr w:type="spellEnd"/>
            <w:r w:rsidRPr="00AF18A3">
              <w:rPr>
                <w:rFonts w:ascii="Times New Roman" w:hAnsi="Times New Roman" w:cs="Times New Roman"/>
                <w:sz w:val="20"/>
                <w:szCs w:val="20"/>
              </w:rPr>
              <w:t>₄ @ 0.25%</w:t>
            </w:r>
          </w:p>
        </w:tc>
      </w:tr>
      <w:tr w:rsidR="0046655B" w:rsidRPr="00AF18A3" w14:paraId="11226E0F" w14:textId="77777777" w:rsidTr="0046655B">
        <w:trPr>
          <w:trHeight w:val="284"/>
          <w:jc w:val="center"/>
        </w:trPr>
        <w:tc>
          <w:tcPr>
            <w:tcW w:w="0" w:type="auto"/>
            <w:hideMark/>
          </w:tcPr>
          <w:p w14:paraId="14031130" w14:textId="77777777" w:rsidR="0046655B" w:rsidRPr="00AF18A3" w:rsidRDefault="0046655B" w:rsidP="004D7A6D">
            <w:pPr>
              <w:spacing w:line="276" w:lineRule="auto"/>
              <w:jc w:val="both"/>
              <w:rPr>
                <w:rFonts w:ascii="Times New Roman" w:hAnsi="Times New Roman" w:cs="Times New Roman"/>
                <w:sz w:val="20"/>
                <w:szCs w:val="20"/>
              </w:rPr>
            </w:pPr>
            <w:r w:rsidRPr="00AF18A3">
              <w:rPr>
                <w:rFonts w:ascii="Times New Roman" w:hAnsi="Times New Roman" w:cs="Times New Roman"/>
                <w:sz w:val="20"/>
                <w:szCs w:val="20"/>
              </w:rPr>
              <w:t>T₁₂</w:t>
            </w:r>
          </w:p>
        </w:tc>
        <w:tc>
          <w:tcPr>
            <w:tcW w:w="0" w:type="auto"/>
            <w:hideMark/>
          </w:tcPr>
          <w:p w14:paraId="54B72565" w14:textId="77777777" w:rsidR="0046655B" w:rsidRPr="00AF18A3" w:rsidRDefault="0046655B" w:rsidP="004D7A6D">
            <w:pPr>
              <w:spacing w:line="276" w:lineRule="auto"/>
              <w:jc w:val="both"/>
              <w:rPr>
                <w:rFonts w:ascii="Times New Roman" w:hAnsi="Times New Roman" w:cs="Times New Roman"/>
                <w:sz w:val="20"/>
                <w:szCs w:val="20"/>
              </w:rPr>
            </w:pPr>
            <w:proofErr w:type="spellStart"/>
            <w:r w:rsidRPr="00AF18A3">
              <w:rPr>
                <w:rFonts w:ascii="Times New Roman" w:hAnsi="Times New Roman" w:cs="Times New Roman"/>
                <w:sz w:val="20"/>
                <w:szCs w:val="20"/>
              </w:rPr>
              <w:t>ZnSO</w:t>
            </w:r>
            <w:proofErr w:type="spellEnd"/>
            <w:r w:rsidRPr="00AF18A3">
              <w:rPr>
                <w:rFonts w:ascii="Times New Roman" w:hAnsi="Times New Roman" w:cs="Times New Roman"/>
                <w:sz w:val="20"/>
                <w:szCs w:val="20"/>
              </w:rPr>
              <w:t>₄ @ 0.50%</w:t>
            </w:r>
          </w:p>
        </w:tc>
      </w:tr>
      <w:tr w:rsidR="0046655B" w:rsidRPr="00AF18A3" w14:paraId="4F99D0AD" w14:textId="77777777" w:rsidTr="0046655B">
        <w:trPr>
          <w:trHeight w:val="284"/>
          <w:jc w:val="center"/>
        </w:trPr>
        <w:tc>
          <w:tcPr>
            <w:tcW w:w="0" w:type="auto"/>
            <w:hideMark/>
          </w:tcPr>
          <w:p w14:paraId="70E4EB2C" w14:textId="77777777" w:rsidR="0046655B" w:rsidRPr="00AF18A3" w:rsidRDefault="0046655B" w:rsidP="004D7A6D">
            <w:pPr>
              <w:spacing w:line="276" w:lineRule="auto"/>
              <w:jc w:val="both"/>
              <w:rPr>
                <w:rFonts w:ascii="Times New Roman" w:hAnsi="Times New Roman" w:cs="Times New Roman"/>
                <w:sz w:val="20"/>
                <w:szCs w:val="20"/>
              </w:rPr>
            </w:pPr>
            <w:r w:rsidRPr="00AF18A3">
              <w:rPr>
                <w:rFonts w:ascii="Times New Roman" w:hAnsi="Times New Roman" w:cs="Times New Roman"/>
                <w:sz w:val="20"/>
                <w:szCs w:val="20"/>
              </w:rPr>
              <w:t>T₁₃</w:t>
            </w:r>
          </w:p>
        </w:tc>
        <w:tc>
          <w:tcPr>
            <w:tcW w:w="0" w:type="auto"/>
            <w:hideMark/>
          </w:tcPr>
          <w:p w14:paraId="191ED9E4" w14:textId="77777777" w:rsidR="0046655B" w:rsidRPr="00AF18A3" w:rsidRDefault="0046655B" w:rsidP="004D7A6D">
            <w:pPr>
              <w:spacing w:line="276" w:lineRule="auto"/>
              <w:jc w:val="both"/>
              <w:rPr>
                <w:rFonts w:ascii="Times New Roman" w:hAnsi="Times New Roman" w:cs="Times New Roman"/>
                <w:sz w:val="20"/>
                <w:szCs w:val="20"/>
              </w:rPr>
            </w:pPr>
            <w:proofErr w:type="spellStart"/>
            <w:r w:rsidRPr="00AF18A3">
              <w:rPr>
                <w:rFonts w:ascii="Times New Roman" w:hAnsi="Times New Roman" w:cs="Times New Roman"/>
                <w:sz w:val="20"/>
                <w:szCs w:val="20"/>
              </w:rPr>
              <w:t>ZnSO</w:t>
            </w:r>
            <w:proofErr w:type="spellEnd"/>
            <w:r w:rsidRPr="00AF18A3">
              <w:rPr>
                <w:rFonts w:ascii="Times New Roman" w:hAnsi="Times New Roman" w:cs="Times New Roman"/>
                <w:sz w:val="20"/>
                <w:szCs w:val="20"/>
              </w:rPr>
              <w:t>₄ @ 0.75%</w:t>
            </w:r>
          </w:p>
        </w:tc>
      </w:tr>
    </w:tbl>
    <w:p w14:paraId="5AE75650" w14:textId="77777777" w:rsidR="0046655B" w:rsidRPr="00AF18A3" w:rsidRDefault="0046655B" w:rsidP="00711478">
      <w:pPr>
        <w:pStyle w:val="NormalWeb"/>
        <w:spacing w:before="0" w:beforeAutospacing="0" w:after="0" w:afterAutospacing="0" w:line="276" w:lineRule="auto"/>
        <w:jc w:val="both"/>
        <w:rPr>
          <w:sz w:val="20"/>
          <w:szCs w:val="20"/>
        </w:rPr>
      </w:pPr>
    </w:p>
    <w:p w14:paraId="77E71041" w14:textId="77777777" w:rsidR="00B318C6" w:rsidRPr="00AF18A3" w:rsidRDefault="00B318C6" w:rsidP="00711478">
      <w:pPr>
        <w:pStyle w:val="NormalWeb"/>
        <w:spacing w:before="0" w:beforeAutospacing="0" w:after="0" w:afterAutospacing="0" w:line="276" w:lineRule="auto"/>
        <w:jc w:val="both"/>
        <w:rPr>
          <w:sz w:val="20"/>
          <w:szCs w:val="20"/>
        </w:rPr>
      </w:pPr>
      <w:r w:rsidRPr="00AF18A3">
        <w:rPr>
          <w:sz w:val="20"/>
          <w:szCs w:val="20"/>
        </w:rPr>
        <w:t>The foliar application of the respective micronutrient treatments was carried out at the knee-height stage of the crop. The treatment classification and concentrations were standardised according to the treatment descriptions presented in the experimental data tables, where T₉ and T₁₀ correspond to chelated Zn @ 0.50% and 0.75%, respectively.</w:t>
      </w:r>
    </w:p>
    <w:p w14:paraId="76677B9B" w14:textId="77777777" w:rsidR="0046655B" w:rsidRPr="00AF18A3" w:rsidRDefault="0046655B" w:rsidP="00711478">
      <w:pPr>
        <w:pStyle w:val="NormalWeb"/>
        <w:spacing w:before="0" w:beforeAutospacing="0" w:after="0" w:afterAutospacing="0" w:line="276" w:lineRule="auto"/>
        <w:jc w:val="both"/>
        <w:rPr>
          <w:sz w:val="20"/>
          <w:szCs w:val="20"/>
        </w:rPr>
      </w:pPr>
    </w:p>
    <w:p w14:paraId="7AFDDC05" w14:textId="77777777" w:rsidR="00B318C6" w:rsidRPr="00AF18A3" w:rsidRDefault="00B318C6" w:rsidP="00711478">
      <w:pPr>
        <w:pStyle w:val="Heading3"/>
        <w:spacing w:before="0" w:after="0" w:line="276" w:lineRule="auto"/>
        <w:jc w:val="both"/>
        <w:rPr>
          <w:rFonts w:ascii="Times New Roman" w:hAnsi="Times New Roman" w:cs="Times New Roman"/>
          <w:b/>
          <w:bCs/>
          <w:color w:val="auto"/>
          <w:sz w:val="20"/>
          <w:szCs w:val="20"/>
        </w:rPr>
      </w:pPr>
      <w:r w:rsidRPr="00AF18A3">
        <w:rPr>
          <w:rFonts w:ascii="Times New Roman" w:hAnsi="Times New Roman" w:cs="Times New Roman"/>
          <w:b/>
          <w:bCs/>
          <w:color w:val="auto"/>
          <w:sz w:val="20"/>
          <w:szCs w:val="20"/>
        </w:rPr>
        <w:t>2.4 Sampling and Growth Observations</w:t>
      </w:r>
    </w:p>
    <w:p w14:paraId="77EEAF9D" w14:textId="77777777" w:rsidR="00B318C6" w:rsidRPr="00AF18A3" w:rsidRDefault="00B318C6" w:rsidP="00711478">
      <w:pPr>
        <w:pStyle w:val="NormalWeb"/>
        <w:spacing w:before="0" w:beforeAutospacing="0" w:after="0" w:afterAutospacing="0" w:line="276" w:lineRule="auto"/>
        <w:jc w:val="both"/>
        <w:rPr>
          <w:sz w:val="20"/>
          <w:szCs w:val="20"/>
        </w:rPr>
      </w:pPr>
      <w:r w:rsidRPr="00AF18A3">
        <w:rPr>
          <w:sz w:val="20"/>
          <w:szCs w:val="20"/>
        </w:rPr>
        <w:t>Biometric observations were recorded at 30-day intervals from transplanting. Five plants were randomly selected and tagged within the net plot area of each experimental unit for recording growth observations. Growth measurements were taken at successive crop-growth intervals to assess changes in biomass accumulation and physiological growth efficiency during crop development.</w:t>
      </w:r>
    </w:p>
    <w:p w14:paraId="1AD4075C" w14:textId="77777777" w:rsidR="0046655B" w:rsidRPr="00AF18A3" w:rsidRDefault="0046655B" w:rsidP="00711478">
      <w:pPr>
        <w:pStyle w:val="Heading3"/>
        <w:spacing w:before="0" w:after="0" w:line="276" w:lineRule="auto"/>
        <w:jc w:val="both"/>
        <w:rPr>
          <w:rFonts w:ascii="Times New Roman" w:hAnsi="Times New Roman" w:cs="Times New Roman"/>
          <w:color w:val="auto"/>
          <w:sz w:val="20"/>
          <w:szCs w:val="20"/>
        </w:rPr>
      </w:pPr>
    </w:p>
    <w:p w14:paraId="532B087F" w14:textId="77777777" w:rsidR="00B318C6" w:rsidRPr="00AF18A3" w:rsidRDefault="00B318C6" w:rsidP="00711478">
      <w:pPr>
        <w:pStyle w:val="Heading3"/>
        <w:spacing w:before="0" w:after="0" w:line="276" w:lineRule="auto"/>
        <w:jc w:val="both"/>
        <w:rPr>
          <w:rFonts w:ascii="Times New Roman" w:hAnsi="Times New Roman" w:cs="Times New Roman"/>
          <w:b/>
          <w:bCs/>
          <w:color w:val="auto"/>
          <w:sz w:val="20"/>
          <w:szCs w:val="20"/>
        </w:rPr>
      </w:pPr>
      <w:r w:rsidRPr="00AF18A3">
        <w:rPr>
          <w:rFonts w:ascii="Times New Roman" w:hAnsi="Times New Roman" w:cs="Times New Roman"/>
          <w:b/>
          <w:bCs/>
          <w:color w:val="auto"/>
          <w:sz w:val="20"/>
          <w:szCs w:val="20"/>
        </w:rPr>
        <w:t>2.5 Growth Analysis</w:t>
      </w:r>
    </w:p>
    <w:p w14:paraId="34F1D331" w14:textId="77777777" w:rsidR="00B318C6" w:rsidRPr="00AF18A3" w:rsidRDefault="00B318C6" w:rsidP="00711478">
      <w:pPr>
        <w:pStyle w:val="NormalWeb"/>
        <w:spacing w:before="0" w:beforeAutospacing="0" w:after="0" w:afterAutospacing="0" w:line="276" w:lineRule="auto"/>
        <w:jc w:val="both"/>
        <w:rPr>
          <w:sz w:val="20"/>
          <w:szCs w:val="20"/>
        </w:rPr>
      </w:pPr>
      <w:r w:rsidRPr="00AF18A3">
        <w:rPr>
          <w:sz w:val="20"/>
          <w:szCs w:val="20"/>
        </w:rPr>
        <w:t>Growth analysis was performed using crop growth rate (CGR), relative growth rate (RGR) and net assimilation rate (NAR). These indices were used to characterise biomass accumulation, relative biomass production and dry-matter production efficiency during different stages of crop growth. CGR was assessed for the 0–30, 30–60 and 60–90 days after transplanting (DAT) intervals, whereas RGR and NAR were evaluated for the 30–60 and 60–90 DAT intervals, as presented in the experimental results.</w:t>
      </w:r>
    </w:p>
    <w:p w14:paraId="3C3FDD96" w14:textId="77777777" w:rsidR="0046655B" w:rsidRPr="00AF18A3" w:rsidRDefault="0046655B" w:rsidP="00711478">
      <w:pPr>
        <w:pStyle w:val="Heading4"/>
        <w:spacing w:before="0" w:after="0" w:line="276" w:lineRule="auto"/>
        <w:jc w:val="both"/>
        <w:rPr>
          <w:rFonts w:ascii="Times New Roman" w:hAnsi="Times New Roman" w:cs="Times New Roman"/>
          <w:color w:val="auto"/>
          <w:sz w:val="20"/>
          <w:szCs w:val="20"/>
        </w:rPr>
      </w:pPr>
    </w:p>
    <w:p w14:paraId="792494B6" w14:textId="77777777" w:rsidR="00B318C6" w:rsidRPr="00AF18A3" w:rsidRDefault="00B318C6" w:rsidP="00711478">
      <w:pPr>
        <w:pStyle w:val="Heading4"/>
        <w:spacing w:before="0" w:after="0" w:line="276" w:lineRule="auto"/>
        <w:jc w:val="both"/>
        <w:rPr>
          <w:rFonts w:ascii="Times New Roman" w:hAnsi="Times New Roman" w:cs="Times New Roman"/>
          <w:b/>
          <w:bCs/>
          <w:color w:val="auto"/>
          <w:sz w:val="20"/>
          <w:szCs w:val="20"/>
        </w:rPr>
      </w:pPr>
      <w:r w:rsidRPr="00AF18A3">
        <w:rPr>
          <w:rFonts w:ascii="Times New Roman" w:hAnsi="Times New Roman" w:cs="Times New Roman"/>
          <w:b/>
          <w:bCs/>
          <w:color w:val="auto"/>
          <w:sz w:val="20"/>
          <w:szCs w:val="20"/>
        </w:rPr>
        <w:t>2.5.1 Crop Growth Rate</w:t>
      </w:r>
    </w:p>
    <w:p w14:paraId="0B6A066D" w14:textId="77777777" w:rsidR="00B318C6" w:rsidRPr="00AF18A3" w:rsidRDefault="00B318C6" w:rsidP="00711478">
      <w:pPr>
        <w:pStyle w:val="NormalWeb"/>
        <w:spacing w:before="0" w:beforeAutospacing="0" w:after="0" w:afterAutospacing="0" w:line="276" w:lineRule="auto"/>
        <w:jc w:val="both"/>
        <w:rPr>
          <w:sz w:val="20"/>
          <w:szCs w:val="20"/>
        </w:rPr>
      </w:pPr>
      <w:r w:rsidRPr="00AF18A3">
        <w:rPr>
          <w:sz w:val="20"/>
          <w:szCs w:val="20"/>
        </w:rPr>
        <w:t>Crop growth rate (CGR) was expressed as the rate of dry-matter accumulation per unit ground area per unit time, in g m⁻² day⁻¹. CGR was calculated for each successive growth interval to determine the rate of biomass accumulation under different Zn and Fe treatments.</w:t>
      </w:r>
    </w:p>
    <w:p w14:paraId="7D854442" w14:textId="77777777" w:rsidR="00B318C6" w:rsidRPr="00AF18A3" w:rsidRDefault="00B318C6" w:rsidP="00711478">
      <w:pPr>
        <w:pStyle w:val="Heading4"/>
        <w:spacing w:before="0" w:after="0" w:line="276" w:lineRule="auto"/>
        <w:jc w:val="both"/>
        <w:rPr>
          <w:rFonts w:ascii="Times New Roman" w:hAnsi="Times New Roman" w:cs="Times New Roman"/>
          <w:b/>
          <w:bCs/>
          <w:color w:val="auto"/>
          <w:sz w:val="20"/>
          <w:szCs w:val="20"/>
        </w:rPr>
      </w:pPr>
      <w:r w:rsidRPr="00AF18A3">
        <w:rPr>
          <w:rFonts w:ascii="Times New Roman" w:hAnsi="Times New Roman" w:cs="Times New Roman"/>
          <w:b/>
          <w:bCs/>
          <w:color w:val="auto"/>
          <w:sz w:val="20"/>
          <w:szCs w:val="20"/>
        </w:rPr>
        <w:t>2.5.2 Relative Growth Rate</w:t>
      </w:r>
    </w:p>
    <w:p w14:paraId="7C988ECF" w14:textId="77777777" w:rsidR="00B318C6" w:rsidRPr="00AF18A3" w:rsidRDefault="00B318C6" w:rsidP="00711478">
      <w:pPr>
        <w:pStyle w:val="NormalWeb"/>
        <w:spacing w:before="0" w:beforeAutospacing="0" w:after="0" w:afterAutospacing="0" w:line="276" w:lineRule="auto"/>
        <w:jc w:val="both"/>
        <w:rPr>
          <w:sz w:val="20"/>
          <w:szCs w:val="20"/>
        </w:rPr>
      </w:pPr>
      <w:r w:rsidRPr="00AF18A3">
        <w:rPr>
          <w:sz w:val="20"/>
          <w:szCs w:val="20"/>
        </w:rPr>
        <w:t>Relative growth rate (RGR) was expressed as g g⁻¹ day⁻¹ and represented the increase in plant dry matter relative to the existing biomass during a specified growth interval. RGR was determined for the 30–60 and 60–90 DAT periods.</w:t>
      </w:r>
    </w:p>
    <w:p w14:paraId="03AB9EB4" w14:textId="77777777" w:rsidR="00B318C6" w:rsidRPr="00AF18A3" w:rsidRDefault="00B318C6" w:rsidP="00711478">
      <w:pPr>
        <w:pStyle w:val="Heading4"/>
        <w:spacing w:before="0" w:after="0" w:line="276" w:lineRule="auto"/>
        <w:jc w:val="both"/>
        <w:rPr>
          <w:rFonts w:ascii="Times New Roman" w:hAnsi="Times New Roman" w:cs="Times New Roman"/>
          <w:b/>
          <w:bCs/>
          <w:color w:val="auto"/>
          <w:sz w:val="20"/>
          <w:szCs w:val="20"/>
        </w:rPr>
      </w:pPr>
      <w:r w:rsidRPr="00AF18A3">
        <w:rPr>
          <w:rFonts w:ascii="Times New Roman" w:hAnsi="Times New Roman" w:cs="Times New Roman"/>
          <w:b/>
          <w:bCs/>
          <w:color w:val="auto"/>
          <w:sz w:val="20"/>
          <w:szCs w:val="20"/>
        </w:rPr>
        <w:t>2.5.3 Net Assimilation Rate</w:t>
      </w:r>
    </w:p>
    <w:p w14:paraId="69F40A79" w14:textId="77777777" w:rsidR="00B318C6" w:rsidRPr="00AF18A3" w:rsidRDefault="00B318C6" w:rsidP="00711478">
      <w:pPr>
        <w:pStyle w:val="NormalWeb"/>
        <w:spacing w:before="0" w:beforeAutospacing="0" w:after="0" w:afterAutospacing="0" w:line="276" w:lineRule="auto"/>
        <w:jc w:val="both"/>
        <w:rPr>
          <w:sz w:val="20"/>
          <w:szCs w:val="20"/>
        </w:rPr>
      </w:pPr>
      <w:r w:rsidRPr="00AF18A3">
        <w:rPr>
          <w:sz w:val="20"/>
          <w:szCs w:val="20"/>
        </w:rPr>
        <w:t>Net assimilation rate (NAR) was expressed as g m⁻² day⁻¹ and represented the rate of dry-matter accumulation per unit leaf area. NAR was determined for the 30–60 and 60–90 DAT periods to assess the efficiency of the photosynthetic leaf area in producing dry matter. The use of NAR as an indicator of dry-matter production per unit leaf area is consistent with the growth-analysis approach adopted in the study.</w:t>
      </w:r>
    </w:p>
    <w:p w14:paraId="5242AECE" w14:textId="77777777" w:rsidR="0046655B" w:rsidRPr="00AF18A3" w:rsidRDefault="0046655B" w:rsidP="00711478">
      <w:pPr>
        <w:pStyle w:val="Heading3"/>
        <w:spacing w:before="0" w:after="0" w:line="276" w:lineRule="auto"/>
        <w:jc w:val="both"/>
        <w:rPr>
          <w:rFonts w:ascii="Times New Roman" w:hAnsi="Times New Roman" w:cs="Times New Roman"/>
          <w:b/>
          <w:bCs/>
          <w:color w:val="auto"/>
          <w:sz w:val="20"/>
          <w:szCs w:val="20"/>
        </w:rPr>
      </w:pPr>
    </w:p>
    <w:p w14:paraId="6338EF6C" w14:textId="77777777" w:rsidR="00B318C6" w:rsidRPr="00AF18A3" w:rsidRDefault="00B318C6" w:rsidP="00711478">
      <w:pPr>
        <w:pStyle w:val="Heading3"/>
        <w:spacing w:before="0" w:after="0" w:line="276" w:lineRule="auto"/>
        <w:jc w:val="both"/>
        <w:rPr>
          <w:rFonts w:ascii="Times New Roman" w:hAnsi="Times New Roman" w:cs="Times New Roman"/>
          <w:b/>
          <w:bCs/>
          <w:color w:val="auto"/>
          <w:sz w:val="20"/>
          <w:szCs w:val="20"/>
        </w:rPr>
      </w:pPr>
      <w:r w:rsidRPr="00AF18A3">
        <w:rPr>
          <w:rFonts w:ascii="Times New Roman" w:hAnsi="Times New Roman" w:cs="Times New Roman"/>
          <w:b/>
          <w:bCs/>
          <w:color w:val="auto"/>
          <w:sz w:val="20"/>
          <w:szCs w:val="20"/>
        </w:rPr>
        <w:t>2.6 Statistical Analysis</w:t>
      </w:r>
    </w:p>
    <w:p w14:paraId="1A45F33B" w14:textId="77777777" w:rsidR="00B318C6" w:rsidRPr="00AF18A3" w:rsidRDefault="00B318C6" w:rsidP="00711478">
      <w:pPr>
        <w:pStyle w:val="NormalWeb"/>
        <w:spacing w:before="0" w:beforeAutospacing="0" w:after="0" w:afterAutospacing="0" w:line="276" w:lineRule="auto"/>
        <w:jc w:val="both"/>
        <w:rPr>
          <w:sz w:val="20"/>
          <w:szCs w:val="20"/>
        </w:rPr>
      </w:pPr>
      <w:r w:rsidRPr="00AF18A3">
        <w:rPr>
          <w:sz w:val="20"/>
          <w:szCs w:val="20"/>
        </w:rPr>
        <w:t>The data recorded for the different growth parameters and growth indices were subjected to analysis of variance (ANOVA) following the procedures described by Gomez and Gomez (1984). The significance of treatment effects was tested at the 5% probability level (</w:t>
      </w:r>
      <w:r w:rsidRPr="00AF18A3">
        <w:rPr>
          <w:rStyle w:val="Emphasis"/>
          <w:rFonts w:eastAsiaTheme="majorEastAsia"/>
          <w:sz w:val="20"/>
          <w:szCs w:val="20"/>
        </w:rPr>
        <w:t>P</w:t>
      </w:r>
      <w:r w:rsidRPr="00AF18A3">
        <w:rPr>
          <w:sz w:val="20"/>
          <w:szCs w:val="20"/>
        </w:rPr>
        <w:t xml:space="preserve"> ≤ 0.05). Standard error of the mean (</w:t>
      </w:r>
      <w:proofErr w:type="spellStart"/>
      <w:r w:rsidRPr="00AF18A3">
        <w:rPr>
          <w:sz w:val="20"/>
          <w:szCs w:val="20"/>
        </w:rPr>
        <w:t>SEm</w:t>
      </w:r>
      <w:proofErr w:type="spellEnd"/>
      <w:r w:rsidRPr="00AF18A3">
        <w:rPr>
          <w:sz w:val="20"/>
          <w:szCs w:val="20"/>
        </w:rPr>
        <w:t>) and critical difference (CD) were used to assess differences among treatment means. Year-wise and pooled analyses were performed for the measured growth indices.</w:t>
      </w:r>
      <w:r w:rsidR="00711478" w:rsidRPr="00AF18A3">
        <w:rPr>
          <w:sz w:val="20"/>
          <w:szCs w:val="20"/>
        </w:rPr>
        <w:t xml:space="preserve"> </w:t>
      </w:r>
      <w:r w:rsidRPr="00AF18A3">
        <w:rPr>
          <w:sz w:val="20"/>
          <w:szCs w:val="20"/>
        </w:rPr>
        <w:t>Correlation and regression analyses were also performed for the relevant variables to examine their relationships. All statistical analyses were carried out using the R statistical software package.</w:t>
      </w:r>
    </w:p>
    <w:p w14:paraId="0890CE9E" w14:textId="77777777" w:rsidR="00CF7FBD" w:rsidRPr="00AF18A3" w:rsidRDefault="00CF7FBD" w:rsidP="00D1336B">
      <w:pPr>
        <w:spacing w:after="0" w:line="276" w:lineRule="auto"/>
        <w:rPr>
          <w:rFonts w:ascii="Times New Roman" w:hAnsi="Times New Roman" w:cs="Times New Roman"/>
          <w:b/>
          <w:bCs/>
          <w:sz w:val="20"/>
          <w:szCs w:val="20"/>
        </w:rPr>
      </w:pPr>
    </w:p>
    <w:p w14:paraId="36532F02" w14:textId="77777777" w:rsidR="007E0A41" w:rsidRPr="00AF18A3" w:rsidRDefault="00FB5AB7" w:rsidP="00D1336B">
      <w:pPr>
        <w:spacing w:after="0" w:line="276" w:lineRule="auto"/>
        <w:rPr>
          <w:rFonts w:ascii="Times New Roman" w:hAnsi="Times New Roman" w:cs="Times New Roman"/>
          <w:b/>
          <w:bCs/>
          <w:sz w:val="20"/>
          <w:szCs w:val="20"/>
        </w:rPr>
      </w:pPr>
      <w:r w:rsidRPr="00AF18A3">
        <w:rPr>
          <w:rFonts w:ascii="Times New Roman" w:hAnsi="Times New Roman" w:cs="Times New Roman"/>
          <w:b/>
          <w:bCs/>
          <w:sz w:val="20"/>
          <w:szCs w:val="20"/>
        </w:rPr>
        <w:t>3. Results</w:t>
      </w:r>
    </w:p>
    <w:p w14:paraId="303F2EA1" w14:textId="77777777" w:rsidR="007E0A41" w:rsidRPr="00AF18A3" w:rsidRDefault="00FB5AB7" w:rsidP="00D1336B">
      <w:pPr>
        <w:spacing w:after="0" w:line="276" w:lineRule="auto"/>
        <w:jc w:val="both"/>
        <w:rPr>
          <w:rFonts w:ascii="Times New Roman" w:hAnsi="Times New Roman" w:cs="Times New Roman"/>
          <w:b/>
          <w:bCs/>
          <w:sz w:val="20"/>
          <w:szCs w:val="20"/>
        </w:rPr>
      </w:pPr>
      <w:r w:rsidRPr="00AF18A3">
        <w:rPr>
          <w:rFonts w:ascii="Times New Roman" w:hAnsi="Times New Roman" w:cs="Times New Roman"/>
          <w:b/>
          <w:bCs/>
          <w:sz w:val="20"/>
          <w:szCs w:val="20"/>
        </w:rPr>
        <w:t>3</w:t>
      </w:r>
      <w:r w:rsidR="007E0A41" w:rsidRPr="00AF18A3">
        <w:rPr>
          <w:rFonts w:ascii="Times New Roman" w:hAnsi="Times New Roman" w:cs="Times New Roman"/>
          <w:b/>
          <w:bCs/>
          <w:sz w:val="20"/>
          <w:szCs w:val="20"/>
        </w:rPr>
        <w:t>.1 Crop growth rate (CGR) (g m</w:t>
      </w:r>
      <w:r w:rsidR="007E0A41" w:rsidRPr="00AF18A3">
        <w:rPr>
          <w:rFonts w:ascii="Times New Roman" w:hAnsi="Times New Roman" w:cs="Times New Roman"/>
          <w:b/>
          <w:bCs/>
          <w:sz w:val="20"/>
          <w:szCs w:val="20"/>
          <w:vertAlign w:val="superscript"/>
        </w:rPr>
        <w:t>-2</w:t>
      </w:r>
      <w:r w:rsidR="007E0A41" w:rsidRPr="00AF18A3">
        <w:rPr>
          <w:rFonts w:ascii="Times New Roman" w:hAnsi="Times New Roman" w:cs="Times New Roman"/>
          <w:b/>
          <w:bCs/>
          <w:sz w:val="20"/>
          <w:szCs w:val="20"/>
        </w:rPr>
        <w:t xml:space="preserve"> day</w:t>
      </w:r>
      <w:r w:rsidR="007E0A41" w:rsidRPr="00AF18A3">
        <w:rPr>
          <w:rFonts w:ascii="Times New Roman" w:hAnsi="Times New Roman" w:cs="Times New Roman"/>
          <w:b/>
          <w:bCs/>
          <w:sz w:val="20"/>
          <w:szCs w:val="20"/>
          <w:vertAlign w:val="superscript"/>
        </w:rPr>
        <w:t>-1</w:t>
      </w:r>
      <w:r w:rsidR="007E0A41" w:rsidRPr="00AF18A3">
        <w:rPr>
          <w:rFonts w:ascii="Times New Roman" w:hAnsi="Times New Roman" w:cs="Times New Roman"/>
          <w:b/>
          <w:bCs/>
          <w:sz w:val="20"/>
          <w:szCs w:val="20"/>
        </w:rPr>
        <w:t>)</w:t>
      </w:r>
    </w:p>
    <w:p w14:paraId="02EC943C" w14:textId="77777777" w:rsidR="007E0A41" w:rsidRPr="00AF18A3" w:rsidRDefault="007E0A41" w:rsidP="00D1336B">
      <w:pPr>
        <w:spacing w:after="0" w:line="276" w:lineRule="auto"/>
        <w:jc w:val="both"/>
        <w:rPr>
          <w:rFonts w:ascii="Times New Roman" w:hAnsi="Times New Roman" w:cs="Times New Roman"/>
          <w:sz w:val="20"/>
          <w:szCs w:val="20"/>
        </w:rPr>
      </w:pPr>
      <w:r w:rsidRPr="00AF18A3">
        <w:rPr>
          <w:rFonts w:ascii="Times New Roman" w:hAnsi="Times New Roman" w:cs="Times New Roman"/>
          <w:sz w:val="20"/>
          <w:szCs w:val="20"/>
        </w:rPr>
        <w:t>The crop growth rate (CGR) data are presented in Table 1 and depicted graphically in Figs. 1 and 2. CGR represents the rate of biomass accumulation per unit area per day over the three observation intervals and is therefore a derived measure of biomass accumulation over time.</w:t>
      </w:r>
    </w:p>
    <w:p w14:paraId="48FF68AF" w14:textId="77777777" w:rsidR="007E0A41" w:rsidRPr="00AF18A3" w:rsidRDefault="007E0A41" w:rsidP="00D1336B">
      <w:pPr>
        <w:spacing w:after="0" w:line="276" w:lineRule="auto"/>
        <w:ind w:firstLine="720"/>
        <w:jc w:val="both"/>
        <w:rPr>
          <w:rFonts w:ascii="Times New Roman" w:hAnsi="Times New Roman" w:cs="Times New Roman"/>
          <w:sz w:val="20"/>
          <w:szCs w:val="20"/>
        </w:rPr>
      </w:pPr>
      <w:r w:rsidRPr="00AF18A3">
        <w:rPr>
          <w:rFonts w:ascii="Times New Roman" w:hAnsi="Times New Roman" w:cs="Times New Roman"/>
          <w:sz w:val="20"/>
          <w:szCs w:val="20"/>
        </w:rPr>
        <w:t>At the 0–30 DAT interval, differences among treatments were relatively small, with pooled values ranging from 1.99 to 2.04 g m</w:t>
      </w:r>
      <w:r w:rsidRPr="00AF18A3">
        <w:rPr>
          <w:rFonts w:ascii="Times New Roman" w:hAnsi="Times New Roman" w:cs="Times New Roman"/>
          <w:sz w:val="20"/>
          <w:szCs w:val="20"/>
          <w:vertAlign w:val="superscript"/>
        </w:rPr>
        <w:t xml:space="preserve">⁻² </w:t>
      </w:r>
      <w:r w:rsidRPr="00AF18A3">
        <w:rPr>
          <w:rFonts w:ascii="Times New Roman" w:hAnsi="Times New Roman" w:cs="Times New Roman"/>
          <w:sz w:val="20"/>
          <w:szCs w:val="20"/>
        </w:rPr>
        <w:t>day</w:t>
      </w:r>
      <w:r w:rsidRPr="00AF18A3">
        <w:rPr>
          <w:rFonts w:ascii="Times New Roman" w:hAnsi="Times New Roman" w:cs="Times New Roman"/>
          <w:sz w:val="20"/>
          <w:szCs w:val="20"/>
          <w:vertAlign w:val="superscript"/>
        </w:rPr>
        <w:t>⁻¹</w:t>
      </w:r>
      <w:r w:rsidRPr="00AF18A3">
        <w:rPr>
          <w:rFonts w:ascii="Times New Roman" w:hAnsi="Times New Roman" w:cs="Times New Roman"/>
          <w:sz w:val="20"/>
          <w:szCs w:val="20"/>
        </w:rPr>
        <w:t>, although the CD value indicated statistical significance. This was expected because the crop canopy remained relatively small at this stage and the rate of dry-matter production per unit ground area had not yet reached its full potential.</w:t>
      </w:r>
    </w:p>
    <w:p w14:paraId="095FE5D6" w14:textId="77777777" w:rsidR="007E0A41" w:rsidRPr="00AF18A3" w:rsidRDefault="007E0A41" w:rsidP="00D1336B">
      <w:pPr>
        <w:spacing w:after="0" w:line="276" w:lineRule="auto"/>
        <w:ind w:firstLine="720"/>
        <w:jc w:val="both"/>
        <w:rPr>
          <w:rFonts w:ascii="Times New Roman" w:hAnsi="Times New Roman" w:cs="Times New Roman"/>
          <w:sz w:val="20"/>
          <w:szCs w:val="20"/>
        </w:rPr>
      </w:pPr>
      <w:r w:rsidRPr="00AF18A3">
        <w:rPr>
          <w:rFonts w:ascii="Times New Roman" w:hAnsi="Times New Roman" w:cs="Times New Roman"/>
          <w:sz w:val="20"/>
          <w:szCs w:val="20"/>
        </w:rPr>
        <w:t>During the 30–60 DAT period, which represented the phase of most prolific vegetative growth, CGR increased markedly across all treatments, with notable differences among them. T</w:t>
      </w:r>
      <w:r w:rsidRPr="00AF18A3">
        <w:rPr>
          <w:rFonts w:ascii="Times New Roman" w:hAnsi="Times New Roman" w:cs="Times New Roman"/>
          <w:sz w:val="20"/>
          <w:szCs w:val="20"/>
          <w:vertAlign w:val="subscript"/>
        </w:rPr>
        <w:t>he</w:t>
      </w:r>
      <w:r w:rsidRPr="00AF18A3">
        <w:rPr>
          <w:rFonts w:ascii="Times New Roman" w:hAnsi="Times New Roman" w:cs="Times New Roman"/>
          <w:sz w:val="20"/>
          <w:szCs w:val="20"/>
        </w:rPr>
        <w:t xml:space="preserve"> control (T₁) recorded a pooled value of 22.14 g m</w:t>
      </w:r>
      <w:r w:rsidRPr="00AF18A3">
        <w:rPr>
          <w:rFonts w:ascii="Times New Roman" w:hAnsi="Times New Roman" w:cs="Times New Roman"/>
          <w:sz w:val="20"/>
          <w:szCs w:val="20"/>
          <w:vertAlign w:val="superscript"/>
        </w:rPr>
        <w:t>⁻²</w:t>
      </w:r>
      <w:r w:rsidRPr="00AF18A3">
        <w:rPr>
          <w:rFonts w:ascii="Times New Roman" w:hAnsi="Times New Roman" w:cs="Times New Roman"/>
          <w:sz w:val="20"/>
          <w:szCs w:val="20"/>
        </w:rPr>
        <w:t xml:space="preserve"> day</w:t>
      </w:r>
      <w:r w:rsidRPr="00AF18A3">
        <w:rPr>
          <w:rFonts w:ascii="Times New Roman" w:hAnsi="Times New Roman" w:cs="Times New Roman"/>
          <w:sz w:val="20"/>
          <w:szCs w:val="20"/>
          <w:vertAlign w:val="superscript"/>
        </w:rPr>
        <w:t>⁻¹</w:t>
      </w:r>
      <w:r w:rsidRPr="00AF18A3">
        <w:rPr>
          <w:rFonts w:ascii="Times New Roman" w:hAnsi="Times New Roman" w:cs="Times New Roman"/>
          <w:sz w:val="20"/>
          <w:szCs w:val="20"/>
        </w:rPr>
        <w:t>, whereas T</w:t>
      </w:r>
      <w:r w:rsidRPr="00AF18A3">
        <w:rPr>
          <w:rFonts w:ascii="Times New Roman" w:hAnsi="Times New Roman" w:cs="Times New Roman"/>
          <w:sz w:val="20"/>
          <w:szCs w:val="20"/>
          <w:vertAlign w:val="subscript"/>
        </w:rPr>
        <w:t>₁₀</w:t>
      </w:r>
      <w:r w:rsidRPr="00AF18A3">
        <w:rPr>
          <w:rFonts w:ascii="Times New Roman" w:hAnsi="Times New Roman" w:cs="Times New Roman"/>
          <w:sz w:val="20"/>
          <w:szCs w:val="20"/>
        </w:rPr>
        <w:t xml:space="preserve"> (chelated zinc @ 0.75%) recorded the highest pooled value of 49.99 g m</w:t>
      </w:r>
      <w:r w:rsidRPr="00AF18A3">
        <w:rPr>
          <w:rFonts w:ascii="Times New Roman" w:hAnsi="Times New Roman" w:cs="Times New Roman"/>
          <w:sz w:val="20"/>
          <w:szCs w:val="20"/>
          <w:vertAlign w:val="superscript"/>
        </w:rPr>
        <w:t>⁻²</w:t>
      </w:r>
      <w:r w:rsidRPr="00AF18A3">
        <w:rPr>
          <w:rFonts w:ascii="Times New Roman" w:hAnsi="Times New Roman" w:cs="Times New Roman"/>
          <w:sz w:val="20"/>
          <w:szCs w:val="20"/>
        </w:rPr>
        <w:t xml:space="preserve"> day</w:t>
      </w:r>
      <w:r w:rsidRPr="00AF18A3">
        <w:rPr>
          <w:rFonts w:ascii="Times New Roman" w:hAnsi="Times New Roman" w:cs="Times New Roman"/>
          <w:sz w:val="20"/>
          <w:szCs w:val="20"/>
          <w:vertAlign w:val="superscript"/>
        </w:rPr>
        <w:t>⁻¹,</w:t>
      </w:r>
      <w:r w:rsidRPr="00AF18A3">
        <w:rPr>
          <w:rFonts w:ascii="Times New Roman" w:hAnsi="Times New Roman" w:cs="Times New Roman"/>
          <w:sz w:val="20"/>
          <w:szCs w:val="20"/>
        </w:rPr>
        <w:t xml:space="preserve"> more than twice that of the control, followed by T</w:t>
      </w:r>
      <w:r w:rsidRPr="00AF18A3">
        <w:rPr>
          <w:rFonts w:ascii="Times New Roman" w:hAnsi="Times New Roman" w:cs="Times New Roman"/>
          <w:sz w:val="20"/>
          <w:szCs w:val="20"/>
          <w:vertAlign w:val="subscript"/>
        </w:rPr>
        <w:t xml:space="preserve">₉ </w:t>
      </w:r>
      <w:r w:rsidRPr="00AF18A3">
        <w:rPr>
          <w:rFonts w:ascii="Times New Roman" w:hAnsi="Times New Roman" w:cs="Times New Roman"/>
          <w:sz w:val="20"/>
          <w:szCs w:val="20"/>
        </w:rPr>
        <w:t>(chelated zinc @ 0.50%) at 44.36 g m</w:t>
      </w:r>
      <w:r w:rsidRPr="00AF18A3">
        <w:rPr>
          <w:rFonts w:ascii="Times New Roman" w:hAnsi="Times New Roman" w:cs="Times New Roman"/>
          <w:sz w:val="20"/>
          <w:szCs w:val="20"/>
          <w:vertAlign w:val="superscript"/>
        </w:rPr>
        <w:t>⁻²</w:t>
      </w:r>
      <w:r w:rsidRPr="00AF18A3">
        <w:rPr>
          <w:rFonts w:ascii="Times New Roman" w:hAnsi="Times New Roman" w:cs="Times New Roman"/>
          <w:sz w:val="20"/>
          <w:szCs w:val="20"/>
        </w:rPr>
        <w:t xml:space="preserve"> day</w:t>
      </w:r>
      <w:r w:rsidRPr="00AF18A3">
        <w:rPr>
          <w:rFonts w:ascii="Times New Roman" w:hAnsi="Times New Roman" w:cs="Times New Roman"/>
          <w:sz w:val="20"/>
          <w:szCs w:val="20"/>
          <w:vertAlign w:val="superscript"/>
        </w:rPr>
        <w:t>⁻¹</w:t>
      </w:r>
      <w:r w:rsidRPr="00AF18A3">
        <w:rPr>
          <w:rFonts w:ascii="Times New Roman" w:hAnsi="Times New Roman" w:cs="Times New Roman"/>
          <w:sz w:val="20"/>
          <w:szCs w:val="20"/>
        </w:rPr>
        <w:t>. This substantial peak in growth rate during the active vegetative phase corresponded to the period when the crop's photosynthetic surface area and metabolic activity were at their maximum.</w:t>
      </w:r>
    </w:p>
    <w:p w14:paraId="3F00E835" w14:textId="77777777" w:rsidR="007E0A41" w:rsidRPr="00AF18A3" w:rsidRDefault="007E0A41" w:rsidP="00D1336B">
      <w:pPr>
        <w:spacing w:after="0" w:line="276" w:lineRule="auto"/>
        <w:ind w:firstLine="720"/>
        <w:jc w:val="both"/>
        <w:rPr>
          <w:rFonts w:ascii="Times New Roman" w:hAnsi="Times New Roman" w:cs="Times New Roman"/>
          <w:sz w:val="20"/>
          <w:szCs w:val="20"/>
        </w:rPr>
      </w:pPr>
      <w:r w:rsidRPr="00AF18A3">
        <w:rPr>
          <w:rFonts w:ascii="Times New Roman" w:hAnsi="Times New Roman" w:cs="Times New Roman"/>
          <w:sz w:val="20"/>
          <w:szCs w:val="20"/>
        </w:rPr>
        <w:t>By the 60–90 DAT interval, crop growth rate declined across all treatments, a pattern characteristic of the reproductive and maturation period, when vegetative growth slows.</w:t>
      </w:r>
    </w:p>
    <w:p w14:paraId="20D90C34" w14:textId="77777777" w:rsidR="007E0A41" w:rsidRPr="00AF18A3" w:rsidRDefault="007E0A41" w:rsidP="00D1336B">
      <w:pPr>
        <w:tabs>
          <w:tab w:val="left" w:pos="7644"/>
        </w:tabs>
        <w:spacing w:after="0" w:line="276" w:lineRule="auto"/>
        <w:rPr>
          <w:rFonts w:ascii="Times New Roman" w:hAnsi="Times New Roman" w:cs="Times New Roman"/>
          <w:b/>
          <w:bCs/>
          <w:lang w:val="en-GB"/>
        </w:rPr>
        <w:sectPr w:rsidR="007E0A41" w:rsidRPr="00AF18A3">
          <w:headerReference w:type="even" r:id="rId6"/>
          <w:headerReference w:type="default" r:id="rId7"/>
          <w:footerReference w:type="even" r:id="rId8"/>
          <w:footerReference w:type="default" r:id="rId9"/>
          <w:headerReference w:type="first" r:id="rId10"/>
          <w:footerReference w:type="first" r:id="rId11"/>
          <w:pgSz w:w="11906" w:h="16838"/>
          <w:pgMar w:top="1440" w:right="1440" w:bottom="1440" w:left="1440" w:header="708" w:footer="708" w:gutter="0"/>
          <w:cols w:space="708"/>
          <w:docGrid w:linePitch="360"/>
        </w:sectPr>
      </w:pPr>
    </w:p>
    <w:p w14:paraId="41B5DD4A" w14:textId="77777777" w:rsidR="007E0A41" w:rsidRPr="00AF18A3" w:rsidRDefault="007E0A41" w:rsidP="00D1336B">
      <w:pPr>
        <w:tabs>
          <w:tab w:val="left" w:pos="7644"/>
        </w:tabs>
        <w:spacing w:after="0" w:line="276" w:lineRule="auto"/>
        <w:jc w:val="center"/>
        <w:rPr>
          <w:rFonts w:ascii="Times New Roman" w:hAnsi="Times New Roman" w:cs="Times New Roman"/>
          <w:b/>
          <w:bCs/>
          <w:sz w:val="20"/>
          <w:szCs w:val="20"/>
          <w:lang w:val="en-GB"/>
        </w:rPr>
      </w:pPr>
      <w:r w:rsidRPr="00AF18A3">
        <w:rPr>
          <w:rFonts w:ascii="Times New Roman" w:hAnsi="Times New Roman" w:cs="Times New Roman"/>
          <w:b/>
          <w:bCs/>
          <w:sz w:val="20"/>
          <w:szCs w:val="20"/>
          <w:lang w:val="en-GB"/>
        </w:rPr>
        <w:lastRenderedPageBreak/>
        <w:t xml:space="preserve">Table 1: </w:t>
      </w:r>
      <w:r w:rsidRPr="00AF18A3">
        <w:rPr>
          <w:rFonts w:ascii="Times New Roman" w:hAnsi="Times New Roman" w:cs="Times New Roman"/>
          <w:b/>
          <w:bCs/>
          <w:sz w:val="20"/>
          <w:szCs w:val="20"/>
        </w:rPr>
        <w:t>Crop growth rate (CGR) (g m</w:t>
      </w:r>
      <w:r w:rsidRPr="00AF18A3">
        <w:rPr>
          <w:rFonts w:ascii="Times New Roman" w:hAnsi="Times New Roman" w:cs="Times New Roman"/>
          <w:b/>
          <w:bCs/>
          <w:sz w:val="20"/>
          <w:szCs w:val="20"/>
          <w:vertAlign w:val="superscript"/>
        </w:rPr>
        <w:t>-2</w:t>
      </w:r>
      <w:r w:rsidRPr="00AF18A3">
        <w:rPr>
          <w:rFonts w:ascii="Times New Roman" w:hAnsi="Times New Roman" w:cs="Times New Roman"/>
          <w:b/>
          <w:bCs/>
          <w:sz w:val="20"/>
          <w:szCs w:val="20"/>
        </w:rPr>
        <w:t xml:space="preserve"> day</w:t>
      </w:r>
      <w:r w:rsidRPr="00AF18A3">
        <w:rPr>
          <w:rFonts w:ascii="Times New Roman" w:hAnsi="Times New Roman" w:cs="Times New Roman"/>
          <w:b/>
          <w:bCs/>
          <w:sz w:val="20"/>
          <w:szCs w:val="20"/>
          <w:vertAlign w:val="superscript"/>
        </w:rPr>
        <w:t>-1</w:t>
      </w:r>
      <w:r w:rsidRPr="00AF18A3">
        <w:rPr>
          <w:rFonts w:ascii="Times New Roman" w:hAnsi="Times New Roman" w:cs="Times New Roman"/>
          <w:b/>
          <w:bCs/>
          <w:sz w:val="20"/>
          <w:szCs w:val="20"/>
        </w:rPr>
        <w:t xml:space="preserve">) </w:t>
      </w:r>
      <w:r w:rsidRPr="00AF18A3">
        <w:rPr>
          <w:rFonts w:ascii="Times New Roman" w:hAnsi="Times New Roman" w:cs="Times New Roman"/>
          <w:b/>
          <w:bCs/>
          <w:sz w:val="20"/>
          <w:szCs w:val="20"/>
          <w:lang w:val="en-GB"/>
        </w:rPr>
        <w:t>of sweet corn as influenced by Zn and Fe biofortification</w:t>
      </w:r>
    </w:p>
    <w:tbl>
      <w:tblPr>
        <w:tblW w:w="140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4"/>
        <w:gridCol w:w="2917"/>
        <w:gridCol w:w="1031"/>
        <w:gridCol w:w="1202"/>
        <w:gridCol w:w="1141"/>
        <w:gridCol w:w="1202"/>
        <w:gridCol w:w="1179"/>
        <w:gridCol w:w="1132"/>
        <w:gridCol w:w="1031"/>
        <w:gridCol w:w="1202"/>
        <w:gridCol w:w="1131"/>
      </w:tblGrid>
      <w:tr w:rsidR="007E0A41" w:rsidRPr="00AF18A3" w14:paraId="73010172" w14:textId="77777777" w:rsidTr="00701562">
        <w:trPr>
          <w:trHeight w:val="283"/>
        </w:trPr>
        <w:tc>
          <w:tcPr>
            <w:tcW w:w="924" w:type="dxa"/>
            <w:vMerge w:val="restart"/>
            <w:tcBorders>
              <w:left w:val="nil"/>
            </w:tcBorders>
            <w:noWrap/>
            <w:vAlign w:val="bottom"/>
            <w:hideMark/>
          </w:tcPr>
          <w:p w14:paraId="78F734C6" w14:textId="77777777" w:rsidR="007E0A41" w:rsidRPr="00AF18A3" w:rsidRDefault="007E0A41" w:rsidP="00D1336B">
            <w:pPr>
              <w:spacing w:after="0" w:line="276" w:lineRule="auto"/>
              <w:jc w:val="center"/>
              <w:rPr>
                <w:rFonts w:ascii="Times New Roman" w:eastAsia="Times New Roman" w:hAnsi="Times New Roman" w:cs="Times New Roman"/>
                <w:b/>
                <w:bCs/>
                <w:color w:val="000000"/>
                <w:kern w:val="0"/>
                <w:sz w:val="20"/>
                <w:szCs w:val="20"/>
                <w:lang w:eastAsia="en-IN"/>
                <w14:ligatures w14:val="none"/>
              </w:rPr>
            </w:pPr>
            <w:r w:rsidRPr="00AF18A3">
              <w:rPr>
                <w:rFonts w:ascii="Times New Roman" w:eastAsia="Times New Roman" w:hAnsi="Times New Roman" w:cs="Times New Roman"/>
                <w:b/>
                <w:bCs/>
                <w:color w:val="000000"/>
                <w:kern w:val="0"/>
                <w:sz w:val="20"/>
                <w:szCs w:val="20"/>
                <w:lang w:eastAsia="en-IN"/>
                <w14:ligatures w14:val="none"/>
              </w:rPr>
              <w:t>S. No.</w:t>
            </w:r>
          </w:p>
        </w:tc>
        <w:tc>
          <w:tcPr>
            <w:tcW w:w="2917" w:type="dxa"/>
            <w:vMerge w:val="restart"/>
            <w:noWrap/>
            <w:vAlign w:val="bottom"/>
            <w:hideMark/>
          </w:tcPr>
          <w:p w14:paraId="3EB0886A" w14:textId="77777777" w:rsidR="007E0A41" w:rsidRPr="00AF18A3" w:rsidRDefault="007E0A41" w:rsidP="00701562">
            <w:pPr>
              <w:spacing w:after="0" w:line="276" w:lineRule="auto"/>
              <w:rPr>
                <w:rFonts w:ascii="Times New Roman" w:eastAsia="Times New Roman" w:hAnsi="Times New Roman" w:cs="Times New Roman"/>
                <w:b/>
                <w:bCs/>
                <w:color w:val="000000"/>
                <w:kern w:val="0"/>
                <w:sz w:val="20"/>
                <w:szCs w:val="20"/>
                <w:lang w:eastAsia="en-IN"/>
                <w14:ligatures w14:val="none"/>
              </w:rPr>
            </w:pPr>
            <w:r w:rsidRPr="00AF18A3">
              <w:rPr>
                <w:rFonts w:ascii="Times New Roman" w:eastAsia="Times New Roman" w:hAnsi="Times New Roman" w:cs="Times New Roman"/>
                <w:b/>
                <w:bCs/>
                <w:color w:val="000000"/>
                <w:kern w:val="0"/>
                <w:sz w:val="20"/>
                <w:szCs w:val="20"/>
                <w:lang w:eastAsia="en-IN"/>
                <w14:ligatures w14:val="none"/>
              </w:rPr>
              <w:t>Treatment details</w:t>
            </w:r>
          </w:p>
        </w:tc>
        <w:tc>
          <w:tcPr>
            <w:tcW w:w="3374" w:type="dxa"/>
            <w:gridSpan w:val="3"/>
            <w:noWrap/>
            <w:vAlign w:val="bottom"/>
            <w:hideMark/>
          </w:tcPr>
          <w:p w14:paraId="156E2759" w14:textId="77777777" w:rsidR="007E0A41" w:rsidRPr="00AF18A3" w:rsidRDefault="00701562" w:rsidP="00701562">
            <w:pPr>
              <w:spacing w:after="0" w:line="276" w:lineRule="auto"/>
              <w:jc w:val="center"/>
              <w:rPr>
                <w:rFonts w:ascii="Times New Roman" w:eastAsia="Times New Roman" w:hAnsi="Times New Roman" w:cs="Times New Roman"/>
                <w:b/>
                <w:bCs/>
                <w:color w:val="000000"/>
                <w:kern w:val="0"/>
                <w:sz w:val="20"/>
                <w:szCs w:val="20"/>
                <w:lang w:eastAsia="en-IN"/>
                <w14:ligatures w14:val="none"/>
              </w:rPr>
            </w:pPr>
            <w:r w:rsidRPr="00AF18A3">
              <w:rPr>
                <w:rFonts w:ascii="Times New Roman" w:eastAsia="Times New Roman" w:hAnsi="Times New Roman" w:cs="Times New Roman"/>
                <w:b/>
                <w:bCs/>
                <w:color w:val="000000"/>
                <w:kern w:val="0"/>
                <w:sz w:val="20"/>
                <w:szCs w:val="20"/>
                <w:lang w:eastAsia="en-IN"/>
                <w14:ligatures w14:val="none"/>
              </w:rPr>
              <w:t>0-30 DAT</w:t>
            </w:r>
          </w:p>
        </w:tc>
        <w:tc>
          <w:tcPr>
            <w:tcW w:w="3513" w:type="dxa"/>
            <w:gridSpan w:val="3"/>
            <w:noWrap/>
            <w:vAlign w:val="bottom"/>
            <w:hideMark/>
          </w:tcPr>
          <w:p w14:paraId="3DE836D5" w14:textId="77777777" w:rsidR="007E0A41" w:rsidRPr="00AF18A3" w:rsidRDefault="00701562" w:rsidP="00701562">
            <w:pPr>
              <w:spacing w:after="0" w:line="276" w:lineRule="auto"/>
              <w:jc w:val="center"/>
              <w:rPr>
                <w:rFonts w:ascii="Times New Roman" w:eastAsia="Times New Roman" w:hAnsi="Times New Roman" w:cs="Times New Roman"/>
                <w:b/>
                <w:bCs/>
                <w:color w:val="000000"/>
                <w:kern w:val="0"/>
                <w:sz w:val="20"/>
                <w:szCs w:val="20"/>
                <w:lang w:eastAsia="en-IN"/>
                <w14:ligatures w14:val="none"/>
              </w:rPr>
            </w:pPr>
            <w:r w:rsidRPr="00AF18A3">
              <w:rPr>
                <w:rFonts w:ascii="Times New Roman" w:eastAsia="Times New Roman" w:hAnsi="Times New Roman" w:cs="Times New Roman"/>
                <w:b/>
                <w:bCs/>
                <w:color w:val="000000"/>
                <w:kern w:val="0"/>
                <w:sz w:val="20"/>
                <w:szCs w:val="20"/>
                <w:lang w:eastAsia="en-IN"/>
                <w14:ligatures w14:val="none"/>
              </w:rPr>
              <w:t>30-60 DAT</w:t>
            </w:r>
          </w:p>
        </w:tc>
        <w:tc>
          <w:tcPr>
            <w:tcW w:w="3364" w:type="dxa"/>
            <w:gridSpan w:val="3"/>
            <w:tcBorders>
              <w:right w:val="nil"/>
            </w:tcBorders>
            <w:noWrap/>
            <w:vAlign w:val="bottom"/>
            <w:hideMark/>
          </w:tcPr>
          <w:p w14:paraId="108C5762" w14:textId="77777777" w:rsidR="007E0A41" w:rsidRPr="00AF18A3" w:rsidRDefault="00701562" w:rsidP="00701562">
            <w:pPr>
              <w:spacing w:after="0" w:line="276" w:lineRule="auto"/>
              <w:jc w:val="center"/>
              <w:rPr>
                <w:rFonts w:ascii="Times New Roman" w:eastAsia="Times New Roman" w:hAnsi="Times New Roman" w:cs="Times New Roman"/>
                <w:b/>
                <w:bCs/>
                <w:color w:val="000000"/>
                <w:kern w:val="0"/>
                <w:sz w:val="20"/>
                <w:szCs w:val="20"/>
                <w:lang w:eastAsia="en-IN"/>
                <w14:ligatures w14:val="none"/>
              </w:rPr>
            </w:pPr>
            <w:r w:rsidRPr="00AF18A3">
              <w:rPr>
                <w:rFonts w:ascii="Times New Roman" w:eastAsia="Times New Roman" w:hAnsi="Times New Roman" w:cs="Times New Roman"/>
                <w:b/>
                <w:bCs/>
                <w:color w:val="000000"/>
                <w:kern w:val="0"/>
                <w:sz w:val="20"/>
                <w:szCs w:val="20"/>
                <w:lang w:eastAsia="en-IN"/>
                <w14:ligatures w14:val="none"/>
              </w:rPr>
              <w:t>60-90 DAT</w:t>
            </w:r>
          </w:p>
        </w:tc>
      </w:tr>
      <w:tr w:rsidR="007E0A41" w:rsidRPr="00AF18A3" w14:paraId="2EEB1CB8" w14:textId="77777777" w:rsidTr="00701562">
        <w:trPr>
          <w:trHeight w:val="70"/>
        </w:trPr>
        <w:tc>
          <w:tcPr>
            <w:tcW w:w="924" w:type="dxa"/>
            <w:vMerge/>
            <w:tcBorders>
              <w:left w:val="nil"/>
              <w:bottom w:val="single" w:sz="4" w:space="0" w:color="auto"/>
            </w:tcBorders>
            <w:noWrap/>
            <w:vAlign w:val="bottom"/>
            <w:hideMark/>
          </w:tcPr>
          <w:p w14:paraId="08A1711F" w14:textId="77777777" w:rsidR="007E0A41" w:rsidRPr="00AF18A3" w:rsidRDefault="007E0A41" w:rsidP="00D1336B">
            <w:pPr>
              <w:spacing w:after="0" w:line="276" w:lineRule="auto"/>
              <w:jc w:val="center"/>
              <w:rPr>
                <w:rFonts w:ascii="Times New Roman" w:eastAsia="Times New Roman" w:hAnsi="Times New Roman" w:cs="Times New Roman"/>
                <w:b/>
                <w:bCs/>
                <w:color w:val="000000"/>
                <w:kern w:val="0"/>
                <w:sz w:val="20"/>
                <w:szCs w:val="20"/>
                <w:lang w:eastAsia="en-IN"/>
                <w14:ligatures w14:val="none"/>
              </w:rPr>
            </w:pPr>
          </w:p>
        </w:tc>
        <w:tc>
          <w:tcPr>
            <w:tcW w:w="2917" w:type="dxa"/>
            <w:vMerge/>
            <w:tcBorders>
              <w:bottom w:val="single" w:sz="4" w:space="0" w:color="auto"/>
            </w:tcBorders>
            <w:noWrap/>
            <w:vAlign w:val="bottom"/>
            <w:hideMark/>
          </w:tcPr>
          <w:p w14:paraId="347D6BBC" w14:textId="77777777" w:rsidR="007E0A41" w:rsidRPr="00AF18A3" w:rsidRDefault="007E0A41" w:rsidP="00D1336B">
            <w:pPr>
              <w:spacing w:after="0" w:line="276" w:lineRule="auto"/>
              <w:jc w:val="center"/>
              <w:rPr>
                <w:rFonts w:ascii="Times New Roman" w:eastAsia="Times New Roman" w:hAnsi="Times New Roman" w:cs="Times New Roman"/>
                <w:b/>
                <w:bCs/>
                <w:color w:val="000000"/>
                <w:kern w:val="0"/>
                <w:sz w:val="20"/>
                <w:szCs w:val="20"/>
                <w:lang w:eastAsia="en-IN"/>
                <w14:ligatures w14:val="none"/>
              </w:rPr>
            </w:pPr>
          </w:p>
        </w:tc>
        <w:tc>
          <w:tcPr>
            <w:tcW w:w="1031" w:type="dxa"/>
            <w:tcBorders>
              <w:bottom w:val="single" w:sz="4" w:space="0" w:color="auto"/>
            </w:tcBorders>
            <w:noWrap/>
            <w:vAlign w:val="bottom"/>
            <w:hideMark/>
          </w:tcPr>
          <w:p w14:paraId="4A9ACAFC" w14:textId="77777777" w:rsidR="007E0A41" w:rsidRPr="00AF18A3" w:rsidRDefault="007E0A41" w:rsidP="00D1336B">
            <w:pPr>
              <w:spacing w:after="0" w:line="276" w:lineRule="auto"/>
              <w:jc w:val="center"/>
              <w:rPr>
                <w:rFonts w:ascii="Times New Roman" w:eastAsia="Times New Roman" w:hAnsi="Times New Roman" w:cs="Times New Roman"/>
                <w:b/>
                <w:bCs/>
                <w:color w:val="000000"/>
                <w:kern w:val="0"/>
                <w:sz w:val="20"/>
                <w:szCs w:val="20"/>
                <w:lang w:eastAsia="en-IN"/>
                <w14:ligatures w14:val="none"/>
              </w:rPr>
            </w:pPr>
            <w:r w:rsidRPr="00AF18A3">
              <w:rPr>
                <w:rFonts w:ascii="Times New Roman" w:eastAsia="Times New Roman" w:hAnsi="Times New Roman" w:cs="Times New Roman"/>
                <w:b/>
                <w:bCs/>
                <w:color w:val="000000"/>
                <w:kern w:val="0"/>
                <w:sz w:val="20"/>
                <w:szCs w:val="20"/>
                <w:lang w:eastAsia="en-IN"/>
                <w14:ligatures w14:val="none"/>
              </w:rPr>
              <w:t>2024</w:t>
            </w:r>
          </w:p>
        </w:tc>
        <w:tc>
          <w:tcPr>
            <w:tcW w:w="1202" w:type="dxa"/>
            <w:tcBorders>
              <w:bottom w:val="single" w:sz="4" w:space="0" w:color="auto"/>
            </w:tcBorders>
            <w:noWrap/>
            <w:vAlign w:val="bottom"/>
            <w:hideMark/>
          </w:tcPr>
          <w:p w14:paraId="2F6A0E86" w14:textId="77777777" w:rsidR="007E0A41" w:rsidRPr="00AF18A3" w:rsidRDefault="007E0A41" w:rsidP="00D1336B">
            <w:pPr>
              <w:spacing w:after="0" w:line="276" w:lineRule="auto"/>
              <w:jc w:val="center"/>
              <w:rPr>
                <w:rFonts w:ascii="Times New Roman" w:eastAsia="Times New Roman" w:hAnsi="Times New Roman" w:cs="Times New Roman"/>
                <w:b/>
                <w:bCs/>
                <w:color w:val="000000"/>
                <w:kern w:val="0"/>
                <w:sz w:val="20"/>
                <w:szCs w:val="20"/>
                <w:lang w:eastAsia="en-IN"/>
                <w14:ligatures w14:val="none"/>
              </w:rPr>
            </w:pPr>
            <w:r w:rsidRPr="00AF18A3">
              <w:rPr>
                <w:rFonts w:ascii="Times New Roman" w:eastAsia="Times New Roman" w:hAnsi="Times New Roman" w:cs="Times New Roman"/>
                <w:b/>
                <w:bCs/>
                <w:color w:val="000000"/>
                <w:kern w:val="0"/>
                <w:sz w:val="20"/>
                <w:szCs w:val="20"/>
                <w:lang w:eastAsia="en-IN"/>
                <w14:ligatures w14:val="none"/>
              </w:rPr>
              <w:t>2025</w:t>
            </w:r>
          </w:p>
        </w:tc>
        <w:tc>
          <w:tcPr>
            <w:tcW w:w="1140" w:type="dxa"/>
            <w:tcBorders>
              <w:bottom w:val="single" w:sz="4" w:space="0" w:color="auto"/>
            </w:tcBorders>
          </w:tcPr>
          <w:p w14:paraId="12BBF084" w14:textId="77777777" w:rsidR="007E0A41" w:rsidRPr="00AF18A3" w:rsidRDefault="007E0A41" w:rsidP="00D1336B">
            <w:pPr>
              <w:spacing w:after="0" w:line="276" w:lineRule="auto"/>
              <w:jc w:val="center"/>
              <w:rPr>
                <w:rFonts w:ascii="Times New Roman" w:eastAsia="Times New Roman" w:hAnsi="Times New Roman" w:cs="Times New Roman"/>
                <w:b/>
                <w:bCs/>
                <w:color w:val="000000"/>
                <w:kern w:val="0"/>
                <w:sz w:val="20"/>
                <w:szCs w:val="20"/>
                <w:lang w:eastAsia="en-IN"/>
                <w14:ligatures w14:val="none"/>
              </w:rPr>
            </w:pPr>
            <w:r w:rsidRPr="00AF18A3">
              <w:rPr>
                <w:rFonts w:ascii="Times New Roman" w:eastAsia="Times New Roman" w:hAnsi="Times New Roman" w:cs="Times New Roman"/>
                <w:b/>
                <w:bCs/>
                <w:color w:val="000000"/>
                <w:kern w:val="0"/>
                <w:sz w:val="20"/>
                <w:szCs w:val="20"/>
                <w:lang w:eastAsia="en-IN"/>
                <w14:ligatures w14:val="none"/>
              </w:rPr>
              <w:t>Pooled</w:t>
            </w:r>
          </w:p>
        </w:tc>
        <w:tc>
          <w:tcPr>
            <w:tcW w:w="1202" w:type="dxa"/>
            <w:tcBorders>
              <w:bottom w:val="single" w:sz="4" w:space="0" w:color="auto"/>
            </w:tcBorders>
            <w:noWrap/>
            <w:vAlign w:val="bottom"/>
            <w:hideMark/>
          </w:tcPr>
          <w:p w14:paraId="4F06B685" w14:textId="77777777" w:rsidR="007E0A41" w:rsidRPr="00AF18A3" w:rsidRDefault="007E0A41" w:rsidP="00D1336B">
            <w:pPr>
              <w:spacing w:after="0" w:line="276" w:lineRule="auto"/>
              <w:jc w:val="center"/>
              <w:rPr>
                <w:rFonts w:ascii="Times New Roman" w:eastAsia="Times New Roman" w:hAnsi="Times New Roman" w:cs="Times New Roman"/>
                <w:b/>
                <w:bCs/>
                <w:color w:val="000000"/>
                <w:kern w:val="0"/>
                <w:sz w:val="20"/>
                <w:szCs w:val="20"/>
                <w:lang w:eastAsia="en-IN"/>
                <w14:ligatures w14:val="none"/>
              </w:rPr>
            </w:pPr>
            <w:r w:rsidRPr="00AF18A3">
              <w:rPr>
                <w:rFonts w:ascii="Times New Roman" w:eastAsia="Times New Roman" w:hAnsi="Times New Roman" w:cs="Times New Roman"/>
                <w:b/>
                <w:bCs/>
                <w:color w:val="000000"/>
                <w:kern w:val="0"/>
                <w:sz w:val="20"/>
                <w:szCs w:val="20"/>
                <w:lang w:eastAsia="en-IN"/>
                <w14:ligatures w14:val="none"/>
              </w:rPr>
              <w:t>2024</w:t>
            </w:r>
          </w:p>
        </w:tc>
        <w:tc>
          <w:tcPr>
            <w:tcW w:w="1179" w:type="dxa"/>
            <w:tcBorders>
              <w:bottom w:val="single" w:sz="4" w:space="0" w:color="auto"/>
            </w:tcBorders>
            <w:noWrap/>
            <w:vAlign w:val="bottom"/>
            <w:hideMark/>
          </w:tcPr>
          <w:p w14:paraId="4F94D97E" w14:textId="77777777" w:rsidR="007E0A41" w:rsidRPr="00AF18A3" w:rsidRDefault="007E0A41" w:rsidP="00D1336B">
            <w:pPr>
              <w:spacing w:after="0" w:line="276" w:lineRule="auto"/>
              <w:jc w:val="center"/>
              <w:rPr>
                <w:rFonts w:ascii="Times New Roman" w:eastAsia="Times New Roman" w:hAnsi="Times New Roman" w:cs="Times New Roman"/>
                <w:b/>
                <w:bCs/>
                <w:color w:val="000000"/>
                <w:kern w:val="0"/>
                <w:sz w:val="20"/>
                <w:szCs w:val="20"/>
                <w:lang w:eastAsia="en-IN"/>
                <w14:ligatures w14:val="none"/>
              </w:rPr>
            </w:pPr>
            <w:r w:rsidRPr="00AF18A3">
              <w:rPr>
                <w:rFonts w:ascii="Times New Roman" w:eastAsia="Times New Roman" w:hAnsi="Times New Roman" w:cs="Times New Roman"/>
                <w:b/>
                <w:bCs/>
                <w:color w:val="000000"/>
                <w:kern w:val="0"/>
                <w:sz w:val="20"/>
                <w:szCs w:val="20"/>
                <w:lang w:eastAsia="en-IN"/>
                <w14:ligatures w14:val="none"/>
              </w:rPr>
              <w:t>2025</w:t>
            </w:r>
          </w:p>
        </w:tc>
        <w:tc>
          <w:tcPr>
            <w:tcW w:w="1130" w:type="dxa"/>
            <w:tcBorders>
              <w:bottom w:val="single" w:sz="4" w:space="0" w:color="auto"/>
            </w:tcBorders>
          </w:tcPr>
          <w:p w14:paraId="1C689410" w14:textId="77777777" w:rsidR="007E0A41" w:rsidRPr="00AF18A3" w:rsidRDefault="007E0A41" w:rsidP="00D1336B">
            <w:pPr>
              <w:spacing w:after="0" w:line="276" w:lineRule="auto"/>
              <w:jc w:val="center"/>
              <w:rPr>
                <w:rFonts w:ascii="Times New Roman" w:eastAsia="Times New Roman" w:hAnsi="Times New Roman" w:cs="Times New Roman"/>
                <w:b/>
                <w:bCs/>
                <w:color w:val="000000"/>
                <w:kern w:val="0"/>
                <w:sz w:val="20"/>
                <w:szCs w:val="20"/>
                <w:lang w:eastAsia="en-IN"/>
                <w14:ligatures w14:val="none"/>
              </w:rPr>
            </w:pPr>
            <w:r w:rsidRPr="00AF18A3">
              <w:rPr>
                <w:rFonts w:ascii="Times New Roman" w:eastAsia="Times New Roman" w:hAnsi="Times New Roman" w:cs="Times New Roman"/>
                <w:b/>
                <w:bCs/>
                <w:color w:val="000000"/>
                <w:kern w:val="0"/>
                <w:sz w:val="20"/>
                <w:szCs w:val="20"/>
                <w:lang w:eastAsia="en-IN"/>
                <w14:ligatures w14:val="none"/>
              </w:rPr>
              <w:t>Pooled</w:t>
            </w:r>
          </w:p>
        </w:tc>
        <w:tc>
          <w:tcPr>
            <w:tcW w:w="1031" w:type="dxa"/>
            <w:tcBorders>
              <w:bottom w:val="single" w:sz="4" w:space="0" w:color="auto"/>
            </w:tcBorders>
            <w:noWrap/>
            <w:vAlign w:val="bottom"/>
            <w:hideMark/>
          </w:tcPr>
          <w:p w14:paraId="7304E2C1" w14:textId="77777777" w:rsidR="007E0A41" w:rsidRPr="00AF18A3" w:rsidRDefault="007E0A41" w:rsidP="00D1336B">
            <w:pPr>
              <w:spacing w:after="0" w:line="276" w:lineRule="auto"/>
              <w:jc w:val="center"/>
              <w:rPr>
                <w:rFonts w:ascii="Times New Roman" w:eastAsia="Times New Roman" w:hAnsi="Times New Roman" w:cs="Times New Roman"/>
                <w:b/>
                <w:bCs/>
                <w:color w:val="000000"/>
                <w:kern w:val="0"/>
                <w:sz w:val="20"/>
                <w:szCs w:val="20"/>
                <w:lang w:eastAsia="en-IN"/>
                <w14:ligatures w14:val="none"/>
              </w:rPr>
            </w:pPr>
            <w:r w:rsidRPr="00AF18A3">
              <w:rPr>
                <w:rFonts w:ascii="Times New Roman" w:eastAsia="Times New Roman" w:hAnsi="Times New Roman" w:cs="Times New Roman"/>
                <w:b/>
                <w:bCs/>
                <w:color w:val="000000"/>
                <w:kern w:val="0"/>
                <w:sz w:val="20"/>
                <w:szCs w:val="20"/>
                <w:lang w:eastAsia="en-IN"/>
                <w14:ligatures w14:val="none"/>
              </w:rPr>
              <w:t>2024</w:t>
            </w:r>
          </w:p>
        </w:tc>
        <w:tc>
          <w:tcPr>
            <w:tcW w:w="1202" w:type="dxa"/>
            <w:tcBorders>
              <w:bottom w:val="single" w:sz="4" w:space="0" w:color="auto"/>
            </w:tcBorders>
            <w:noWrap/>
            <w:vAlign w:val="bottom"/>
            <w:hideMark/>
          </w:tcPr>
          <w:p w14:paraId="1D7C081E" w14:textId="77777777" w:rsidR="007E0A41" w:rsidRPr="00AF18A3" w:rsidRDefault="007E0A41" w:rsidP="00D1336B">
            <w:pPr>
              <w:spacing w:after="0" w:line="276" w:lineRule="auto"/>
              <w:jc w:val="center"/>
              <w:rPr>
                <w:rFonts w:ascii="Times New Roman" w:eastAsia="Times New Roman" w:hAnsi="Times New Roman" w:cs="Times New Roman"/>
                <w:b/>
                <w:bCs/>
                <w:color w:val="000000"/>
                <w:kern w:val="0"/>
                <w:sz w:val="20"/>
                <w:szCs w:val="20"/>
                <w:lang w:eastAsia="en-IN"/>
                <w14:ligatures w14:val="none"/>
              </w:rPr>
            </w:pPr>
            <w:r w:rsidRPr="00AF18A3">
              <w:rPr>
                <w:rFonts w:ascii="Times New Roman" w:eastAsia="Times New Roman" w:hAnsi="Times New Roman" w:cs="Times New Roman"/>
                <w:b/>
                <w:bCs/>
                <w:color w:val="000000"/>
                <w:kern w:val="0"/>
                <w:sz w:val="20"/>
                <w:szCs w:val="20"/>
                <w:lang w:eastAsia="en-IN"/>
                <w14:ligatures w14:val="none"/>
              </w:rPr>
              <w:t>2025</w:t>
            </w:r>
          </w:p>
        </w:tc>
        <w:tc>
          <w:tcPr>
            <w:tcW w:w="1130" w:type="dxa"/>
            <w:tcBorders>
              <w:bottom w:val="single" w:sz="4" w:space="0" w:color="auto"/>
              <w:right w:val="nil"/>
            </w:tcBorders>
          </w:tcPr>
          <w:p w14:paraId="3A502012" w14:textId="77777777" w:rsidR="007E0A41" w:rsidRPr="00AF18A3" w:rsidRDefault="007E0A41" w:rsidP="00D1336B">
            <w:pPr>
              <w:spacing w:after="0" w:line="276" w:lineRule="auto"/>
              <w:jc w:val="center"/>
              <w:rPr>
                <w:rFonts w:ascii="Times New Roman" w:eastAsia="Times New Roman" w:hAnsi="Times New Roman" w:cs="Times New Roman"/>
                <w:b/>
                <w:bCs/>
                <w:color w:val="000000"/>
                <w:kern w:val="0"/>
                <w:sz w:val="20"/>
                <w:szCs w:val="20"/>
                <w:lang w:eastAsia="en-IN"/>
                <w14:ligatures w14:val="none"/>
              </w:rPr>
            </w:pPr>
            <w:r w:rsidRPr="00AF18A3">
              <w:rPr>
                <w:rFonts w:ascii="Times New Roman" w:eastAsia="Times New Roman" w:hAnsi="Times New Roman" w:cs="Times New Roman"/>
                <w:b/>
                <w:bCs/>
                <w:color w:val="000000"/>
                <w:kern w:val="0"/>
                <w:sz w:val="20"/>
                <w:szCs w:val="20"/>
                <w:lang w:eastAsia="en-IN"/>
                <w14:ligatures w14:val="none"/>
              </w:rPr>
              <w:t>Pooled</w:t>
            </w:r>
          </w:p>
        </w:tc>
      </w:tr>
      <w:tr w:rsidR="007E0A41" w:rsidRPr="00AF18A3" w14:paraId="3BF59B3F" w14:textId="77777777" w:rsidTr="00701562">
        <w:trPr>
          <w:trHeight w:val="283"/>
        </w:trPr>
        <w:tc>
          <w:tcPr>
            <w:tcW w:w="924" w:type="dxa"/>
            <w:tcBorders>
              <w:top w:val="single" w:sz="4" w:space="0" w:color="auto"/>
              <w:left w:val="nil"/>
              <w:bottom w:val="nil"/>
              <w:right w:val="nil"/>
            </w:tcBorders>
            <w:noWrap/>
            <w:hideMark/>
          </w:tcPr>
          <w:p w14:paraId="0CB991F1"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lang w:eastAsia="en-IN"/>
                <w14:ligatures w14:val="none"/>
              </w:rPr>
            </w:pPr>
            <w:r w:rsidRPr="00AF18A3">
              <w:rPr>
                <w:rFonts w:ascii="Times New Roman" w:hAnsi="Times New Roman" w:cs="Times New Roman"/>
                <w:sz w:val="20"/>
                <w:szCs w:val="20"/>
              </w:rPr>
              <w:t>T</w:t>
            </w:r>
            <w:r w:rsidRPr="00AF18A3">
              <w:rPr>
                <w:rFonts w:ascii="Times New Roman" w:hAnsi="Times New Roman" w:cs="Times New Roman"/>
                <w:sz w:val="20"/>
                <w:szCs w:val="20"/>
                <w:vertAlign w:val="subscript"/>
              </w:rPr>
              <w:t>1</w:t>
            </w:r>
          </w:p>
        </w:tc>
        <w:tc>
          <w:tcPr>
            <w:tcW w:w="2917" w:type="dxa"/>
            <w:tcBorders>
              <w:top w:val="single" w:sz="4" w:space="0" w:color="auto"/>
              <w:left w:val="nil"/>
              <w:bottom w:val="nil"/>
              <w:right w:val="nil"/>
            </w:tcBorders>
            <w:vAlign w:val="center"/>
            <w:hideMark/>
          </w:tcPr>
          <w:p w14:paraId="46208EE3"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lang w:eastAsia="en-IN"/>
                <w14:ligatures w14:val="none"/>
              </w:rPr>
            </w:pPr>
            <w:r w:rsidRPr="00AF18A3">
              <w:rPr>
                <w:rFonts w:ascii="Times New Roman" w:eastAsia="Times New Roman" w:hAnsi="Times New Roman" w:cs="Times New Roman"/>
                <w:color w:val="000000"/>
                <w:kern w:val="0"/>
                <w:sz w:val="20"/>
                <w:szCs w:val="20"/>
                <w:lang w:eastAsia="en-IN"/>
                <w14:ligatures w14:val="none"/>
              </w:rPr>
              <w:t>Control (RDF)</w:t>
            </w:r>
          </w:p>
        </w:tc>
        <w:tc>
          <w:tcPr>
            <w:tcW w:w="1031" w:type="dxa"/>
            <w:tcBorders>
              <w:top w:val="single" w:sz="4" w:space="0" w:color="auto"/>
              <w:left w:val="nil"/>
              <w:bottom w:val="nil"/>
              <w:right w:val="nil"/>
            </w:tcBorders>
            <w:noWrap/>
            <w:vAlign w:val="bottom"/>
            <w:hideMark/>
          </w:tcPr>
          <w:p w14:paraId="6A16671D"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lang w:eastAsia="en-IN"/>
                <w14:ligatures w14:val="none"/>
              </w:rPr>
            </w:pPr>
            <w:r w:rsidRPr="00AF18A3">
              <w:rPr>
                <w:rFonts w:ascii="Times New Roman" w:hAnsi="Times New Roman" w:cs="Times New Roman"/>
                <w:color w:val="000000"/>
                <w:sz w:val="20"/>
                <w:szCs w:val="20"/>
              </w:rPr>
              <w:t>1.99</w:t>
            </w:r>
          </w:p>
        </w:tc>
        <w:tc>
          <w:tcPr>
            <w:tcW w:w="1202" w:type="dxa"/>
            <w:tcBorders>
              <w:top w:val="single" w:sz="4" w:space="0" w:color="auto"/>
              <w:left w:val="nil"/>
              <w:bottom w:val="nil"/>
              <w:right w:val="nil"/>
            </w:tcBorders>
            <w:noWrap/>
            <w:vAlign w:val="bottom"/>
            <w:hideMark/>
          </w:tcPr>
          <w:p w14:paraId="787EBCC4"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lang w:eastAsia="en-IN"/>
                <w14:ligatures w14:val="none"/>
              </w:rPr>
            </w:pPr>
            <w:r w:rsidRPr="00AF18A3">
              <w:rPr>
                <w:rFonts w:ascii="Times New Roman" w:hAnsi="Times New Roman" w:cs="Times New Roman"/>
                <w:color w:val="000000"/>
                <w:sz w:val="20"/>
                <w:szCs w:val="20"/>
              </w:rPr>
              <w:t>2.00</w:t>
            </w:r>
          </w:p>
        </w:tc>
        <w:tc>
          <w:tcPr>
            <w:tcW w:w="1140" w:type="dxa"/>
            <w:tcBorders>
              <w:top w:val="single" w:sz="4" w:space="0" w:color="auto"/>
              <w:left w:val="nil"/>
              <w:bottom w:val="nil"/>
              <w:right w:val="nil"/>
            </w:tcBorders>
            <w:vAlign w:val="bottom"/>
          </w:tcPr>
          <w:p w14:paraId="311CA75C"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vertAlign w:val="superscript"/>
                <w:lang w:eastAsia="en-IN"/>
                <w14:ligatures w14:val="none"/>
              </w:rPr>
            </w:pPr>
            <w:r w:rsidRPr="00AF18A3">
              <w:rPr>
                <w:rFonts w:ascii="Times New Roman" w:hAnsi="Times New Roman" w:cs="Times New Roman"/>
                <w:color w:val="000000"/>
                <w:sz w:val="20"/>
                <w:szCs w:val="20"/>
              </w:rPr>
              <w:t>1.99</w:t>
            </w:r>
          </w:p>
        </w:tc>
        <w:tc>
          <w:tcPr>
            <w:tcW w:w="1202" w:type="dxa"/>
            <w:tcBorders>
              <w:top w:val="single" w:sz="4" w:space="0" w:color="auto"/>
              <w:left w:val="nil"/>
              <w:bottom w:val="nil"/>
              <w:right w:val="nil"/>
            </w:tcBorders>
            <w:noWrap/>
            <w:vAlign w:val="bottom"/>
            <w:hideMark/>
          </w:tcPr>
          <w:p w14:paraId="334D4D83"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lang w:eastAsia="en-IN"/>
                <w14:ligatures w14:val="none"/>
              </w:rPr>
            </w:pPr>
            <w:r w:rsidRPr="00AF18A3">
              <w:rPr>
                <w:rFonts w:ascii="Times New Roman" w:hAnsi="Times New Roman" w:cs="Times New Roman"/>
                <w:color w:val="000000"/>
                <w:sz w:val="20"/>
                <w:szCs w:val="20"/>
              </w:rPr>
              <w:t>22.08</w:t>
            </w:r>
          </w:p>
        </w:tc>
        <w:tc>
          <w:tcPr>
            <w:tcW w:w="1179" w:type="dxa"/>
            <w:tcBorders>
              <w:top w:val="single" w:sz="4" w:space="0" w:color="auto"/>
              <w:left w:val="nil"/>
              <w:bottom w:val="nil"/>
              <w:right w:val="nil"/>
            </w:tcBorders>
            <w:noWrap/>
            <w:vAlign w:val="bottom"/>
            <w:hideMark/>
          </w:tcPr>
          <w:p w14:paraId="37A3734E"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lang w:eastAsia="en-IN"/>
                <w14:ligatures w14:val="none"/>
              </w:rPr>
            </w:pPr>
            <w:r w:rsidRPr="00AF18A3">
              <w:rPr>
                <w:rFonts w:ascii="Times New Roman" w:hAnsi="Times New Roman" w:cs="Times New Roman"/>
                <w:color w:val="000000"/>
                <w:sz w:val="20"/>
                <w:szCs w:val="20"/>
              </w:rPr>
              <w:t>22.19</w:t>
            </w:r>
          </w:p>
        </w:tc>
        <w:tc>
          <w:tcPr>
            <w:tcW w:w="1130" w:type="dxa"/>
            <w:tcBorders>
              <w:top w:val="single" w:sz="4" w:space="0" w:color="auto"/>
              <w:left w:val="nil"/>
              <w:bottom w:val="nil"/>
              <w:right w:val="nil"/>
            </w:tcBorders>
            <w:vAlign w:val="bottom"/>
          </w:tcPr>
          <w:p w14:paraId="148B5393"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vertAlign w:val="superscript"/>
                <w:lang w:eastAsia="en-IN"/>
                <w14:ligatures w14:val="none"/>
              </w:rPr>
            </w:pPr>
            <w:r w:rsidRPr="00AF18A3">
              <w:rPr>
                <w:rFonts w:ascii="Times New Roman" w:hAnsi="Times New Roman" w:cs="Times New Roman"/>
                <w:color w:val="000000"/>
                <w:sz w:val="20"/>
                <w:szCs w:val="20"/>
              </w:rPr>
              <w:t>22.14</w:t>
            </w:r>
          </w:p>
        </w:tc>
        <w:tc>
          <w:tcPr>
            <w:tcW w:w="1031" w:type="dxa"/>
            <w:tcBorders>
              <w:top w:val="single" w:sz="4" w:space="0" w:color="auto"/>
              <w:left w:val="nil"/>
              <w:bottom w:val="nil"/>
              <w:right w:val="nil"/>
            </w:tcBorders>
            <w:noWrap/>
            <w:vAlign w:val="bottom"/>
            <w:hideMark/>
          </w:tcPr>
          <w:p w14:paraId="4011F8E2"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lang w:eastAsia="en-IN"/>
                <w14:ligatures w14:val="none"/>
              </w:rPr>
            </w:pPr>
            <w:r w:rsidRPr="00AF18A3">
              <w:rPr>
                <w:rFonts w:ascii="Times New Roman" w:hAnsi="Times New Roman" w:cs="Times New Roman"/>
                <w:color w:val="000000"/>
                <w:sz w:val="20"/>
                <w:szCs w:val="20"/>
              </w:rPr>
              <w:t>15.34</w:t>
            </w:r>
          </w:p>
        </w:tc>
        <w:tc>
          <w:tcPr>
            <w:tcW w:w="1202" w:type="dxa"/>
            <w:tcBorders>
              <w:top w:val="single" w:sz="4" w:space="0" w:color="auto"/>
              <w:left w:val="nil"/>
              <w:bottom w:val="nil"/>
              <w:right w:val="nil"/>
            </w:tcBorders>
            <w:noWrap/>
            <w:vAlign w:val="bottom"/>
            <w:hideMark/>
          </w:tcPr>
          <w:p w14:paraId="0C85BEB6"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lang w:eastAsia="en-IN"/>
                <w14:ligatures w14:val="none"/>
              </w:rPr>
            </w:pPr>
            <w:r w:rsidRPr="00AF18A3">
              <w:rPr>
                <w:rFonts w:ascii="Times New Roman" w:hAnsi="Times New Roman" w:cs="Times New Roman"/>
                <w:color w:val="000000"/>
                <w:sz w:val="20"/>
                <w:szCs w:val="20"/>
              </w:rPr>
              <w:t>16.83</w:t>
            </w:r>
          </w:p>
        </w:tc>
        <w:tc>
          <w:tcPr>
            <w:tcW w:w="1130" w:type="dxa"/>
            <w:tcBorders>
              <w:top w:val="single" w:sz="4" w:space="0" w:color="auto"/>
              <w:left w:val="nil"/>
              <w:bottom w:val="nil"/>
              <w:right w:val="nil"/>
            </w:tcBorders>
            <w:vAlign w:val="bottom"/>
          </w:tcPr>
          <w:p w14:paraId="01F1FFF9"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vertAlign w:val="superscript"/>
                <w:lang w:eastAsia="en-IN"/>
                <w14:ligatures w14:val="none"/>
              </w:rPr>
            </w:pPr>
            <w:r w:rsidRPr="00AF18A3">
              <w:rPr>
                <w:rFonts w:ascii="Times New Roman" w:hAnsi="Times New Roman" w:cs="Times New Roman"/>
                <w:color w:val="000000"/>
                <w:sz w:val="20"/>
                <w:szCs w:val="20"/>
              </w:rPr>
              <w:t>16.08</w:t>
            </w:r>
          </w:p>
        </w:tc>
      </w:tr>
      <w:tr w:rsidR="007E0A41" w:rsidRPr="00AF18A3" w14:paraId="4AC6740B" w14:textId="77777777" w:rsidTr="00701562">
        <w:trPr>
          <w:trHeight w:val="283"/>
        </w:trPr>
        <w:tc>
          <w:tcPr>
            <w:tcW w:w="924" w:type="dxa"/>
            <w:tcBorders>
              <w:top w:val="nil"/>
              <w:left w:val="nil"/>
              <w:bottom w:val="nil"/>
              <w:right w:val="nil"/>
            </w:tcBorders>
            <w:noWrap/>
            <w:hideMark/>
          </w:tcPr>
          <w:p w14:paraId="585184AC"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lang w:eastAsia="en-IN"/>
                <w14:ligatures w14:val="none"/>
              </w:rPr>
            </w:pPr>
            <w:r w:rsidRPr="00AF18A3">
              <w:rPr>
                <w:rFonts w:ascii="Times New Roman" w:hAnsi="Times New Roman" w:cs="Times New Roman"/>
                <w:sz w:val="20"/>
                <w:szCs w:val="20"/>
              </w:rPr>
              <w:t>T</w:t>
            </w:r>
            <w:r w:rsidRPr="00AF18A3">
              <w:rPr>
                <w:rFonts w:ascii="Times New Roman" w:hAnsi="Times New Roman" w:cs="Times New Roman"/>
                <w:sz w:val="20"/>
                <w:szCs w:val="20"/>
                <w:vertAlign w:val="subscript"/>
              </w:rPr>
              <w:t>2</w:t>
            </w:r>
          </w:p>
        </w:tc>
        <w:tc>
          <w:tcPr>
            <w:tcW w:w="2917" w:type="dxa"/>
            <w:tcBorders>
              <w:top w:val="nil"/>
              <w:left w:val="nil"/>
              <w:bottom w:val="nil"/>
              <w:right w:val="nil"/>
            </w:tcBorders>
            <w:vAlign w:val="center"/>
            <w:hideMark/>
          </w:tcPr>
          <w:p w14:paraId="4A5BA196"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lang w:eastAsia="en-IN"/>
                <w14:ligatures w14:val="none"/>
              </w:rPr>
            </w:pPr>
            <w:r w:rsidRPr="00AF18A3">
              <w:rPr>
                <w:rFonts w:ascii="Times New Roman" w:eastAsia="Times New Roman" w:hAnsi="Times New Roman" w:cs="Times New Roman"/>
                <w:color w:val="000000"/>
                <w:kern w:val="0"/>
                <w:sz w:val="20"/>
                <w:szCs w:val="20"/>
                <w:lang w:eastAsia="en-IN"/>
                <w14:ligatures w14:val="none"/>
              </w:rPr>
              <w:t>Chelated iron @0.25%</w:t>
            </w:r>
          </w:p>
        </w:tc>
        <w:tc>
          <w:tcPr>
            <w:tcW w:w="1031" w:type="dxa"/>
            <w:tcBorders>
              <w:top w:val="nil"/>
              <w:left w:val="nil"/>
              <w:bottom w:val="nil"/>
              <w:right w:val="nil"/>
            </w:tcBorders>
            <w:noWrap/>
            <w:vAlign w:val="bottom"/>
            <w:hideMark/>
          </w:tcPr>
          <w:p w14:paraId="3852CEEF"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lang w:eastAsia="en-IN"/>
                <w14:ligatures w14:val="none"/>
              </w:rPr>
            </w:pPr>
            <w:r w:rsidRPr="00AF18A3">
              <w:rPr>
                <w:rFonts w:ascii="Times New Roman" w:hAnsi="Times New Roman" w:cs="Times New Roman"/>
                <w:color w:val="000000"/>
                <w:sz w:val="20"/>
                <w:szCs w:val="20"/>
              </w:rPr>
              <w:t>2.00</w:t>
            </w:r>
          </w:p>
        </w:tc>
        <w:tc>
          <w:tcPr>
            <w:tcW w:w="1202" w:type="dxa"/>
            <w:tcBorders>
              <w:top w:val="nil"/>
              <w:left w:val="nil"/>
              <w:bottom w:val="nil"/>
              <w:right w:val="nil"/>
            </w:tcBorders>
            <w:noWrap/>
            <w:vAlign w:val="bottom"/>
            <w:hideMark/>
          </w:tcPr>
          <w:p w14:paraId="5BD97FB0"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lang w:eastAsia="en-IN"/>
                <w14:ligatures w14:val="none"/>
              </w:rPr>
            </w:pPr>
            <w:r w:rsidRPr="00AF18A3">
              <w:rPr>
                <w:rFonts w:ascii="Times New Roman" w:hAnsi="Times New Roman" w:cs="Times New Roman"/>
                <w:color w:val="000000"/>
                <w:sz w:val="20"/>
                <w:szCs w:val="20"/>
              </w:rPr>
              <w:t>2.01</w:t>
            </w:r>
          </w:p>
        </w:tc>
        <w:tc>
          <w:tcPr>
            <w:tcW w:w="1140" w:type="dxa"/>
            <w:tcBorders>
              <w:top w:val="nil"/>
              <w:left w:val="nil"/>
              <w:bottom w:val="nil"/>
              <w:right w:val="nil"/>
            </w:tcBorders>
            <w:vAlign w:val="bottom"/>
          </w:tcPr>
          <w:p w14:paraId="42046D1C"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vertAlign w:val="superscript"/>
                <w:lang w:eastAsia="en-IN"/>
                <w14:ligatures w14:val="none"/>
              </w:rPr>
            </w:pPr>
            <w:r w:rsidRPr="00AF18A3">
              <w:rPr>
                <w:rFonts w:ascii="Times New Roman" w:hAnsi="Times New Roman" w:cs="Times New Roman"/>
                <w:color w:val="000000"/>
                <w:sz w:val="20"/>
                <w:szCs w:val="20"/>
              </w:rPr>
              <w:t>2.01</w:t>
            </w:r>
          </w:p>
        </w:tc>
        <w:tc>
          <w:tcPr>
            <w:tcW w:w="1202" w:type="dxa"/>
            <w:tcBorders>
              <w:top w:val="nil"/>
              <w:left w:val="nil"/>
              <w:bottom w:val="nil"/>
              <w:right w:val="nil"/>
            </w:tcBorders>
            <w:noWrap/>
            <w:vAlign w:val="bottom"/>
            <w:hideMark/>
          </w:tcPr>
          <w:p w14:paraId="3EDAB3C6"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lang w:eastAsia="en-IN"/>
                <w14:ligatures w14:val="none"/>
              </w:rPr>
            </w:pPr>
            <w:r w:rsidRPr="00AF18A3">
              <w:rPr>
                <w:rFonts w:ascii="Times New Roman" w:hAnsi="Times New Roman" w:cs="Times New Roman"/>
                <w:color w:val="000000"/>
                <w:sz w:val="20"/>
                <w:szCs w:val="20"/>
              </w:rPr>
              <w:t>25.72</w:t>
            </w:r>
          </w:p>
        </w:tc>
        <w:tc>
          <w:tcPr>
            <w:tcW w:w="1179" w:type="dxa"/>
            <w:tcBorders>
              <w:top w:val="nil"/>
              <w:left w:val="nil"/>
              <w:bottom w:val="nil"/>
              <w:right w:val="nil"/>
            </w:tcBorders>
            <w:noWrap/>
            <w:vAlign w:val="bottom"/>
            <w:hideMark/>
          </w:tcPr>
          <w:p w14:paraId="672F7C48"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lang w:eastAsia="en-IN"/>
                <w14:ligatures w14:val="none"/>
              </w:rPr>
            </w:pPr>
            <w:r w:rsidRPr="00AF18A3">
              <w:rPr>
                <w:rFonts w:ascii="Times New Roman" w:hAnsi="Times New Roman" w:cs="Times New Roman"/>
                <w:color w:val="000000"/>
                <w:sz w:val="20"/>
                <w:szCs w:val="20"/>
              </w:rPr>
              <w:t>25.43</w:t>
            </w:r>
          </w:p>
        </w:tc>
        <w:tc>
          <w:tcPr>
            <w:tcW w:w="1130" w:type="dxa"/>
            <w:tcBorders>
              <w:top w:val="nil"/>
              <w:left w:val="nil"/>
              <w:bottom w:val="nil"/>
              <w:right w:val="nil"/>
            </w:tcBorders>
            <w:vAlign w:val="bottom"/>
          </w:tcPr>
          <w:p w14:paraId="23BFCFB1"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vertAlign w:val="superscript"/>
                <w:lang w:eastAsia="en-IN"/>
                <w14:ligatures w14:val="none"/>
              </w:rPr>
            </w:pPr>
            <w:r w:rsidRPr="00AF18A3">
              <w:rPr>
                <w:rFonts w:ascii="Times New Roman" w:hAnsi="Times New Roman" w:cs="Times New Roman"/>
                <w:color w:val="000000"/>
                <w:sz w:val="20"/>
                <w:szCs w:val="20"/>
              </w:rPr>
              <w:t>25.57</w:t>
            </w:r>
          </w:p>
        </w:tc>
        <w:tc>
          <w:tcPr>
            <w:tcW w:w="1031" w:type="dxa"/>
            <w:tcBorders>
              <w:top w:val="nil"/>
              <w:left w:val="nil"/>
              <w:bottom w:val="nil"/>
              <w:right w:val="nil"/>
            </w:tcBorders>
            <w:noWrap/>
            <w:vAlign w:val="bottom"/>
            <w:hideMark/>
          </w:tcPr>
          <w:p w14:paraId="108F849B"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lang w:eastAsia="en-IN"/>
                <w14:ligatures w14:val="none"/>
              </w:rPr>
            </w:pPr>
            <w:r w:rsidRPr="00AF18A3">
              <w:rPr>
                <w:rFonts w:ascii="Times New Roman" w:hAnsi="Times New Roman" w:cs="Times New Roman"/>
                <w:color w:val="000000"/>
                <w:sz w:val="20"/>
                <w:szCs w:val="20"/>
              </w:rPr>
              <w:t>19.82</w:t>
            </w:r>
          </w:p>
        </w:tc>
        <w:tc>
          <w:tcPr>
            <w:tcW w:w="1202" w:type="dxa"/>
            <w:tcBorders>
              <w:top w:val="nil"/>
              <w:left w:val="nil"/>
              <w:bottom w:val="nil"/>
              <w:right w:val="nil"/>
            </w:tcBorders>
            <w:noWrap/>
            <w:vAlign w:val="bottom"/>
            <w:hideMark/>
          </w:tcPr>
          <w:p w14:paraId="6CDEF6D6"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lang w:eastAsia="en-IN"/>
                <w14:ligatures w14:val="none"/>
              </w:rPr>
            </w:pPr>
            <w:r w:rsidRPr="00AF18A3">
              <w:rPr>
                <w:rFonts w:ascii="Times New Roman" w:hAnsi="Times New Roman" w:cs="Times New Roman"/>
                <w:color w:val="000000"/>
                <w:sz w:val="20"/>
                <w:szCs w:val="20"/>
              </w:rPr>
              <w:t>20.19</w:t>
            </w:r>
          </w:p>
        </w:tc>
        <w:tc>
          <w:tcPr>
            <w:tcW w:w="1130" w:type="dxa"/>
            <w:tcBorders>
              <w:top w:val="nil"/>
              <w:left w:val="nil"/>
              <w:bottom w:val="nil"/>
              <w:right w:val="nil"/>
            </w:tcBorders>
            <w:vAlign w:val="bottom"/>
          </w:tcPr>
          <w:p w14:paraId="40B0695A"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vertAlign w:val="superscript"/>
                <w:lang w:eastAsia="en-IN"/>
                <w14:ligatures w14:val="none"/>
              </w:rPr>
            </w:pPr>
            <w:r w:rsidRPr="00AF18A3">
              <w:rPr>
                <w:rFonts w:ascii="Times New Roman" w:hAnsi="Times New Roman" w:cs="Times New Roman"/>
                <w:color w:val="000000"/>
                <w:sz w:val="20"/>
                <w:szCs w:val="20"/>
              </w:rPr>
              <w:t>20.01</w:t>
            </w:r>
          </w:p>
        </w:tc>
      </w:tr>
      <w:tr w:rsidR="007E0A41" w:rsidRPr="00AF18A3" w14:paraId="2CFEF582" w14:textId="77777777" w:rsidTr="00701562">
        <w:trPr>
          <w:trHeight w:val="283"/>
        </w:trPr>
        <w:tc>
          <w:tcPr>
            <w:tcW w:w="924" w:type="dxa"/>
            <w:tcBorders>
              <w:top w:val="nil"/>
              <w:left w:val="nil"/>
              <w:bottom w:val="nil"/>
              <w:right w:val="nil"/>
            </w:tcBorders>
            <w:noWrap/>
            <w:hideMark/>
          </w:tcPr>
          <w:p w14:paraId="3A5E9560"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lang w:eastAsia="en-IN"/>
                <w14:ligatures w14:val="none"/>
              </w:rPr>
            </w:pPr>
            <w:r w:rsidRPr="00AF18A3">
              <w:rPr>
                <w:rFonts w:ascii="Times New Roman" w:hAnsi="Times New Roman" w:cs="Times New Roman"/>
                <w:sz w:val="20"/>
                <w:szCs w:val="20"/>
              </w:rPr>
              <w:t>T</w:t>
            </w:r>
            <w:r w:rsidRPr="00AF18A3">
              <w:rPr>
                <w:rFonts w:ascii="Times New Roman" w:hAnsi="Times New Roman" w:cs="Times New Roman"/>
                <w:sz w:val="20"/>
                <w:szCs w:val="20"/>
                <w:vertAlign w:val="subscript"/>
              </w:rPr>
              <w:t>3</w:t>
            </w:r>
          </w:p>
        </w:tc>
        <w:tc>
          <w:tcPr>
            <w:tcW w:w="2917" w:type="dxa"/>
            <w:tcBorders>
              <w:top w:val="nil"/>
              <w:left w:val="nil"/>
              <w:bottom w:val="nil"/>
              <w:right w:val="nil"/>
            </w:tcBorders>
            <w:vAlign w:val="center"/>
            <w:hideMark/>
          </w:tcPr>
          <w:p w14:paraId="5995535F"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lang w:eastAsia="en-IN"/>
                <w14:ligatures w14:val="none"/>
              </w:rPr>
            </w:pPr>
            <w:r w:rsidRPr="00AF18A3">
              <w:rPr>
                <w:rFonts w:ascii="Times New Roman" w:eastAsia="Times New Roman" w:hAnsi="Times New Roman" w:cs="Times New Roman"/>
                <w:color w:val="000000"/>
                <w:kern w:val="0"/>
                <w:sz w:val="20"/>
                <w:szCs w:val="20"/>
                <w:lang w:eastAsia="en-IN"/>
                <w14:ligatures w14:val="none"/>
              </w:rPr>
              <w:t>Chelated iron @0.50%</w:t>
            </w:r>
          </w:p>
        </w:tc>
        <w:tc>
          <w:tcPr>
            <w:tcW w:w="1031" w:type="dxa"/>
            <w:tcBorders>
              <w:top w:val="nil"/>
              <w:left w:val="nil"/>
              <w:bottom w:val="nil"/>
              <w:right w:val="nil"/>
            </w:tcBorders>
            <w:noWrap/>
            <w:vAlign w:val="bottom"/>
            <w:hideMark/>
          </w:tcPr>
          <w:p w14:paraId="50AC5900"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lang w:eastAsia="en-IN"/>
                <w14:ligatures w14:val="none"/>
              </w:rPr>
            </w:pPr>
            <w:r w:rsidRPr="00AF18A3">
              <w:rPr>
                <w:rFonts w:ascii="Times New Roman" w:hAnsi="Times New Roman" w:cs="Times New Roman"/>
                <w:color w:val="000000"/>
                <w:sz w:val="20"/>
                <w:szCs w:val="20"/>
              </w:rPr>
              <w:t>2.00</w:t>
            </w:r>
          </w:p>
        </w:tc>
        <w:tc>
          <w:tcPr>
            <w:tcW w:w="1202" w:type="dxa"/>
            <w:tcBorders>
              <w:top w:val="nil"/>
              <w:left w:val="nil"/>
              <w:bottom w:val="nil"/>
              <w:right w:val="nil"/>
            </w:tcBorders>
            <w:noWrap/>
            <w:vAlign w:val="bottom"/>
            <w:hideMark/>
          </w:tcPr>
          <w:p w14:paraId="7EDF27A4"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lang w:eastAsia="en-IN"/>
                <w14:ligatures w14:val="none"/>
              </w:rPr>
            </w:pPr>
            <w:r w:rsidRPr="00AF18A3">
              <w:rPr>
                <w:rFonts w:ascii="Times New Roman" w:hAnsi="Times New Roman" w:cs="Times New Roman"/>
                <w:color w:val="000000"/>
                <w:sz w:val="20"/>
                <w:szCs w:val="20"/>
              </w:rPr>
              <w:t>2.01</w:t>
            </w:r>
          </w:p>
        </w:tc>
        <w:tc>
          <w:tcPr>
            <w:tcW w:w="1140" w:type="dxa"/>
            <w:tcBorders>
              <w:top w:val="nil"/>
              <w:left w:val="nil"/>
              <w:bottom w:val="nil"/>
              <w:right w:val="nil"/>
            </w:tcBorders>
            <w:vAlign w:val="bottom"/>
          </w:tcPr>
          <w:p w14:paraId="5200CC31"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vertAlign w:val="superscript"/>
                <w:lang w:eastAsia="en-IN"/>
                <w14:ligatures w14:val="none"/>
              </w:rPr>
            </w:pPr>
            <w:r w:rsidRPr="00AF18A3">
              <w:rPr>
                <w:rFonts w:ascii="Times New Roman" w:hAnsi="Times New Roman" w:cs="Times New Roman"/>
                <w:color w:val="000000"/>
                <w:sz w:val="20"/>
                <w:szCs w:val="20"/>
              </w:rPr>
              <w:t>2.01</w:t>
            </w:r>
          </w:p>
        </w:tc>
        <w:tc>
          <w:tcPr>
            <w:tcW w:w="1202" w:type="dxa"/>
            <w:tcBorders>
              <w:top w:val="nil"/>
              <w:left w:val="nil"/>
              <w:bottom w:val="nil"/>
              <w:right w:val="nil"/>
            </w:tcBorders>
            <w:noWrap/>
            <w:vAlign w:val="bottom"/>
            <w:hideMark/>
          </w:tcPr>
          <w:p w14:paraId="03A65955"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lang w:eastAsia="en-IN"/>
                <w14:ligatures w14:val="none"/>
              </w:rPr>
            </w:pPr>
            <w:r w:rsidRPr="00AF18A3">
              <w:rPr>
                <w:rFonts w:ascii="Times New Roman" w:hAnsi="Times New Roman" w:cs="Times New Roman"/>
                <w:color w:val="000000"/>
                <w:sz w:val="20"/>
                <w:szCs w:val="20"/>
              </w:rPr>
              <w:t>27.88</w:t>
            </w:r>
          </w:p>
        </w:tc>
        <w:tc>
          <w:tcPr>
            <w:tcW w:w="1179" w:type="dxa"/>
            <w:tcBorders>
              <w:top w:val="nil"/>
              <w:left w:val="nil"/>
              <w:bottom w:val="nil"/>
              <w:right w:val="nil"/>
            </w:tcBorders>
            <w:noWrap/>
            <w:vAlign w:val="bottom"/>
            <w:hideMark/>
          </w:tcPr>
          <w:p w14:paraId="1FBDCA14"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lang w:eastAsia="en-IN"/>
                <w14:ligatures w14:val="none"/>
              </w:rPr>
            </w:pPr>
            <w:r w:rsidRPr="00AF18A3">
              <w:rPr>
                <w:rFonts w:ascii="Times New Roman" w:hAnsi="Times New Roman" w:cs="Times New Roman"/>
                <w:color w:val="000000"/>
                <w:sz w:val="20"/>
                <w:szCs w:val="20"/>
              </w:rPr>
              <w:t>27.90</w:t>
            </w:r>
          </w:p>
        </w:tc>
        <w:tc>
          <w:tcPr>
            <w:tcW w:w="1130" w:type="dxa"/>
            <w:tcBorders>
              <w:top w:val="nil"/>
              <w:left w:val="nil"/>
              <w:bottom w:val="nil"/>
              <w:right w:val="nil"/>
            </w:tcBorders>
            <w:vAlign w:val="bottom"/>
          </w:tcPr>
          <w:p w14:paraId="4EFE1D95"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vertAlign w:val="superscript"/>
                <w:lang w:eastAsia="en-IN"/>
                <w14:ligatures w14:val="none"/>
              </w:rPr>
            </w:pPr>
            <w:r w:rsidRPr="00AF18A3">
              <w:rPr>
                <w:rFonts w:ascii="Times New Roman" w:hAnsi="Times New Roman" w:cs="Times New Roman"/>
                <w:color w:val="000000"/>
                <w:sz w:val="20"/>
                <w:szCs w:val="20"/>
              </w:rPr>
              <w:t>27.89</w:t>
            </w:r>
          </w:p>
        </w:tc>
        <w:tc>
          <w:tcPr>
            <w:tcW w:w="1031" w:type="dxa"/>
            <w:tcBorders>
              <w:top w:val="nil"/>
              <w:left w:val="nil"/>
              <w:bottom w:val="nil"/>
              <w:right w:val="nil"/>
            </w:tcBorders>
            <w:noWrap/>
            <w:vAlign w:val="bottom"/>
            <w:hideMark/>
          </w:tcPr>
          <w:p w14:paraId="05C1BF70"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lang w:eastAsia="en-IN"/>
                <w14:ligatures w14:val="none"/>
              </w:rPr>
            </w:pPr>
            <w:r w:rsidRPr="00AF18A3">
              <w:rPr>
                <w:rFonts w:ascii="Times New Roman" w:hAnsi="Times New Roman" w:cs="Times New Roman"/>
                <w:color w:val="000000"/>
                <w:sz w:val="20"/>
                <w:szCs w:val="20"/>
              </w:rPr>
              <w:t>18.34</w:t>
            </w:r>
          </w:p>
        </w:tc>
        <w:tc>
          <w:tcPr>
            <w:tcW w:w="1202" w:type="dxa"/>
            <w:tcBorders>
              <w:top w:val="nil"/>
              <w:left w:val="nil"/>
              <w:bottom w:val="nil"/>
              <w:right w:val="nil"/>
            </w:tcBorders>
            <w:noWrap/>
            <w:vAlign w:val="bottom"/>
            <w:hideMark/>
          </w:tcPr>
          <w:p w14:paraId="74D9EB26"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lang w:eastAsia="en-IN"/>
                <w14:ligatures w14:val="none"/>
              </w:rPr>
            </w:pPr>
            <w:r w:rsidRPr="00AF18A3">
              <w:rPr>
                <w:rFonts w:ascii="Times New Roman" w:hAnsi="Times New Roman" w:cs="Times New Roman"/>
                <w:color w:val="000000"/>
                <w:sz w:val="20"/>
                <w:szCs w:val="20"/>
              </w:rPr>
              <w:t>18.40</w:t>
            </w:r>
          </w:p>
        </w:tc>
        <w:tc>
          <w:tcPr>
            <w:tcW w:w="1130" w:type="dxa"/>
            <w:tcBorders>
              <w:top w:val="nil"/>
              <w:left w:val="nil"/>
              <w:bottom w:val="nil"/>
              <w:right w:val="nil"/>
            </w:tcBorders>
            <w:vAlign w:val="bottom"/>
          </w:tcPr>
          <w:p w14:paraId="671F0B3C"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vertAlign w:val="superscript"/>
                <w:lang w:eastAsia="en-IN"/>
                <w14:ligatures w14:val="none"/>
              </w:rPr>
            </w:pPr>
            <w:r w:rsidRPr="00AF18A3">
              <w:rPr>
                <w:rFonts w:ascii="Times New Roman" w:hAnsi="Times New Roman" w:cs="Times New Roman"/>
                <w:color w:val="000000"/>
                <w:sz w:val="20"/>
                <w:szCs w:val="20"/>
              </w:rPr>
              <w:t>18.37</w:t>
            </w:r>
          </w:p>
        </w:tc>
      </w:tr>
      <w:tr w:rsidR="007E0A41" w:rsidRPr="00AF18A3" w14:paraId="3111ABCB" w14:textId="77777777" w:rsidTr="00701562">
        <w:trPr>
          <w:trHeight w:val="283"/>
        </w:trPr>
        <w:tc>
          <w:tcPr>
            <w:tcW w:w="924" w:type="dxa"/>
            <w:tcBorders>
              <w:top w:val="nil"/>
              <w:left w:val="nil"/>
              <w:bottom w:val="nil"/>
              <w:right w:val="nil"/>
            </w:tcBorders>
            <w:noWrap/>
            <w:hideMark/>
          </w:tcPr>
          <w:p w14:paraId="4C1D479B"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lang w:eastAsia="en-IN"/>
                <w14:ligatures w14:val="none"/>
              </w:rPr>
            </w:pPr>
            <w:r w:rsidRPr="00AF18A3">
              <w:rPr>
                <w:rFonts w:ascii="Times New Roman" w:hAnsi="Times New Roman" w:cs="Times New Roman"/>
                <w:sz w:val="20"/>
                <w:szCs w:val="20"/>
              </w:rPr>
              <w:t>T</w:t>
            </w:r>
            <w:r w:rsidRPr="00AF18A3">
              <w:rPr>
                <w:rFonts w:ascii="Times New Roman" w:hAnsi="Times New Roman" w:cs="Times New Roman"/>
                <w:sz w:val="20"/>
                <w:szCs w:val="20"/>
                <w:vertAlign w:val="subscript"/>
              </w:rPr>
              <w:t>4</w:t>
            </w:r>
          </w:p>
        </w:tc>
        <w:tc>
          <w:tcPr>
            <w:tcW w:w="2917" w:type="dxa"/>
            <w:tcBorders>
              <w:top w:val="nil"/>
              <w:left w:val="nil"/>
              <w:bottom w:val="nil"/>
              <w:right w:val="nil"/>
            </w:tcBorders>
            <w:vAlign w:val="center"/>
            <w:hideMark/>
          </w:tcPr>
          <w:p w14:paraId="1A50D4CF"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lang w:eastAsia="en-IN"/>
                <w14:ligatures w14:val="none"/>
              </w:rPr>
            </w:pPr>
            <w:r w:rsidRPr="00AF18A3">
              <w:rPr>
                <w:rFonts w:ascii="Times New Roman" w:eastAsia="Times New Roman" w:hAnsi="Times New Roman" w:cs="Times New Roman"/>
                <w:color w:val="000000"/>
                <w:kern w:val="0"/>
                <w:sz w:val="20"/>
                <w:szCs w:val="20"/>
                <w:lang w:eastAsia="en-IN"/>
                <w14:ligatures w14:val="none"/>
              </w:rPr>
              <w:t>Chelated iron @0.75%</w:t>
            </w:r>
          </w:p>
        </w:tc>
        <w:tc>
          <w:tcPr>
            <w:tcW w:w="1031" w:type="dxa"/>
            <w:tcBorders>
              <w:top w:val="nil"/>
              <w:left w:val="nil"/>
              <w:bottom w:val="nil"/>
              <w:right w:val="nil"/>
            </w:tcBorders>
            <w:noWrap/>
            <w:vAlign w:val="bottom"/>
            <w:hideMark/>
          </w:tcPr>
          <w:p w14:paraId="2A00D853"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lang w:eastAsia="en-IN"/>
                <w14:ligatures w14:val="none"/>
              </w:rPr>
            </w:pPr>
            <w:r w:rsidRPr="00AF18A3">
              <w:rPr>
                <w:rFonts w:ascii="Times New Roman" w:hAnsi="Times New Roman" w:cs="Times New Roman"/>
                <w:color w:val="000000"/>
                <w:sz w:val="20"/>
                <w:szCs w:val="20"/>
              </w:rPr>
              <w:t>2.01</w:t>
            </w:r>
          </w:p>
        </w:tc>
        <w:tc>
          <w:tcPr>
            <w:tcW w:w="1202" w:type="dxa"/>
            <w:tcBorders>
              <w:top w:val="nil"/>
              <w:left w:val="nil"/>
              <w:bottom w:val="nil"/>
              <w:right w:val="nil"/>
            </w:tcBorders>
            <w:noWrap/>
            <w:vAlign w:val="bottom"/>
            <w:hideMark/>
          </w:tcPr>
          <w:p w14:paraId="7D77BACB"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lang w:eastAsia="en-IN"/>
                <w14:ligatures w14:val="none"/>
              </w:rPr>
            </w:pPr>
            <w:r w:rsidRPr="00AF18A3">
              <w:rPr>
                <w:rFonts w:ascii="Times New Roman" w:hAnsi="Times New Roman" w:cs="Times New Roman"/>
                <w:color w:val="000000"/>
                <w:sz w:val="20"/>
                <w:szCs w:val="20"/>
              </w:rPr>
              <w:t>2.01</w:t>
            </w:r>
          </w:p>
        </w:tc>
        <w:tc>
          <w:tcPr>
            <w:tcW w:w="1140" w:type="dxa"/>
            <w:tcBorders>
              <w:top w:val="nil"/>
              <w:left w:val="nil"/>
              <w:bottom w:val="nil"/>
              <w:right w:val="nil"/>
            </w:tcBorders>
            <w:vAlign w:val="bottom"/>
          </w:tcPr>
          <w:p w14:paraId="75460B5C"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vertAlign w:val="superscript"/>
                <w:lang w:eastAsia="en-IN"/>
                <w14:ligatures w14:val="none"/>
              </w:rPr>
            </w:pPr>
            <w:r w:rsidRPr="00AF18A3">
              <w:rPr>
                <w:rFonts w:ascii="Times New Roman" w:hAnsi="Times New Roman" w:cs="Times New Roman"/>
                <w:color w:val="000000"/>
                <w:sz w:val="20"/>
                <w:szCs w:val="20"/>
              </w:rPr>
              <w:t>2.01</w:t>
            </w:r>
          </w:p>
        </w:tc>
        <w:tc>
          <w:tcPr>
            <w:tcW w:w="1202" w:type="dxa"/>
            <w:tcBorders>
              <w:top w:val="nil"/>
              <w:left w:val="nil"/>
              <w:bottom w:val="nil"/>
              <w:right w:val="nil"/>
            </w:tcBorders>
            <w:noWrap/>
            <w:vAlign w:val="bottom"/>
            <w:hideMark/>
          </w:tcPr>
          <w:p w14:paraId="1B2EADF4"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lang w:eastAsia="en-IN"/>
                <w14:ligatures w14:val="none"/>
              </w:rPr>
            </w:pPr>
            <w:r w:rsidRPr="00AF18A3">
              <w:rPr>
                <w:rFonts w:ascii="Times New Roman" w:hAnsi="Times New Roman" w:cs="Times New Roman"/>
                <w:color w:val="000000"/>
                <w:sz w:val="20"/>
                <w:szCs w:val="20"/>
              </w:rPr>
              <w:t>29.66</w:t>
            </w:r>
          </w:p>
        </w:tc>
        <w:tc>
          <w:tcPr>
            <w:tcW w:w="1179" w:type="dxa"/>
            <w:tcBorders>
              <w:top w:val="nil"/>
              <w:left w:val="nil"/>
              <w:bottom w:val="nil"/>
              <w:right w:val="nil"/>
            </w:tcBorders>
            <w:noWrap/>
            <w:vAlign w:val="bottom"/>
            <w:hideMark/>
          </w:tcPr>
          <w:p w14:paraId="68D421E9"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lang w:eastAsia="en-IN"/>
                <w14:ligatures w14:val="none"/>
              </w:rPr>
            </w:pPr>
            <w:r w:rsidRPr="00AF18A3">
              <w:rPr>
                <w:rFonts w:ascii="Times New Roman" w:hAnsi="Times New Roman" w:cs="Times New Roman"/>
                <w:color w:val="000000"/>
                <w:sz w:val="20"/>
                <w:szCs w:val="20"/>
              </w:rPr>
              <w:t>29.80</w:t>
            </w:r>
          </w:p>
        </w:tc>
        <w:tc>
          <w:tcPr>
            <w:tcW w:w="1130" w:type="dxa"/>
            <w:tcBorders>
              <w:top w:val="nil"/>
              <w:left w:val="nil"/>
              <w:bottom w:val="nil"/>
              <w:right w:val="nil"/>
            </w:tcBorders>
            <w:vAlign w:val="bottom"/>
          </w:tcPr>
          <w:p w14:paraId="2D25D14B"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vertAlign w:val="superscript"/>
                <w:lang w:eastAsia="en-IN"/>
                <w14:ligatures w14:val="none"/>
              </w:rPr>
            </w:pPr>
            <w:r w:rsidRPr="00AF18A3">
              <w:rPr>
                <w:rFonts w:ascii="Times New Roman" w:hAnsi="Times New Roman" w:cs="Times New Roman"/>
                <w:color w:val="000000"/>
                <w:sz w:val="20"/>
                <w:szCs w:val="20"/>
              </w:rPr>
              <w:t>29.73</w:t>
            </w:r>
          </w:p>
        </w:tc>
        <w:tc>
          <w:tcPr>
            <w:tcW w:w="1031" w:type="dxa"/>
            <w:tcBorders>
              <w:top w:val="nil"/>
              <w:left w:val="nil"/>
              <w:bottom w:val="nil"/>
              <w:right w:val="nil"/>
            </w:tcBorders>
            <w:noWrap/>
            <w:vAlign w:val="bottom"/>
            <w:hideMark/>
          </w:tcPr>
          <w:p w14:paraId="1EDB086F"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lang w:eastAsia="en-IN"/>
                <w14:ligatures w14:val="none"/>
              </w:rPr>
            </w:pPr>
            <w:r w:rsidRPr="00AF18A3">
              <w:rPr>
                <w:rFonts w:ascii="Times New Roman" w:hAnsi="Times New Roman" w:cs="Times New Roman"/>
                <w:color w:val="000000"/>
                <w:sz w:val="20"/>
                <w:szCs w:val="20"/>
              </w:rPr>
              <w:t>17.84</w:t>
            </w:r>
          </w:p>
        </w:tc>
        <w:tc>
          <w:tcPr>
            <w:tcW w:w="1202" w:type="dxa"/>
            <w:tcBorders>
              <w:top w:val="nil"/>
              <w:left w:val="nil"/>
              <w:bottom w:val="nil"/>
              <w:right w:val="nil"/>
            </w:tcBorders>
            <w:noWrap/>
            <w:vAlign w:val="bottom"/>
            <w:hideMark/>
          </w:tcPr>
          <w:p w14:paraId="53DF4A2A"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lang w:eastAsia="en-IN"/>
                <w14:ligatures w14:val="none"/>
              </w:rPr>
            </w:pPr>
            <w:r w:rsidRPr="00AF18A3">
              <w:rPr>
                <w:rFonts w:ascii="Times New Roman" w:hAnsi="Times New Roman" w:cs="Times New Roman"/>
                <w:color w:val="000000"/>
                <w:sz w:val="20"/>
                <w:szCs w:val="20"/>
              </w:rPr>
              <w:t>17.79</w:t>
            </w:r>
          </w:p>
        </w:tc>
        <w:tc>
          <w:tcPr>
            <w:tcW w:w="1130" w:type="dxa"/>
            <w:tcBorders>
              <w:top w:val="nil"/>
              <w:left w:val="nil"/>
              <w:bottom w:val="nil"/>
              <w:right w:val="nil"/>
            </w:tcBorders>
            <w:vAlign w:val="bottom"/>
          </w:tcPr>
          <w:p w14:paraId="382CFDCE"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vertAlign w:val="superscript"/>
                <w:lang w:eastAsia="en-IN"/>
                <w14:ligatures w14:val="none"/>
              </w:rPr>
            </w:pPr>
            <w:r w:rsidRPr="00AF18A3">
              <w:rPr>
                <w:rFonts w:ascii="Times New Roman" w:hAnsi="Times New Roman" w:cs="Times New Roman"/>
                <w:color w:val="000000"/>
                <w:sz w:val="20"/>
                <w:szCs w:val="20"/>
              </w:rPr>
              <w:t>17.82</w:t>
            </w:r>
          </w:p>
        </w:tc>
      </w:tr>
      <w:tr w:rsidR="007E0A41" w:rsidRPr="00AF18A3" w14:paraId="3E10CD20" w14:textId="77777777" w:rsidTr="00701562">
        <w:trPr>
          <w:trHeight w:val="306"/>
        </w:trPr>
        <w:tc>
          <w:tcPr>
            <w:tcW w:w="924" w:type="dxa"/>
            <w:tcBorders>
              <w:top w:val="nil"/>
              <w:left w:val="nil"/>
              <w:bottom w:val="nil"/>
              <w:right w:val="nil"/>
            </w:tcBorders>
            <w:noWrap/>
            <w:hideMark/>
          </w:tcPr>
          <w:p w14:paraId="0DF84A10"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lang w:eastAsia="en-IN"/>
                <w14:ligatures w14:val="none"/>
              </w:rPr>
            </w:pPr>
            <w:r w:rsidRPr="00AF18A3">
              <w:rPr>
                <w:rFonts w:ascii="Times New Roman" w:hAnsi="Times New Roman" w:cs="Times New Roman"/>
                <w:sz w:val="20"/>
                <w:szCs w:val="20"/>
              </w:rPr>
              <w:t>T</w:t>
            </w:r>
            <w:r w:rsidRPr="00AF18A3">
              <w:rPr>
                <w:rFonts w:ascii="Times New Roman" w:hAnsi="Times New Roman" w:cs="Times New Roman"/>
                <w:sz w:val="20"/>
                <w:szCs w:val="20"/>
                <w:vertAlign w:val="subscript"/>
              </w:rPr>
              <w:t>5</w:t>
            </w:r>
          </w:p>
        </w:tc>
        <w:tc>
          <w:tcPr>
            <w:tcW w:w="2917" w:type="dxa"/>
            <w:tcBorders>
              <w:top w:val="nil"/>
              <w:left w:val="nil"/>
              <w:bottom w:val="nil"/>
              <w:right w:val="nil"/>
            </w:tcBorders>
            <w:vAlign w:val="center"/>
            <w:hideMark/>
          </w:tcPr>
          <w:p w14:paraId="093E0DF3"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lang w:eastAsia="en-IN"/>
                <w14:ligatures w14:val="none"/>
              </w:rPr>
            </w:pPr>
            <w:r w:rsidRPr="00AF18A3">
              <w:rPr>
                <w:rFonts w:ascii="Times New Roman" w:eastAsia="Times New Roman" w:hAnsi="Times New Roman" w:cs="Times New Roman"/>
                <w:color w:val="000000"/>
                <w:kern w:val="0"/>
                <w:sz w:val="20"/>
                <w:szCs w:val="20"/>
                <w:lang w:eastAsia="en-IN"/>
                <w14:ligatures w14:val="none"/>
              </w:rPr>
              <w:t>FeSO</w:t>
            </w:r>
            <w:r w:rsidRPr="00AF18A3">
              <w:rPr>
                <w:rFonts w:ascii="Times New Roman" w:eastAsia="Times New Roman" w:hAnsi="Times New Roman" w:cs="Times New Roman"/>
                <w:color w:val="000000"/>
                <w:kern w:val="0"/>
                <w:sz w:val="20"/>
                <w:szCs w:val="20"/>
                <w:vertAlign w:val="subscript"/>
                <w:lang w:eastAsia="en-IN"/>
                <w14:ligatures w14:val="none"/>
              </w:rPr>
              <w:t>4</w:t>
            </w:r>
            <w:r w:rsidRPr="00AF18A3">
              <w:rPr>
                <w:rFonts w:ascii="Times New Roman" w:eastAsia="Times New Roman" w:hAnsi="Times New Roman" w:cs="Times New Roman"/>
                <w:color w:val="000000"/>
                <w:kern w:val="0"/>
                <w:sz w:val="20"/>
                <w:szCs w:val="20"/>
                <w:lang w:eastAsia="en-IN"/>
                <w14:ligatures w14:val="none"/>
              </w:rPr>
              <w:t xml:space="preserve"> @0.25%</w:t>
            </w:r>
          </w:p>
        </w:tc>
        <w:tc>
          <w:tcPr>
            <w:tcW w:w="1031" w:type="dxa"/>
            <w:tcBorders>
              <w:top w:val="nil"/>
              <w:left w:val="nil"/>
              <w:bottom w:val="nil"/>
              <w:right w:val="nil"/>
            </w:tcBorders>
            <w:noWrap/>
            <w:vAlign w:val="bottom"/>
            <w:hideMark/>
          </w:tcPr>
          <w:p w14:paraId="2CA9D75B"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lang w:eastAsia="en-IN"/>
                <w14:ligatures w14:val="none"/>
              </w:rPr>
            </w:pPr>
            <w:r w:rsidRPr="00AF18A3">
              <w:rPr>
                <w:rFonts w:ascii="Times New Roman" w:hAnsi="Times New Roman" w:cs="Times New Roman"/>
                <w:color w:val="000000"/>
                <w:sz w:val="20"/>
                <w:szCs w:val="20"/>
              </w:rPr>
              <w:t>2.00</w:t>
            </w:r>
          </w:p>
        </w:tc>
        <w:tc>
          <w:tcPr>
            <w:tcW w:w="1202" w:type="dxa"/>
            <w:tcBorders>
              <w:top w:val="nil"/>
              <w:left w:val="nil"/>
              <w:bottom w:val="nil"/>
              <w:right w:val="nil"/>
            </w:tcBorders>
            <w:noWrap/>
            <w:vAlign w:val="bottom"/>
            <w:hideMark/>
          </w:tcPr>
          <w:p w14:paraId="0AB77AC1"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lang w:eastAsia="en-IN"/>
                <w14:ligatures w14:val="none"/>
              </w:rPr>
            </w:pPr>
            <w:r w:rsidRPr="00AF18A3">
              <w:rPr>
                <w:rFonts w:ascii="Times New Roman" w:hAnsi="Times New Roman" w:cs="Times New Roman"/>
                <w:color w:val="000000"/>
                <w:sz w:val="20"/>
                <w:szCs w:val="20"/>
              </w:rPr>
              <w:t>2.00</w:t>
            </w:r>
          </w:p>
        </w:tc>
        <w:tc>
          <w:tcPr>
            <w:tcW w:w="1140" w:type="dxa"/>
            <w:tcBorders>
              <w:top w:val="nil"/>
              <w:left w:val="nil"/>
              <w:bottom w:val="nil"/>
              <w:right w:val="nil"/>
            </w:tcBorders>
            <w:vAlign w:val="bottom"/>
          </w:tcPr>
          <w:p w14:paraId="3BECF689"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vertAlign w:val="superscript"/>
                <w:lang w:eastAsia="en-IN"/>
                <w14:ligatures w14:val="none"/>
              </w:rPr>
            </w:pPr>
            <w:r w:rsidRPr="00AF18A3">
              <w:rPr>
                <w:rFonts w:ascii="Times New Roman" w:hAnsi="Times New Roman" w:cs="Times New Roman"/>
                <w:color w:val="000000"/>
                <w:sz w:val="20"/>
                <w:szCs w:val="20"/>
              </w:rPr>
              <w:t>2.00</w:t>
            </w:r>
          </w:p>
        </w:tc>
        <w:tc>
          <w:tcPr>
            <w:tcW w:w="1202" w:type="dxa"/>
            <w:tcBorders>
              <w:top w:val="nil"/>
              <w:left w:val="nil"/>
              <w:bottom w:val="nil"/>
              <w:right w:val="nil"/>
            </w:tcBorders>
            <w:noWrap/>
            <w:vAlign w:val="bottom"/>
            <w:hideMark/>
          </w:tcPr>
          <w:p w14:paraId="0CBAB6FF"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lang w:eastAsia="en-IN"/>
                <w14:ligatures w14:val="none"/>
              </w:rPr>
            </w:pPr>
            <w:r w:rsidRPr="00AF18A3">
              <w:rPr>
                <w:rFonts w:ascii="Times New Roman" w:hAnsi="Times New Roman" w:cs="Times New Roman"/>
                <w:color w:val="000000"/>
                <w:sz w:val="20"/>
                <w:szCs w:val="20"/>
              </w:rPr>
              <w:t>26.21</w:t>
            </w:r>
          </w:p>
        </w:tc>
        <w:tc>
          <w:tcPr>
            <w:tcW w:w="1179" w:type="dxa"/>
            <w:tcBorders>
              <w:top w:val="nil"/>
              <w:left w:val="nil"/>
              <w:bottom w:val="nil"/>
              <w:right w:val="nil"/>
            </w:tcBorders>
            <w:noWrap/>
            <w:vAlign w:val="bottom"/>
            <w:hideMark/>
          </w:tcPr>
          <w:p w14:paraId="720B0437"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lang w:eastAsia="en-IN"/>
                <w14:ligatures w14:val="none"/>
              </w:rPr>
            </w:pPr>
            <w:r w:rsidRPr="00AF18A3">
              <w:rPr>
                <w:rFonts w:ascii="Times New Roman" w:hAnsi="Times New Roman" w:cs="Times New Roman"/>
                <w:color w:val="000000"/>
                <w:sz w:val="20"/>
                <w:szCs w:val="20"/>
              </w:rPr>
              <w:t>26.03</w:t>
            </w:r>
          </w:p>
        </w:tc>
        <w:tc>
          <w:tcPr>
            <w:tcW w:w="1130" w:type="dxa"/>
            <w:tcBorders>
              <w:top w:val="nil"/>
              <w:left w:val="nil"/>
              <w:bottom w:val="nil"/>
              <w:right w:val="nil"/>
            </w:tcBorders>
            <w:vAlign w:val="bottom"/>
          </w:tcPr>
          <w:p w14:paraId="2BAD98EF"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vertAlign w:val="superscript"/>
                <w:lang w:eastAsia="en-IN"/>
                <w14:ligatures w14:val="none"/>
              </w:rPr>
            </w:pPr>
            <w:r w:rsidRPr="00AF18A3">
              <w:rPr>
                <w:rFonts w:ascii="Times New Roman" w:hAnsi="Times New Roman" w:cs="Times New Roman"/>
                <w:color w:val="000000"/>
                <w:sz w:val="20"/>
                <w:szCs w:val="20"/>
              </w:rPr>
              <w:t>26.12</w:t>
            </w:r>
          </w:p>
        </w:tc>
        <w:tc>
          <w:tcPr>
            <w:tcW w:w="1031" w:type="dxa"/>
            <w:tcBorders>
              <w:top w:val="nil"/>
              <w:left w:val="nil"/>
              <w:bottom w:val="nil"/>
              <w:right w:val="nil"/>
            </w:tcBorders>
            <w:noWrap/>
            <w:vAlign w:val="bottom"/>
            <w:hideMark/>
          </w:tcPr>
          <w:p w14:paraId="3DD0D27B"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lang w:eastAsia="en-IN"/>
                <w14:ligatures w14:val="none"/>
              </w:rPr>
            </w:pPr>
            <w:r w:rsidRPr="00AF18A3">
              <w:rPr>
                <w:rFonts w:ascii="Times New Roman" w:hAnsi="Times New Roman" w:cs="Times New Roman"/>
                <w:color w:val="000000"/>
                <w:sz w:val="20"/>
                <w:szCs w:val="20"/>
              </w:rPr>
              <w:t>17.95</w:t>
            </w:r>
          </w:p>
        </w:tc>
        <w:tc>
          <w:tcPr>
            <w:tcW w:w="1202" w:type="dxa"/>
            <w:tcBorders>
              <w:top w:val="nil"/>
              <w:left w:val="nil"/>
              <w:bottom w:val="nil"/>
              <w:right w:val="nil"/>
            </w:tcBorders>
            <w:noWrap/>
            <w:vAlign w:val="bottom"/>
            <w:hideMark/>
          </w:tcPr>
          <w:p w14:paraId="0F27815E"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lang w:eastAsia="en-IN"/>
                <w14:ligatures w14:val="none"/>
              </w:rPr>
            </w:pPr>
            <w:r w:rsidRPr="00AF18A3">
              <w:rPr>
                <w:rFonts w:ascii="Times New Roman" w:hAnsi="Times New Roman" w:cs="Times New Roman"/>
                <w:color w:val="000000"/>
                <w:sz w:val="20"/>
                <w:szCs w:val="20"/>
              </w:rPr>
              <w:t>18.14</w:t>
            </w:r>
          </w:p>
        </w:tc>
        <w:tc>
          <w:tcPr>
            <w:tcW w:w="1130" w:type="dxa"/>
            <w:tcBorders>
              <w:top w:val="nil"/>
              <w:left w:val="nil"/>
              <w:bottom w:val="nil"/>
              <w:right w:val="nil"/>
            </w:tcBorders>
            <w:vAlign w:val="bottom"/>
          </w:tcPr>
          <w:p w14:paraId="799AADF7"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vertAlign w:val="superscript"/>
                <w:lang w:eastAsia="en-IN"/>
                <w14:ligatures w14:val="none"/>
              </w:rPr>
            </w:pPr>
            <w:r w:rsidRPr="00AF18A3">
              <w:rPr>
                <w:rFonts w:ascii="Times New Roman" w:hAnsi="Times New Roman" w:cs="Times New Roman"/>
                <w:color w:val="000000"/>
                <w:sz w:val="20"/>
                <w:szCs w:val="20"/>
              </w:rPr>
              <w:t>18.04</w:t>
            </w:r>
          </w:p>
        </w:tc>
      </w:tr>
      <w:tr w:rsidR="007E0A41" w:rsidRPr="00AF18A3" w14:paraId="36F9F3FC" w14:textId="77777777" w:rsidTr="00701562">
        <w:trPr>
          <w:trHeight w:val="306"/>
        </w:trPr>
        <w:tc>
          <w:tcPr>
            <w:tcW w:w="924" w:type="dxa"/>
            <w:tcBorders>
              <w:top w:val="nil"/>
              <w:left w:val="nil"/>
              <w:bottom w:val="nil"/>
              <w:right w:val="nil"/>
            </w:tcBorders>
            <w:noWrap/>
            <w:hideMark/>
          </w:tcPr>
          <w:p w14:paraId="259A09C9"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lang w:eastAsia="en-IN"/>
                <w14:ligatures w14:val="none"/>
              </w:rPr>
            </w:pPr>
            <w:r w:rsidRPr="00AF18A3">
              <w:rPr>
                <w:rFonts w:ascii="Times New Roman" w:hAnsi="Times New Roman" w:cs="Times New Roman"/>
                <w:sz w:val="20"/>
                <w:szCs w:val="20"/>
              </w:rPr>
              <w:t>T</w:t>
            </w:r>
            <w:r w:rsidRPr="00AF18A3">
              <w:rPr>
                <w:rFonts w:ascii="Times New Roman" w:hAnsi="Times New Roman" w:cs="Times New Roman"/>
                <w:sz w:val="20"/>
                <w:szCs w:val="20"/>
                <w:vertAlign w:val="subscript"/>
              </w:rPr>
              <w:t>6</w:t>
            </w:r>
          </w:p>
        </w:tc>
        <w:tc>
          <w:tcPr>
            <w:tcW w:w="2917" w:type="dxa"/>
            <w:tcBorders>
              <w:top w:val="nil"/>
              <w:left w:val="nil"/>
              <w:bottom w:val="nil"/>
              <w:right w:val="nil"/>
            </w:tcBorders>
            <w:vAlign w:val="center"/>
            <w:hideMark/>
          </w:tcPr>
          <w:p w14:paraId="21763099"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lang w:eastAsia="en-IN"/>
                <w14:ligatures w14:val="none"/>
              </w:rPr>
            </w:pPr>
            <w:r w:rsidRPr="00AF18A3">
              <w:rPr>
                <w:rFonts w:ascii="Times New Roman" w:eastAsia="Times New Roman" w:hAnsi="Times New Roman" w:cs="Times New Roman"/>
                <w:color w:val="000000"/>
                <w:kern w:val="0"/>
                <w:sz w:val="20"/>
                <w:szCs w:val="20"/>
                <w:lang w:eastAsia="en-IN"/>
                <w14:ligatures w14:val="none"/>
              </w:rPr>
              <w:t>FeSO</w:t>
            </w:r>
            <w:r w:rsidRPr="00AF18A3">
              <w:rPr>
                <w:rFonts w:ascii="Times New Roman" w:eastAsia="Times New Roman" w:hAnsi="Times New Roman" w:cs="Times New Roman"/>
                <w:color w:val="000000"/>
                <w:kern w:val="0"/>
                <w:sz w:val="20"/>
                <w:szCs w:val="20"/>
                <w:vertAlign w:val="subscript"/>
                <w:lang w:eastAsia="en-IN"/>
                <w14:ligatures w14:val="none"/>
              </w:rPr>
              <w:t>4</w:t>
            </w:r>
            <w:r w:rsidRPr="00AF18A3">
              <w:rPr>
                <w:rFonts w:ascii="Times New Roman" w:eastAsia="Times New Roman" w:hAnsi="Times New Roman" w:cs="Times New Roman"/>
                <w:color w:val="000000"/>
                <w:kern w:val="0"/>
                <w:sz w:val="20"/>
                <w:szCs w:val="20"/>
                <w:lang w:eastAsia="en-IN"/>
                <w14:ligatures w14:val="none"/>
              </w:rPr>
              <w:t xml:space="preserve"> @0.50%</w:t>
            </w:r>
          </w:p>
        </w:tc>
        <w:tc>
          <w:tcPr>
            <w:tcW w:w="1031" w:type="dxa"/>
            <w:tcBorders>
              <w:top w:val="nil"/>
              <w:left w:val="nil"/>
              <w:bottom w:val="nil"/>
              <w:right w:val="nil"/>
            </w:tcBorders>
            <w:noWrap/>
            <w:vAlign w:val="bottom"/>
            <w:hideMark/>
          </w:tcPr>
          <w:p w14:paraId="4E33297C"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lang w:eastAsia="en-IN"/>
                <w14:ligatures w14:val="none"/>
              </w:rPr>
            </w:pPr>
            <w:r w:rsidRPr="00AF18A3">
              <w:rPr>
                <w:rFonts w:ascii="Times New Roman" w:hAnsi="Times New Roman" w:cs="Times New Roman"/>
                <w:color w:val="000000"/>
                <w:sz w:val="20"/>
                <w:szCs w:val="20"/>
              </w:rPr>
              <w:t>2.01</w:t>
            </w:r>
          </w:p>
        </w:tc>
        <w:tc>
          <w:tcPr>
            <w:tcW w:w="1202" w:type="dxa"/>
            <w:tcBorders>
              <w:top w:val="nil"/>
              <w:left w:val="nil"/>
              <w:bottom w:val="nil"/>
              <w:right w:val="nil"/>
            </w:tcBorders>
            <w:noWrap/>
            <w:vAlign w:val="bottom"/>
            <w:hideMark/>
          </w:tcPr>
          <w:p w14:paraId="1BCB53F7"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lang w:eastAsia="en-IN"/>
                <w14:ligatures w14:val="none"/>
              </w:rPr>
            </w:pPr>
            <w:r w:rsidRPr="00AF18A3">
              <w:rPr>
                <w:rFonts w:ascii="Times New Roman" w:hAnsi="Times New Roman" w:cs="Times New Roman"/>
                <w:color w:val="000000"/>
                <w:sz w:val="20"/>
                <w:szCs w:val="20"/>
              </w:rPr>
              <w:t>2.02</w:t>
            </w:r>
          </w:p>
        </w:tc>
        <w:tc>
          <w:tcPr>
            <w:tcW w:w="1140" w:type="dxa"/>
            <w:tcBorders>
              <w:top w:val="nil"/>
              <w:left w:val="nil"/>
              <w:bottom w:val="nil"/>
              <w:right w:val="nil"/>
            </w:tcBorders>
            <w:vAlign w:val="bottom"/>
          </w:tcPr>
          <w:p w14:paraId="6260DD01"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vertAlign w:val="superscript"/>
                <w:lang w:eastAsia="en-IN"/>
                <w14:ligatures w14:val="none"/>
              </w:rPr>
            </w:pPr>
            <w:r w:rsidRPr="00AF18A3">
              <w:rPr>
                <w:rFonts w:ascii="Times New Roman" w:hAnsi="Times New Roman" w:cs="Times New Roman"/>
                <w:color w:val="000000"/>
                <w:sz w:val="20"/>
                <w:szCs w:val="20"/>
              </w:rPr>
              <w:t>2.02</w:t>
            </w:r>
          </w:p>
        </w:tc>
        <w:tc>
          <w:tcPr>
            <w:tcW w:w="1202" w:type="dxa"/>
            <w:tcBorders>
              <w:top w:val="nil"/>
              <w:left w:val="nil"/>
              <w:bottom w:val="nil"/>
              <w:right w:val="nil"/>
            </w:tcBorders>
            <w:noWrap/>
            <w:vAlign w:val="bottom"/>
            <w:hideMark/>
          </w:tcPr>
          <w:p w14:paraId="390B6AFF"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lang w:eastAsia="en-IN"/>
                <w14:ligatures w14:val="none"/>
              </w:rPr>
            </w:pPr>
            <w:r w:rsidRPr="00AF18A3">
              <w:rPr>
                <w:rFonts w:ascii="Times New Roman" w:hAnsi="Times New Roman" w:cs="Times New Roman"/>
                <w:color w:val="000000"/>
                <w:sz w:val="20"/>
                <w:szCs w:val="20"/>
              </w:rPr>
              <w:t>27.49</w:t>
            </w:r>
          </w:p>
        </w:tc>
        <w:tc>
          <w:tcPr>
            <w:tcW w:w="1179" w:type="dxa"/>
            <w:tcBorders>
              <w:top w:val="nil"/>
              <w:left w:val="nil"/>
              <w:bottom w:val="nil"/>
              <w:right w:val="nil"/>
            </w:tcBorders>
            <w:noWrap/>
            <w:vAlign w:val="bottom"/>
            <w:hideMark/>
          </w:tcPr>
          <w:p w14:paraId="0614873E"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lang w:eastAsia="en-IN"/>
                <w14:ligatures w14:val="none"/>
              </w:rPr>
            </w:pPr>
            <w:r w:rsidRPr="00AF18A3">
              <w:rPr>
                <w:rFonts w:ascii="Times New Roman" w:hAnsi="Times New Roman" w:cs="Times New Roman"/>
                <w:color w:val="000000"/>
                <w:sz w:val="20"/>
                <w:szCs w:val="20"/>
              </w:rPr>
              <w:t>27.49</w:t>
            </w:r>
          </w:p>
        </w:tc>
        <w:tc>
          <w:tcPr>
            <w:tcW w:w="1130" w:type="dxa"/>
            <w:tcBorders>
              <w:top w:val="nil"/>
              <w:left w:val="nil"/>
              <w:bottom w:val="nil"/>
              <w:right w:val="nil"/>
            </w:tcBorders>
            <w:vAlign w:val="bottom"/>
          </w:tcPr>
          <w:p w14:paraId="5C94F764"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vertAlign w:val="superscript"/>
                <w:lang w:eastAsia="en-IN"/>
                <w14:ligatures w14:val="none"/>
              </w:rPr>
            </w:pPr>
            <w:r w:rsidRPr="00AF18A3">
              <w:rPr>
                <w:rFonts w:ascii="Times New Roman" w:hAnsi="Times New Roman" w:cs="Times New Roman"/>
                <w:color w:val="000000"/>
                <w:sz w:val="20"/>
                <w:szCs w:val="20"/>
              </w:rPr>
              <w:t>27.49</w:t>
            </w:r>
          </w:p>
        </w:tc>
        <w:tc>
          <w:tcPr>
            <w:tcW w:w="1031" w:type="dxa"/>
            <w:tcBorders>
              <w:top w:val="nil"/>
              <w:left w:val="nil"/>
              <w:bottom w:val="nil"/>
              <w:right w:val="nil"/>
            </w:tcBorders>
            <w:noWrap/>
            <w:vAlign w:val="bottom"/>
            <w:hideMark/>
          </w:tcPr>
          <w:p w14:paraId="59E39510"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lang w:eastAsia="en-IN"/>
                <w14:ligatures w14:val="none"/>
              </w:rPr>
            </w:pPr>
            <w:r w:rsidRPr="00AF18A3">
              <w:rPr>
                <w:rFonts w:ascii="Times New Roman" w:hAnsi="Times New Roman" w:cs="Times New Roman"/>
                <w:color w:val="000000"/>
                <w:sz w:val="20"/>
                <w:szCs w:val="20"/>
              </w:rPr>
              <w:t>17.36</w:t>
            </w:r>
          </w:p>
        </w:tc>
        <w:tc>
          <w:tcPr>
            <w:tcW w:w="1202" w:type="dxa"/>
            <w:tcBorders>
              <w:top w:val="nil"/>
              <w:left w:val="nil"/>
              <w:bottom w:val="nil"/>
              <w:right w:val="nil"/>
            </w:tcBorders>
            <w:noWrap/>
            <w:vAlign w:val="bottom"/>
            <w:hideMark/>
          </w:tcPr>
          <w:p w14:paraId="0ADA6992"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lang w:eastAsia="en-IN"/>
                <w14:ligatures w14:val="none"/>
              </w:rPr>
            </w:pPr>
            <w:r w:rsidRPr="00AF18A3">
              <w:rPr>
                <w:rFonts w:ascii="Times New Roman" w:hAnsi="Times New Roman" w:cs="Times New Roman"/>
                <w:color w:val="000000"/>
                <w:sz w:val="20"/>
                <w:szCs w:val="20"/>
              </w:rPr>
              <w:t>18.18</w:t>
            </w:r>
          </w:p>
        </w:tc>
        <w:tc>
          <w:tcPr>
            <w:tcW w:w="1130" w:type="dxa"/>
            <w:tcBorders>
              <w:top w:val="nil"/>
              <w:left w:val="nil"/>
              <w:bottom w:val="nil"/>
              <w:right w:val="nil"/>
            </w:tcBorders>
            <w:vAlign w:val="bottom"/>
          </w:tcPr>
          <w:p w14:paraId="7810C8F2"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vertAlign w:val="superscript"/>
                <w:lang w:eastAsia="en-IN"/>
                <w14:ligatures w14:val="none"/>
              </w:rPr>
            </w:pPr>
            <w:r w:rsidRPr="00AF18A3">
              <w:rPr>
                <w:rFonts w:ascii="Times New Roman" w:hAnsi="Times New Roman" w:cs="Times New Roman"/>
                <w:color w:val="000000"/>
                <w:sz w:val="20"/>
                <w:szCs w:val="20"/>
              </w:rPr>
              <w:t>17.77</w:t>
            </w:r>
          </w:p>
        </w:tc>
      </w:tr>
      <w:tr w:rsidR="007E0A41" w:rsidRPr="00AF18A3" w14:paraId="16A0059E" w14:textId="77777777" w:rsidTr="00701562">
        <w:trPr>
          <w:trHeight w:val="306"/>
        </w:trPr>
        <w:tc>
          <w:tcPr>
            <w:tcW w:w="924" w:type="dxa"/>
            <w:tcBorders>
              <w:top w:val="nil"/>
              <w:left w:val="nil"/>
              <w:bottom w:val="nil"/>
              <w:right w:val="nil"/>
            </w:tcBorders>
            <w:noWrap/>
            <w:hideMark/>
          </w:tcPr>
          <w:p w14:paraId="2E11DEFE"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lang w:eastAsia="en-IN"/>
                <w14:ligatures w14:val="none"/>
              </w:rPr>
            </w:pPr>
            <w:r w:rsidRPr="00AF18A3">
              <w:rPr>
                <w:rFonts w:ascii="Times New Roman" w:hAnsi="Times New Roman" w:cs="Times New Roman"/>
                <w:sz w:val="20"/>
                <w:szCs w:val="20"/>
              </w:rPr>
              <w:t>T</w:t>
            </w:r>
            <w:r w:rsidRPr="00AF18A3">
              <w:rPr>
                <w:rFonts w:ascii="Times New Roman" w:hAnsi="Times New Roman" w:cs="Times New Roman"/>
                <w:sz w:val="20"/>
                <w:szCs w:val="20"/>
                <w:vertAlign w:val="subscript"/>
              </w:rPr>
              <w:t>7</w:t>
            </w:r>
          </w:p>
        </w:tc>
        <w:tc>
          <w:tcPr>
            <w:tcW w:w="2917" w:type="dxa"/>
            <w:tcBorders>
              <w:top w:val="nil"/>
              <w:left w:val="nil"/>
              <w:bottom w:val="nil"/>
              <w:right w:val="nil"/>
            </w:tcBorders>
            <w:vAlign w:val="center"/>
            <w:hideMark/>
          </w:tcPr>
          <w:p w14:paraId="7EA484F2"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lang w:eastAsia="en-IN"/>
                <w14:ligatures w14:val="none"/>
              </w:rPr>
            </w:pPr>
            <w:r w:rsidRPr="00AF18A3">
              <w:rPr>
                <w:rFonts w:ascii="Times New Roman" w:eastAsia="Times New Roman" w:hAnsi="Times New Roman" w:cs="Times New Roman"/>
                <w:color w:val="000000"/>
                <w:kern w:val="0"/>
                <w:sz w:val="20"/>
                <w:szCs w:val="20"/>
                <w:lang w:eastAsia="en-IN"/>
                <w14:ligatures w14:val="none"/>
              </w:rPr>
              <w:t>FeSO</w:t>
            </w:r>
            <w:r w:rsidRPr="00AF18A3">
              <w:rPr>
                <w:rFonts w:ascii="Times New Roman" w:eastAsia="Times New Roman" w:hAnsi="Times New Roman" w:cs="Times New Roman"/>
                <w:color w:val="000000"/>
                <w:kern w:val="0"/>
                <w:sz w:val="20"/>
                <w:szCs w:val="20"/>
                <w:vertAlign w:val="subscript"/>
                <w:lang w:eastAsia="en-IN"/>
                <w14:ligatures w14:val="none"/>
              </w:rPr>
              <w:t>4</w:t>
            </w:r>
            <w:r w:rsidRPr="00AF18A3">
              <w:rPr>
                <w:rFonts w:ascii="Times New Roman" w:eastAsia="Times New Roman" w:hAnsi="Times New Roman" w:cs="Times New Roman"/>
                <w:color w:val="000000"/>
                <w:kern w:val="0"/>
                <w:sz w:val="20"/>
                <w:szCs w:val="20"/>
                <w:lang w:eastAsia="en-IN"/>
                <w14:ligatures w14:val="none"/>
              </w:rPr>
              <w:t xml:space="preserve"> @0.75%</w:t>
            </w:r>
          </w:p>
        </w:tc>
        <w:tc>
          <w:tcPr>
            <w:tcW w:w="1031" w:type="dxa"/>
            <w:tcBorders>
              <w:top w:val="nil"/>
              <w:left w:val="nil"/>
              <w:bottom w:val="nil"/>
              <w:right w:val="nil"/>
            </w:tcBorders>
            <w:noWrap/>
            <w:vAlign w:val="bottom"/>
            <w:hideMark/>
          </w:tcPr>
          <w:p w14:paraId="088D2D7B"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lang w:eastAsia="en-IN"/>
                <w14:ligatures w14:val="none"/>
              </w:rPr>
            </w:pPr>
            <w:r w:rsidRPr="00AF18A3">
              <w:rPr>
                <w:rFonts w:ascii="Times New Roman" w:hAnsi="Times New Roman" w:cs="Times New Roman"/>
                <w:color w:val="000000"/>
                <w:sz w:val="20"/>
                <w:szCs w:val="20"/>
              </w:rPr>
              <w:t>2.01</w:t>
            </w:r>
          </w:p>
        </w:tc>
        <w:tc>
          <w:tcPr>
            <w:tcW w:w="1202" w:type="dxa"/>
            <w:tcBorders>
              <w:top w:val="nil"/>
              <w:left w:val="nil"/>
              <w:bottom w:val="nil"/>
              <w:right w:val="nil"/>
            </w:tcBorders>
            <w:noWrap/>
            <w:vAlign w:val="bottom"/>
            <w:hideMark/>
          </w:tcPr>
          <w:p w14:paraId="2B167B03"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lang w:eastAsia="en-IN"/>
                <w14:ligatures w14:val="none"/>
              </w:rPr>
            </w:pPr>
            <w:r w:rsidRPr="00AF18A3">
              <w:rPr>
                <w:rFonts w:ascii="Times New Roman" w:hAnsi="Times New Roman" w:cs="Times New Roman"/>
                <w:color w:val="000000"/>
                <w:sz w:val="20"/>
                <w:szCs w:val="20"/>
              </w:rPr>
              <w:t>2.01</w:t>
            </w:r>
          </w:p>
        </w:tc>
        <w:tc>
          <w:tcPr>
            <w:tcW w:w="1140" w:type="dxa"/>
            <w:tcBorders>
              <w:top w:val="nil"/>
              <w:left w:val="nil"/>
              <w:bottom w:val="nil"/>
              <w:right w:val="nil"/>
            </w:tcBorders>
            <w:vAlign w:val="bottom"/>
          </w:tcPr>
          <w:p w14:paraId="1879E5D4"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vertAlign w:val="superscript"/>
                <w:lang w:eastAsia="en-IN"/>
                <w14:ligatures w14:val="none"/>
              </w:rPr>
            </w:pPr>
            <w:r w:rsidRPr="00AF18A3">
              <w:rPr>
                <w:rFonts w:ascii="Times New Roman" w:hAnsi="Times New Roman" w:cs="Times New Roman"/>
                <w:color w:val="000000"/>
                <w:sz w:val="20"/>
                <w:szCs w:val="20"/>
              </w:rPr>
              <w:t>2.01</w:t>
            </w:r>
          </w:p>
        </w:tc>
        <w:tc>
          <w:tcPr>
            <w:tcW w:w="1202" w:type="dxa"/>
            <w:tcBorders>
              <w:top w:val="nil"/>
              <w:left w:val="nil"/>
              <w:bottom w:val="nil"/>
              <w:right w:val="nil"/>
            </w:tcBorders>
            <w:noWrap/>
            <w:vAlign w:val="bottom"/>
            <w:hideMark/>
          </w:tcPr>
          <w:p w14:paraId="1772B149"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lang w:eastAsia="en-IN"/>
                <w14:ligatures w14:val="none"/>
              </w:rPr>
            </w:pPr>
            <w:r w:rsidRPr="00AF18A3">
              <w:rPr>
                <w:rFonts w:ascii="Times New Roman" w:hAnsi="Times New Roman" w:cs="Times New Roman"/>
                <w:color w:val="000000"/>
                <w:sz w:val="20"/>
                <w:szCs w:val="20"/>
              </w:rPr>
              <w:t>28.24</w:t>
            </w:r>
          </w:p>
        </w:tc>
        <w:tc>
          <w:tcPr>
            <w:tcW w:w="1179" w:type="dxa"/>
            <w:tcBorders>
              <w:top w:val="nil"/>
              <w:left w:val="nil"/>
              <w:bottom w:val="nil"/>
              <w:right w:val="nil"/>
            </w:tcBorders>
            <w:noWrap/>
            <w:vAlign w:val="bottom"/>
            <w:hideMark/>
          </w:tcPr>
          <w:p w14:paraId="26080AFF"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lang w:eastAsia="en-IN"/>
                <w14:ligatures w14:val="none"/>
              </w:rPr>
            </w:pPr>
            <w:r w:rsidRPr="00AF18A3">
              <w:rPr>
                <w:rFonts w:ascii="Times New Roman" w:hAnsi="Times New Roman" w:cs="Times New Roman"/>
                <w:color w:val="000000"/>
                <w:sz w:val="20"/>
                <w:szCs w:val="20"/>
              </w:rPr>
              <w:t>28.06</w:t>
            </w:r>
          </w:p>
        </w:tc>
        <w:tc>
          <w:tcPr>
            <w:tcW w:w="1130" w:type="dxa"/>
            <w:tcBorders>
              <w:top w:val="nil"/>
              <w:left w:val="nil"/>
              <w:bottom w:val="nil"/>
              <w:right w:val="nil"/>
            </w:tcBorders>
            <w:vAlign w:val="bottom"/>
          </w:tcPr>
          <w:p w14:paraId="1D9AAB6F"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vertAlign w:val="superscript"/>
                <w:lang w:eastAsia="en-IN"/>
                <w14:ligatures w14:val="none"/>
              </w:rPr>
            </w:pPr>
            <w:r w:rsidRPr="00AF18A3">
              <w:rPr>
                <w:rFonts w:ascii="Times New Roman" w:hAnsi="Times New Roman" w:cs="Times New Roman"/>
                <w:color w:val="000000"/>
                <w:sz w:val="20"/>
                <w:szCs w:val="20"/>
              </w:rPr>
              <w:t>28.15</w:t>
            </w:r>
          </w:p>
        </w:tc>
        <w:tc>
          <w:tcPr>
            <w:tcW w:w="1031" w:type="dxa"/>
            <w:tcBorders>
              <w:top w:val="nil"/>
              <w:left w:val="nil"/>
              <w:bottom w:val="nil"/>
              <w:right w:val="nil"/>
            </w:tcBorders>
            <w:noWrap/>
            <w:vAlign w:val="bottom"/>
            <w:hideMark/>
          </w:tcPr>
          <w:p w14:paraId="51AF9026"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lang w:eastAsia="en-IN"/>
                <w14:ligatures w14:val="none"/>
              </w:rPr>
            </w:pPr>
            <w:r w:rsidRPr="00AF18A3">
              <w:rPr>
                <w:rFonts w:ascii="Times New Roman" w:hAnsi="Times New Roman" w:cs="Times New Roman"/>
                <w:color w:val="000000"/>
                <w:sz w:val="20"/>
                <w:szCs w:val="20"/>
              </w:rPr>
              <w:t>18.85</w:t>
            </w:r>
          </w:p>
        </w:tc>
        <w:tc>
          <w:tcPr>
            <w:tcW w:w="1202" w:type="dxa"/>
            <w:tcBorders>
              <w:top w:val="nil"/>
              <w:left w:val="nil"/>
              <w:bottom w:val="nil"/>
              <w:right w:val="nil"/>
            </w:tcBorders>
            <w:noWrap/>
            <w:vAlign w:val="bottom"/>
            <w:hideMark/>
          </w:tcPr>
          <w:p w14:paraId="5739DEF1"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lang w:eastAsia="en-IN"/>
                <w14:ligatures w14:val="none"/>
              </w:rPr>
            </w:pPr>
            <w:r w:rsidRPr="00AF18A3">
              <w:rPr>
                <w:rFonts w:ascii="Times New Roman" w:hAnsi="Times New Roman" w:cs="Times New Roman"/>
                <w:color w:val="000000"/>
                <w:sz w:val="20"/>
                <w:szCs w:val="20"/>
              </w:rPr>
              <w:t>18.93</w:t>
            </w:r>
          </w:p>
        </w:tc>
        <w:tc>
          <w:tcPr>
            <w:tcW w:w="1130" w:type="dxa"/>
            <w:tcBorders>
              <w:top w:val="nil"/>
              <w:left w:val="nil"/>
              <w:bottom w:val="nil"/>
              <w:right w:val="nil"/>
            </w:tcBorders>
            <w:vAlign w:val="bottom"/>
          </w:tcPr>
          <w:p w14:paraId="622A94EC"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vertAlign w:val="superscript"/>
                <w:lang w:eastAsia="en-IN"/>
                <w14:ligatures w14:val="none"/>
              </w:rPr>
            </w:pPr>
            <w:r w:rsidRPr="00AF18A3">
              <w:rPr>
                <w:rFonts w:ascii="Times New Roman" w:hAnsi="Times New Roman" w:cs="Times New Roman"/>
                <w:color w:val="000000"/>
                <w:sz w:val="20"/>
                <w:szCs w:val="20"/>
              </w:rPr>
              <w:t>18.89</w:t>
            </w:r>
          </w:p>
        </w:tc>
      </w:tr>
      <w:tr w:rsidR="007E0A41" w:rsidRPr="00AF18A3" w14:paraId="3D02EE05" w14:textId="77777777" w:rsidTr="00701562">
        <w:trPr>
          <w:trHeight w:val="283"/>
        </w:trPr>
        <w:tc>
          <w:tcPr>
            <w:tcW w:w="924" w:type="dxa"/>
            <w:tcBorders>
              <w:top w:val="nil"/>
              <w:left w:val="nil"/>
              <w:bottom w:val="nil"/>
              <w:right w:val="nil"/>
            </w:tcBorders>
            <w:noWrap/>
            <w:hideMark/>
          </w:tcPr>
          <w:p w14:paraId="140436BF"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lang w:eastAsia="en-IN"/>
                <w14:ligatures w14:val="none"/>
              </w:rPr>
            </w:pPr>
            <w:r w:rsidRPr="00AF18A3">
              <w:rPr>
                <w:rFonts w:ascii="Times New Roman" w:hAnsi="Times New Roman" w:cs="Times New Roman"/>
                <w:sz w:val="20"/>
                <w:szCs w:val="20"/>
              </w:rPr>
              <w:t>T</w:t>
            </w:r>
            <w:r w:rsidRPr="00AF18A3">
              <w:rPr>
                <w:rFonts w:ascii="Times New Roman" w:hAnsi="Times New Roman" w:cs="Times New Roman"/>
                <w:sz w:val="20"/>
                <w:szCs w:val="20"/>
                <w:vertAlign w:val="subscript"/>
              </w:rPr>
              <w:t>8</w:t>
            </w:r>
          </w:p>
        </w:tc>
        <w:tc>
          <w:tcPr>
            <w:tcW w:w="2917" w:type="dxa"/>
            <w:tcBorders>
              <w:top w:val="nil"/>
              <w:left w:val="nil"/>
              <w:bottom w:val="nil"/>
              <w:right w:val="nil"/>
            </w:tcBorders>
            <w:vAlign w:val="center"/>
            <w:hideMark/>
          </w:tcPr>
          <w:p w14:paraId="00B507A5"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lang w:eastAsia="en-IN"/>
                <w14:ligatures w14:val="none"/>
              </w:rPr>
            </w:pPr>
            <w:r w:rsidRPr="00AF18A3">
              <w:rPr>
                <w:rFonts w:ascii="Times New Roman" w:eastAsia="Times New Roman" w:hAnsi="Times New Roman" w:cs="Times New Roman"/>
                <w:color w:val="000000"/>
                <w:kern w:val="0"/>
                <w:sz w:val="20"/>
                <w:szCs w:val="20"/>
                <w:lang w:eastAsia="en-IN"/>
                <w14:ligatures w14:val="none"/>
              </w:rPr>
              <w:t>Chelated zinc @0.25%</w:t>
            </w:r>
          </w:p>
        </w:tc>
        <w:tc>
          <w:tcPr>
            <w:tcW w:w="1031" w:type="dxa"/>
            <w:tcBorders>
              <w:top w:val="nil"/>
              <w:left w:val="nil"/>
              <w:bottom w:val="nil"/>
              <w:right w:val="nil"/>
            </w:tcBorders>
            <w:noWrap/>
            <w:vAlign w:val="bottom"/>
            <w:hideMark/>
          </w:tcPr>
          <w:p w14:paraId="3BF2F8A4"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lang w:eastAsia="en-IN"/>
                <w14:ligatures w14:val="none"/>
              </w:rPr>
            </w:pPr>
            <w:r w:rsidRPr="00AF18A3">
              <w:rPr>
                <w:rFonts w:ascii="Times New Roman" w:hAnsi="Times New Roman" w:cs="Times New Roman"/>
                <w:color w:val="000000"/>
                <w:sz w:val="20"/>
                <w:szCs w:val="20"/>
              </w:rPr>
              <w:t>2.02</w:t>
            </w:r>
          </w:p>
        </w:tc>
        <w:tc>
          <w:tcPr>
            <w:tcW w:w="1202" w:type="dxa"/>
            <w:tcBorders>
              <w:top w:val="nil"/>
              <w:left w:val="nil"/>
              <w:bottom w:val="nil"/>
              <w:right w:val="nil"/>
            </w:tcBorders>
            <w:noWrap/>
            <w:vAlign w:val="bottom"/>
            <w:hideMark/>
          </w:tcPr>
          <w:p w14:paraId="73399227"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lang w:eastAsia="en-IN"/>
                <w14:ligatures w14:val="none"/>
              </w:rPr>
            </w:pPr>
            <w:r w:rsidRPr="00AF18A3">
              <w:rPr>
                <w:rFonts w:ascii="Times New Roman" w:hAnsi="Times New Roman" w:cs="Times New Roman"/>
                <w:color w:val="000000"/>
                <w:sz w:val="20"/>
                <w:szCs w:val="20"/>
              </w:rPr>
              <w:t>2.02</w:t>
            </w:r>
          </w:p>
        </w:tc>
        <w:tc>
          <w:tcPr>
            <w:tcW w:w="1140" w:type="dxa"/>
            <w:tcBorders>
              <w:top w:val="nil"/>
              <w:left w:val="nil"/>
              <w:bottom w:val="nil"/>
              <w:right w:val="nil"/>
            </w:tcBorders>
            <w:vAlign w:val="bottom"/>
          </w:tcPr>
          <w:p w14:paraId="02A8E107"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vertAlign w:val="superscript"/>
                <w:lang w:eastAsia="en-IN"/>
                <w14:ligatures w14:val="none"/>
              </w:rPr>
            </w:pPr>
            <w:r w:rsidRPr="00AF18A3">
              <w:rPr>
                <w:rFonts w:ascii="Times New Roman" w:hAnsi="Times New Roman" w:cs="Times New Roman"/>
                <w:color w:val="000000"/>
                <w:sz w:val="20"/>
                <w:szCs w:val="20"/>
              </w:rPr>
              <w:t>2.02</w:t>
            </w:r>
          </w:p>
        </w:tc>
        <w:tc>
          <w:tcPr>
            <w:tcW w:w="1202" w:type="dxa"/>
            <w:tcBorders>
              <w:top w:val="nil"/>
              <w:left w:val="nil"/>
              <w:bottom w:val="nil"/>
              <w:right w:val="nil"/>
            </w:tcBorders>
            <w:noWrap/>
            <w:vAlign w:val="bottom"/>
            <w:hideMark/>
          </w:tcPr>
          <w:p w14:paraId="23CD6A97"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lang w:eastAsia="en-IN"/>
                <w14:ligatures w14:val="none"/>
              </w:rPr>
            </w:pPr>
            <w:r w:rsidRPr="00AF18A3">
              <w:rPr>
                <w:rFonts w:ascii="Times New Roman" w:hAnsi="Times New Roman" w:cs="Times New Roman"/>
                <w:color w:val="000000"/>
                <w:sz w:val="20"/>
                <w:szCs w:val="20"/>
              </w:rPr>
              <w:t>30.14</w:t>
            </w:r>
          </w:p>
        </w:tc>
        <w:tc>
          <w:tcPr>
            <w:tcW w:w="1179" w:type="dxa"/>
            <w:tcBorders>
              <w:top w:val="nil"/>
              <w:left w:val="nil"/>
              <w:bottom w:val="nil"/>
              <w:right w:val="nil"/>
            </w:tcBorders>
            <w:noWrap/>
            <w:vAlign w:val="bottom"/>
            <w:hideMark/>
          </w:tcPr>
          <w:p w14:paraId="1A7EDA4F"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lang w:eastAsia="en-IN"/>
                <w14:ligatures w14:val="none"/>
              </w:rPr>
            </w:pPr>
            <w:r w:rsidRPr="00AF18A3">
              <w:rPr>
                <w:rFonts w:ascii="Times New Roman" w:hAnsi="Times New Roman" w:cs="Times New Roman"/>
                <w:color w:val="000000"/>
                <w:sz w:val="20"/>
                <w:szCs w:val="20"/>
              </w:rPr>
              <w:t>30.05</w:t>
            </w:r>
          </w:p>
        </w:tc>
        <w:tc>
          <w:tcPr>
            <w:tcW w:w="1130" w:type="dxa"/>
            <w:tcBorders>
              <w:top w:val="nil"/>
              <w:left w:val="nil"/>
              <w:bottom w:val="nil"/>
              <w:right w:val="nil"/>
            </w:tcBorders>
            <w:vAlign w:val="bottom"/>
          </w:tcPr>
          <w:p w14:paraId="0F89BCB4"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vertAlign w:val="superscript"/>
                <w:lang w:eastAsia="en-IN"/>
                <w14:ligatures w14:val="none"/>
              </w:rPr>
            </w:pPr>
            <w:r w:rsidRPr="00AF18A3">
              <w:rPr>
                <w:rFonts w:ascii="Times New Roman" w:hAnsi="Times New Roman" w:cs="Times New Roman"/>
                <w:color w:val="000000"/>
                <w:sz w:val="20"/>
                <w:szCs w:val="20"/>
              </w:rPr>
              <w:t>30.09</w:t>
            </w:r>
          </w:p>
        </w:tc>
        <w:tc>
          <w:tcPr>
            <w:tcW w:w="1031" w:type="dxa"/>
            <w:tcBorders>
              <w:top w:val="nil"/>
              <w:left w:val="nil"/>
              <w:bottom w:val="nil"/>
              <w:right w:val="nil"/>
            </w:tcBorders>
            <w:noWrap/>
            <w:vAlign w:val="bottom"/>
            <w:hideMark/>
          </w:tcPr>
          <w:p w14:paraId="3218FB1E"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lang w:eastAsia="en-IN"/>
                <w14:ligatures w14:val="none"/>
              </w:rPr>
            </w:pPr>
            <w:r w:rsidRPr="00AF18A3">
              <w:rPr>
                <w:rFonts w:ascii="Times New Roman" w:hAnsi="Times New Roman" w:cs="Times New Roman"/>
                <w:color w:val="000000"/>
                <w:sz w:val="20"/>
                <w:szCs w:val="20"/>
              </w:rPr>
              <w:t>19.42</w:t>
            </w:r>
          </w:p>
        </w:tc>
        <w:tc>
          <w:tcPr>
            <w:tcW w:w="1202" w:type="dxa"/>
            <w:tcBorders>
              <w:top w:val="nil"/>
              <w:left w:val="nil"/>
              <w:bottom w:val="nil"/>
              <w:right w:val="nil"/>
            </w:tcBorders>
            <w:noWrap/>
            <w:vAlign w:val="bottom"/>
            <w:hideMark/>
          </w:tcPr>
          <w:p w14:paraId="03666A72"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lang w:eastAsia="en-IN"/>
                <w14:ligatures w14:val="none"/>
              </w:rPr>
            </w:pPr>
            <w:r w:rsidRPr="00AF18A3">
              <w:rPr>
                <w:rFonts w:ascii="Times New Roman" w:hAnsi="Times New Roman" w:cs="Times New Roman"/>
                <w:color w:val="000000"/>
                <w:sz w:val="20"/>
                <w:szCs w:val="20"/>
              </w:rPr>
              <w:t>19.17</w:t>
            </w:r>
          </w:p>
        </w:tc>
        <w:tc>
          <w:tcPr>
            <w:tcW w:w="1130" w:type="dxa"/>
            <w:tcBorders>
              <w:top w:val="nil"/>
              <w:left w:val="nil"/>
              <w:bottom w:val="nil"/>
              <w:right w:val="nil"/>
            </w:tcBorders>
            <w:vAlign w:val="bottom"/>
          </w:tcPr>
          <w:p w14:paraId="0B0E41E7"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vertAlign w:val="superscript"/>
                <w:lang w:eastAsia="en-IN"/>
                <w14:ligatures w14:val="none"/>
              </w:rPr>
            </w:pPr>
            <w:r w:rsidRPr="00AF18A3">
              <w:rPr>
                <w:rFonts w:ascii="Times New Roman" w:hAnsi="Times New Roman" w:cs="Times New Roman"/>
                <w:color w:val="000000"/>
                <w:sz w:val="20"/>
                <w:szCs w:val="20"/>
              </w:rPr>
              <w:t>19.29</w:t>
            </w:r>
          </w:p>
        </w:tc>
      </w:tr>
      <w:tr w:rsidR="007E0A41" w:rsidRPr="00AF18A3" w14:paraId="5DC2A5B3" w14:textId="77777777" w:rsidTr="00701562">
        <w:trPr>
          <w:trHeight w:val="283"/>
        </w:trPr>
        <w:tc>
          <w:tcPr>
            <w:tcW w:w="924" w:type="dxa"/>
            <w:tcBorders>
              <w:top w:val="nil"/>
              <w:left w:val="nil"/>
              <w:bottom w:val="nil"/>
              <w:right w:val="nil"/>
            </w:tcBorders>
            <w:noWrap/>
            <w:hideMark/>
          </w:tcPr>
          <w:p w14:paraId="34720B03"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lang w:eastAsia="en-IN"/>
                <w14:ligatures w14:val="none"/>
              </w:rPr>
            </w:pPr>
            <w:r w:rsidRPr="00AF18A3">
              <w:rPr>
                <w:rFonts w:ascii="Times New Roman" w:hAnsi="Times New Roman" w:cs="Times New Roman"/>
                <w:sz w:val="20"/>
                <w:szCs w:val="20"/>
              </w:rPr>
              <w:t>T</w:t>
            </w:r>
            <w:r w:rsidRPr="00AF18A3">
              <w:rPr>
                <w:rFonts w:ascii="Times New Roman" w:hAnsi="Times New Roman" w:cs="Times New Roman"/>
                <w:sz w:val="20"/>
                <w:szCs w:val="20"/>
                <w:vertAlign w:val="subscript"/>
              </w:rPr>
              <w:t>9</w:t>
            </w:r>
          </w:p>
        </w:tc>
        <w:tc>
          <w:tcPr>
            <w:tcW w:w="2917" w:type="dxa"/>
            <w:tcBorders>
              <w:top w:val="nil"/>
              <w:left w:val="nil"/>
              <w:bottom w:val="nil"/>
              <w:right w:val="nil"/>
            </w:tcBorders>
            <w:vAlign w:val="center"/>
            <w:hideMark/>
          </w:tcPr>
          <w:p w14:paraId="161D39B9"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lang w:eastAsia="en-IN"/>
                <w14:ligatures w14:val="none"/>
              </w:rPr>
            </w:pPr>
            <w:r w:rsidRPr="00AF18A3">
              <w:rPr>
                <w:rFonts w:ascii="Times New Roman" w:eastAsia="Times New Roman" w:hAnsi="Times New Roman" w:cs="Times New Roman"/>
                <w:color w:val="000000"/>
                <w:kern w:val="0"/>
                <w:sz w:val="20"/>
                <w:szCs w:val="20"/>
                <w:lang w:eastAsia="en-IN"/>
                <w14:ligatures w14:val="none"/>
              </w:rPr>
              <w:t>Chelated zinc @0.50%</w:t>
            </w:r>
          </w:p>
        </w:tc>
        <w:tc>
          <w:tcPr>
            <w:tcW w:w="1031" w:type="dxa"/>
            <w:tcBorders>
              <w:top w:val="nil"/>
              <w:left w:val="nil"/>
              <w:bottom w:val="nil"/>
              <w:right w:val="nil"/>
            </w:tcBorders>
            <w:noWrap/>
            <w:vAlign w:val="bottom"/>
            <w:hideMark/>
          </w:tcPr>
          <w:p w14:paraId="7A3C3A8E"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lang w:eastAsia="en-IN"/>
                <w14:ligatures w14:val="none"/>
              </w:rPr>
            </w:pPr>
            <w:r w:rsidRPr="00AF18A3">
              <w:rPr>
                <w:rFonts w:ascii="Times New Roman" w:hAnsi="Times New Roman" w:cs="Times New Roman"/>
                <w:color w:val="000000"/>
                <w:sz w:val="20"/>
                <w:szCs w:val="20"/>
              </w:rPr>
              <w:t>2.03</w:t>
            </w:r>
          </w:p>
        </w:tc>
        <w:tc>
          <w:tcPr>
            <w:tcW w:w="1202" w:type="dxa"/>
            <w:tcBorders>
              <w:top w:val="nil"/>
              <w:left w:val="nil"/>
              <w:bottom w:val="nil"/>
              <w:right w:val="nil"/>
            </w:tcBorders>
            <w:noWrap/>
            <w:vAlign w:val="bottom"/>
            <w:hideMark/>
          </w:tcPr>
          <w:p w14:paraId="739F5D4F"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lang w:eastAsia="en-IN"/>
                <w14:ligatures w14:val="none"/>
              </w:rPr>
            </w:pPr>
            <w:r w:rsidRPr="00AF18A3">
              <w:rPr>
                <w:rFonts w:ascii="Times New Roman" w:hAnsi="Times New Roman" w:cs="Times New Roman"/>
                <w:color w:val="000000"/>
                <w:sz w:val="20"/>
                <w:szCs w:val="20"/>
              </w:rPr>
              <w:t>2.04</w:t>
            </w:r>
          </w:p>
        </w:tc>
        <w:tc>
          <w:tcPr>
            <w:tcW w:w="1140" w:type="dxa"/>
            <w:tcBorders>
              <w:top w:val="nil"/>
              <w:left w:val="nil"/>
              <w:bottom w:val="nil"/>
              <w:right w:val="nil"/>
            </w:tcBorders>
            <w:vAlign w:val="bottom"/>
          </w:tcPr>
          <w:p w14:paraId="43CB8620"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vertAlign w:val="superscript"/>
                <w:lang w:eastAsia="en-IN"/>
                <w14:ligatures w14:val="none"/>
              </w:rPr>
            </w:pPr>
            <w:r w:rsidRPr="00AF18A3">
              <w:rPr>
                <w:rFonts w:ascii="Times New Roman" w:hAnsi="Times New Roman" w:cs="Times New Roman"/>
                <w:color w:val="000000"/>
                <w:sz w:val="20"/>
                <w:szCs w:val="20"/>
              </w:rPr>
              <w:t>2.04</w:t>
            </w:r>
          </w:p>
        </w:tc>
        <w:tc>
          <w:tcPr>
            <w:tcW w:w="1202" w:type="dxa"/>
            <w:tcBorders>
              <w:top w:val="nil"/>
              <w:left w:val="nil"/>
              <w:bottom w:val="nil"/>
              <w:right w:val="nil"/>
            </w:tcBorders>
            <w:noWrap/>
            <w:vAlign w:val="bottom"/>
            <w:hideMark/>
          </w:tcPr>
          <w:p w14:paraId="71E55F26"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lang w:eastAsia="en-IN"/>
                <w14:ligatures w14:val="none"/>
              </w:rPr>
            </w:pPr>
            <w:r w:rsidRPr="00AF18A3">
              <w:rPr>
                <w:rFonts w:ascii="Times New Roman" w:hAnsi="Times New Roman" w:cs="Times New Roman"/>
                <w:color w:val="000000"/>
                <w:sz w:val="20"/>
                <w:szCs w:val="20"/>
              </w:rPr>
              <w:t>44.27</w:t>
            </w:r>
          </w:p>
        </w:tc>
        <w:tc>
          <w:tcPr>
            <w:tcW w:w="1179" w:type="dxa"/>
            <w:tcBorders>
              <w:top w:val="nil"/>
              <w:left w:val="nil"/>
              <w:bottom w:val="nil"/>
              <w:right w:val="nil"/>
            </w:tcBorders>
            <w:noWrap/>
            <w:vAlign w:val="bottom"/>
            <w:hideMark/>
          </w:tcPr>
          <w:p w14:paraId="078039BB"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lang w:eastAsia="en-IN"/>
                <w14:ligatures w14:val="none"/>
              </w:rPr>
            </w:pPr>
            <w:r w:rsidRPr="00AF18A3">
              <w:rPr>
                <w:rFonts w:ascii="Times New Roman" w:hAnsi="Times New Roman" w:cs="Times New Roman"/>
                <w:color w:val="000000"/>
                <w:sz w:val="20"/>
                <w:szCs w:val="20"/>
              </w:rPr>
              <w:t>44.46</w:t>
            </w:r>
          </w:p>
        </w:tc>
        <w:tc>
          <w:tcPr>
            <w:tcW w:w="1130" w:type="dxa"/>
            <w:tcBorders>
              <w:top w:val="nil"/>
              <w:left w:val="nil"/>
              <w:bottom w:val="nil"/>
              <w:right w:val="nil"/>
            </w:tcBorders>
            <w:vAlign w:val="bottom"/>
          </w:tcPr>
          <w:p w14:paraId="5D337766"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vertAlign w:val="superscript"/>
                <w:lang w:eastAsia="en-IN"/>
                <w14:ligatures w14:val="none"/>
              </w:rPr>
            </w:pPr>
            <w:r w:rsidRPr="00AF18A3">
              <w:rPr>
                <w:rFonts w:ascii="Times New Roman" w:hAnsi="Times New Roman" w:cs="Times New Roman"/>
                <w:color w:val="000000"/>
                <w:sz w:val="20"/>
                <w:szCs w:val="20"/>
              </w:rPr>
              <w:t>44.36</w:t>
            </w:r>
          </w:p>
        </w:tc>
        <w:tc>
          <w:tcPr>
            <w:tcW w:w="1031" w:type="dxa"/>
            <w:tcBorders>
              <w:top w:val="nil"/>
              <w:left w:val="nil"/>
              <w:bottom w:val="nil"/>
              <w:right w:val="nil"/>
            </w:tcBorders>
            <w:noWrap/>
            <w:vAlign w:val="bottom"/>
            <w:hideMark/>
          </w:tcPr>
          <w:p w14:paraId="1A78744D"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lang w:eastAsia="en-IN"/>
                <w14:ligatures w14:val="none"/>
              </w:rPr>
            </w:pPr>
            <w:r w:rsidRPr="00AF18A3">
              <w:rPr>
                <w:rFonts w:ascii="Times New Roman" w:hAnsi="Times New Roman" w:cs="Times New Roman"/>
                <w:color w:val="000000"/>
                <w:sz w:val="20"/>
                <w:szCs w:val="20"/>
              </w:rPr>
              <w:t>21.11</w:t>
            </w:r>
          </w:p>
        </w:tc>
        <w:tc>
          <w:tcPr>
            <w:tcW w:w="1202" w:type="dxa"/>
            <w:tcBorders>
              <w:top w:val="nil"/>
              <w:left w:val="nil"/>
              <w:bottom w:val="nil"/>
              <w:right w:val="nil"/>
            </w:tcBorders>
            <w:noWrap/>
            <w:vAlign w:val="bottom"/>
            <w:hideMark/>
          </w:tcPr>
          <w:p w14:paraId="1A126533"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lang w:eastAsia="en-IN"/>
                <w14:ligatures w14:val="none"/>
              </w:rPr>
            </w:pPr>
            <w:r w:rsidRPr="00AF18A3">
              <w:rPr>
                <w:rFonts w:ascii="Times New Roman" w:hAnsi="Times New Roman" w:cs="Times New Roman"/>
                <w:color w:val="000000"/>
                <w:sz w:val="20"/>
                <w:szCs w:val="20"/>
              </w:rPr>
              <w:t>21.53</w:t>
            </w:r>
          </w:p>
        </w:tc>
        <w:tc>
          <w:tcPr>
            <w:tcW w:w="1130" w:type="dxa"/>
            <w:tcBorders>
              <w:top w:val="nil"/>
              <w:left w:val="nil"/>
              <w:bottom w:val="nil"/>
              <w:right w:val="nil"/>
            </w:tcBorders>
            <w:vAlign w:val="bottom"/>
          </w:tcPr>
          <w:p w14:paraId="4EC103FB"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vertAlign w:val="superscript"/>
                <w:lang w:eastAsia="en-IN"/>
                <w14:ligatures w14:val="none"/>
              </w:rPr>
            </w:pPr>
            <w:r w:rsidRPr="00AF18A3">
              <w:rPr>
                <w:rFonts w:ascii="Times New Roman" w:hAnsi="Times New Roman" w:cs="Times New Roman"/>
                <w:color w:val="000000"/>
                <w:sz w:val="20"/>
                <w:szCs w:val="20"/>
              </w:rPr>
              <w:t>21.32</w:t>
            </w:r>
          </w:p>
        </w:tc>
      </w:tr>
      <w:tr w:rsidR="007E0A41" w:rsidRPr="00AF18A3" w14:paraId="37B6EECB" w14:textId="77777777" w:rsidTr="00701562">
        <w:trPr>
          <w:trHeight w:val="283"/>
        </w:trPr>
        <w:tc>
          <w:tcPr>
            <w:tcW w:w="924" w:type="dxa"/>
            <w:tcBorders>
              <w:top w:val="nil"/>
              <w:left w:val="nil"/>
              <w:bottom w:val="nil"/>
              <w:right w:val="nil"/>
            </w:tcBorders>
            <w:noWrap/>
            <w:hideMark/>
          </w:tcPr>
          <w:p w14:paraId="0F5BA4FD"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lang w:eastAsia="en-IN"/>
                <w14:ligatures w14:val="none"/>
              </w:rPr>
            </w:pPr>
            <w:r w:rsidRPr="00AF18A3">
              <w:rPr>
                <w:rFonts w:ascii="Times New Roman" w:hAnsi="Times New Roman" w:cs="Times New Roman"/>
                <w:sz w:val="20"/>
                <w:szCs w:val="20"/>
              </w:rPr>
              <w:t>T</w:t>
            </w:r>
            <w:r w:rsidRPr="00AF18A3">
              <w:rPr>
                <w:rFonts w:ascii="Times New Roman" w:hAnsi="Times New Roman" w:cs="Times New Roman"/>
                <w:sz w:val="20"/>
                <w:szCs w:val="20"/>
                <w:vertAlign w:val="subscript"/>
              </w:rPr>
              <w:t>10</w:t>
            </w:r>
          </w:p>
        </w:tc>
        <w:tc>
          <w:tcPr>
            <w:tcW w:w="2917" w:type="dxa"/>
            <w:tcBorders>
              <w:top w:val="nil"/>
              <w:left w:val="nil"/>
              <w:bottom w:val="nil"/>
              <w:right w:val="nil"/>
            </w:tcBorders>
            <w:vAlign w:val="center"/>
            <w:hideMark/>
          </w:tcPr>
          <w:p w14:paraId="49D53309"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lang w:eastAsia="en-IN"/>
                <w14:ligatures w14:val="none"/>
              </w:rPr>
            </w:pPr>
            <w:r w:rsidRPr="00AF18A3">
              <w:rPr>
                <w:rFonts w:ascii="Times New Roman" w:eastAsia="Times New Roman" w:hAnsi="Times New Roman" w:cs="Times New Roman"/>
                <w:color w:val="000000"/>
                <w:kern w:val="0"/>
                <w:sz w:val="20"/>
                <w:szCs w:val="20"/>
                <w:lang w:eastAsia="en-IN"/>
                <w14:ligatures w14:val="none"/>
              </w:rPr>
              <w:t>Chelated zinc @0.75%</w:t>
            </w:r>
          </w:p>
        </w:tc>
        <w:tc>
          <w:tcPr>
            <w:tcW w:w="1031" w:type="dxa"/>
            <w:tcBorders>
              <w:top w:val="nil"/>
              <w:left w:val="nil"/>
              <w:bottom w:val="nil"/>
              <w:right w:val="nil"/>
            </w:tcBorders>
            <w:noWrap/>
            <w:vAlign w:val="bottom"/>
            <w:hideMark/>
          </w:tcPr>
          <w:p w14:paraId="1313B1CB"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lang w:eastAsia="en-IN"/>
                <w14:ligatures w14:val="none"/>
              </w:rPr>
            </w:pPr>
            <w:r w:rsidRPr="00AF18A3">
              <w:rPr>
                <w:rFonts w:ascii="Times New Roman" w:hAnsi="Times New Roman" w:cs="Times New Roman"/>
                <w:color w:val="000000"/>
                <w:sz w:val="20"/>
                <w:szCs w:val="20"/>
              </w:rPr>
              <w:t>2.00</w:t>
            </w:r>
          </w:p>
        </w:tc>
        <w:tc>
          <w:tcPr>
            <w:tcW w:w="1202" w:type="dxa"/>
            <w:tcBorders>
              <w:top w:val="nil"/>
              <w:left w:val="nil"/>
              <w:bottom w:val="nil"/>
              <w:right w:val="nil"/>
            </w:tcBorders>
            <w:noWrap/>
            <w:vAlign w:val="bottom"/>
            <w:hideMark/>
          </w:tcPr>
          <w:p w14:paraId="75988432"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lang w:eastAsia="en-IN"/>
                <w14:ligatures w14:val="none"/>
              </w:rPr>
            </w:pPr>
            <w:r w:rsidRPr="00AF18A3">
              <w:rPr>
                <w:rFonts w:ascii="Times New Roman" w:hAnsi="Times New Roman" w:cs="Times New Roman"/>
                <w:color w:val="000000"/>
                <w:sz w:val="20"/>
                <w:szCs w:val="20"/>
              </w:rPr>
              <w:t>2.01</w:t>
            </w:r>
          </w:p>
        </w:tc>
        <w:tc>
          <w:tcPr>
            <w:tcW w:w="1140" w:type="dxa"/>
            <w:tcBorders>
              <w:top w:val="nil"/>
              <w:left w:val="nil"/>
              <w:bottom w:val="nil"/>
              <w:right w:val="nil"/>
            </w:tcBorders>
            <w:vAlign w:val="bottom"/>
          </w:tcPr>
          <w:p w14:paraId="77146EFE"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vertAlign w:val="superscript"/>
                <w:lang w:eastAsia="en-IN"/>
                <w14:ligatures w14:val="none"/>
              </w:rPr>
            </w:pPr>
            <w:r w:rsidRPr="00AF18A3">
              <w:rPr>
                <w:rFonts w:ascii="Times New Roman" w:hAnsi="Times New Roman" w:cs="Times New Roman"/>
                <w:color w:val="000000"/>
                <w:sz w:val="20"/>
                <w:szCs w:val="20"/>
              </w:rPr>
              <w:t>2.01</w:t>
            </w:r>
          </w:p>
        </w:tc>
        <w:tc>
          <w:tcPr>
            <w:tcW w:w="1202" w:type="dxa"/>
            <w:tcBorders>
              <w:top w:val="nil"/>
              <w:left w:val="nil"/>
              <w:bottom w:val="nil"/>
              <w:right w:val="nil"/>
            </w:tcBorders>
            <w:noWrap/>
            <w:vAlign w:val="bottom"/>
            <w:hideMark/>
          </w:tcPr>
          <w:p w14:paraId="65F2F7CA"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lang w:eastAsia="en-IN"/>
                <w14:ligatures w14:val="none"/>
              </w:rPr>
            </w:pPr>
            <w:r w:rsidRPr="00AF18A3">
              <w:rPr>
                <w:rFonts w:ascii="Times New Roman" w:hAnsi="Times New Roman" w:cs="Times New Roman"/>
                <w:color w:val="000000"/>
                <w:sz w:val="20"/>
                <w:szCs w:val="20"/>
              </w:rPr>
              <w:t>49.93</w:t>
            </w:r>
          </w:p>
        </w:tc>
        <w:tc>
          <w:tcPr>
            <w:tcW w:w="1179" w:type="dxa"/>
            <w:tcBorders>
              <w:top w:val="nil"/>
              <w:left w:val="nil"/>
              <w:bottom w:val="nil"/>
              <w:right w:val="nil"/>
            </w:tcBorders>
            <w:noWrap/>
            <w:vAlign w:val="bottom"/>
            <w:hideMark/>
          </w:tcPr>
          <w:p w14:paraId="3518E16A"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lang w:eastAsia="en-IN"/>
                <w14:ligatures w14:val="none"/>
              </w:rPr>
            </w:pPr>
            <w:r w:rsidRPr="00AF18A3">
              <w:rPr>
                <w:rFonts w:ascii="Times New Roman" w:hAnsi="Times New Roman" w:cs="Times New Roman"/>
                <w:color w:val="000000"/>
                <w:sz w:val="20"/>
                <w:szCs w:val="20"/>
              </w:rPr>
              <w:t>50.06</w:t>
            </w:r>
          </w:p>
        </w:tc>
        <w:tc>
          <w:tcPr>
            <w:tcW w:w="1130" w:type="dxa"/>
            <w:tcBorders>
              <w:top w:val="nil"/>
              <w:left w:val="nil"/>
              <w:bottom w:val="nil"/>
              <w:right w:val="nil"/>
            </w:tcBorders>
            <w:vAlign w:val="bottom"/>
          </w:tcPr>
          <w:p w14:paraId="168C81F7"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vertAlign w:val="superscript"/>
                <w:lang w:eastAsia="en-IN"/>
                <w14:ligatures w14:val="none"/>
              </w:rPr>
            </w:pPr>
            <w:r w:rsidRPr="00AF18A3">
              <w:rPr>
                <w:rFonts w:ascii="Times New Roman" w:hAnsi="Times New Roman" w:cs="Times New Roman"/>
                <w:color w:val="000000"/>
                <w:sz w:val="20"/>
                <w:szCs w:val="20"/>
              </w:rPr>
              <w:t>49.99</w:t>
            </w:r>
          </w:p>
        </w:tc>
        <w:tc>
          <w:tcPr>
            <w:tcW w:w="1031" w:type="dxa"/>
            <w:tcBorders>
              <w:top w:val="nil"/>
              <w:left w:val="nil"/>
              <w:bottom w:val="nil"/>
              <w:right w:val="nil"/>
            </w:tcBorders>
            <w:noWrap/>
            <w:vAlign w:val="bottom"/>
            <w:hideMark/>
          </w:tcPr>
          <w:p w14:paraId="2762AE22"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lang w:eastAsia="en-IN"/>
                <w14:ligatures w14:val="none"/>
              </w:rPr>
            </w:pPr>
            <w:r w:rsidRPr="00AF18A3">
              <w:rPr>
                <w:rFonts w:ascii="Times New Roman" w:hAnsi="Times New Roman" w:cs="Times New Roman"/>
                <w:color w:val="000000"/>
                <w:sz w:val="20"/>
                <w:szCs w:val="20"/>
              </w:rPr>
              <w:t>21.68</w:t>
            </w:r>
          </w:p>
        </w:tc>
        <w:tc>
          <w:tcPr>
            <w:tcW w:w="1202" w:type="dxa"/>
            <w:tcBorders>
              <w:top w:val="nil"/>
              <w:left w:val="nil"/>
              <w:bottom w:val="nil"/>
              <w:right w:val="nil"/>
            </w:tcBorders>
            <w:noWrap/>
            <w:vAlign w:val="bottom"/>
            <w:hideMark/>
          </w:tcPr>
          <w:p w14:paraId="0FBF1A2F"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lang w:eastAsia="en-IN"/>
                <w14:ligatures w14:val="none"/>
              </w:rPr>
            </w:pPr>
            <w:r w:rsidRPr="00AF18A3">
              <w:rPr>
                <w:rFonts w:ascii="Times New Roman" w:hAnsi="Times New Roman" w:cs="Times New Roman"/>
                <w:color w:val="000000"/>
                <w:sz w:val="20"/>
                <w:szCs w:val="20"/>
              </w:rPr>
              <w:t>22.28</w:t>
            </w:r>
          </w:p>
        </w:tc>
        <w:tc>
          <w:tcPr>
            <w:tcW w:w="1130" w:type="dxa"/>
            <w:tcBorders>
              <w:top w:val="nil"/>
              <w:left w:val="nil"/>
              <w:bottom w:val="nil"/>
              <w:right w:val="nil"/>
            </w:tcBorders>
            <w:vAlign w:val="bottom"/>
          </w:tcPr>
          <w:p w14:paraId="315C29A8"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vertAlign w:val="superscript"/>
                <w:lang w:eastAsia="en-IN"/>
                <w14:ligatures w14:val="none"/>
              </w:rPr>
            </w:pPr>
            <w:r w:rsidRPr="00AF18A3">
              <w:rPr>
                <w:rFonts w:ascii="Times New Roman" w:hAnsi="Times New Roman" w:cs="Times New Roman"/>
                <w:color w:val="000000"/>
                <w:sz w:val="20"/>
                <w:szCs w:val="20"/>
              </w:rPr>
              <w:t>21.98</w:t>
            </w:r>
          </w:p>
        </w:tc>
      </w:tr>
      <w:tr w:rsidR="007E0A41" w:rsidRPr="00AF18A3" w14:paraId="20ACDB80" w14:textId="77777777" w:rsidTr="00701562">
        <w:trPr>
          <w:trHeight w:val="306"/>
        </w:trPr>
        <w:tc>
          <w:tcPr>
            <w:tcW w:w="924" w:type="dxa"/>
            <w:tcBorders>
              <w:top w:val="nil"/>
              <w:left w:val="nil"/>
              <w:bottom w:val="nil"/>
              <w:right w:val="nil"/>
            </w:tcBorders>
            <w:noWrap/>
            <w:hideMark/>
          </w:tcPr>
          <w:p w14:paraId="7FF3B6A3"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lang w:eastAsia="en-IN"/>
                <w14:ligatures w14:val="none"/>
              </w:rPr>
            </w:pPr>
            <w:r w:rsidRPr="00AF18A3">
              <w:rPr>
                <w:rFonts w:ascii="Times New Roman" w:hAnsi="Times New Roman" w:cs="Times New Roman"/>
                <w:sz w:val="20"/>
                <w:szCs w:val="20"/>
              </w:rPr>
              <w:t>T</w:t>
            </w:r>
            <w:r w:rsidRPr="00AF18A3">
              <w:rPr>
                <w:rFonts w:ascii="Times New Roman" w:hAnsi="Times New Roman" w:cs="Times New Roman"/>
                <w:sz w:val="20"/>
                <w:szCs w:val="20"/>
                <w:vertAlign w:val="subscript"/>
              </w:rPr>
              <w:t>11</w:t>
            </w:r>
          </w:p>
        </w:tc>
        <w:tc>
          <w:tcPr>
            <w:tcW w:w="2917" w:type="dxa"/>
            <w:tcBorders>
              <w:top w:val="nil"/>
              <w:left w:val="nil"/>
              <w:bottom w:val="nil"/>
              <w:right w:val="nil"/>
            </w:tcBorders>
            <w:vAlign w:val="center"/>
            <w:hideMark/>
          </w:tcPr>
          <w:p w14:paraId="43B283B3"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lang w:eastAsia="en-IN"/>
                <w14:ligatures w14:val="none"/>
              </w:rPr>
            </w:pPr>
            <w:r w:rsidRPr="00AF18A3">
              <w:rPr>
                <w:rFonts w:ascii="Times New Roman" w:eastAsia="Times New Roman" w:hAnsi="Times New Roman" w:cs="Times New Roman"/>
                <w:color w:val="000000"/>
                <w:kern w:val="0"/>
                <w:sz w:val="20"/>
                <w:szCs w:val="20"/>
                <w:lang w:eastAsia="en-IN"/>
                <w14:ligatures w14:val="none"/>
              </w:rPr>
              <w:t>ZnSO</w:t>
            </w:r>
            <w:r w:rsidRPr="00AF18A3">
              <w:rPr>
                <w:rFonts w:ascii="Times New Roman" w:eastAsia="Times New Roman" w:hAnsi="Times New Roman" w:cs="Times New Roman"/>
                <w:color w:val="000000"/>
                <w:kern w:val="0"/>
                <w:sz w:val="20"/>
                <w:szCs w:val="20"/>
                <w:vertAlign w:val="subscript"/>
                <w:lang w:eastAsia="en-IN"/>
                <w14:ligatures w14:val="none"/>
              </w:rPr>
              <w:t>4</w:t>
            </w:r>
            <w:r w:rsidRPr="00AF18A3">
              <w:rPr>
                <w:rFonts w:ascii="Times New Roman" w:eastAsia="Times New Roman" w:hAnsi="Times New Roman" w:cs="Times New Roman"/>
                <w:color w:val="000000"/>
                <w:kern w:val="0"/>
                <w:sz w:val="20"/>
                <w:szCs w:val="20"/>
                <w:lang w:eastAsia="en-IN"/>
                <w14:ligatures w14:val="none"/>
              </w:rPr>
              <w:t xml:space="preserve"> @0.25%</w:t>
            </w:r>
          </w:p>
        </w:tc>
        <w:tc>
          <w:tcPr>
            <w:tcW w:w="1031" w:type="dxa"/>
            <w:tcBorders>
              <w:top w:val="nil"/>
              <w:left w:val="nil"/>
              <w:bottom w:val="nil"/>
              <w:right w:val="nil"/>
            </w:tcBorders>
            <w:noWrap/>
            <w:vAlign w:val="bottom"/>
            <w:hideMark/>
          </w:tcPr>
          <w:p w14:paraId="327346DD"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lang w:eastAsia="en-IN"/>
                <w14:ligatures w14:val="none"/>
              </w:rPr>
            </w:pPr>
            <w:r w:rsidRPr="00AF18A3">
              <w:rPr>
                <w:rFonts w:ascii="Times New Roman" w:hAnsi="Times New Roman" w:cs="Times New Roman"/>
                <w:color w:val="000000"/>
                <w:sz w:val="20"/>
                <w:szCs w:val="20"/>
              </w:rPr>
              <w:t>2.00</w:t>
            </w:r>
          </w:p>
        </w:tc>
        <w:tc>
          <w:tcPr>
            <w:tcW w:w="1202" w:type="dxa"/>
            <w:tcBorders>
              <w:top w:val="nil"/>
              <w:left w:val="nil"/>
              <w:bottom w:val="nil"/>
              <w:right w:val="nil"/>
            </w:tcBorders>
            <w:noWrap/>
            <w:vAlign w:val="bottom"/>
            <w:hideMark/>
          </w:tcPr>
          <w:p w14:paraId="0B726827"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lang w:eastAsia="en-IN"/>
                <w14:ligatures w14:val="none"/>
              </w:rPr>
            </w:pPr>
            <w:r w:rsidRPr="00AF18A3">
              <w:rPr>
                <w:rFonts w:ascii="Times New Roman" w:hAnsi="Times New Roman" w:cs="Times New Roman"/>
                <w:color w:val="000000"/>
                <w:sz w:val="20"/>
                <w:szCs w:val="20"/>
              </w:rPr>
              <w:t>2.01</w:t>
            </w:r>
          </w:p>
        </w:tc>
        <w:tc>
          <w:tcPr>
            <w:tcW w:w="1140" w:type="dxa"/>
            <w:tcBorders>
              <w:top w:val="nil"/>
              <w:left w:val="nil"/>
              <w:bottom w:val="nil"/>
              <w:right w:val="nil"/>
            </w:tcBorders>
            <w:vAlign w:val="bottom"/>
          </w:tcPr>
          <w:p w14:paraId="3F1247CE"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vertAlign w:val="superscript"/>
                <w:lang w:eastAsia="en-IN"/>
                <w14:ligatures w14:val="none"/>
              </w:rPr>
            </w:pPr>
            <w:r w:rsidRPr="00AF18A3">
              <w:rPr>
                <w:rFonts w:ascii="Times New Roman" w:hAnsi="Times New Roman" w:cs="Times New Roman"/>
                <w:color w:val="000000"/>
                <w:sz w:val="20"/>
                <w:szCs w:val="20"/>
              </w:rPr>
              <w:t>2.01</w:t>
            </w:r>
          </w:p>
        </w:tc>
        <w:tc>
          <w:tcPr>
            <w:tcW w:w="1202" w:type="dxa"/>
            <w:tcBorders>
              <w:top w:val="nil"/>
              <w:left w:val="nil"/>
              <w:bottom w:val="nil"/>
              <w:right w:val="nil"/>
            </w:tcBorders>
            <w:noWrap/>
            <w:vAlign w:val="bottom"/>
            <w:hideMark/>
          </w:tcPr>
          <w:p w14:paraId="3B59870C"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lang w:eastAsia="en-IN"/>
                <w14:ligatures w14:val="none"/>
              </w:rPr>
            </w:pPr>
            <w:r w:rsidRPr="00AF18A3">
              <w:rPr>
                <w:rFonts w:ascii="Times New Roman" w:hAnsi="Times New Roman" w:cs="Times New Roman"/>
                <w:color w:val="000000"/>
                <w:sz w:val="20"/>
                <w:szCs w:val="20"/>
              </w:rPr>
              <w:t>29.90</w:t>
            </w:r>
          </w:p>
        </w:tc>
        <w:tc>
          <w:tcPr>
            <w:tcW w:w="1179" w:type="dxa"/>
            <w:tcBorders>
              <w:top w:val="nil"/>
              <w:left w:val="nil"/>
              <w:bottom w:val="nil"/>
              <w:right w:val="nil"/>
            </w:tcBorders>
            <w:noWrap/>
            <w:vAlign w:val="bottom"/>
            <w:hideMark/>
          </w:tcPr>
          <w:p w14:paraId="749EAFB2"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lang w:eastAsia="en-IN"/>
                <w14:ligatures w14:val="none"/>
              </w:rPr>
            </w:pPr>
            <w:r w:rsidRPr="00AF18A3">
              <w:rPr>
                <w:rFonts w:ascii="Times New Roman" w:hAnsi="Times New Roman" w:cs="Times New Roman"/>
                <w:color w:val="000000"/>
                <w:sz w:val="20"/>
                <w:szCs w:val="20"/>
              </w:rPr>
              <w:t>29.85</w:t>
            </w:r>
          </w:p>
        </w:tc>
        <w:tc>
          <w:tcPr>
            <w:tcW w:w="1130" w:type="dxa"/>
            <w:tcBorders>
              <w:top w:val="nil"/>
              <w:left w:val="nil"/>
              <w:bottom w:val="nil"/>
              <w:right w:val="nil"/>
            </w:tcBorders>
            <w:vAlign w:val="bottom"/>
          </w:tcPr>
          <w:p w14:paraId="06C745CA"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vertAlign w:val="superscript"/>
                <w:lang w:eastAsia="en-IN"/>
                <w14:ligatures w14:val="none"/>
              </w:rPr>
            </w:pPr>
            <w:r w:rsidRPr="00AF18A3">
              <w:rPr>
                <w:rFonts w:ascii="Times New Roman" w:hAnsi="Times New Roman" w:cs="Times New Roman"/>
                <w:color w:val="000000"/>
                <w:sz w:val="20"/>
                <w:szCs w:val="20"/>
              </w:rPr>
              <w:t>29.88</w:t>
            </w:r>
          </w:p>
        </w:tc>
        <w:tc>
          <w:tcPr>
            <w:tcW w:w="1031" w:type="dxa"/>
            <w:tcBorders>
              <w:top w:val="nil"/>
              <w:left w:val="nil"/>
              <w:bottom w:val="nil"/>
              <w:right w:val="nil"/>
            </w:tcBorders>
            <w:noWrap/>
            <w:vAlign w:val="bottom"/>
            <w:hideMark/>
          </w:tcPr>
          <w:p w14:paraId="25CD0F41"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lang w:eastAsia="en-IN"/>
                <w14:ligatures w14:val="none"/>
              </w:rPr>
            </w:pPr>
            <w:r w:rsidRPr="00AF18A3">
              <w:rPr>
                <w:rFonts w:ascii="Times New Roman" w:hAnsi="Times New Roman" w:cs="Times New Roman"/>
                <w:color w:val="000000"/>
                <w:sz w:val="20"/>
                <w:szCs w:val="20"/>
              </w:rPr>
              <w:t>18.02</w:t>
            </w:r>
          </w:p>
        </w:tc>
        <w:tc>
          <w:tcPr>
            <w:tcW w:w="1202" w:type="dxa"/>
            <w:tcBorders>
              <w:top w:val="nil"/>
              <w:left w:val="nil"/>
              <w:bottom w:val="nil"/>
              <w:right w:val="nil"/>
            </w:tcBorders>
            <w:noWrap/>
            <w:vAlign w:val="bottom"/>
            <w:hideMark/>
          </w:tcPr>
          <w:p w14:paraId="46CF0548"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lang w:eastAsia="en-IN"/>
                <w14:ligatures w14:val="none"/>
              </w:rPr>
            </w:pPr>
            <w:r w:rsidRPr="00AF18A3">
              <w:rPr>
                <w:rFonts w:ascii="Times New Roman" w:hAnsi="Times New Roman" w:cs="Times New Roman"/>
                <w:color w:val="000000"/>
                <w:sz w:val="20"/>
                <w:szCs w:val="20"/>
              </w:rPr>
              <w:t>17.88</w:t>
            </w:r>
          </w:p>
        </w:tc>
        <w:tc>
          <w:tcPr>
            <w:tcW w:w="1130" w:type="dxa"/>
            <w:tcBorders>
              <w:top w:val="nil"/>
              <w:left w:val="nil"/>
              <w:bottom w:val="nil"/>
              <w:right w:val="nil"/>
            </w:tcBorders>
            <w:vAlign w:val="bottom"/>
          </w:tcPr>
          <w:p w14:paraId="0F0A7EBD"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vertAlign w:val="superscript"/>
                <w:lang w:eastAsia="en-IN"/>
                <w14:ligatures w14:val="none"/>
              </w:rPr>
            </w:pPr>
            <w:r w:rsidRPr="00AF18A3">
              <w:rPr>
                <w:rFonts w:ascii="Times New Roman" w:hAnsi="Times New Roman" w:cs="Times New Roman"/>
                <w:color w:val="000000"/>
                <w:sz w:val="20"/>
                <w:szCs w:val="20"/>
              </w:rPr>
              <w:t>17.95</w:t>
            </w:r>
          </w:p>
        </w:tc>
      </w:tr>
      <w:tr w:rsidR="007E0A41" w:rsidRPr="00AF18A3" w14:paraId="3483CDFD" w14:textId="77777777" w:rsidTr="00701562">
        <w:trPr>
          <w:trHeight w:val="306"/>
        </w:trPr>
        <w:tc>
          <w:tcPr>
            <w:tcW w:w="924" w:type="dxa"/>
            <w:tcBorders>
              <w:top w:val="nil"/>
              <w:left w:val="nil"/>
              <w:bottom w:val="nil"/>
              <w:right w:val="nil"/>
            </w:tcBorders>
            <w:noWrap/>
            <w:hideMark/>
          </w:tcPr>
          <w:p w14:paraId="226D71E1"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lang w:eastAsia="en-IN"/>
                <w14:ligatures w14:val="none"/>
              </w:rPr>
            </w:pPr>
            <w:r w:rsidRPr="00AF18A3">
              <w:rPr>
                <w:rFonts w:ascii="Times New Roman" w:hAnsi="Times New Roman" w:cs="Times New Roman"/>
                <w:sz w:val="20"/>
                <w:szCs w:val="20"/>
              </w:rPr>
              <w:t>T</w:t>
            </w:r>
            <w:r w:rsidRPr="00AF18A3">
              <w:rPr>
                <w:rFonts w:ascii="Times New Roman" w:hAnsi="Times New Roman" w:cs="Times New Roman"/>
                <w:sz w:val="20"/>
                <w:szCs w:val="20"/>
                <w:vertAlign w:val="subscript"/>
              </w:rPr>
              <w:t>12</w:t>
            </w:r>
          </w:p>
        </w:tc>
        <w:tc>
          <w:tcPr>
            <w:tcW w:w="2917" w:type="dxa"/>
            <w:tcBorders>
              <w:top w:val="nil"/>
              <w:left w:val="nil"/>
              <w:bottom w:val="nil"/>
              <w:right w:val="nil"/>
            </w:tcBorders>
            <w:vAlign w:val="center"/>
            <w:hideMark/>
          </w:tcPr>
          <w:p w14:paraId="5BB676F0"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lang w:eastAsia="en-IN"/>
                <w14:ligatures w14:val="none"/>
              </w:rPr>
            </w:pPr>
            <w:r w:rsidRPr="00AF18A3">
              <w:rPr>
                <w:rFonts w:ascii="Times New Roman" w:eastAsia="Times New Roman" w:hAnsi="Times New Roman" w:cs="Times New Roman"/>
                <w:color w:val="000000"/>
                <w:kern w:val="0"/>
                <w:sz w:val="20"/>
                <w:szCs w:val="20"/>
                <w:lang w:eastAsia="en-IN"/>
                <w14:ligatures w14:val="none"/>
              </w:rPr>
              <w:t>ZnSO</w:t>
            </w:r>
            <w:r w:rsidRPr="00AF18A3">
              <w:rPr>
                <w:rFonts w:ascii="Times New Roman" w:eastAsia="Times New Roman" w:hAnsi="Times New Roman" w:cs="Times New Roman"/>
                <w:color w:val="000000"/>
                <w:kern w:val="0"/>
                <w:sz w:val="20"/>
                <w:szCs w:val="20"/>
                <w:vertAlign w:val="subscript"/>
                <w:lang w:eastAsia="en-IN"/>
                <w14:ligatures w14:val="none"/>
              </w:rPr>
              <w:t>4</w:t>
            </w:r>
            <w:r w:rsidRPr="00AF18A3">
              <w:rPr>
                <w:rFonts w:ascii="Times New Roman" w:eastAsia="Times New Roman" w:hAnsi="Times New Roman" w:cs="Times New Roman"/>
                <w:color w:val="000000"/>
                <w:kern w:val="0"/>
                <w:sz w:val="20"/>
                <w:szCs w:val="20"/>
                <w:lang w:eastAsia="en-IN"/>
                <w14:ligatures w14:val="none"/>
              </w:rPr>
              <w:t xml:space="preserve"> @0.50%</w:t>
            </w:r>
          </w:p>
        </w:tc>
        <w:tc>
          <w:tcPr>
            <w:tcW w:w="1031" w:type="dxa"/>
            <w:tcBorders>
              <w:top w:val="nil"/>
              <w:left w:val="nil"/>
              <w:bottom w:val="nil"/>
              <w:right w:val="nil"/>
            </w:tcBorders>
            <w:noWrap/>
            <w:vAlign w:val="bottom"/>
            <w:hideMark/>
          </w:tcPr>
          <w:p w14:paraId="01FDC9DB"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lang w:eastAsia="en-IN"/>
                <w14:ligatures w14:val="none"/>
              </w:rPr>
            </w:pPr>
            <w:r w:rsidRPr="00AF18A3">
              <w:rPr>
                <w:rFonts w:ascii="Times New Roman" w:hAnsi="Times New Roman" w:cs="Times New Roman"/>
                <w:color w:val="000000"/>
                <w:sz w:val="20"/>
                <w:szCs w:val="20"/>
              </w:rPr>
              <w:t>2.04</w:t>
            </w:r>
          </w:p>
        </w:tc>
        <w:tc>
          <w:tcPr>
            <w:tcW w:w="1202" w:type="dxa"/>
            <w:tcBorders>
              <w:top w:val="nil"/>
              <w:left w:val="nil"/>
              <w:bottom w:val="nil"/>
              <w:right w:val="nil"/>
            </w:tcBorders>
            <w:noWrap/>
            <w:vAlign w:val="bottom"/>
            <w:hideMark/>
          </w:tcPr>
          <w:p w14:paraId="003582EC"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lang w:eastAsia="en-IN"/>
                <w14:ligatures w14:val="none"/>
              </w:rPr>
            </w:pPr>
            <w:r w:rsidRPr="00AF18A3">
              <w:rPr>
                <w:rFonts w:ascii="Times New Roman" w:hAnsi="Times New Roman" w:cs="Times New Roman"/>
                <w:color w:val="000000"/>
                <w:sz w:val="20"/>
                <w:szCs w:val="20"/>
              </w:rPr>
              <w:t>2.04</w:t>
            </w:r>
          </w:p>
        </w:tc>
        <w:tc>
          <w:tcPr>
            <w:tcW w:w="1140" w:type="dxa"/>
            <w:tcBorders>
              <w:top w:val="nil"/>
              <w:left w:val="nil"/>
              <w:bottom w:val="nil"/>
              <w:right w:val="nil"/>
            </w:tcBorders>
            <w:vAlign w:val="bottom"/>
          </w:tcPr>
          <w:p w14:paraId="1FEC393B"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vertAlign w:val="superscript"/>
                <w:lang w:eastAsia="en-IN"/>
                <w14:ligatures w14:val="none"/>
              </w:rPr>
            </w:pPr>
            <w:r w:rsidRPr="00AF18A3">
              <w:rPr>
                <w:rFonts w:ascii="Times New Roman" w:hAnsi="Times New Roman" w:cs="Times New Roman"/>
                <w:color w:val="000000"/>
                <w:sz w:val="20"/>
                <w:szCs w:val="20"/>
              </w:rPr>
              <w:t>2.04</w:t>
            </w:r>
          </w:p>
        </w:tc>
        <w:tc>
          <w:tcPr>
            <w:tcW w:w="1202" w:type="dxa"/>
            <w:tcBorders>
              <w:top w:val="nil"/>
              <w:left w:val="nil"/>
              <w:bottom w:val="nil"/>
              <w:right w:val="nil"/>
            </w:tcBorders>
            <w:noWrap/>
            <w:vAlign w:val="bottom"/>
            <w:hideMark/>
          </w:tcPr>
          <w:p w14:paraId="445C5E53"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lang w:eastAsia="en-IN"/>
                <w14:ligatures w14:val="none"/>
              </w:rPr>
            </w:pPr>
            <w:r w:rsidRPr="00AF18A3">
              <w:rPr>
                <w:rFonts w:ascii="Times New Roman" w:hAnsi="Times New Roman" w:cs="Times New Roman"/>
                <w:color w:val="000000"/>
                <w:sz w:val="20"/>
                <w:szCs w:val="20"/>
              </w:rPr>
              <w:t>30.33</w:t>
            </w:r>
          </w:p>
        </w:tc>
        <w:tc>
          <w:tcPr>
            <w:tcW w:w="1179" w:type="dxa"/>
            <w:tcBorders>
              <w:top w:val="nil"/>
              <w:left w:val="nil"/>
              <w:bottom w:val="nil"/>
              <w:right w:val="nil"/>
            </w:tcBorders>
            <w:noWrap/>
            <w:vAlign w:val="bottom"/>
            <w:hideMark/>
          </w:tcPr>
          <w:p w14:paraId="269B7430"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lang w:eastAsia="en-IN"/>
                <w14:ligatures w14:val="none"/>
              </w:rPr>
            </w:pPr>
            <w:r w:rsidRPr="00AF18A3">
              <w:rPr>
                <w:rFonts w:ascii="Times New Roman" w:hAnsi="Times New Roman" w:cs="Times New Roman"/>
                <w:color w:val="000000"/>
                <w:sz w:val="20"/>
                <w:szCs w:val="20"/>
              </w:rPr>
              <w:t>29.98</w:t>
            </w:r>
          </w:p>
        </w:tc>
        <w:tc>
          <w:tcPr>
            <w:tcW w:w="1130" w:type="dxa"/>
            <w:tcBorders>
              <w:top w:val="nil"/>
              <w:left w:val="nil"/>
              <w:bottom w:val="nil"/>
              <w:right w:val="nil"/>
            </w:tcBorders>
            <w:vAlign w:val="bottom"/>
          </w:tcPr>
          <w:p w14:paraId="34C52DB4"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vertAlign w:val="superscript"/>
                <w:lang w:eastAsia="en-IN"/>
                <w14:ligatures w14:val="none"/>
              </w:rPr>
            </w:pPr>
            <w:r w:rsidRPr="00AF18A3">
              <w:rPr>
                <w:rFonts w:ascii="Times New Roman" w:hAnsi="Times New Roman" w:cs="Times New Roman"/>
                <w:color w:val="000000"/>
                <w:sz w:val="20"/>
                <w:szCs w:val="20"/>
              </w:rPr>
              <w:t>30.16</w:t>
            </w:r>
          </w:p>
        </w:tc>
        <w:tc>
          <w:tcPr>
            <w:tcW w:w="1031" w:type="dxa"/>
            <w:tcBorders>
              <w:top w:val="nil"/>
              <w:left w:val="nil"/>
              <w:bottom w:val="nil"/>
              <w:right w:val="nil"/>
            </w:tcBorders>
            <w:noWrap/>
            <w:vAlign w:val="bottom"/>
            <w:hideMark/>
          </w:tcPr>
          <w:p w14:paraId="0B772B2F"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lang w:eastAsia="en-IN"/>
                <w14:ligatures w14:val="none"/>
              </w:rPr>
            </w:pPr>
            <w:r w:rsidRPr="00AF18A3">
              <w:rPr>
                <w:rFonts w:ascii="Times New Roman" w:hAnsi="Times New Roman" w:cs="Times New Roman"/>
                <w:color w:val="000000"/>
                <w:sz w:val="20"/>
                <w:szCs w:val="20"/>
              </w:rPr>
              <w:t>19.25</w:t>
            </w:r>
          </w:p>
        </w:tc>
        <w:tc>
          <w:tcPr>
            <w:tcW w:w="1202" w:type="dxa"/>
            <w:tcBorders>
              <w:top w:val="nil"/>
              <w:left w:val="nil"/>
              <w:bottom w:val="nil"/>
              <w:right w:val="nil"/>
            </w:tcBorders>
            <w:noWrap/>
            <w:vAlign w:val="bottom"/>
            <w:hideMark/>
          </w:tcPr>
          <w:p w14:paraId="75C066EA"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lang w:eastAsia="en-IN"/>
                <w14:ligatures w14:val="none"/>
              </w:rPr>
            </w:pPr>
            <w:r w:rsidRPr="00AF18A3">
              <w:rPr>
                <w:rFonts w:ascii="Times New Roman" w:hAnsi="Times New Roman" w:cs="Times New Roman"/>
                <w:color w:val="000000"/>
                <w:sz w:val="20"/>
                <w:szCs w:val="20"/>
              </w:rPr>
              <w:t>19.98</w:t>
            </w:r>
          </w:p>
        </w:tc>
        <w:tc>
          <w:tcPr>
            <w:tcW w:w="1130" w:type="dxa"/>
            <w:tcBorders>
              <w:top w:val="nil"/>
              <w:left w:val="nil"/>
              <w:bottom w:val="nil"/>
              <w:right w:val="nil"/>
            </w:tcBorders>
            <w:vAlign w:val="bottom"/>
          </w:tcPr>
          <w:p w14:paraId="71390BBA"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vertAlign w:val="superscript"/>
                <w:lang w:eastAsia="en-IN"/>
                <w14:ligatures w14:val="none"/>
              </w:rPr>
            </w:pPr>
            <w:r w:rsidRPr="00AF18A3">
              <w:rPr>
                <w:rFonts w:ascii="Times New Roman" w:hAnsi="Times New Roman" w:cs="Times New Roman"/>
                <w:color w:val="000000"/>
                <w:sz w:val="20"/>
                <w:szCs w:val="20"/>
              </w:rPr>
              <w:t>19.61</w:t>
            </w:r>
          </w:p>
        </w:tc>
      </w:tr>
      <w:tr w:rsidR="007E0A41" w:rsidRPr="00AF18A3" w14:paraId="559E0F31" w14:textId="77777777" w:rsidTr="00701562">
        <w:trPr>
          <w:trHeight w:val="306"/>
        </w:trPr>
        <w:tc>
          <w:tcPr>
            <w:tcW w:w="924" w:type="dxa"/>
            <w:tcBorders>
              <w:top w:val="nil"/>
              <w:left w:val="nil"/>
              <w:bottom w:val="single" w:sz="4" w:space="0" w:color="auto"/>
              <w:right w:val="nil"/>
            </w:tcBorders>
            <w:noWrap/>
            <w:hideMark/>
          </w:tcPr>
          <w:p w14:paraId="3F8240A5"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lang w:eastAsia="en-IN"/>
                <w14:ligatures w14:val="none"/>
              </w:rPr>
            </w:pPr>
            <w:r w:rsidRPr="00AF18A3">
              <w:rPr>
                <w:rFonts w:ascii="Times New Roman" w:hAnsi="Times New Roman" w:cs="Times New Roman"/>
                <w:sz w:val="20"/>
                <w:szCs w:val="20"/>
              </w:rPr>
              <w:t>T</w:t>
            </w:r>
            <w:r w:rsidRPr="00AF18A3">
              <w:rPr>
                <w:rFonts w:ascii="Times New Roman" w:hAnsi="Times New Roman" w:cs="Times New Roman"/>
                <w:sz w:val="20"/>
                <w:szCs w:val="20"/>
                <w:vertAlign w:val="subscript"/>
              </w:rPr>
              <w:t>13</w:t>
            </w:r>
          </w:p>
        </w:tc>
        <w:tc>
          <w:tcPr>
            <w:tcW w:w="2917" w:type="dxa"/>
            <w:tcBorders>
              <w:top w:val="nil"/>
              <w:left w:val="nil"/>
              <w:bottom w:val="single" w:sz="4" w:space="0" w:color="auto"/>
              <w:right w:val="nil"/>
            </w:tcBorders>
            <w:vAlign w:val="center"/>
            <w:hideMark/>
          </w:tcPr>
          <w:p w14:paraId="02F6DCB3"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lang w:eastAsia="en-IN"/>
                <w14:ligatures w14:val="none"/>
              </w:rPr>
            </w:pPr>
            <w:r w:rsidRPr="00AF18A3">
              <w:rPr>
                <w:rFonts w:ascii="Times New Roman" w:eastAsia="Times New Roman" w:hAnsi="Times New Roman" w:cs="Times New Roman"/>
                <w:color w:val="000000"/>
                <w:kern w:val="0"/>
                <w:sz w:val="20"/>
                <w:szCs w:val="20"/>
                <w:lang w:eastAsia="en-IN"/>
                <w14:ligatures w14:val="none"/>
              </w:rPr>
              <w:t>ZnSO</w:t>
            </w:r>
            <w:r w:rsidRPr="00AF18A3">
              <w:rPr>
                <w:rFonts w:ascii="Times New Roman" w:eastAsia="Times New Roman" w:hAnsi="Times New Roman" w:cs="Times New Roman"/>
                <w:color w:val="000000"/>
                <w:kern w:val="0"/>
                <w:sz w:val="20"/>
                <w:szCs w:val="20"/>
                <w:vertAlign w:val="subscript"/>
                <w:lang w:eastAsia="en-IN"/>
                <w14:ligatures w14:val="none"/>
              </w:rPr>
              <w:t>4</w:t>
            </w:r>
            <w:r w:rsidRPr="00AF18A3">
              <w:rPr>
                <w:rFonts w:ascii="Times New Roman" w:eastAsia="Times New Roman" w:hAnsi="Times New Roman" w:cs="Times New Roman"/>
                <w:color w:val="000000"/>
                <w:kern w:val="0"/>
                <w:sz w:val="20"/>
                <w:szCs w:val="20"/>
                <w:lang w:eastAsia="en-IN"/>
                <w14:ligatures w14:val="none"/>
              </w:rPr>
              <w:t xml:space="preserve"> @0.75%</w:t>
            </w:r>
          </w:p>
        </w:tc>
        <w:tc>
          <w:tcPr>
            <w:tcW w:w="1031" w:type="dxa"/>
            <w:tcBorders>
              <w:top w:val="nil"/>
              <w:left w:val="nil"/>
              <w:bottom w:val="single" w:sz="4" w:space="0" w:color="auto"/>
              <w:right w:val="nil"/>
            </w:tcBorders>
            <w:noWrap/>
            <w:vAlign w:val="bottom"/>
            <w:hideMark/>
          </w:tcPr>
          <w:p w14:paraId="537D81F0"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lang w:eastAsia="en-IN"/>
                <w14:ligatures w14:val="none"/>
              </w:rPr>
            </w:pPr>
            <w:r w:rsidRPr="00AF18A3">
              <w:rPr>
                <w:rFonts w:ascii="Times New Roman" w:hAnsi="Times New Roman" w:cs="Times New Roman"/>
                <w:color w:val="000000"/>
                <w:sz w:val="20"/>
                <w:szCs w:val="20"/>
              </w:rPr>
              <w:t>2.03</w:t>
            </w:r>
          </w:p>
        </w:tc>
        <w:tc>
          <w:tcPr>
            <w:tcW w:w="1202" w:type="dxa"/>
            <w:tcBorders>
              <w:top w:val="nil"/>
              <w:left w:val="nil"/>
              <w:bottom w:val="single" w:sz="4" w:space="0" w:color="auto"/>
              <w:right w:val="nil"/>
            </w:tcBorders>
            <w:noWrap/>
            <w:vAlign w:val="bottom"/>
            <w:hideMark/>
          </w:tcPr>
          <w:p w14:paraId="10EEB5E6"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lang w:eastAsia="en-IN"/>
                <w14:ligatures w14:val="none"/>
              </w:rPr>
            </w:pPr>
            <w:r w:rsidRPr="00AF18A3">
              <w:rPr>
                <w:rFonts w:ascii="Times New Roman" w:hAnsi="Times New Roman" w:cs="Times New Roman"/>
                <w:color w:val="000000"/>
                <w:sz w:val="20"/>
                <w:szCs w:val="20"/>
              </w:rPr>
              <w:t>2.05</w:t>
            </w:r>
          </w:p>
        </w:tc>
        <w:tc>
          <w:tcPr>
            <w:tcW w:w="1140" w:type="dxa"/>
            <w:tcBorders>
              <w:top w:val="nil"/>
              <w:left w:val="nil"/>
              <w:bottom w:val="single" w:sz="4" w:space="0" w:color="auto"/>
              <w:right w:val="nil"/>
            </w:tcBorders>
            <w:vAlign w:val="bottom"/>
          </w:tcPr>
          <w:p w14:paraId="30C4FDA4"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vertAlign w:val="superscript"/>
                <w:lang w:eastAsia="en-IN"/>
                <w14:ligatures w14:val="none"/>
              </w:rPr>
            </w:pPr>
            <w:r w:rsidRPr="00AF18A3">
              <w:rPr>
                <w:rFonts w:ascii="Times New Roman" w:hAnsi="Times New Roman" w:cs="Times New Roman"/>
                <w:color w:val="000000"/>
                <w:sz w:val="20"/>
                <w:szCs w:val="20"/>
              </w:rPr>
              <w:t>2.04</w:t>
            </w:r>
          </w:p>
        </w:tc>
        <w:tc>
          <w:tcPr>
            <w:tcW w:w="1202" w:type="dxa"/>
            <w:tcBorders>
              <w:top w:val="nil"/>
              <w:left w:val="nil"/>
              <w:bottom w:val="single" w:sz="4" w:space="0" w:color="auto"/>
              <w:right w:val="nil"/>
            </w:tcBorders>
            <w:noWrap/>
            <w:vAlign w:val="bottom"/>
            <w:hideMark/>
          </w:tcPr>
          <w:p w14:paraId="10434231"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lang w:eastAsia="en-IN"/>
                <w14:ligatures w14:val="none"/>
              </w:rPr>
            </w:pPr>
            <w:r w:rsidRPr="00AF18A3">
              <w:rPr>
                <w:rFonts w:ascii="Times New Roman" w:hAnsi="Times New Roman" w:cs="Times New Roman"/>
                <w:color w:val="000000"/>
                <w:sz w:val="20"/>
                <w:szCs w:val="20"/>
              </w:rPr>
              <w:t>31.46</w:t>
            </w:r>
          </w:p>
        </w:tc>
        <w:tc>
          <w:tcPr>
            <w:tcW w:w="1179" w:type="dxa"/>
            <w:tcBorders>
              <w:top w:val="nil"/>
              <w:left w:val="nil"/>
              <w:bottom w:val="single" w:sz="4" w:space="0" w:color="auto"/>
              <w:right w:val="nil"/>
            </w:tcBorders>
            <w:noWrap/>
            <w:vAlign w:val="bottom"/>
            <w:hideMark/>
          </w:tcPr>
          <w:p w14:paraId="7F4EFB75"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lang w:eastAsia="en-IN"/>
                <w14:ligatures w14:val="none"/>
              </w:rPr>
            </w:pPr>
            <w:r w:rsidRPr="00AF18A3">
              <w:rPr>
                <w:rFonts w:ascii="Times New Roman" w:hAnsi="Times New Roman" w:cs="Times New Roman"/>
                <w:color w:val="000000"/>
                <w:sz w:val="20"/>
                <w:szCs w:val="20"/>
              </w:rPr>
              <w:t>31.45</w:t>
            </w:r>
          </w:p>
        </w:tc>
        <w:tc>
          <w:tcPr>
            <w:tcW w:w="1130" w:type="dxa"/>
            <w:tcBorders>
              <w:top w:val="nil"/>
              <w:left w:val="nil"/>
              <w:bottom w:val="single" w:sz="4" w:space="0" w:color="auto"/>
              <w:right w:val="nil"/>
            </w:tcBorders>
            <w:vAlign w:val="bottom"/>
          </w:tcPr>
          <w:p w14:paraId="1411B769"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vertAlign w:val="superscript"/>
                <w:lang w:eastAsia="en-IN"/>
                <w14:ligatures w14:val="none"/>
              </w:rPr>
            </w:pPr>
            <w:r w:rsidRPr="00AF18A3">
              <w:rPr>
                <w:rFonts w:ascii="Times New Roman" w:hAnsi="Times New Roman" w:cs="Times New Roman"/>
                <w:color w:val="000000"/>
                <w:sz w:val="20"/>
                <w:szCs w:val="20"/>
              </w:rPr>
              <w:t>31.45</w:t>
            </w:r>
          </w:p>
        </w:tc>
        <w:tc>
          <w:tcPr>
            <w:tcW w:w="1031" w:type="dxa"/>
            <w:tcBorders>
              <w:top w:val="nil"/>
              <w:left w:val="nil"/>
              <w:bottom w:val="single" w:sz="4" w:space="0" w:color="auto"/>
              <w:right w:val="nil"/>
            </w:tcBorders>
            <w:noWrap/>
            <w:vAlign w:val="bottom"/>
            <w:hideMark/>
          </w:tcPr>
          <w:p w14:paraId="06B5ED06"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lang w:eastAsia="en-IN"/>
                <w14:ligatures w14:val="none"/>
              </w:rPr>
            </w:pPr>
            <w:r w:rsidRPr="00AF18A3">
              <w:rPr>
                <w:rFonts w:ascii="Times New Roman" w:hAnsi="Times New Roman" w:cs="Times New Roman"/>
                <w:color w:val="000000"/>
                <w:sz w:val="20"/>
                <w:szCs w:val="20"/>
              </w:rPr>
              <w:t>18.78</w:t>
            </w:r>
          </w:p>
        </w:tc>
        <w:tc>
          <w:tcPr>
            <w:tcW w:w="1202" w:type="dxa"/>
            <w:tcBorders>
              <w:top w:val="nil"/>
              <w:left w:val="nil"/>
              <w:bottom w:val="single" w:sz="4" w:space="0" w:color="auto"/>
              <w:right w:val="nil"/>
            </w:tcBorders>
            <w:noWrap/>
            <w:vAlign w:val="bottom"/>
            <w:hideMark/>
          </w:tcPr>
          <w:p w14:paraId="0C52A34C"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lang w:eastAsia="en-IN"/>
                <w14:ligatures w14:val="none"/>
              </w:rPr>
            </w:pPr>
            <w:r w:rsidRPr="00AF18A3">
              <w:rPr>
                <w:rFonts w:ascii="Times New Roman" w:hAnsi="Times New Roman" w:cs="Times New Roman"/>
                <w:color w:val="000000"/>
                <w:sz w:val="20"/>
                <w:szCs w:val="20"/>
              </w:rPr>
              <w:t>19.08</w:t>
            </w:r>
          </w:p>
        </w:tc>
        <w:tc>
          <w:tcPr>
            <w:tcW w:w="1130" w:type="dxa"/>
            <w:tcBorders>
              <w:top w:val="nil"/>
              <w:left w:val="nil"/>
              <w:bottom w:val="single" w:sz="4" w:space="0" w:color="auto"/>
              <w:right w:val="nil"/>
            </w:tcBorders>
            <w:vAlign w:val="bottom"/>
          </w:tcPr>
          <w:p w14:paraId="594F6337"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vertAlign w:val="superscript"/>
                <w:lang w:eastAsia="en-IN"/>
                <w14:ligatures w14:val="none"/>
              </w:rPr>
            </w:pPr>
            <w:r w:rsidRPr="00AF18A3">
              <w:rPr>
                <w:rFonts w:ascii="Times New Roman" w:hAnsi="Times New Roman" w:cs="Times New Roman"/>
                <w:color w:val="000000"/>
                <w:sz w:val="20"/>
                <w:szCs w:val="20"/>
              </w:rPr>
              <w:t>18.93</w:t>
            </w:r>
          </w:p>
        </w:tc>
      </w:tr>
      <w:tr w:rsidR="007E0A41" w:rsidRPr="00AF18A3" w14:paraId="6745E648" w14:textId="77777777" w:rsidTr="00701562">
        <w:trPr>
          <w:trHeight w:val="283"/>
        </w:trPr>
        <w:tc>
          <w:tcPr>
            <w:tcW w:w="924" w:type="dxa"/>
            <w:tcBorders>
              <w:top w:val="single" w:sz="4" w:space="0" w:color="auto"/>
              <w:left w:val="nil"/>
              <w:bottom w:val="nil"/>
              <w:right w:val="nil"/>
            </w:tcBorders>
            <w:noWrap/>
            <w:vAlign w:val="bottom"/>
            <w:hideMark/>
          </w:tcPr>
          <w:p w14:paraId="2BB9BF51"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lang w:eastAsia="en-IN"/>
                <w14:ligatures w14:val="none"/>
              </w:rPr>
            </w:pPr>
          </w:p>
        </w:tc>
        <w:tc>
          <w:tcPr>
            <w:tcW w:w="2917" w:type="dxa"/>
            <w:tcBorders>
              <w:top w:val="single" w:sz="4" w:space="0" w:color="auto"/>
              <w:left w:val="nil"/>
              <w:bottom w:val="nil"/>
              <w:right w:val="nil"/>
            </w:tcBorders>
            <w:vAlign w:val="center"/>
            <w:hideMark/>
          </w:tcPr>
          <w:p w14:paraId="0FED4B37"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lang w:eastAsia="en-IN"/>
                <w14:ligatures w14:val="none"/>
              </w:rPr>
            </w:pPr>
            <w:proofErr w:type="spellStart"/>
            <w:r w:rsidRPr="00AF18A3">
              <w:rPr>
                <w:rFonts w:ascii="Times New Roman" w:eastAsia="Times New Roman" w:hAnsi="Times New Roman" w:cs="Times New Roman"/>
                <w:color w:val="000000"/>
                <w:kern w:val="0"/>
                <w:sz w:val="20"/>
                <w:szCs w:val="20"/>
                <w:lang w:eastAsia="en-IN"/>
                <w14:ligatures w14:val="none"/>
              </w:rPr>
              <w:t>SEm</w:t>
            </w:r>
            <w:proofErr w:type="spellEnd"/>
            <w:r w:rsidRPr="00AF18A3">
              <w:rPr>
                <w:rFonts w:ascii="Times New Roman" w:eastAsia="Times New Roman" w:hAnsi="Times New Roman" w:cs="Times New Roman"/>
                <w:color w:val="000000"/>
                <w:kern w:val="0"/>
                <w:sz w:val="20"/>
                <w:szCs w:val="20"/>
                <w:lang w:eastAsia="en-IN"/>
                <w14:ligatures w14:val="none"/>
              </w:rPr>
              <w:t xml:space="preserve"> (±)</w:t>
            </w:r>
          </w:p>
        </w:tc>
        <w:tc>
          <w:tcPr>
            <w:tcW w:w="1031" w:type="dxa"/>
            <w:tcBorders>
              <w:top w:val="single" w:sz="4" w:space="0" w:color="auto"/>
              <w:left w:val="nil"/>
              <w:bottom w:val="nil"/>
              <w:right w:val="nil"/>
            </w:tcBorders>
            <w:noWrap/>
            <w:vAlign w:val="center"/>
            <w:hideMark/>
          </w:tcPr>
          <w:p w14:paraId="1D6B26B8"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lang w:eastAsia="en-IN"/>
                <w14:ligatures w14:val="none"/>
              </w:rPr>
            </w:pPr>
            <w:r w:rsidRPr="00AF18A3">
              <w:rPr>
                <w:rFonts w:ascii="Times New Roman" w:eastAsia="Times New Roman" w:hAnsi="Times New Roman" w:cs="Times New Roman"/>
                <w:color w:val="000000"/>
                <w:kern w:val="0"/>
                <w:sz w:val="20"/>
                <w:szCs w:val="20"/>
                <w:lang w:eastAsia="en-IN"/>
                <w14:ligatures w14:val="none"/>
              </w:rPr>
              <w:t>0.012</w:t>
            </w:r>
          </w:p>
        </w:tc>
        <w:tc>
          <w:tcPr>
            <w:tcW w:w="1202" w:type="dxa"/>
            <w:tcBorders>
              <w:top w:val="single" w:sz="4" w:space="0" w:color="auto"/>
              <w:left w:val="nil"/>
              <w:bottom w:val="nil"/>
              <w:right w:val="nil"/>
            </w:tcBorders>
            <w:noWrap/>
            <w:vAlign w:val="center"/>
            <w:hideMark/>
          </w:tcPr>
          <w:p w14:paraId="32B91AFD"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lang w:eastAsia="en-IN"/>
                <w14:ligatures w14:val="none"/>
              </w:rPr>
            </w:pPr>
            <w:r w:rsidRPr="00AF18A3">
              <w:rPr>
                <w:rFonts w:ascii="Times New Roman" w:eastAsia="Times New Roman" w:hAnsi="Times New Roman" w:cs="Times New Roman"/>
                <w:color w:val="000000"/>
                <w:kern w:val="0"/>
                <w:sz w:val="20"/>
                <w:szCs w:val="20"/>
                <w:lang w:eastAsia="en-IN"/>
                <w14:ligatures w14:val="none"/>
              </w:rPr>
              <w:t>0.012</w:t>
            </w:r>
          </w:p>
        </w:tc>
        <w:tc>
          <w:tcPr>
            <w:tcW w:w="1140" w:type="dxa"/>
            <w:tcBorders>
              <w:top w:val="single" w:sz="4" w:space="0" w:color="auto"/>
              <w:left w:val="nil"/>
              <w:bottom w:val="nil"/>
              <w:right w:val="nil"/>
            </w:tcBorders>
            <w:vAlign w:val="bottom"/>
          </w:tcPr>
          <w:p w14:paraId="024D33F4"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lang w:eastAsia="en-IN"/>
                <w14:ligatures w14:val="none"/>
              </w:rPr>
            </w:pPr>
            <w:r w:rsidRPr="00AF18A3">
              <w:rPr>
                <w:rFonts w:ascii="Times New Roman" w:eastAsia="Times New Roman" w:hAnsi="Times New Roman" w:cs="Times New Roman"/>
                <w:color w:val="000000"/>
                <w:kern w:val="0"/>
                <w:sz w:val="20"/>
                <w:szCs w:val="20"/>
                <w:lang w:eastAsia="en-IN"/>
                <w14:ligatures w14:val="none"/>
              </w:rPr>
              <w:t>0.013</w:t>
            </w:r>
          </w:p>
        </w:tc>
        <w:tc>
          <w:tcPr>
            <w:tcW w:w="1202" w:type="dxa"/>
            <w:tcBorders>
              <w:top w:val="single" w:sz="4" w:space="0" w:color="auto"/>
              <w:left w:val="nil"/>
              <w:bottom w:val="nil"/>
              <w:right w:val="nil"/>
            </w:tcBorders>
            <w:noWrap/>
            <w:vAlign w:val="center"/>
            <w:hideMark/>
          </w:tcPr>
          <w:p w14:paraId="66CEDB86"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lang w:eastAsia="en-IN"/>
                <w14:ligatures w14:val="none"/>
              </w:rPr>
            </w:pPr>
            <w:r w:rsidRPr="00AF18A3">
              <w:rPr>
                <w:rFonts w:ascii="Times New Roman" w:eastAsia="Times New Roman" w:hAnsi="Times New Roman" w:cs="Times New Roman"/>
                <w:color w:val="000000"/>
                <w:kern w:val="0"/>
                <w:sz w:val="20"/>
                <w:szCs w:val="20"/>
                <w:lang w:eastAsia="en-IN"/>
                <w14:ligatures w14:val="none"/>
              </w:rPr>
              <w:t>1.02</w:t>
            </w:r>
          </w:p>
        </w:tc>
        <w:tc>
          <w:tcPr>
            <w:tcW w:w="1179" w:type="dxa"/>
            <w:tcBorders>
              <w:top w:val="single" w:sz="4" w:space="0" w:color="auto"/>
              <w:left w:val="nil"/>
              <w:bottom w:val="nil"/>
              <w:right w:val="nil"/>
            </w:tcBorders>
            <w:noWrap/>
            <w:vAlign w:val="center"/>
            <w:hideMark/>
          </w:tcPr>
          <w:p w14:paraId="28C89341"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lang w:eastAsia="en-IN"/>
                <w14:ligatures w14:val="none"/>
              </w:rPr>
            </w:pPr>
            <w:r w:rsidRPr="00AF18A3">
              <w:rPr>
                <w:rFonts w:ascii="Times New Roman" w:eastAsia="Times New Roman" w:hAnsi="Times New Roman" w:cs="Times New Roman"/>
                <w:color w:val="000000"/>
                <w:kern w:val="0"/>
                <w:sz w:val="20"/>
                <w:szCs w:val="20"/>
                <w:lang w:eastAsia="en-IN"/>
                <w14:ligatures w14:val="none"/>
              </w:rPr>
              <w:t>1.03</w:t>
            </w:r>
          </w:p>
        </w:tc>
        <w:tc>
          <w:tcPr>
            <w:tcW w:w="1130" w:type="dxa"/>
            <w:tcBorders>
              <w:top w:val="single" w:sz="4" w:space="0" w:color="auto"/>
              <w:left w:val="nil"/>
              <w:bottom w:val="nil"/>
              <w:right w:val="nil"/>
            </w:tcBorders>
            <w:vAlign w:val="bottom"/>
          </w:tcPr>
          <w:p w14:paraId="31C5DA7D"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lang w:eastAsia="en-IN"/>
                <w14:ligatures w14:val="none"/>
              </w:rPr>
            </w:pPr>
            <w:r w:rsidRPr="00AF18A3">
              <w:rPr>
                <w:rFonts w:ascii="Times New Roman" w:eastAsia="Times New Roman" w:hAnsi="Times New Roman" w:cs="Times New Roman"/>
                <w:color w:val="000000"/>
                <w:kern w:val="0"/>
                <w:sz w:val="20"/>
                <w:szCs w:val="20"/>
                <w:lang w:eastAsia="en-IN"/>
                <w14:ligatures w14:val="none"/>
              </w:rPr>
              <w:t>1.03</w:t>
            </w:r>
          </w:p>
        </w:tc>
        <w:tc>
          <w:tcPr>
            <w:tcW w:w="1031" w:type="dxa"/>
            <w:tcBorders>
              <w:top w:val="single" w:sz="4" w:space="0" w:color="auto"/>
              <w:left w:val="nil"/>
              <w:bottom w:val="nil"/>
              <w:right w:val="nil"/>
            </w:tcBorders>
            <w:noWrap/>
            <w:vAlign w:val="center"/>
            <w:hideMark/>
          </w:tcPr>
          <w:p w14:paraId="0E5BB7E4"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lang w:eastAsia="en-IN"/>
                <w14:ligatures w14:val="none"/>
              </w:rPr>
            </w:pPr>
            <w:r w:rsidRPr="00AF18A3">
              <w:rPr>
                <w:rFonts w:ascii="Times New Roman" w:eastAsia="Times New Roman" w:hAnsi="Times New Roman" w:cs="Times New Roman"/>
                <w:color w:val="000000"/>
                <w:kern w:val="0"/>
                <w:sz w:val="20"/>
                <w:szCs w:val="20"/>
                <w:lang w:eastAsia="en-IN"/>
                <w14:ligatures w14:val="none"/>
              </w:rPr>
              <w:t>1.03</w:t>
            </w:r>
          </w:p>
        </w:tc>
        <w:tc>
          <w:tcPr>
            <w:tcW w:w="1202" w:type="dxa"/>
            <w:tcBorders>
              <w:top w:val="single" w:sz="4" w:space="0" w:color="auto"/>
              <w:left w:val="nil"/>
              <w:bottom w:val="nil"/>
              <w:right w:val="nil"/>
            </w:tcBorders>
            <w:noWrap/>
            <w:vAlign w:val="center"/>
            <w:hideMark/>
          </w:tcPr>
          <w:p w14:paraId="6FAA6E6E"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lang w:eastAsia="en-IN"/>
                <w14:ligatures w14:val="none"/>
              </w:rPr>
            </w:pPr>
            <w:r w:rsidRPr="00AF18A3">
              <w:rPr>
                <w:rFonts w:ascii="Times New Roman" w:eastAsia="Times New Roman" w:hAnsi="Times New Roman" w:cs="Times New Roman"/>
                <w:color w:val="000000"/>
                <w:kern w:val="0"/>
                <w:sz w:val="20"/>
                <w:szCs w:val="20"/>
                <w:lang w:eastAsia="en-IN"/>
                <w14:ligatures w14:val="none"/>
              </w:rPr>
              <w:t>0.93</w:t>
            </w:r>
          </w:p>
        </w:tc>
        <w:tc>
          <w:tcPr>
            <w:tcW w:w="1130" w:type="dxa"/>
            <w:tcBorders>
              <w:top w:val="single" w:sz="4" w:space="0" w:color="auto"/>
              <w:left w:val="nil"/>
              <w:bottom w:val="nil"/>
              <w:right w:val="nil"/>
            </w:tcBorders>
            <w:vAlign w:val="bottom"/>
          </w:tcPr>
          <w:p w14:paraId="785B7289"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lang w:eastAsia="en-IN"/>
                <w14:ligatures w14:val="none"/>
              </w:rPr>
            </w:pPr>
            <w:r w:rsidRPr="00AF18A3">
              <w:rPr>
                <w:rFonts w:ascii="Times New Roman" w:eastAsia="Times New Roman" w:hAnsi="Times New Roman" w:cs="Times New Roman"/>
                <w:color w:val="000000"/>
                <w:kern w:val="0"/>
                <w:sz w:val="20"/>
                <w:szCs w:val="20"/>
                <w:lang w:eastAsia="en-IN"/>
                <w14:ligatures w14:val="none"/>
              </w:rPr>
              <w:t>0.98</w:t>
            </w:r>
          </w:p>
        </w:tc>
      </w:tr>
      <w:tr w:rsidR="007E0A41" w:rsidRPr="00AF18A3" w14:paraId="200954C4" w14:textId="77777777" w:rsidTr="00701562">
        <w:trPr>
          <w:trHeight w:val="283"/>
        </w:trPr>
        <w:tc>
          <w:tcPr>
            <w:tcW w:w="924" w:type="dxa"/>
            <w:tcBorders>
              <w:top w:val="nil"/>
              <w:left w:val="nil"/>
              <w:bottom w:val="single" w:sz="4" w:space="0" w:color="auto"/>
              <w:right w:val="nil"/>
            </w:tcBorders>
            <w:noWrap/>
            <w:vAlign w:val="bottom"/>
            <w:hideMark/>
          </w:tcPr>
          <w:p w14:paraId="7FA04360"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lang w:eastAsia="en-IN"/>
                <w14:ligatures w14:val="none"/>
              </w:rPr>
            </w:pPr>
          </w:p>
        </w:tc>
        <w:tc>
          <w:tcPr>
            <w:tcW w:w="2917" w:type="dxa"/>
            <w:tcBorders>
              <w:top w:val="nil"/>
              <w:left w:val="nil"/>
              <w:bottom w:val="single" w:sz="4" w:space="0" w:color="auto"/>
              <w:right w:val="nil"/>
            </w:tcBorders>
            <w:vAlign w:val="center"/>
            <w:hideMark/>
          </w:tcPr>
          <w:p w14:paraId="4245B74E"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lang w:eastAsia="en-IN"/>
                <w14:ligatures w14:val="none"/>
              </w:rPr>
            </w:pPr>
            <w:r w:rsidRPr="00AF18A3">
              <w:rPr>
                <w:rFonts w:ascii="Times New Roman" w:eastAsia="Times New Roman" w:hAnsi="Times New Roman" w:cs="Times New Roman"/>
                <w:color w:val="000000"/>
                <w:kern w:val="0"/>
                <w:sz w:val="20"/>
                <w:szCs w:val="20"/>
                <w:lang w:eastAsia="en-IN"/>
                <w14:ligatures w14:val="none"/>
              </w:rPr>
              <w:t>CD (p≤0.05)</w:t>
            </w:r>
          </w:p>
        </w:tc>
        <w:tc>
          <w:tcPr>
            <w:tcW w:w="1031" w:type="dxa"/>
            <w:tcBorders>
              <w:top w:val="nil"/>
              <w:left w:val="nil"/>
              <w:bottom w:val="single" w:sz="4" w:space="0" w:color="auto"/>
              <w:right w:val="nil"/>
            </w:tcBorders>
            <w:noWrap/>
            <w:vAlign w:val="center"/>
            <w:hideMark/>
          </w:tcPr>
          <w:p w14:paraId="079607E0"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lang w:eastAsia="en-IN"/>
                <w14:ligatures w14:val="none"/>
              </w:rPr>
            </w:pPr>
            <w:r w:rsidRPr="00AF18A3">
              <w:rPr>
                <w:rFonts w:ascii="Times New Roman" w:eastAsia="Times New Roman" w:hAnsi="Times New Roman" w:cs="Times New Roman"/>
                <w:color w:val="000000"/>
                <w:kern w:val="0"/>
                <w:sz w:val="20"/>
                <w:szCs w:val="20"/>
                <w:lang w:eastAsia="en-IN"/>
                <w14:ligatures w14:val="none"/>
              </w:rPr>
              <w:t>0.036</w:t>
            </w:r>
          </w:p>
        </w:tc>
        <w:tc>
          <w:tcPr>
            <w:tcW w:w="1202" w:type="dxa"/>
            <w:tcBorders>
              <w:top w:val="nil"/>
              <w:left w:val="nil"/>
              <w:bottom w:val="single" w:sz="4" w:space="0" w:color="auto"/>
              <w:right w:val="nil"/>
            </w:tcBorders>
            <w:noWrap/>
            <w:vAlign w:val="center"/>
            <w:hideMark/>
          </w:tcPr>
          <w:p w14:paraId="21B8DC5E"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lang w:eastAsia="en-IN"/>
                <w14:ligatures w14:val="none"/>
              </w:rPr>
            </w:pPr>
            <w:r w:rsidRPr="00AF18A3">
              <w:rPr>
                <w:rFonts w:ascii="Times New Roman" w:eastAsia="Times New Roman" w:hAnsi="Times New Roman" w:cs="Times New Roman"/>
                <w:color w:val="000000"/>
                <w:kern w:val="0"/>
                <w:sz w:val="20"/>
                <w:szCs w:val="20"/>
                <w:lang w:eastAsia="en-IN"/>
                <w14:ligatures w14:val="none"/>
              </w:rPr>
              <w:t>0.035</w:t>
            </w:r>
          </w:p>
        </w:tc>
        <w:tc>
          <w:tcPr>
            <w:tcW w:w="1140" w:type="dxa"/>
            <w:tcBorders>
              <w:top w:val="nil"/>
              <w:left w:val="nil"/>
              <w:bottom w:val="single" w:sz="4" w:space="0" w:color="auto"/>
              <w:right w:val="nil"/>
            </w:tcBorders>
            <w:vAlign w:val="bottom"/>
          </w:tcPr>
          <w:p w14:paraId="4BEABA45"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lang w:eastAsia="en-IN"/>
                <w14:ligatures w14:val="none"/>
              </w:rPr>
            </w:pPr>
            <w:r w:rsidRPr="00AF18A3">
              <w:rPr>
                <w:rFonts w:ascii="Times New Roman" w:eastAsia="Times New Roman" w:hAnsi="Times New Roman" w:cs="Times New Roman"/>
                <w:color w:val="000000"/>
                <w:kern w:val="0"/>
                <w:sz w:val="20"/>
                <w:szCs w:val="20"/>
                <w:lang w:eastAsia="en-IN"/>
                <w14:ligatures w14:val="none"/>
              </w:rPr>
              <w:t>0.025</w:t>
            </w:r>
          </w:p>
        </w:tc>
        <w:tc>
          <w:tcPr>
            <w:tcW w:w="1202" w:type="dxa"/>
            <w:tcBorders>
              <w:top w:val="nil"/>
              <w:left w:val="nil"/>
              <w:bottom w:val="single" w:sz="4" w:space="0" w:color="auto"/>
              <w:right w:val="nil"/>
            </w:tcBorders>
            <w:noWrap/>
            <w:vAlign w:val="center"/>
            <w:hideMark/>
          </w:tcPr>
          <w:p w14:paraId="06F8C4C8"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lang w:eastAsia="en-IN"/>
                <w14:ligatures w14:val="none"/>
              </w:rPr>
            </w:pPr>
            <w:r w:rsidRPr="00AF18A3">
              <w:rPr>
                <w:rFonts w:ascii="Times New Roman" w:eastAsia="Times New Roman" w:hAnsi="Times New Roman" w:cs="Times New Roman"/>
                <w:color w:val="000000"/>
                <w:kern w:val="0"/>
                <w:sz w:val="20"/>
                <w:szCs w:val="20"/>
                <w:lang w:eastAsia="en-IN"/>
                <w14:ligatures w14:val="none"/>
              </w:rPr>
              <w:t>2.97</w:t>
            </w:r>
          </w:p>
        </w:tc>
        <w:tc>
          <w:tcPr>
            <w:tcW w:w="1179" w:type="dxa"/>
            <w:tcBorders>
              <w:top w:val="nil"/>
              <w:left w:val="nil"/>
              <w:bottom w:val="single" w:sz="4" w:space="0" w:color="auto"/>
              <w:right w:val="nil"/>
            </w:tcBorders>
            <w:noWrap/>
            <w:vAlign w:val="center"/>
            <w:hideMark/>
          </w:tcPr>
          <w:p w14:paraId="10A1ECB9"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lang w:eastAsia="en-IN"/>
                <w14:ligatures w14:val="none"/>
              </w:rPr>
            </w:pPr>
            <w:r w:rsidRPr="00AF18A3">
              <w:rPr>
                <w:rFonts w:ascii="Times New Roman" w:eastAsia="Times New Roman" w:hAnsi="Times New Roman" w:cs="Times New Roman"/>
                <w:color w:val="000000"/>
                <w:kern w:val="0"/>
                <w:sz w:val="20"/>
                <w:szCs w:val="20"/>
                <w:lang w:eastAsia="en-IN"/>
                <w14:ligatures w14:val="none"/>
              </w:rPr>
              <w:t>3.02</w:t>
            </w:r>
          </w:p>
        </w:tc>
        <w:tc>
          <w:tcPr>
            <w:tcW w:w="1130" w:type="dxa"/>
            <w:tcBorders>
              <w:top w:val="nil"/>
              <w:left w:val="nil"/>
              <w:bottom w:val="single" w:sz="4" w:space="0" w:color="auto"/>
              <w:right w:val="nil"/>
            </w:tcBorders>
            <w:vAlign w:val="bottom"/>
          </w:tcPr>
          <w:p w14:paraId="2F03344C"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lang w:eastAsia="en-IN"/>
                <w14:ligatures w14:val="none"/>
              </w:rPr>
            </w:pPr>
            <w:r w:rsidRPr="00AF18A3">
              <w:rPr>
                <w:rFonts w:ascii="Times New Roman" w:eastAsia="Times New Roman" w:hAnsi="Times New Roman" w:cs="Times New Roman"/>
                <w:color w:val="000000"/>
                <w:kern w:val="0"/>
                <w:sz w:val="20"/>
                <w:szCs w:val="20"/>
                <w:lang w:eastAsia="en-IN"/>
                <w14:ligatures w14:val="none"/>
              </w:rPr>
              <w:t>2.06</w:t>
            </w:r>
          </w:p>
        </w:tc>
        <w:tc>
          <w:tcPr>
            <w:tcW w:w="1031" w:type="dxa"/>
            <w:tcBorders>
              <w:top w:val="nil"/>
              <w:left w:val="nil"/>
              <w:bottom w:val="single" w:sz="4" w:space="0" w:color="auto"/>
              <w:right w:val="nil"/>
            </w:tcBorders>
            <w:noWrap/>
            <w:vAlign w:val="center"/>
            <w:hideMark/>
          </w:tcPr>
          <w:p w14:paraId="28FA1F34"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lang w:eastAsia="en-IN"/>
                <w14:ligatures w14:val="none"/>
              </w:rPr>
            </w:pPr>
            <w:r w:rsidRPr="00AF18A3">
              <w:rPr>
                <w:rFonts w:ascii="Times New Roman" w:eastAsia="Times New Roman" w:hAnsi="Times New Roman" w:cs="Times New Roman"/>
                <w:color w:val="000000"/>
                <w:kern w:val="0"/>
                <w:sz w:val="20"/>
                <w:szCs w:val="20"/>
                <w:lang w:eastAsia="en-IN"/>
                <w14:ligatures w14:val="none"/>
              </w:rPr>
              <w:t>3.02</w:t>
            </w:r>
          </w:p>
        </w:tc>
        <w:tc>
          <w:tcPr>
            <w:tcW w:w="1202" w:type="dxa"/>
            <w:tcBorders>
              <w:top w:val="nil"/>
              <w:left w:val="nil"/>
              <w:bottom w:val="single" w:sz="4" w:space="0" w:color="auto"/>
              <w:right w:val="nil"/>
            </w:tcBorders>
            <w:noWrap/>
            <w:vAlign w:val="center"/>
            <w:hideMark/>
          </w:tcPr>
          <w:p w14:paraId="1E8BCE55"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lang w:eastAsia="en-IN"/>
                <w14:ligatures w14:val="none"/>
              </w:rPr>
            </w:pPr>
            <w:r w:rsidRPr="00AF18A3">
              <w:rPr>
                <w:rFonts w:ascii="Times New Roman" w:eastAsia="Times New Roman" w:hAnsi="Times New Roman" w:cs="Times New Roman"/>
                <w:color w:val="000000"/>
                <w:kern w:val="0"/>
                <w:sz w:val="20"/>
                <w:szCs w:val="20"/>
                <w:lang w:eastAsia="en-IN"/>
                <w14:ligatures w14:val="none"/>
              </w:rPr>
              <w:t>2.70</w:t>
            </w:r>
          </w:p>
        </w:tc>
        <w:tc>
          <w:tcPr>
            <w:tcW w:w="1130" w:type="dxa"/>
            <w:tcBorders>
              <w:top w:val="nil"/>
              <w:left w:val="nil"/>
              <w:bottom w:val="single" w:sz="4" w:space="0" w:color="auto"/>
              <w:right w:val="nil"/>
            </w:tcBorders>
            <w:vAlign w:val="bottom"/>
          </w:tcPr>
          <w:p w14:paraId="74774E72"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lang w:eastAsia="en-IN"/>
                <w14:ligatures w14:val="none"/>
              </w:rPr>
            </w:pPr>
            <w:r w:rsidRPr="00AF18A3">
              <w:rPr>
                <w:rFonts w:ascii="Times New Roman" w:eastAsia="Times New Roman" w:hAnsi="Times New Roman" w:cs="Times New Roman"/>
                <w:color w:val="000000"/>
                <w:kern w:val="0"/>
                <w:sz w:val="20"/>
                <w:szCs w:val="20"/>
                <w:lang w:eastAsia="en-IN"/>
                <w14:ligatures w14:val="none"/>
              </w:rPr>
              <w:t>1.97</w:t>
            </w:r>
          </w:p>
        </w:tc>
      </w:tr>
    </w:tbl>
    <w:p w14:paraId="2105A5AB" w14:textId="77777777" w:rsidR="007E0A41" w:rsidRPr="00AF18A3" w:rsidRDefault="007E0A41" w:rsidP="00D1336B">
      <w:pPr>
        <w:spacing w:after="0" w:line="276" w:lineRule="auto"/>
        <w:sectPr w:rsidR="007E0A41" w:rsidRPr="00AF18A3" w:rsidSect="007E0A41">
          <w:pgSz w:w="16838" w:h="11906" w:orient="landscape"/>
          <w:pgMar w:top="1440" w:right="1440" w:bottom="1440" w:left="1440" w:header="709" w:footer="709" w:gutter="0"/>
          <w:cols w:space="708"/>
          <w:docGrid w:linePitch="360"/>
        </w:sectPr>
      </w:pPr>
    </w:p>
    <w:p w14:paraId="70B14904" w14:textId="77777777" w:rsidR="0048609B" w:rsidRPr="00AF18A3" w:rsidRDefault="0048609B" w:rsidP="00A64A69">
      <w:pPr>
        <w:spacing w:after="0" w:line="276" w:lineRule="auto"/>
        <w:jc w:val="center"/>
        <w:rPr>
          <w:rFonts w:ascii="Times New Roman" w:hAnsi="Times New Roman" w:cs="Times New Roman"/>
        </w:rPr>
      </w:pPr>
      <w:r w:rsidRPr="00AF18A3">
        <w:rPr>
          <w:noProof/>
          <w:lang w:eastAsia="en-IN" w:bidi="hi-IN"/>
        </w:rPr>
        <w:lastRenderedPageBreak/>
        <w:drawing>
          <wp:inline distT="0" distB="0" distL="0" distR="0" wp14:anchorId="6A057B4C" wp14:editId="4BC5EA1B">
            <wp:extent cx="4352925" cy="2590800"/>
            <wp:effectExtent l="0" t="0" r="9525" b="0"/>
            <wp:docPr id="1928961342" name="Chart 1">
              <a:extLst xmlns:a="http://schemas.openxmlformats.org/drawingml/2006/main">
                <a:ext uri="{FF2B5EF4-FFF2-40B4-BE49-F238E27FC236}">
                  <a16:creationId xmlns:a16="http://schemas.microsoft.com/office/drawing/2014/main" id="{4675D2AA-870B-5E2F-9CC5-2563D5CFA6C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5C4B0B9F" w14:textId="77777777" w:rsidR="0048609B" w:rsidRPr="00AF18A3" w:rsidRDefault="0048609B" w:rsidP="00A64A69">
      <w:pPr>
        <w:spacing w:after="0" w:line="276" w:lineRule="auto"/>
        <w:jc w:val="center"/>
        <w:rPr>
          <w:rFonts w:ascii="Times New Roman" w:hAnsi="Times New Roman" w:cs="Times New Roman"/>
          <w:sz w:val="20"/>
          <w:szCs w:val="20"/>
        </w:rPr>
      </w:pPr>
      <w:r w:rsidRPr="00AF18A3">
        <w:rPr>
          <w:rFonts w:ascii="Times New Roman" w:hAnsi="Times New Roman" w:cs="Times New Roman"/>
          <w:sz w:val="20"/>
          <w:szCs w:val="20"/>
        </w:rPr>
        <w:t xml:space="preserve">Fig.1. </w:t>
      </w:r>
      <w:r w:rsidR="00FB5AB7" w:rsidRPr="00AF18A3">
        <w:rPr>
          <w:rFonts w:ascii="Times New Roman" w:hAnsi="Times New Roman" w:cs="Times New Roman"/>
          <w:sz w:val="20"/>
          <w:szCs w:val="20"/>
        </w:rPr>
        <w:t xml:space="preserve">Effect of Zn and Fe </w:t>
      </w:r>
      <w:proofErr w:type="spellStart"/>
      <w:r w:rsidR="00FB5AB7" w:rsidRPr="00AF18A3">
        <w:rPr>
          <w:rFonts w:ascii="Times New Roman" w:hAnsi="Times New Roman" w:cs="Times New Roman"/>
          <w:sz w:val="20"/>
          <w:szCs w:val="20"/>
        </w:rPr>
        <w:t>biofortication</w:t>
      </w:r>
      <w:proofErr w:type="spellEnd"/>
      <w:r w:rsidR="00FB5AB7" w:rsidRPr="00AF18A3">
        <w:rPr>
          <w:rFonts w:ascii="Times New Roman" w:hAnsi="Times New Roman" w:cs="Times New Roman"/>
          <w:sz w:val="20"/>
          <w:szCs w:val="20"/>
        </w:rPr>
        <w:t xml:space="preserve"> on crop growth rate of sweet corn during the year 2024.</w:t>
      </w:r>
    </w:p>
    <w:p w14:paraId="4609C5A0" w14:textId="77777777" w:rsidR="00A64A69" w:rsidRPr="00AF18A3" w:rsidRDefault="00A64A69" w:rsidP="00A64A69">
      <w:pPr>
        <w:spacing w:after="0" w:line="276" w:lineRule="auto"/>
        <w:jc w:val="center"/>
        <w:rPr>
          <w:rFonts w:ascii="Times New Roman" w:hAnsi="Times New Roman" w:cs="Times New Roman"/>
          <w:sz w:val="20"/>
          <w:szCs w:val="20"/>
        </w:rPr>
      </w:pPr>
    </w:p>
    <w:p w14:paraId="7FEF766B" w14:textId="77777777" w:rsidR="0048609B" w:rsidRPr="00AF18A3" w:rsidRDefault="0048609B" w:rsidP="00A64A69">
      <w:pPr>
        <w:spacing w:after="0" w:line="276" w:lineRule="auto"/>
        <w:jc w:val="center"/>
        <w:rPr>
          <w:rFonts w:ascii="Times New Roman" w:hAnsi="Times New Roman" w:cs="Times New Roman"/>
          <w:sz w:val="20"/>
          <w:szCs w:val="20"/>
        </w:rPr>
      </w:pPr>
      <w:r w:rsidRPr="00AF18A3">
        <w:rPr>
          <w:noProof/>
          <w:sz w:val="20"/>
          <w:szCs w:val="20"/>
          <w:lang w:eastAsia="en-IN" w:bidi="hi-IN"/>
        </w:rPr>
        <w:drawing>
          <wp:inline distT="0" distB="0" distL="0" distR="0" wp14:anchorId="7A47F94A" wp14:editId="36338E7C">
            <wp:extent cx="4572000" cy="2849880"/>
            <wp:effectExtent l="0" t="0" r="0" b="7620"/>
            <wp:docPr id="680940417" name="Chart 1">
              <a:extLst xmlns:a="http://schemas.openxmlformats.org/drawingml/2006/main">
                <a:ext uri="{FF2B5EF4-FFF2-40B4-BE49-F238E27FC236}">
                  <a16:creationId xmlns:a16="http://schemas.microsoft.com/office/drawing/2014/main" id="{ABCBE8CE-03EC-5078-EA27-D54C9C2296A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209EEB46" w14:textId="77777777" w:rsidR="0048609B" w:rsidRPr="00AF18A3" w:rsidRDefault="0048609B" w:rsidP="00A64A69">
      <w:pPr>
        <w:spacing w:after="0" w:line="276" w:lineRule="auto"/>
        <w:jc w:val="center"/>
        <w:rPr>
          <w:rFonts w:ascii="Times New Roman" w:hAnsi="Times New Roman" w:cs="Times New Roman"/>
          <w:sz w:val="20"/>
          <w:szCs w:val="20"/>
        </w:rPr>
      </w:pPr>
      <w:r w:rsidRPr="00AF18A3">
        <w:rPr>
          <w:rFonts w:ascii="Times New Roman" w:hAnsi="Times New Roman" w:cs="Times New Roman"/>
          <w:sz w:val="20"/>
          <w:szCs w:val="20"/>
        </w:rPr>
        <w:t xml:space="preserve">Fig.2. </w:t>
      </w:r>
      <w:r w:rsidR="00FB5AB7" w:rsidRPr="00AF18A3">
        <w:rPr>
          <w:rFonts w:ascii="Times New Roman" w:hAnsi="Times New Roman" w:cs="Times New Roman"/>
          <w:sz w:val="20"/>
          <w:szCs w:val="20"/>
        </w:rPr>
        <w:t xml:space="preserve">Effect of Zn and Fe </w:t>
      </w:r>
      <w:proofErr w:type="spellStart"/>
      <w:r w:rsidR="00FB5AB7" w:rsidRPr="00AF18A3">
        <w:rPr>
          <w:rFonts w:ascii="Times New Roman" w:hAnsi="Times New Roman" w:cs="Times New Roman"/>
          <w:sz w:val="20"/>
          <w:szCs w:val="20"/>
        </w:rPr>
        <w:t>biofortication</w:t>
      </w:r>
      <w:proofErr w:type="spellEnd"/>
      <w:r w:rsidR="00FB5AB7" w:rsidRPr="00AF18A3">
        <w:rPr>
          <w:rFonts w:ascii="Times New Roman" w:hAnsi="Times New Roman" w:cs="Times New Roman"/>
          <w:sz w:val="20"/>
          <w:szCs w:val="20"/>
        </w:rPr>
        <w:t xml:space="preserve"> on crop growth rate of sweet corn during the year 2025.</w:t>
      </w:r>
    </w:p>
    <w:p w14:paraId="0BB48E69" w14:textId="77777777" w:rsidR="0048609B" w:rsidRPr="00AF18A3" w:rsidRDefault="0048609B" w:rsidP="00D1336B">
      <w:pPr>
        <w:spacing w:after="0" w:line="276" w:lineRule="auto"/>
        <w:jc w:val="both"/>
        <w:rPr>
          <w:rFonts w:ascii="Times New Roman" w:hAnsi="Times New Roman" w:cs="Times New Roman"/>
          <w:sz w:val="20"/>
          <w:szCs w:val="20"/>
        </w:rPr>
      </w:pPr>
    </w:p>
    <w:p w14:paraId="28C80B8B" w14:textId="77777777" w:rsidR="007E0A41" w:rsidRPr="00AF18A3" w:rsidRDefault="007E0A41" w:rsidP="00D1336B">
      <w:pPr>
        <w:spacing w:after="0" w:line="276" w:lineRule="auto"/>
        <w:jc w:val="both"/>
        <w:rPr>
          <w:rFonts w:ascii="Times New Roman" w:hAnsi="Times New Roman" w:cs="Times New Roman"/>
          <w:sz w:val="20"/>
          <w:szCs w:val="20"/>
        </w:rPr>
      </w:pPr>
      <w:r w:rsidRPr="00AF18A3">
        <w:rPr>
          <w:rFonts w:ascii="Times New Roman" w:hAnsi="Times New Roman" w:cs="Times New Roman"/>
          <w:sz w:val="20"/>
          <w:szCs w:val="20"/>
        </w:rPr>
        <w:t>During this stage, assimilates were increasingly directed towards grain production. T</w:t>
      </w:r>
      <w:r w:rsidRPr="00AF18A3">
        <w:rPr>
          <w:rFonts w:ascii="Times New Roman" w:hAnsi="Times New Roman" w:cs="Times New Roman"/>
          <w:sz w:val="20"/>
          <w:szCs w:val="20"/>
          <w:vertAlign w:val="subscript"/>
        </w:rPr>
        <w:t>₁₀</w:t>
      </w:r>
      <w:r w:rsidRPr="00AF18A3">
        <w:rPr>
          <w:rFonts w:ascii="Times New Roman" w:hAnsi="Times New Roman" w:cs="Times New Roman"/>
          <w:sz w:val="20"/>
          <w:szCs w:val="20"/>
        </w:rPr>
        <w:t xml:space="preserve"> continued to retain the highest pooled CGR (21.98 g m</w:t>
      </w:r>
      <w:r w:rsidRPr="00AF18A3">
        <w:rPr>
          <w:rFonts w:ascii="Times New Roman" w:hAnsi="Times New Roman" w:cs="Times New Roman"/>
          <w:sz w:val="20"/>
          <w:szCs w:val="20"/>
          <w:vertAlign w:val="superscript"/>
        </w:rPr>
        <w:t>⁻²</w:t>
      </w:r>
      <w:r w:rsidRPr="00AF18A3">
        <w:rPr>
          <w:rFonts w:ascii="Times New Roman" w:hAnsi="Times New Roman" w:cs="Times New Roman"/>
          <w:sz w:val="20"/>
          <w:szCs w:val="20"/>
        </w:rPr>
        <w:t xml:space="preserve"> day</w:t>
      </w:r>
      <w:r w:rsidRPr="00AF18A3">
        <w:rPr>
          <w:rFonts w:ascii="Times New Roman" w:hAnsi="Times New Roman" w:cs="Times New Roman"/>
          <w:sz w:val="20"/>
          <w:szCs w:val="20"/>
          <w:vertAlign w:val="superscript"/>
        </w:rPr>
        <w:t>⁻¹),</w:t>
      </w:r>
      <w:r w:rsidRPr="00AF18A3">
        <w:rPr>
          <w:rFonts w:ascii="Times New Roman" w:hAnsi="Times New Roman" w:cs="Times New Roman"/>
          <w:sz w:val="20"/>
          <w:szCs w:val="20"/>
        </w:rPr>
        <w:t xml:space="preserve"> followed by T</w:t>
      </w:r>
      <w:r w:rsidRPr="00AF18A3">
        <w:rPr>
          <w:rFonts w:ascii="Times New Roman" w:hAnsi="Times New Roman" w:cs="Times New Roman"/>
          <w:sz w:val="20"/>
          <w:szCs w:val="20"/>
          <w:vertAlign w:val="subscript"/>
        </w:rPr>
        <w:t>₉</w:t>
      </w:r>
      <w:r w:rsidRPr="00AF18A3">
        <w:rPr>
          <w:rFonts w:ascii="Times New Roman" w:hAnsi="Times New Roman" w:cs="Times New Roman"/>
          <w:sz w:val="20"/>
          <w:szCs w:val="20"/>
        </w:rPr>
        <w:t xml:space="preserve"> (21.32 g m</w:t>
      </w:r>
      <w:r w:rsidRPr="00AF18A3">
        <w:rPr>
          <w:rFonts w:ascii="Times New Roman" w:hAnsi="Times New Roman" w:cs="Times New Roman"/>
          <w:sz w:val="20"/>
          <w:szCs w:val="20"/>
          <w:vertAlign w:val="superscript"/>
        </w:rPr>
        <w:t>⁻²</w:t>
      </w:r>
      <w:r w:rsidRPr="00AF18A3">
        <w:rPr>
          <w:rFonts w:ascii="Times New Roman" w:hAnsi="Times New Roman" w:cs="Times New Roman"/>
          <w:sz w:val="20"/>
          <w:szCs w:val="20"/>
        </w:rPr>
        <w:t xml:space="preserve"> day</w:t>
      </w:r>
      <w:r w:rsidRPr="00AF18A3">
        <w:rPr>
          <w:rFonts w:ascii="Times New Roman" w:hAnsi="Times New Roman" w:cs="Times New Roman"/>
          <w:sz w:val="20"/>
          <w:szCs w:val="20"/>
          <w:vertAlign w:val="superscript"/>
        </w:rPr>
        <w:t>⁻¹</w:t>
      </w:r>
      <w:r w:rsidRPr="00AF18A3">
        <w:rPr>
          <w:rFonts w:ascii="Times New Roman" w:hAnsi="Times New Roman" w:cs="Times New Roman"/>
          <w:sz w:val="20"/>
          <w:szCs w:val="20"/>
        </w:rPr>
        <w:t>), while the control recorded the lowest pooled value (16.08 g m</w:t>
      </w:r>
      <w:r w:rsidRPr="00AF18A3">
        <w:rPr>
          <w:rFonts w:ascii="Times New Roman" w:hAnsi="Times New Roman" w:cs="Times New Roman"/>
          <w:sz w:val="20"/>
          <w:szCs w:val="20"/>
          <w:vertAlign w:val="superscript"/>
        </w:rPr>
        <w:t>⁻²</w:t>
      </w:r>
      <w:r w:rsidRPr="00AF18A3">
        <w:rPr>
          <w:rFonts w:ascii="Times New Roman" w:hAnsi="Times New Roman" w:cs="Times New Roman"/>
          <w:sz w:val="20"/>
          <w:szCs w:val="20"/>
        </w:rPr>
        <w:t xml:space="preserve"> day</w:t>
      </w:r>
      <w:r w:rsidRPr="00AF18A3">
        <w:rPr>
          <w:rFonts w:ascii="Times New Roman" w:hAnsi="Times New Roman" w:cs="Times New Roman"/>
          <w:sz w:val="20"/>
          <w:szCs w:val="20"/>
          <w:vertAlign w:val="superscript"/>
        </w:rPr>
        <w:t>⁻¹)</w:t>
      </w:r>
      <w:r w:rsidRPr="00AF18A3">
        <w:rPr>
          <w:rFonts w:ascii="Times New Roman" w:hAnsi="Times New Roman" w:cs="Times New Roman"/>
          <w:sz w:val="20"/>
          <w:szCs w:val="20"/>
        </w:rPr>
        <w:t>.</w:t>
      </w:r>
    </w:p>
    <w:p w14:paraId="1D6F8C38" w14:textId="77777777" w:rsidR="007E0A41" w:rsidRPr="00AF18A3" w:rsidRDefault="007E0A41" w:rsidP="00D1336B">
      <w:pPr>
        <w:spacing w:after="0" w:line="276" w:lineRule="auto"/>
        <w:jc w:val="both"/>
        <w:rPr>
          <w:rFonts w:ascii="Times New Roman" w:hAnsi="Times New Roman" w:cs="Times New Roman"/>
          <w:sz w:val="20"/>
          <w:szCs w:val="20"/>
        </w:rPr>
      </w:pPr>
      <w:r w:rsidRPr="00AF18A3">
        <w:rPr>
          <w:rFonts w:ascii="Times New Roman" w:hAnsi="Times New Roman" w:cs="Times New Roman"/>
          <w:sz w:val="20"/>
          <w:szCs w:val="20"/>
        </w:rPr>
        <w:t>1.2 Relative growth rate (g g</w:t>
      </w:r>
      <w:r w:rsidRPr="00AF18A3">
        <w:rPr>
          <w:rFonts w:ascii="Times New Roman" w:hAnsi="Times New Roman" w:cs="Times New Roman"/>
          <w:sz w:val="20"/>
          <w:szCs w:val="20"/>
          <w:vertAlign w:val="superscript"/>
        </w:rPr>
        <w:t>-1</w:t>
      </w:r>
      <w:r w:rsidRPr="00AF18A3">
        <w:rPr>
          <w:rFonts w:ascii="Times New Roman" w:hAnsi="Times New Roman" w:cs="Times New Roman"/>
          <w:sz w:val="20"/>
          <w:szCs w:val="20"/>
        </w:rPr>
        <w:t xml:space="preserve"> day</w:t>
      </w:r>
      <w:r w:rsidRPr="00AF18A3">
        <w:rPr>
          <w:rFonts w:ascii="Times New Roman" w:hAnsi="Times New Roman" w:cs="Times New Roman"/>
          <w:sz w:val="20"/>
          <w:szCs w:val="20"/>
          <w:vertAlign w:val="superscript"/>
        </w:rPr>
        <w:t>-1</w:t>
      </w:r>
      <w:r w:rsidRPr="00AF18A3">
        <w:rPr>
          <w:rFonts w:ascii="Times New Roman" w:hAnsi="Times New Roman" w:cs="Times New Roman"/>
          <w:sz w:val="20"/>
          <w:szCs w:val="20"/>
        </w:rPr>
        <w:t>)</w:t>
      </w:r>
    </w:p>
    <w:p w14:paraId="5B630713" w14:textId="77777777" w:rsidR="007E0A41" w:rsidRPr="00AF18A3" w:rsidRDefault="007E0A41" w:rsidP="00D1336B">
      <w:pPr>
        <w:spacing w:after="0" w:line="276" w:lineRule="auto"/>
        <w:ind w:firstLine="720"/>
        <w:jc w:val="both"/>
        <w:rPr>
          <w:rFonts w:ascii="Times New Roman" w:hAnsi="Times New Roman" w:cs="Times New Roman"/>
          <w:sz w:val="20"/>
          <w:szCs w:val="20"/>
        </w:rPr>
      </w:pPr>
      <w:r w:rsidRPr="00AF18A3">
        <w:rPr>
          <w:rFonts w:ascii="Times New Roman" w:hAnsi="Times New Roman" w:cs="Times New Roman"/>
          <w:sz w:val="20"/>
          <w:szCs w:val="20"/>
        </w:rPr>
        <w:t xml:space="preserve">Relative growth rate (RGR), presented in Table 2, revealed statistically significant differences among treatments at both growth stages. During the 30–60 DAT interval, pooled RGR values ranged from 0.0830 g g⁻¹ day⁻¹ in the control (T₁) to 0.1084 g g⁻¹ day⁻¹ in chelated zinc @ 0.75% (T₁₀). Among the micronutrient treatments, higher concentrations of chelated zinc (T₉ and T₁₀) recorded the highest RGR values over the control, followed by ZnSO₄ @ 0.25% and 0.50% (T₁₁ </w:t>
      </w:r>
      <w:r w:rsidRPr="00AF18A3">
        <w:rPr>
          <w:rFonts w:ascii="Times New Roman" w:hAnsi="Times New Roman" w:cs="Times New Roman"/>
          <w:sz w:val="20"/>
          <w:szCs w:val="20"/>
        </w:rPr>
        <w:lastRenderedPageBreak/>
        <w:t>and T₁₂). Chelated iron and FeSO₄ treatments also improved RGR relative to the control, although the gains were comparatively modest, generally ranging from 0.0873 to 0.0919 g g⁻¹ day⁻¹.</w:t>
      </w:r>
    </w:p>
    <w:p w14:paraId="01134FBA" w14:textId="77777777" w:rsidR="007E0A41" w:rsidRPr="00AF18A3" w:rsidRDefault="007E0A41" w:rsidP="00D1336B">
      <w:pPr>
        <w:spacing w:after="0" w:line="276" w:lineRule="auto"/>
        <w:ind w:firstLine="720"/>
        <w:jc w:val="both"/>
        <w:rPr>
          <w:rFonts w:ascii="Times New Roman" w:hAnsi="Times New Roman" w:cs="Times New Roman"/>
          <w:sz w:val="20"/>
          <w:szCs w:val="20"/>
        </w:rPr>
      </w:pPr>
      <w:r w:rsidRPr="00AF18A3">
        <w:rPr>
          <w:rFonts w:ascii="Times New Roman" w:hAnsi="Times New Roman" w:cs="Times New Roman"/>
          <w:sz w:val="20"/>
          <w:szCs w:val="20"/>
        </w:rPr>
        <w:t>During the 60–90 DAT period, a different pattern emerged, as growth rates declined across all treated plots with crop ageing. Notably, the zinc-treated plots, which had previously performed best, showed the sharpest decline, with T</w:t>
      </w:r>
      <w:r w:rsidRPr="00AF18A3">
        <w:rPr>
          <w:rFonts w:ascii="Times New Roman" w:hAnsi="Times New Roman" w:cs="Times New Roman"/>
          <w:sz w:val="20"/>
          <w:szCs w:val="20"/>
          <w:vertAlign w:val="subscript"/>
        </w:rPr>
        <w:t>₉</w:t>
      </w:r>
      <w:r w:rsidRPr="00AF18A3">
        <w:rPr>
          <w:rFonts w:ascii="Times New Roman" w:hAnsi="Times New Roman" w:cs="Times New Roman"/>
          <w:sz w:val="20"/>
          <w:szCs w:val="20"/>
        </w:rPr>
        <w:t xml:space="preserve"> and T₁₀ falling to 0.0126 and 0.0118 g g⁻¹ day⁻¹, respectively, while the control (T₁) and chelated iron @ 0.25% (T₂) recorded RGR values of 0.0170 and 0.0183 g g⁻¹ day⁻¹, respectively. This indicates that early vegetative growth was enhanced by zinc application, but that this benefit declined as the plants matured.</w:t>
      </w:r>
    </w:p>
    <w:p w14:paraId="5CE654A8" w14:textId="77777777" w:rsidR="007E0A41" w:rsidRPr="00AF18A3" w:rsidRDefault="007E0A41" w:rsidP="00D1336B">
      <w:pPr>
        <w:spacing w:after="0" w:line="276" w:lineRule="auto"/>
        <w:jc w:val="both"/>
        <w:rPr>
          <w:rFonts w:ascii="Times New Roman" w:hAnsi="Times New Roman" w:cs="Times New Roman"/>
          <w:sz w:val="20"/>
          <w:szCs w:val="20"/>
        </w:rPr>
      </w:pPr>
      <w:r w:rsidRPr="00AF18A3">
        <w:rPr>
          <w:rFonts w:ascii="Times New Roman" w:hAnsi="Times New Roman" w:cs="Times New Roman"/>
          <w:sz w:val="20"/>
          <w:szCs w:val="20"/>
        </w:rPr>
        <w:t>1.3 Net assimilation rate (g m</w:t>
      </w:r>
      <w:r w:rsidRPr="00AF18A3">
        <w:rPr>
          <w:rFonts w:ascii="Times New Roman" w:hAnsi="Times New Roman" w:cs="Times New Roman"/>
          <w:sz w:val="20"/>
          <w:szCs w:val="20"/>
          <w:vertAlign w:val="superscript"/>
        </w:rPr>
        <w:t>-2</w:t>
      </w:r>
      <w:r w:rsidRPr="00AF18A3">
        <w:rPr>
          <w:rFonts w:ascii="Times New Roman" w:hAnsi="Times New Roman" w:cs="Times New Roman"/>
          <w:sz w:val="20"/>
          <w:szCs w:val="20"/>
        </w:rPr>
        <w:t xml:space="preserve"> day</w:t>
      </w:r>
      <w:r w:rsidRPr="00AF18A3">
        <w:rPr>
          <w:rFonts w:ascii="Times New Roman" w:hAnsi="Times New Roman" w:cs="Times New Roman"/>
          <w:sz w:val="20"/>
          <w:szCs w:val="20"/>
          <w:vertAlign w:val="superscript"/>
        </w:rPr>
        <w:t>-1</w:t>
      </w:r>
      <w:r w:rsidRPr="00AF18A3">
        <w:rPr>
          <w:rFonts w:ascii="Times New Roman" w:hAnsi="Times New Roman" w:cs="Times New Roman"/>
          <w:sz w:val="20"/>
          <w:szCs w:val="20"/>
        </w:rPr>
        <w:t>)</w:t>
      </w:r>
    </w:p>
    <w:p w14:paraId="0B4A92D1" w14:textId="77777777" w:rsidR="00CF7FBD" w:rsidRPr="00AF18A3" w:rsidRDefault="007E0A41" w:rsidP="00CF7FBD">
      <w:pPr>
        <w:spacing w:after="0" w:line="276" w:lineRule="auto"/>
        <w:ind w:firstLine="720"/>
        <w:jc w:val="both"/>
        <w:rPr>
          <w:rFonts w:ascii="Times New Roman" w:hAnsi="Times New Roman" w:cs="Times New Roman"/>
          <w:sz w:val="20"/>
          <w:szCs w:val="20"/>
        </w:rPr>
      </w:pPr>
      <w:r w:rsidRPr="00AF18A3">
        <w:rPr>
          <w:rFonts w:ascii="Times New Roman" w:hAnsi="Times New Roman" w:cs="Times New Roman"/>
          <w:sz w:val="20"/>
          <w:szCs w:val="20"/>
        </w:rPr>
        <w:t>Net assimilation rate (NAR) followed a pattern similar to that of RGR, with values rising above the control across most micronutrient treatments during the 30–60 DAT period. The control (T₁) recorded the lowest NAR at 0.3796 g m⁻² day⁻¹, while chelated zinc @ 0.50% (T₉) recorded the highest value at 2.0428 g m⁻² day⁻¹, followed closely by chelated zinc @ 0.75% (T₁₀) at 1.9688 g m⁻² day⁻¹. ZnSO₄ @ 0.75% (T₁₃) and 0.50% (T₁₂) also recorded comparatively high NAR values, whereas the iron treatments (chelated iron and FeSO₄) remained generally lower but above the control.</w:t>
      </w:r>
    </w:p>
    <w:p w14:paraId="46EF1C70" w14:textId="77777777" w:rsidR="00CF7FBD" w:rsidRPr="00AF18A3" w:rsidRDefault="00CF7FBD" w:rsidP="00CF7FBD">
      <w:pPr>
        <w:spacing w:after="0" w:line="276" w:lineRule="auto"/>
        <w:ind w:firstLine="720"/>
        <w:jc w:val="both"/>
        <w:rPr>
          <w:rFonts w:ascii="Times New Roman" w:hAnsi="Times New Roman" w:cs="Times New Roman"/>
          <w:sz w:val="20"/>
          <w:szCs w:val="20"/>
        </w:rPr>
      </w:pPr>
      <w:r w:rsidRPr="00AF18A3">
        <w:rPr>
          <w:rFonts w:ascii="Times New Roman" w:hAnsi="Times New Roman" w:cs="Times New Roman"/>
          <w:sz w:val="20"/>
          <w:szCs w:val="20"/>
        </w:rPr>
        <w:t>During the 60–90 DAT period, NAR declined steeply across all treatments as the crop progressed beyond its peak assimilation phase. T₉ (chelated zinc @ 0.50%) recorded the highest pooled value of 0.0431 g m⁻² day⁻¹, followed by T₁₀ at 0.0329 g m⁻² day⁻¹, while the control recorded 0.0040 g m⁻² day⁻¹. Zinc-based treatments, whether chelated or in sulphate form, generally performed better than iron treatments at this later stage (60–90 DAT). Taken together, these results indicate that zinc application, particularly chelated zinc at the 0.50% level, had the strongest and most persistent effect on assimilation efficiency.</w:t>
      </w:r>
    </w:p>
    <w:p w14:paraId="5E22DD96" w14:textId="77777777" w:rsidR="007E0A41" w:rsidRPr="00AF18A3" w:rsidRDefault="007E0A41" w:rsidP="00D1336B">
      <w:pPr>
        <w:tabs>
          <w:tab w:val="left" w:pos="7644"/>
        </w:tabs>
        <w:spacing w:after="0" w:line="276" w:lineRule="auto"/>
        <w:rPr>
          <w:rFonts w:ascii="Times New Roman" w:hAnsi="Times New Roman" w:cs="Times New Roman"/>
          <w:b/>
          <w:bCs/>
          <w:lang w:val="en-GB"/>
        </w:rPr>
        <w:sectPr w:rsidR="007E0A41" w:rsidRPr="00AF18A3" w:rsidSect="007E0A41">
          <w:pgSz w:w="11906" w:h="16838"/>
          <w:pgMar w:top="2268" w:right="1701" w:bottom="2268" w:left="2268" w:header="709" w:footer="709" w:gutter="0"/>
          <w:cols w:space="708"/>
          <w:docGrid w:linePitch="360"/>
        </w:sectPr>
      </w:pPr>
    </w:p>
    <w:p w14:paraId="7A9BA8B8" w14:textId="77777777" w:rsidR="007E0A41" w:rsidRPr="00AF18A3" w:rsidRDefault="007E0A41" w:rsidP="00D1336B">
      <w:pPr>
        <w:tabs>
          <w:tab w:val="left" w:pos="7644"/>
        </w:tabs>
        <w:spacing w:after="0" w:line="276" w:lineRule="auto"/>
        <w:rPr>
          <w:rFonts w:ascii="Times New Roman" w:hAnsi="Times New Roman" w:cs="Times New Roman"/>
          <w:b/>
          <w:bCs/>
          <w:sz w:val="20"/>
          <w:szCs w:val="20"/>
          <w:lang w:val="en-GB"/>
        </w:rPr>
      </w:pPr>
      <w:r w:rsidRPr="00AF18A3">
        <w:rPr>
          <w:rFonts w:ascii="Times New Roman" w:hAnsi="Times New Roman" w:cs="Times New Roman"/>
          <w:b/>
          <w:bCs/>
          <w:sz w:val="20"/>
          <w:szCs w:val="20"/>
          <w:lang w:val="en-GB"/>
        </w:rPr>
        <w:lastRenderedPageBreak/>
        <w:t xml:space="preserve">Table 2: </w:t>
      </w:r>
      <w:r w:rsidRPr="00AF18A3">
        <w:rPr>
          <w:rFonts w:ascii="Times New Roman" w:hAnsi="Times New Roman" w:cs="Times New Roman"/>
          <w:b/>
          <w:bCs/>
          <w:sz w:val="20"/>
          <w:szCs w:val="20"/>
        </w:rPr>
        <w:t>Relative growth rate (g g</w:t>
      </w:r>
      <w:r w:rsidRPr="00AF18A3">
        <w:rPr>
          <w:rFonts w:ascii="Times New Roman" w:hAnsi="Times New Roman" w:cs="Times New Roman"/>
          <w:b/>
          <w:bCs/>
          <w:sz w:val="20"/>
          <w:szCs w:val="20"/>
          <w:vertAlign w:val="superscript"/>
        </w:rPr>
        <w:t>-1</w:t>
      </w:r>
      <w:r w:rsidRPr="00AF18A3">
        <w:rPr>
          <w:rFonts w:ascii="Times New Roman" w:hAnsi="Times New Roman" w:cs="Times New Roman"/>
          <w:b/>
          <w:bCs/>
          <w:sz w:val="20"/>
          <w:szCs w:val="20"/>
        </w:rPr>
        <w:t xml:space="preserve"> day</w:t>
      </w:r>
      <w:r w:rsidRPr="00AF18A3">
        <w:rPr>
          <w:rFonts w:ascii="Times New Roman" w:hAnsi="Times New Roman" w:cs="Times New Roman"/>
          <w:b/>
          <w:bCs/>
          <w:sz w:val="20"/>
          <w:szCs w:val="20"/>
          <w:vertAlign w:val="superscript"/>
        </w:rPr>
        <w:t>-1</w:t>
      </w:r>
      <w:r w:rsidRPr="00AF18A3">
        <w:rPr>
          <w:rFonts w:ascii="Times New Roman" w:hAnsi="Times New Roman" w:cs="Times New Roman"/>
          <w:b/>
          <w:bCs/>
          <w:sz w:val="20"/>
          <w:szCs w:val="20"/>
        </w:rPr>
        <w:t>) and Net assimilation rate (g m</w:t>
      </w:r>
      <w:r w:rsidRPr="00AF18A3">
        <w:rPr>
          <w:rFonts w:ascii="Times New Roman" w:hAnsi="Times New Roman" w:cs="Times New Roman"/>
          <w:b/>
          <w:bCs/>
          <w:sz w:val="20"/>
          <w:szCs w:val="20"/>
          <w:vertAlign w:val="superscript"/>
        </w:rPr>
        <w:t>-2</w:t>
      </w:r>
      <w:r w:rsidRPr="00AF18A3">
        <w:rPr>
          <w:rFonts w:ascii="Times New Roman" w:hAnsi="Times New Roman" w:cs="Times New Roman"/>
          <w:b/>
          <w:bCs/>
          <w:sz w:val="20"/>
          <w:szCs w:val="20"/>
        </w:rPr>
        <w:t xml:space="preserve"> day</w:t>
      </w:r>
      <w:r w:rsidRPr="00AF18A3">
        <w:rPr>
          <w:rFonts w:ascii="Times New Roman" w:hAnsi="Times New Roman" w:cs="Times New Roman"/>
          <w:b/>
          <w:bCs/>
          <w:sz w:val="20"/>
          <w:szCs w:val="20"/>
          <w:vertAlign w:val="superscript"/>
        </w:rPr>
        <w:t>-1</w:t>
      </w:r>
      <w:r w:rsidRPr="00AF18A3">
        <w:rPr>
          <w:rFonts w:ascii="Times New Roman" w:hAnsi="Times New Roman" w:cs="Times New Roman"/>
          <w:b/>
          <w:bCs/>
          <w:sz w:val="20"/>
          <w:szCs w:val="20"/>
        </w:rPr>
        <w:t xml:space="preserve">) </w:t>
      </w:r>
      <w:r w:rsidRPr="00AF18A3">
        <w:rPr>
          <w:rFonts w:ascii="Times New Roman" w:hAnsi="Times New Roman" w:cs="Times New Roman"/>
          <w:b/>
          <w:bCs/>
          <w:sz w:val="20"/>
          <w:szCs w:val="20"/>
          <w:lang w:val="en-GB"/>
        </w:rPr>
        <w:t>of sweet corn as influenced by Zn and Fe biofortification</w:t>
      </w:r>
    </w:p>
    <w:tbl>
      <w:tblPr>
        <w:tblW w:w="14898" w:type="dxa"/>
        <w:tblInd w:w="-12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1"/>
        <w:gridCol w:w="2033"/>
        <w:gridCol w:w="1012"/>
        <w:gridCol w:w="881"/>
        <w:gridCol w:w="1115"/>
        <w:gridCol w:w="966"/>
        <w:gridCol w:w="881"/>
        <w:gridCol w:w="1088"/>
        <w:gridCol w:w="1028"/>
        <w:gridCol w:w="946"/>
        <w:gridCol w:w="1004"/>
        <w:gridCol w:w="1045"/>
        <w:gridCol w:w="1027"/>
        <w:gridCol w:w="1231"/>
      </w:tblGrid>
      <w:tr w:rsidR="007E0A41" w:rsidRPr="00AF18A3" w14:paraId="16505ECF" w14:textId="77777777" w:rsidTr="00701562">
        <w:trPr>
          <w:trHeight w:val="187"/>
        </w:trPr>
        <w:tc>
          <w:tcPr>
            <w:tcW w:w="641" w:type="dxa"/>
            <w:vMerge w:val="restart"/>
            <w:tcBorders>
              <w:left w:val="nil"/>
            </w:tcBorders>
            <w:noWrap/>
            <w:vAlign w:val="bottom"/>
          </w:tcPr>
          <w:p w14:paraId="40A483E5" w14:textId="77777777" w:rsidR="007E0A41" w:rsidRPr="00AF18A3" w:rsidRDefault="007E0A41" w:rsidP="00D1336B">
            <w:pPr>
              <w:spacing w:after="0" w:line="276" w:lineRule="auto"/>
              <w:jc w:val="center"/>
              <w:rPr>
                <w:rFonts w:ascii="Times New Roman" w:eastAsia="Times New Roman" w:hAnsi="Times New Roman" w:cs="Times New Roman"/>
                <w:b/>
                <w:bCs/>
                <w:color w:val="000000"/>
                <w:kern w:val="0"/>
                <w:sz w:val="20"/>
                <w:szCs w:val="20"/>
                <w:lang w:eastAsia="en-IN"/>
                <w14:ligatures w14:val="none"/>
              </w:rPr>
            </w:pPr>
          </w:p>
          <w:p w14:paraId="0264B526" w14:textId="77777777" w:rsidR="007E0A41" w:rsidRPr="00AF18A3" w:rsidRDefault="007E0A41" w:rsidP="00D1336B">
            <w:pPr>
              <w:spacing w:after="0" w:line="276" w:lineRule="auto"/>
              <w:jc w:val="center"/>
              <w:rPr>
                <w:rFonts w:ascii="Times New Roman" w:eastAsia="Times New Roman" w:hAnsi="Times New Roman" w:cs="Times New Roman"/>
                <w:b/>
                <w:bCs/>
                <w:color w:val="000000"/>
                <w:kern w:val="0"/>
                <w:sz w:val="20"/>
                <w:szCs w:val="20"/>
                <w:lang w:eastAsia="en-IN"/>
                <w14:ligatures w14:val="none"/>
              </w:rPr>
            </w:pPr>
            <w:r w:rsidRPr="00AF18A3">
              <w:rPr>
                <w:rFonts w:ascii="Times New Roman" w:eastAsia="Times New Roman" w:hAnsi="Times New Roman" w:cs="Times New Roman"/>
                <w:b/>
                <w:bCs/>
                <w:color w:val="000000"/>
                <w:kern w:val="0"/>
                <w:sz w:val="20"/>
                <w:szCs w:val="20"/>
                <w:lang w:eastAsia="en-IN"/>
                <w14:ligatures w14:val="none"/>
              </w:rPr>
              <w:t>S. No.</w:t>
            </w:r>
          </w:p>
        </w:tc>
        <w:tc>
          <w:tcPr>
            <w:tcW w:w="2033" w:type="dxa"/>
            <w:vMerge w:val="restart"/>
            <w:noWrap/>
            <w:vAlign w:val="bottom"/>
          </w:tcPr>
          <w:p w14:paraId="6C8614D2" w14:textId="77777777" w:rsidR="007E0A41" w:rsidRPr="00AF18A3" w:rsidRDefault="007E0A41" w:rsidP="00D1336B">
            <w:pPr>
              <w:spacing w:after="0" w:line="276" w:lineRule="auto"/>
              <w:jc w:val="center"/>
              <w:rPr>
                <w:rFonts w:ascii="Times New Roman" w:eastAsia="Times New Roman" w:hAnsi="Times New Roman" w:cs="Times New Roman"/>
                <w:b/>
                <w:bCs/>
                <w:color w:val="000000"/>
                <w:kern w:val="0"/>
                <w:sz w:val="20"/>
                <w:szCs w:val="20"/>
                <w:lang w:eastAsia="en-IN"/>
                <w14:ligatures w14:val="none"/>
              </w:rPr>
            </w:pPr>
          </w:p>
          <w:p w14:paraId="6ED9A7F6" w14:textId="77777777" w:rsidR="007E0A41" w:rsidRPr="00AF18A3" w:rsidRDefault="007E0A41" w:rsidP="00D1336B">
            <w:pPr>
              <w:spacing w:after="0" w:line="276" w:lineRule="auto"/>
              <w:jc w:val="center"/>
              <w:rPr>
                <w:rFonts w:ascii="Times New Roman" w:eastAsia="Times New Roman" w:hAnsi="Times New Roman" w:cs="Times New Roman"/>
                <w:b/>
                <w:bCs/>
                <w:color w:val="000000"/>
                <w:kern w:val="0"/>
                <w:sz w:val="20"/>
                <w:szCs w:val="20"/>
                <w:lang w:eastAsia="en-IN"/>
                <w14:ligatures w14:val="none"/>
              </w:rPr>
            </w:pPr>
            <w:r w:rsidRPr="00AF18A3">
              <w:rPr>
                <w:rFonts w:ascii="Times New Roman" w:eastAsia="Times New Roman" w:hAnsi="Times New Roman" w:cs="Times New Roman"/>
                <w:b/>
                <w:bCs/>
                <w:color w:val="000000"/>
                <w:kern w:val="0"/>
                <w:sz w:val="20"/>
                <w:szCs w:val="20"/>
                <w:lang w:eastAsia="en-IN"/>
                <w14:ligatures w14:val="none"/>
              </w:rPr>
              <w:t>Treatment details</w:t>
            </w:r>
          </w:p>
        </w:tc>
        <w:tc>
          <w:tcPr>
            <w:tcW w:w="5943" w:type="dxa"/>
            <w:gridSpan w:val="6"/>
            <w:noWrap/>
            <w:vAlign w:val="bottom"/>
          </w:tcPr>
          <w:p w14:paraId="2F0D79E3" w14:textId="77777777" w:rsidR="007E0A41" w:rsidRPr="00AF18A3" w:rsidRDefault="007E0A41" w:rsidP="00D1336B">
            <w:pPr>
              <w:spacing w:after="0" w:line="276" w:lineRule="auto"/>
              <w:jc w:val="center"/>
              <w:rPr>
                <w:rFonts w:ascii="Times New Roman" w:eastAsia="Times New Roman" w:hAnsi="Times New Roman" w:cs="Times New Roman"/>
                <w:b/>
                <w:bCs/>
                <w:color w:val="000000"/>
                <w:kern w:val="0"/>
                <w:sz w:val="20"/>
                <w:szCs w:val="20"/>
                <w:lang w:eastAsia="en-IN"/>
                <w14:ligatures w14:val="none"/>
              </w:rPr>
            </w:pPr>
            <w:r w:rsidRPr="00AF18A3">
              <w:rPr>
                <w:rFonts w:ascii="Times New Roman" w:eastAsia="Times New Roman" w:hAnsi="Times New Roman" w:cs="Times New Roman"/>
                <w:b/>
                <w:bCs/>
                <w:color w:val="000000"/>
                <w:kern w:val="0"/>
                <w:sz w:val="20"/>
                <w:szCs w:val="20"/>
                <w:lang w:eastAsia="en-IN"/>
                <w14:ligatures w14:val="none"/>
              </w:rPr>
              <w:t>RGR (g g</w:t>
            </w:r>
            <w:r w:rsidRPr="00AF18A3">
              <w:rPr>
                <w:rFonts w:ascii="Times New Roman" w:eastAsia="Times New Roman" w:hAnsi="Times New Roman" w:cs="Times New Roman"/>
                <w:b/>
                <w:bCs/>
                <w:color w:val="000000"/>
                <w:kern w:val="0"/>
                <w:sz w:val="20"/>
                <w:szCs w:val="20"/>
                <w:vertAlign w:val="superscript"/>
                <w:lang w:eastAsia="en-IN"/>
                <w14:ligatures w14:val="none"/>
              </w:rPr>
              <w:t>-1</w:t>
            </w:r>
            <w:r w:rsidRPr="00AF18A3">
              <w:rPr>
                <w:rFonts w:ascii="Times New Roman" w:eastAsia="Times New Roman" w:hAnsi="Times New Roman" w:cs="Times New Roman"/>
                <w:b/>
                <w:bCs/>
                <w:color w:val="000000"/>
                <w:kern w:val="0"/>
                <w:sz w:val="20"/>
                <w:szCs w:val="20"/>
                <w:lang w:eastAsia="en-IN"/>
                <w14:ligatures w14:val="none"/>
              </w:rPr>
              <w:t>day</w:t>
            </w:r>
            <w:r w:rsidRPr="00AF18A3">
              <w:rPr>
                <w:rFonts w:ascii="Times New Roman" w:eastAsia="Times New Roman" w:hAnsi="Times New Roman" w:cs="Times New Roman"/>
                <w:b/>
                <w:bCs/>
                <w:color w:val="000000"/>
                <w:kern w:val="0"/>
                <w:sz w:val="20"/>
                <w:szCs w:val="20"/>
                <w:vertAlign w:val="superscript"/>
                <w:lang w:eastAsia="en-IN"/>
                <w14:ligatures w14:val="none"/>
              </w:rPr>
              <w:t>-1</w:t>
            </w:r>
            <w:r w:rsidRPr="00AF18A3">
              <w:rPr>
                <w:rFonts w:ascii="Times New Roman" w:eastAsia="Times New Roman" w:hAnsi="Times New Roman" w:cs="Times New Roman"/>
                <w:b/>
                <w:bCs/>
                <w:color w:val="000000"/>
                <w:kern w:val="0"/>
                <w:sz w:val="20"/>
                <w:szCs w:val="20"/>
                <w:lang w:eastAsia="en-IN"/>
                <w14:ligatures w14:val="none"/>
              </w:rPr>
              <w:t>)</w:t>
            </w:r>
          </w:p>
        </w:tc>
        <w:tc>
          <w:tcPr>
            <w:tcW w:w="6281" w:type="dxa"/>
            <w:gridSpan w:val="6"/>
            <w:tcBorders>
              <w:right w:val="nil"/>
            </w:tcBorders>
            <w:noWrap/>
            <w:vAlign w:val="bottom"/>
          </w:tcPr>
          <w:p w14:paraId="3309B423" w14:textId="77777777" w:rsidR="007E0A41" w:rsidRPr="00AF18A3" w:rsidRDefault="007E0A41" w:rsidP="00D1336B">
            <w:pPr>
              <w:spacing w:after="0" w:line="276" w:lineRule="auto"/>
              <w:jc w:val="center"/>
              <w:rPr>
                <w:rFonts w:ascii="Times New Roman" w:eastAsia="Times New Roman" w:hAnsi="Times New Roman" w:cs="Times New Roman"/>
                <w:b/>
                <w:bCs/>
                <w:color w:val="000000"/>
                <w:kern w:val="0"/>
                <w:sz w:val="20"/>
                <w:szCs w:val="20"/>
                <w:lang w:eastAsia="en-IN"/>
                <w14:ligatures w14:val="none"/>
              </w:rPr>
            </w:pPr>
            <w:r w:rsidRPr="00AF18A3">
              <w:rPr>
                <w:rFonts w:ascii="Times New Roman" w:eastAsia="Times New Roman" w:hAnsi="Times New Roman" w:cs="Times New Roman"/>
                <w:b/>
                <w:bCs/>
                <w:color w:val="000000"/>
                <w:kern w:val="0"/>
                <w:sz w:val="20"/>
                <w:szCs w:val="20"/>
                <w:lang w:eastAsia="en-IN"/>
                <w14:ligatures w14:val="none"/>
              </w:rPr>
              <w:t>NAR (g m</w:t>
            </w:r>
            <w:r w:rsidRPr="00AF18A3">
              <w:rPr>
                <w:rFonts w:ascii="Times New Roman" w:eastAsia="Times New Roman" w:hAnsi="Times New Roman" w:cs="Times New Roman"/>
                <w:b/>
                <w:bCs/>
                <w:color w:val="000000"/>
                <w:kern w:val="0"/>
                <w:sz w:val="20"/>
                <w:szCs w:val="20"/>
                <w:vertAlign w:val="superscript"/>
                <w:lang w:eastAsia="en-IN"/>
                <w14:ligatures w14:val="none"/>
              </w:rPr>
              <w:t>-2</w:t>
            </w:r>
            <w:r w:rsidRPr="00AF18A3">
              <w:rPr>
                <w:rFonts w:ascii="Times New Roman" w:eastAsia="Times New Roman" w:hAnsi="Times New Roman" w:cs="Times New Roman"/>
                <w:b/>
                <w:bCs/>
                <w:color w:val="000000"/>
                <w:kern w:val="0"/>
                <w:sz w:val="20"/>
                <w:szCs w:val="20"/>
                <w:lang w:eastAsia="en-IN"/>
                <w14:ligatures w14:val="none"/>
              </w:rPr>
              <w:t>day</w:t>
            </w:r>
            <w:r w:rsidRPr="00AF18A3">
              <w:rPr>
                <w:rFonts w:ascii="Times New Roman" w:eastAsia="Times New Roman" w:hAnsi="Times New Roman" w:cs="Times New Roman"/>
                <w:b/>
                <w:bCs/>
                <w:color w:val="000000"/>
                <w:kern w:val="0"/>
                <w:sz w:val="20"/>
                <w:szCs w:val="20"/>
                <w:vertAlign w:val="superscript"/>
                <w:lang w:eastAsia="en-IN"/>
                <w14:ligatures w14:val="none"/>
              </w:rPr>
              <w:t>-1</w:t>
            </w:r>
            <w:r w:rsidRPr="00AF18A3">
              <w:rPr>
                <w:rFonts w:ascii="Times New Roman" w:eastAsia="Times New Roman" w:hAnsi="Times New Roman" w:cs="Times New Roman"/>
                <w:b/>
                <w:bCs/>
                <w:color w:val="000000"/>
                <w:kern w:val="0"/>
                <w:sz w:val="20"/>
                <w:szCs w:val="20"/>
                <w:lang w:eastAsia="en-IN"/>
                <w14:ligatures w14:val="none"/>
              </w:rPr>
              <w:t>)</w:t>
            </w:r>
          </w:p>
        </w:tc>
      </w:tr>
      <w:tr w:rsidR="007E0A41" w:rsidRPr="00AF18A3" w14:paraId="25F75CC9" w14:textId="77777777" w:rsidTr="00701562">
        <w:trPr>
          <w:trHeight w:val="187"/>
        </w:trPr>
        <w:tc>
          <w:tcPr>
            <w:tcW w:w="641" w:type="dxa"/>
            <w:vMerge/>
            <w:tcBorders>
              <w:left w:val="nil"/>
            </w:tcBorders>
            <w:noWrap/>
            <w:vAlign w:val="bottom"/>
            <w:hideMark/>
          </w:tcPr>
          <w:p w14:paraId="2451F89A" w14:textId="77777777" w:rsidR="007E0A41" w:rsidRPr="00AF18A3" w:rsidRDefault="007E0A41" w:rsidP="00D1336B">
            <w:pPr>
              <w:spacing w:after="0" w:line="276" w:lineRule="auto"/>
              <w:jc w:val="center"/>
              <w:rPr>
                <w:rFonts w:ascii="Times New Roman" w:eastAsia="Times New Roman" w:hAnsi="Times New Roman" w:cs="Times New Roman"/>
                <w:b/>
                <w:bCs/>
                <w:color w:val="000000"/>
                <w:kern w:val="0"/>
                <w:sz w:val="20"/>
                <w:szCs w:val="20"/>
                <w:lang w:eastAsia="en-IN"/>
                <w14:ligatures w14:val="none"/>
              </w:rPr>
            </w:pPr>
          </w:p>
        </w:tc>
        <w:tc>
          <w:tcPr>
            <w:tcW w:w="2033" w:type="dxa"/>
            <w:vMerge/>
            <w:noWrap/>
            <w:vAlign w:val="bottom"/>
            <w:hideMark/>
          </w:tcPr>
          <w:p w14:paraId="77BAF7C5" w14:textId="77777777" w:rsidR="007E0A41" w:rsidRPr="00AF18A3" w:rsidRDefault="007E0A41" w:rsidP="00D1336B">
            <w:pPr>
              <w:spacing w:after="0" w:line="276" w:lineRule="auto"/>
              <w:jc w:val="center"/>
              <w:rPr>
                <w:rFonts w:ascii="Times New Roman" w:eastAsia="Times New Roman" w:hAnsi="Times New Roman" w:cs="Times New Roman"/>
                <w:b/>
                <w:bCs/>
                <w:color w:val="000000"/>
                <w:kern w:val="0"/>
                <w:sz w:val="20"/>
                <w:szCs w:val="20"/>
                <w:lang w:eastAsia="en-IN"/>
                <w14:ligatures w14:val="none"/>
              </w:rPr>
            </w:pPr>
          </w:p>
        </w:tc>
        <w:tc>
          <w:tcPr>
            <w:tcW w:w="3008" w:type="dxa"/>
            <w:gridSpan w:val="3"/>
            <w:noWrap/>
            <w:vAlign w:val="bottom"/>
            <w:hideMark/>
          </w:tcPr>
          <w:p w14:paraId="5AC039E0" w14:textId="77777777" w:rsidR="007E0A41" w:rsidRPr="00AF18A3" w:rsidRDefault="007E0A41" w:rsidP="00D1336B">
            <w:pPr>
              <w:spacing w:after="0" w:line="276" w:lineRule="auto"/>
              <w:jc w:val="center"/>
              <w:rPr>
                <w:rFonts w:ascii="Times New Roman" w:eastAsia="Times New Roman" w:hAnsi="Times New Roman" w:cs="Times New Roman"/>
                <w:b/>
                <w:bCs/>
                <w:color w:val="000000"/>
                <w:kern w:val="0"/>
                <w:sz w:val="20"/>
                <w:szCs w:val="20"/>
                <w:lang w:eastAsia="en-IN"/>
                <w14:ligatures w14:val="none"/>
              </w:rPr>
            </w:pPr>
            <w:r w:rsidRPr="00AF18A3">
              <w:rPr>
                <w:rFonts w:ascii="Times New Roman" w:eastAsia="Times New Roman" w:hAnsi="Times New Roman" w:cs="Times New Roman"/>
                <w:b/>
                <w:bCs/>
                <w:color w:val="000000"/>
                <w:kern w:val="0"/>
                <w:sz w:val="20"/>
                <w:szCs w:val="20"/>
                <w:lang w:eastAsia="en-IN"/>
                <w14:ligatures w14:val="none"/>
              </w:rPr>
              <w:t>30-60 DAT</w:t>
            </w:r>
          </w:p>
        </w:tc>
        <w:tc>
          <w:tcPr>
            <w:tcW w:w="2935" w:type="dxa"/>
            <w:gridSpan w:val="3"/>
            <w:noWrap/>
            <w:vAlign w:val="bottom"/>
            <w:hideMark/>
          </w:tcPr>
          <w:p w14:paraId="1B792337" w14:textId="77777777" w:rsidR="007E0A41" w:rsidRPr="00AF18A3" w:rsidRDefault="007E0A41" w:rsidP="00D1336B">
            <w:pPr>
              <w:spacing w:after="0" w:line="276" w:lineRule="auto"/>
              <w:jc w:val="center"/>
              <w:rPr>
                <w:rFonts w:ascii="Times New Roman" w:eastAsia="Times New Roman" w:hAnsi="Times New Roman" w:cs="Times New Roman"/>
                <w:b/>
                <w:bCs/>
                <w:color w:val="000000"/>
                <w:kern w:val="0"/>
                <w:sz w:val="20"/>
                <w:szCs w:val="20"/>
                <w:lang w:eastAsia="en-IN"/>
                <w14:ligatures w14:val="none"/>
              </w:rPr>
            </w:pPr>
            <w:r w:rsidRPr="00AF18A3">
              <w:rPr>
                <w:rFonts w:ascii="Times New Roman" w:eastAsia="Times New Roman" w:hAnsi="Times New Roman" w:cs="Times New Roman"/>
                <w:b/>
                <w:bCs/>
                <w:color w:val="000000"/>
                <w:kern w:val="0"/>
                <w:sz w:val="20"/>
                <w:szCs w:val="20"/>
                <w:lang w:eastAsia="en-IN"/>
                <w14:ligatures w14:val="none"/>
              </w:rPr>
              <w:t>60-90 DAT</w:t>
            </w:r>
          </w:p>
        </w:tc>
        <w:tc>
          <w:tcPr>
            <w:tcW w:w="2978" w:type="dxa"/>
            <w:gridSpan w:val="3"/>
            <w:tcBorders>
              <w:right w:val="nil"/>
            </w:tcBorders>
            <w:noWrap/>
            <w:vAlign w:val="bottom"/>
            <w:hideMark/>
          </w:tcPr>
          <w:p w14:paraId="1148AA7C" w14:textId="77777777" w:rsidR="007E0A41" w:rsidRPr="00AF18A3" w:rsidRDefault="007E0A41" w:rsidP="00D1336B">
            <w:pPr>
              <w:spacing w:after="0" w:line="276" w:lineRule="auto"/>
              <w:jc w:val="center"/>
              <w:rPr>
                <w:rFonts w:ascii="Times New Roman" w:eastAsia="Times New Roman" w:hAnsi="Times New Roman" w:cs="Times New Roman"/>
                <w:b/>
                <w:bCs/>
                <w:color w:val="000000"/>
                <w:kern w:val="0"/>
                <w:sz w:val="20"/>
                <w:szCs w:val="20"/>
                <w:lang w:eastAsia="en-IN"/>
                <w14:ligatures w14:val="none"/>
              </w:rPr>
            </w:pPr>
            <w:r w:rsidRPr="00AF18A3">
              <w:rPr>
                <w:rFonts w:ascii="Times New Roman" w:eastAsia="Times New Roman" w:hAnsi="Times New Roman" w:cs="Times New Roman"/>
                <w:b/>
                <w:bCs/>
                <w:color w:val="000000"/>
                <w:kern w:val="0"/>
                <w:sz w:val="20"/>
                <w:szCs w:val="20"/>
                <w:lang w:eastAsia="en-IN"/>
                <w14:ligatures w14:val="none"/>
              </w:rPr>
              <w:t>30-60 DAT</w:t>
            </w:r>
          </w:p>
        </w:tc>
        <w:tc>
          <w:tcPr>
            <w:tcW w:w="3302" w:type="dxa"/>
            <w:gridSpan w:val="3"/>
            <w:tcBorders>
              <w:right w:val="nil"/>
            </w:tcBorders>
            <w:vAlign w:val="bottom"/>
          </w:tcPr>
          <w:p w14:paraId="2BC0FEAF" w14:textId="77777777" w:rsidR="007E0A41" w:rsidRPr="00AF18A3" w:rsidRDefault="007E0A41" w:rsidP="00D1336B">
            <w:pPr>
              <w:spacing w:after="0" w:line="276" w:lineRule="auto"/>
              <w:jc w:val="center"/>
              <w:rPr>
                <w:rFonts w:ascii="Times New Roman" w:eastAsia="Times New Roman" w:hAnsi="Times New Roman" w:cs="Times New Roman"/>
                <w:b/>
                <w:bCs/>
                <w:color w:val="000000"/>
                <w:kern w:val="0"/>
                <w:sz w:val="20"/>
                <w:szCs w:val="20"/>
                <w:lang w:eastAsia="en-IN"/>
                <w14:ligatures w14:val="none"/>
              </w:rPr>
            </w:pPr>
            <w:r w:rsidRPr="00AF18A3">
              <w:rPr>
                <w:rFonts w:ascii="Times New Roman" w:eastAsia="Times New Roman" w:hAnsi="Times New Roman" w:cs="Times New Roman"/>
                <w:b/>
                <w:bCs/>
                <w:color w:val="000000"/>
                <w:kern w:val="0"/>
                <w:sz w:val="20"/>
                <w:szCs w:val="20"/>
                <w:lang w:eastAsia="en-IN"/>
                <w14:ligatures w14:val="none"/>
              </w:rPr>
              <w:t>60-90 DAT</w:t>
            </w:r>
          </w:p>
        </w:tc>
      </w:tr>
      <w:tr w:rsidR="007E0A41" w:rsidRPr="00AF18A3" w14:paraId="0931AB1C" w14:textId="77777777" w:rsidTr="00701562">
        <w:trPr>
          <w:trHeight w:val="187"/>
        </w:trPr>
        <w:tc>
          <w:tcPr>
            <w:tcW w:w="641" w:type="dxa"/>
            <w:vMerge/>
            <w:tcBorders>
              <w:left w:val="nil"/>
              <w:bottom w:val="single" w:sz="4" w:space="0" w:color="auto"/>
            </w:tcBorders>
            <w:noWrap/>
            <w:vAlign w:val="bottom"/>
            <w:hideMark/>
          </w:tcPr>
          <w:p w14:paraId="1DAF635D" w14:textId="77777777" w:rsidR="007E0A41" w:rsidRPr="00AF18A3" w:rsidRDefault="007E0A41" w:rsidP="00D1336B">
            <w:pPr>
              <w:spacing w:after="0" w:line="276" w:lineRule="auto"/>
              <w:jc w:val="center"/>
              <w:rPr>
                <w:rFonts w:ascii="Times New Roman" w:eastAsia="Times New Roman" w:hAnsi="Times New Roman" w:cs="Times New Roman"/>
                <w:b/>
                <w:bCs/>
                <w:color w:val="000000"/>
                <w:kern w:val="0"/>
                <w:sz w:val="20"/>
                <w:szCs w:val="20"/>
                <w:lang w:eastAsia="en-IN"/>
                <w14:ligatures w14:val="none"/>
              </w:rPr>
            </w:pPr>
          </w:p>
        </w:tc>
        <w:tc>
          <w:tcPr>
            <w:tcW w:w="2033" w:type="dxa"/>
            <w:vMerge/>
            <w:tcBorders>
              <w:bottom w:val="single" w:sz="4" w:space="0" w:color="auto"/>
            </w:tcBorders>
            <w:noWrap/>
            <w:vAlign w:val="bottom"/>
            <w:hideMark/>
          </w:tcPr>
          <w:p w14:paraId="6C83A02E" w14:textId="77777777" w:rsidR="007E0A41" w:rsidRPr="00AF18A3" w:rsidRDefault="007E0A41" w:rsidP="00D1336B">
            <w:pPr>
              <w:spacing w:after="0" w:line="276" w:lineRule="auto"/>
              <w:jc w:val="center"/>
              <w:rPr>
                <w:rFonts w:ascii="Times New Roman" w:eastAsia="Times New Roman" w:hAnsi="Times New Roman" w:cs="Times New Roman"/>
                <w:b/>
                <w:bCs/>
                <w:color w:val="000000"/>
                <w:kern w:val="0"/>
                <w:sz w:val="20"/>
                <w:szCs w:val="20"/>
                <w:lang w:eastAsia="en-IN"/>
                <w14:ligatures w14:val="none"/>
              </w:rPr>
            </w:pPr>
          </w:p>
        </w:tc>
        <w:tc>
          <w:tcPr>
            <w:tcW w:w="1012" w:type="dxa"/>
            <w:tcBorders>
              <w:bottom w:val="single" w:sz="4" w:space="0" w:color="auto"/>
            </w:tcBorders>
            <w:noWrap/>
            <w:vAlign w:val="bottom"/>
            <w:hideMark/>
          </w:tcPr>
          <w:p w14:paraId="10A4E3CC" w14:textId="77777777" w:rsidR="007E0A41" w:rsidRPr="00AF18A3" w:rsidRDefault="007E0A41" w:rsidP="00D1336B">
            <w:pPr>
              <w:spacing w:after="0" w:line="276" w:lineRule="auto"/>
              <w:jc w:val="center"/>
              <w:rPr>
                <w:rFonts w:ascii="Times New Roman" w:eastAsia="Times New Roman" w:hAnsi="Times New Roman" w:cs="Times New Roman"/>
                <w:b/>
                <w:bCs/>
                <w:color w:val="000000"/>
                <w:kern w:val="0"/>
                <w:sz w:val="20"/>
                <w:szCs w:val="20"/>
                <w:lang w:eastAsia="en-IN"/>
                <w14:ligatures w14:val="none"/>
              </w:rPr>
            </w:pPr>
            <w:r w:rsidRPr="00AF18A3">
              <w:rPr>
                <w:rFonts w:ascii="Times New Roman" w:eastAsia="Times New Roman" w:hAnsi="Times New Roman" w:cs="Times New Roman"/>
                <w:b/>
                <w:bCs/>
                <w:color w:val="000000"/>
                <w:kern w:val="0"/>
                <w:sz w:val="20"/>
                <w:szCs w:val="20"/>
                <w:lang w:eastAsia="en-IN"/>
                <w14:ligatures w14:val="none"/>
              </w:rPr>
              <w:t>2024</w:t>
            </w:r>
          </w:p>
        </w:tc>
        <w:tc>
          <w:tcPr>
            <w:tcW w:w="881" w:type="dxa"/>
            <w:tcBorders>
              <w:bottom w:val="single" w:sz="4" w:space="0" w:color="auto"/>
            </w:tcBorders>
            <w:noWrap/>
            <w:vAlign w:val="bottom"/>
            <w:hideMark/>
          </w:tcPr>
          <w:p w14:paraId="20C3CFEB" w14:textId="77777777" w:rsidR="007E0A41" w:rsidRPr="00AF18A3" w:rsidRDefault="007E0A41" w:rsidP="00D1336B">
            <w:pPr>
              <w:spacing w:after="0" w:line="276" w:lineRule="auto"/>
              <w:jc w:val="center"/>
              <w:rPr>
                <w:rFonts w:ascii="Times New Roman" w:eastAsia="Times New Roman" w:hAnsi="Times New Roman" w:cs="Times New Roman"/>
                <w:b/>
                <w:bCs/>
                <w:color w:val="000000"/>
                <w:kern w:val="0"/>
                <w:sz w:val="20"/>
                <w:szCs w:val="20"/>
                <w:lang w:eastAsia="en-IN"/>
                <w14:ligatures w14:val="none"/>
              </w:rPr>
            </w:pPr>
            <w:r w:rsidRPr="00AF18A3">
              <w:rPr>
                <w:rFonts w:ascii="Times New Roman" w:eastAsia="Times New Roman" w:hAnsi="Times New Roman" w:cs="Times New Roman"/>
                <w:b/>
                <w:bCs/>
                <w:color w:val="000000"/>
                <w:kern w:val="0"/>
                <w:sz w:val="20"/>
                <w:szCs w:val="20"/>
                <w:lang w:eastAsia="en-IN"/>
                <w14:ligatures w14:val="none"/>
              </w:rPr>
              <w:t>2025</w:t>
            </w:r>
          </w:p>
        </w:tc>
        <w:tc>
          <w:tcPr>
            <w:tcW w:w="1114" w:type="dxa"/>
            <w:tcBorders>
              <w:bottom w:val="single" w:sz="4" w:space="0" w:color="auto"/>
            </w:tcBorders>
          </w:tcPr>
          <w:p w14:paraId="130C36CD" w14:textId="77777777" w:rsidR="007E0A41" w:rsidRPr="00AF18A3" w:rsidRDefault="007E0A41" w:rsidP="00D1336B">
            <w:pPr>
              <w:spacing w:after="0" w:line="276" w:lineRule="auto"/>
              <w:jc w:val="center"/>
              <w:rPr>
                <w:rFonts w:ascii="Times New Roman" w:eastAsia="Times New Roman" w:hAnsi="Times New Roman" w:cs="Times New Roman"/>
                <w:b/>
                <w:bCs/>
                <w:color w:val="000000"/>
                <w:kern w:val="0"/>
                <w:sz w:val="20"/>
                <w:szCs w:val="20"/>
                <w:lang w:eastAsia="en-IN"/>
                <w14:ligatures w14:val="none"/>
              </w:rPr>
            </w:pPr>
            <w:r w:rsidRPr="00AF18A3">
              <w:rPr>
                <w:rFonts w:ascii="Times New Roman" w:eastAsia="Times New Roman" w:hAnsi="Times New Roman" w:cs="Times New Roman"/>
                <w:b/>
                <w:bCs/>
                <w:color w:val="000000"/>
                <w:kern w:val="0"/>
                <w:sz w:val="20"/>
                <w:szCs w:val="20"/>
                <w:lang w:eastAsia="en-IN"/>
                <w14:ligatures w14:val="none"/>
              </w:rPr>
              <w:t>Pooled</w:t>
            </w:r>
          </w:p>
        </w:tc>
        <w:tc>
          <w:tcPr>
            <w:tcW w:w="966" w:type="dxa"/>
            <w:tcBorders>
              <w:bottom w:val="single" w:sz="4" w:space="0" w:color="auto"/>
            </w:tcBorders>
            <w:noWrap/>
            <w:vAlign w:val="bottom"/>
            <w:hideMark/>
          </w:tcPr>
          <w:p w14:paraId="569F1470" w14:textId="77777777" w:rsidR="007E0A41" w:rsidRPr="00AF18A3" w:rsidRDefault="007E0A41" w:rsidP="00D1336B">
            <w:pPr>
              <w:spacing w:after="0" w:line="276" w:lineRule="auto"/>
              <w:jc w:val="center"/>
              <w:rPr>
                <w:rFonts w:ascii="Times New Roman" w:eastAsia="Times New Roman" w:hAnsi="Times New Roman" w:cs="Times New Roman"/>
                <w:b/>
                <w:bCs/>
                <w:color w:val="000000"/>
                <w:kern w:val="0"/>
                <w:sz w:val="20"/>
                <w:szCs w:val="20"/>
                <w:lang w:eastAsia="en-IN"/>
                <w14:ligatures w14:val="none"/>
              </w:rPr>
            </w:pPr>
            <w:r w:rsidRPr="00AF18A3">
              <w:rPr>
                <w:rFonts w:ascii="Times New Roman" w:eastAsia="Times New Roman" w:hAnsi="Times New Roman" w:cs="Times New Roman"/>
                <w:b/>
                <w:bCs/>
                <w:color w:val="000000"/>
                <w:kern w:val="0"/>
                <w:sz w:val="20"/>
                <w:szCs w:val="20"/>
                <w:lang w:eastAsia="en-IN"/>
                <w14:ligatures w14:val="none"/>
              </w:rPr>
              <w:t>2024</w:t>
            </w:r>
          </w:p>
        </w:tc>
        <w:tc>
          <w:tcPr>
            <w:tcW w:w="881" w:type="dxa"/>
            <w:tcBorders>
              <w:bottom w:val="single" w:sz="4" w:space="0" w:color="auto"/>
            </w:tcBorders>
            <w:noWrap/>
            <w:vAlign w:val="bottom"/>
            <w:hideMark/>
          </w:tcPr>
          <w:p w14:paraId="2FDFEED8" w14:textId="77777777" w:rsidR="007E0A41" w:rsidRPr="00AF18A3" w:rsidRDefault="007E0A41" w:rsidP="00D1336B">
            <w:pPr>
              <w:spacing w:after="0" w:line="276" w:lineRule="auto"/>
              <w:jc w:val="center"/>
              <w:rPr>
                <w:rFonts w:ascii="Times New Roman" w:eastAsia="Times New Roman" w:hAnsi="Times New Roman" w:cs="Times New Roman"/>
                <w:b/>
                <w:bCs/>
                <w:color w:val="000000"/>
                <w:kern w:val="0"/>
                <w:sz w:val="20"/>
                <w:szCs w:val="20"/>
                <w:lang w:eastAsia="en-IN"/>
                <w14:ligatures w14:val="none"/>
              </w:rPr>
            </w:pPr>
            <w:r w:rsidRPr="00AF18A3">
              <w:rPr>
                <w:rFonts w:ascii="Times New Roman" w:eastAsia="Times New Roman" w:hAnsi="Times New Roman" w:cs="Times New Roman"/>
                <w:b/>
                <w:bCs/>
                <w:color w:val="000000"/>
                <w:kern w:val="0"/>
                <w:sz w:val="20"/>
                <w:szCs w:val="20"/>
                <w:lang w:eastAsia="en-IN"/>
                <w14:ligatures w14:val="none"/>
              </w:rPr>
              <w:t>2025</w:t>
            </w:r>
          </w:p>
        </w:tc>
        <w:tc>
          <w:tcPr>
            <w:tcW w:w="1087" w:type="dxa"/>
            <w:tcBorders>
              <w:bottom w:val="single" w:sz="4" w:space="0" w:color="auto"/>
            </w:tcBorders>
          </w:tcPr>
          <w:p w14:paraId="3CDAAC5C" w14:textId="77777777" w:rsidR="007E0A41" w:rsidRPr="00AF18A3" w:rsidRDefault="007E0A41" w:rsidP="00D1336B">
            <w:pPr>
              <w:spacing w:after="0" w:line="276" w:lineRule="auto"/>
              <w:jc w:val="center"/>
              <w:rPr>
                <w:rFonts w:ascii="Times New Roman" w:eastAsia="Times New Roman" w:hAnsi="Times New Roman" w:cs="Times New Roman"/>
                <w:b/>
                <w:bCs/>
                <w:color w:val="000000"/>
                <w:kern w:val="0"/>
                <w:sz w:val="20"/>
                <w:szCs w:val="20"/>
                <w:lang w:eastAsia="en-IN"/>
                <w14:ligatures w14:val="none"/>
              </w:rPr>
            </w:pPr>
            <w:r w:rsidRPr="00AF18A3">
              <w:rPr>
                <w:rFonts w:ascii="Times New Roman" w:eastAsia="Times New Roman" w:hAnsi="Times New Roman" w:cs="Times New Roman"/>
                <w:b/>
                <w:bCs/>
                <w:color w:val="000000"/>
                <w:kern w:val="0"/>
                <w:sz w:val="20"/>
                <w:szCs w:val="20"/>
                <w:lang w:eastAsia="en-IN"/>
                <w14:ligatures w14:val="none"/>
              </w:rPr>
              <w:t>Pooled</w:t>
            </w:r>
          </w:p>
        </w:tc>
        <w:tc>
          <w:tcPr>
            <w:tcW w:w="1028" w:type="dxa"/>
            <w:tcBorders>
              <w:bottom w:val="single" w:sz="4" w:space="0" w:color="auto"/>
            </w:tcBorders>
            <w:noWrap/>
            <w:vAlign w:val="bottom"/>
            <w:hideMark/>
          </w:tcPr>
          <w:p w14:paraId="2C1321BC" w14:textId="77777777" w:rsidR="007E0A41" w:rsidRPr="00AF18A3" w:rsidRDefault="007E0A41" w:rsidP="00D1336B">
            <w:pPr>
              <w:spacing w:after="0" w:line="276" w:lineRule="auto"/>
              <w:jc w:val="center"/>
              <w:rPr>
                <w:rFonts w:ascii="Times New Roman" w:eastAsia="Times New Roman" w:hAnsi="Times New Roman" w:cs="Times New Roman"/>
                <w:b/>
                <w:bCs/>
                <w:color w:val="000000"/>
                <w:kern w:val="0"/>
                <w:sz w:val="20"/>
                <w:szCs w:val="20"/>
                <w:lang w:eastAsia="en-IN"/>
                <w14:ligatures w14:val="none"/>
              </w:rPr>
            </w:pPr>
            <w:r w:rsidRPr="00AF18A3">
              <w:rPr>
                <w:rFonts w:ascii="Times New Roman" w:eastAsia="Times New Roman" w:hAnsi="Times New Roman" w:cs="Times New Roman"/>
                <w:b/>
                <w:bCs/>
                <w:color w:val="000000"/>
                <w:kern w:val="0"/>
                <w:sz w:val="20"/>
                <w:szCs w:val="20"/>
                <w:lang w:eastAsia="en-IN"/>
                <w14:ligatures w14:val="none"/>
              </w:rPr>
              <w:t>2024</w:t>
            </w:r>
          </w:p>
        </w:tc>
        <w:tc>
          <w:tcPr>
            <w:tcW w:w="946" w:type="dxa"/>
            <w:tcBorders>
              <w:bottom w:val="single" w:sz="4" w:space="0" w:color="auto"/>
            </w:tcBorders>
            <w:noWrap/>
            <w:vAlign w:val="bottom"/>
            <w:hideMark/>
          </w:tcPr>
          <w:p w14:paraId="7501FABE" w14:textId="77777777" w:rsidR="007E0A41" w:rsidRPr="00AF18A3" w:rsidRDefault="007E0A41" w:rsidP="00D1336B">
            <w:pPr>
              <w:spacing w:after="0" w:line="276" w:lineRule="auto"/>
              <w:jc w:val="center"/>
              <w:rPr>
                <w:rFonts w:ascii="Times New Roman" w:eastAsia="Times New Roman" w:hAnsi="Times New Roman" w:cs="Times New Roman"/>
                <w:b/>
                <w:bCs/>
                <w:color w:val="000000"/>
                <w:kern w:val="0"/>
                <w:sz w:val="20"/>
                <w:szCs w:val="20"/>
                <w:lang w:eastAsia="en-IN"/>
                <w14:ligatures w14:val="none"/>
              </w:rPr>
            </w:pPr>
            <w:r w:rsidRPr="00AF18A3">
              <w:rPr>
                <w:rFonts w:ascii="Times New Roman" w:eastAsia="Times New Roman" w:hAnsi="Times New Roman" w:cs="Times New Roman"/>
                <w:b/>
                <w:bCs/>
                <w:color w:val="000000"/>
                <w:kern w:val="0"/>
                <w:sz w:val="20"/>
                <w:szCs w:val="20"/>
                <w:lang w:eastAsia="en-IN"/>
                <w14:ligatures w14:val="none"/>
              </w:rPr>
              <w:t>2025</w:t>
            </w:r>
          </w:p>
        </w:tc>
        <w:tc>
          <w:tcPr>
            <w:tcW w:w="1004" w:type="dxa"/>
            <w:tcBorders>
              <w:bottom w:val="single" w:sz="4" w:space="0" w:color="auto"/>
              <w:right w:val="nil"/>
            </w:tcBorders>
          </w:tcPr>
          <w:p w14:paraId="67FD35DE" w14:textId="77777777" w:rsidR="007E0A41" w:rsidRPr="00AF18A3" w:rsidRDefault="007E0A41" w:rsidP="00D1336B">
            <w:pPr>
              <w:spacing w:after="0" w:line="276" w:lineRule="auto"/>
              <w:jc w:val="center"/>
              <w:rPr>
                <w:rFonts w:ascii="Times New Roman" w:eastAsia="Times New Roman" w:hAnsi="Times New Roman" w:cs="Times New Roman"/>
                <w:b/>
                <w:bCs/>
                <w:color w:val="000000"/>
                <w:kern w:val="0"/>
                <w:sz w:val="20"/>
                <w:szCs w:val="20"/>
                <w:lang w:eastAsia="en-IN"/>
                <w14:ligatures w14:val="none"/>
              </w:rPr>
            </w:pPr>
            <w:r w:rsidRPr="00AF18A3">
              <w:rPr>
                <w:rFonts w:ascii="Times New Roman" w:eastAsia="Times New Roman" w:hAnsi="Times New Roman" w:cs="Times New Roman"/>
                <w:b/>
                <w:bCs/>
                <w:color w:val="000000"/>
                <w:kern w:val="0"/>
                <w:sz w:val="20"/>
                <w:szCs w:val="20"/>
                <w:lang w:eastAsia="en-IN"/>
                <w14:ligatures w14:val="none"/>
              </w:rPr>
              <w:t>Pooled</w:t>
            </w:r>
          </w:p>
        </w:tc>
        <w:tc>
          <w:tcPr>
            <w:tcW w:w="1045" w:type="dxa"/>
            <w:tcBorders>
              <w:bottom w:val="single" w:sz="4" w:space="0" w:color="auto"/>
              <w:right w:val="nil"/>
            </w:tcBorders>
            <w:vAlign w:val="bottom"/>
          </w:tcPr>
          <w:p w14:paraId="780886BF" w14:textId="77777777" w:rsidR="007E0A41" w:rsidRPr="00AF18A3" w:rsidRDefault="007E0A41" w:rsidP="00D1336B">
            <w:pPr>
              <w:spacing w:after="0" w:line="276" w:lineRule="auto"/>
              <w:jc w:val="center"/>
              <w:rPr>
                <w:rFonts w:ascii="Times New Roman" w:eastAsia="Times New Roman" w:hAnsi="Times New Roman" w:cs="Times New Roman"/>
                <w:b/>
                <w:bCs/>
                <w:color w:val="000000"/>
                <w:kern w:val="0"/>
                <w:sz w:val="20"/>
                <w:szCs w:val="20"/>
                <w:lang w:eastAsia="en-IN"/>
                <w14:ligatures w14:val="none"/>
              </w:rPr>
            </w:pPr>
            <w:r w:rsidRPr="00AF18A3">
              <w:rPr>
                <w:rFonts w:ascii="Times New Roman" w:eastAsia="Times New Roman" w:hAnsi="Times New Roman" w:cs="Times New Roman"/>
                <w:b/>
                <w:bCs/>
                <w:color w:val="000000"/>
                <w:kern w:val="0"/>
                <w:sz w:val="20"/>
                <w:szCs w:val="20"/>
                <w:lang w:eastAsia="en-IN"/>
                <w14:ligatures w14:val="none"/>
              </w:rPr>
              <w:t>2024</w:t>
            </w:r>
          </w:p>
        </w:tc>
        <w:tc>
          <w:tcPr>
            <w:tcW w:w="1027" w:type="dxa"/>
            <w:tcBorders>
              <w:bottom w:val="single" w:sz="4" w:space="0" w:color="auto"/>
              <w:right w:val="nil"/>
            </w:tcBorders>
            <w:vAlign w:val="bottom"/>
          </w:tcPr>
          <w:p w14:paraId="7A264C50" w14:textId="77777777" w:rsidR="007E0A41" w:rsidRPr="00AF18A3" w:rsidRDefault="007E0A41" w:rsidP="00D1336B">
            <w:pPr>
              <w:spacing w:after="0" w:line="276" w:lineRule="auto"/>
              <w:jc w:val="center"/>
              <w:rPr>
                <w:rFonts w:ascii="Times New Roman" w:eastAsia="Times New Roman" w:hAnsi="Times New Roman" w:cs="Times New Roman"/>
                <w:b/>
                <w:bCs/>
                <w:color w:val="000000"/>
                <w:kern w:val="0"/>
                <w:sz w:val="20"/>
                <w:szCs w:val="20"/>
                <w:lang w:eastAsia="en-IN"/>
                <w14:ligatures w14:val="none"/>
              </w:rPr>
            </w:pPr>
            <w:r w:rsidRPr="00AF18A3">
              <w:rPr>
                <w:rFonts w:ascii="Times New Roman" w:eastAsia="Times New Roman" w:hAnsi="Times New Roman" w:cs="Times New Roman"/>
                <w:b/>
                <w:bCs/>
                <w:color w:val="000000"/>
                <w:kern w:val="0"/>
                <w:sz w:val="20"/>
                <w:szCs w:val="20"/>
                <w:lang w:eastAsia="en-IN"/>
                <w14:ligatures w14:val="none"/>
              </w:rPr>
              <w:t>2025</w:t>
            </w:r>
          </w:p>
        </w:tc>
        <w:tc>
          <w:tcPr>
            <w:tcW w:w="1230" w:type="dxa"/>
            <w:tcBorders>
              <w:bottom w:val="single" w:sz="4" w:space="0" w:color="auto"/>
              <w:right w:val="nil"/>
            </w:tcBorders>
          </w:tcPr>
          <w:p w14:paraId="2A4A8DE1" w14:textId="77777777" w:rsidR="007E0A41" w:rsidRPr="00AF18A3" w:rsidRDefault="007E0A41" w:rsidP="00D1336B">
            <w:pPr>
              <w:spacing w:after="0" w:line="276" w:lineRule="auto"/>
              <w:jc w:val="center"/>
              <w:rPr>
                <w:rFonts w:ascii="Times New Roman" w:eastAsia="Times New Roman" w:hAnsi="Times New Roman" w:cs="Times New Roman"/>
                <w:b/>
                <w:bCs/>
                <w:color w:val="000000"/>
                <w:kern w:val="0"/>
                <w:sz w:val="20"/>
                <w:szCs w:val="20"/>
                <w:lang w:eastAsia="en-IN"/>
                <w14:ligatures w14:val="none"/>
              </w:rPr>
            </w:pPr>
            <w:r w:rsidRPr="00AF18A3">
              <w:rPr>
                <w:rFonts w:ascii="Times New Roman" w:eastAsia="Times New Roman" w:hAnsi="Times New Roman" w:cs="Times New Roman"/>
                <w:b/>
                <w:bCs/>
                <w:color w:val="000000"/>
                <w:kern w:val="0"/>
                <w:sz w:val="20"/>
                <w:szCs w:val="20"/>
                <w:lang w:eastAsia="en-IN"/>
                <w14:ligatures w14:val="none"/>
              </w:rPr>
              <w:t>Pooled</w:t>
            </w:r>
          </w:p>
        </w:tc>
      </w:tr>
      <w:tr w:rsidR="007E0A41" w:rsidRPr="00AF18A3" w14:paraId="1EF63F80" w14:textId="77777777" w:rsidTr="00701562">
        <w:trPr>
          <w:trHeight w:val="187"/>
        </w:trPr>
        <w:tc>
          <w:tcPr>
            <w:tcW w:w="641" w:type="dxa"/>
            <w:tcBorders>
              <w:top w:val="single" w:sz="4" w:space="0" w:color="auto"/>
              <w:left w:val="nil"/>
              <w:bottom w:val="nil"/>
              <w:right w:val="nil"/>
            </w:tcBorders>
            <w:noWrap/>
            <w:hideMark/>
          </w:tcPr>
          <w:p w14:paraId="517E17C1"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lang w:eastAsia="en-IN"/>
                <w14:ligatures w14:val="none"/>
              </w:rPr>
            </w:pPr>
            <w:r w:rsidRPr="00AF18A3">
              <w:rPr>
                <w:rFonts w:ascii="Times New Roman" w:hAnsi="Times New Roman" w:cs="Times New Roman"/>
                <w:sz w:val="20"/>
                <w:szCs w:val="20"/>
              </w:rPr>
              <w:t>T</w:t>
            </w:r>
            <w:r w:rsidRPr="00AF18A3">
              <w:rPr>
                <w:rFonts w:ascii="Times New Roman" w:hAnsi="Times New Roman" w:cs="Times New Roman"/>
                <w:sz w:val="20"/>
                <w:szCs w:val="20"/>
                <w:vertAlign w:val="subscript"/>
              </w:rPr>
              <w:t>1</w:t>
            </w:r>
          </w:p>
        </w:tc>
        <w:tc>
          <w:tcPr>
            <w:tcW w:w="2033" w:type="dxa"/>
            <w:tcBorders>
              <w:top w:val="single" w:sz="4" w:space="0" w:color="auto"/>
              <w:left w:val="nil"/>
              <w:bottom w:val="nil"/>
              <w:right w:val="nil"/>
            </w:tcBorders>
            <w:vAlign w:val="center"/>
            <w:hideMark/>
          </w:tcPr>
          <w:p w14:paraId="6D6224FF"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lang w:eastAsia="en-IN"/>
                <w14:ligatures w14:val="none"/>
              </w:rPr>
            </w:pPr>
            <w:r w:rsidRPr="00AF18A3">
              <w:rPr>
                <w:rFonts w:ascii="Times New Roman" w:eastAsia="Times New Roman" w:hAnsi="Times New Roman" w:cs="Times New Roman"/>
                <w:color w:val="000000"/>
                <w:kern w:val="0"/>
                <w:sz w:val="20"/>
                <w:szCs w:val="20"/>
                <w:lang w:eastAsia="en-IN"/>
                <w14:ligatures w14:val="none"/>
              </w:rPr>
              <w:t>Control (RDF)</w:t>
            </w:r>
          </w:p>
        </w:tc>
        <w:tc>
          <w:tcPr>
            <w:tcW w:w="1012" w:type="dxa"/>
            <w:tcBorders>
              <w:top w:val="single" w:sz="4" w:space="0" w:color="auto"/>
              <w:left w:val="nil"/>
              <w:bottom w:val="nil"/>
              <w:right w:val="nil"/>
            </w:tcBorders>
            <w:noWrap/>
            <w:vAlign w:val="bottom"/>
            <w:hideMark/>
          </w:tcPr>
          <w:p w14:paraId="69323B54"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lang w:eastAsia="en-IN"/>
                <w14:ligatures w14:val="none"/>
              </w:rPr>
            </w:pPr>
            <w:r w:rsidRPr="00AF18A3">
              <w:rPr>
                <w:rFonts w:ascii="Times New Roman" w:hAnsi="Times New Roman" w:cs="Times New Roman"/>
                <w:color w:val="000000"/>
                <w:sz w:val="20"/>
                <w:szCs w:val="20"/>
              </w:rPr>
              <w:t>0.0831</w:t>
            </w:r>
          </w:p>
        </w:tc>
        <w:tc>
          <w:tcPr>
            <w:tcW w:w="881" w:type="dxa"/>
            <w:tcBorders>
              <w:top w:val="single" w:sz="4" w:space="0" w:color="auto"/>
              <w:left w:val="nil"/>
              <w:bottom w:val="nil"/>
              <w:right w:val="nil"/>
            </w:tcBorders>
            <w:noWrap/>
            <w:vAlign w:val="bottom"/>
            <w:hideMark/>
          </w:tcPr>
          <w:p w14:paraId="471AE68C"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lang w:eastAsia="en-IN"/>
                <w14:ligatures w14:val="none"/>
              </w:rPr>
            </w:pPr>
            <w:r w:rsidRPr="00AF18A3">
              <w:rPr>
                <w:rFonts w:ascii="Times New Roman" w:hAnsi="Times New Roman" w:cs="Times New Roman"/>
                <w:color w:val="000000"/>
                <w:sz w:val="20"/>
                <w:szCs w:val="20"/>
              </w:rPr>
              <w:t>0.0831</w:t>
            </w:r>
          </w:p>
        </w:tc>
        <w:tc>
          <w:tcPr>
            <w:tcW w:w="1114" w:type="dxa"/>
            <w:tcBorders>
              <w:top w:val="single" w:sz="4" w:space="0" w:color="auto"/>
              <w:left w:val="nil"/>
              <w:bottom w:val="nil"/>
              <w:right w:val="nil"/>
            </w:tcBorders>
            <w:vAlign w:val="bottom"/>
          </w:tcPr>
          <w:p w14:paraId="6E0B6B50"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vertAlign w:val="superscript"/>
                <w:lang w:eastAsia="en-IN"/>
                <w14:ligatures w14:val="none"/>
              </w:rPr>
            </w:pPr>
            <w:r w:rsidRPr="00AF18A3">
              <w:rPr>
                <w:rFonts w:ascii="Times New Roman" w:hAnsi="Times New Roman" w:cs="Times New Roman"/>
                <w:color w:val="000000"/>
                <w:sz w:val="20"/>
                <w:szCs w:val="20"/>
              </w:rPr>
              <w:t>0.0830</w:t>
            </w:r>
          </w:p>
        </w:tc>
        <w:tc>
          <w:tcPr>
            <w:tcW w:w="966" w:type="dxa"/>
            <w:tcBorders>
              <w:top w:val="single" w:sz="4" w:space="0" w:color="auto"/>
              <w:left w:val="nil"/>
              <w:bottom w:val="nil"/>
              <w:right w:val="nil"/>
            </w:tcBorders>
            <w:noWrap/>
            <w:vAlign w:val="bottom"/>
            <w:hideMark/>
          </w:tcPr>
          <w:p w14:paraId="4720CFD4"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lang w:eastAsia="en-IN"/>
                <w14:ligatures w14:val="none"/>
              </w:rPr>
            </w:pPr>
            <w:r w:rsidRPr="00AF18A3">
              <w:rPr>
                <w:rFonts w:ascii="Times New Roman" w:hAnsi="Times New Roman" w:cs="Times New Roman"/>
                <w:color w:val="000000"/>
                <w:sz w:val="20"/>
                <w:szCs w:val="20"/>
              </w:rPr>
              <w:t>0.0164</w:t>
            </w:r>
          </w:p>
        </w:tc>
        <w:tc>
          <w:tcPr>
            <w:tcW w:w="881" w:type="dxa"/>
            <w:tcBorders>
              <w:top w:val="single" w:sz="4" w:space="0" w:color="auto"/>
              <w:left w:val="nil"/>
              <w:bottom w:val="nil"/>
              <w:right w:val="nil"/>
            </w:tcBorders>
            <w:noWrap/>
            <w:vAlign w:val="bottom"/>
            <w:hideMark/>
          </w:tcPr>
          <w:p w14:paraId="50D1C3EB"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lang w:eastAsia="en-IN"/>
                <w14:ligatures w14:val="none"/>
              </w:rPr>
            </w:pPr>
            <w:r w:rsidRPr="00AF18A3">
              <w:rPr>
                <w:rFonts w:ascii="Times New Roman" w:hAnsi="Times New Roman" w:cs="Times New Roman"/>
                <w:color w:val="000000"/>
                <w:sz w:val="20"/>
                <w:szCs w:val="20"/>
              </w:rPr>
              <w:t>0.0177</w:t>
            </w:r>
          </w:p>
        </w:tc>
        <w:tc>
          <w:tcPr>
            <w:tcW w:w="1087" w:type="dxa"/>
            <w:tcBorders>
              <w:top w:val="single" w:sz="4" w:space="0" w:color="auto"/>
              <w:left w:val="nil"/>
              <w:bottom w:val="nil"/>
              <w:right w:val="nil"/>
            </w:tcBorders>
            <w:vAlign w:val="bottom"/>
          </w:tcPr>
          <w:p w14:paraId="1A55E84A"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vertAlign w:val="superscript"/>
                <w:lang w:eastAsia="en-IN"/>
                <w14:ligatures w14:val="none"/>
              </w:rPr>
            </w:pPr>
            <w:r w:rsidRPr="00AF18A3">
              <w:rPr>
                <w:rFonts w:ascii="Times New Roman" w:hAnsi="Times New Roman" w:cs="Times New Roman"/>
                <w:color w:val="000000"/>
                <w:sz w:val="20"/>
                <w:szCs w:val="20"/>
              </w:rPr>
              <w:t>0.0170</w:t>
            </w:r>
          </w:p>
        </w:tc>
        <w:tc>
          <w:tcPr>
            <w:tcW w:w="1028" w:type="dxa"/>
            <w:tcBorders>
              <w:top w:val="single" w:sz="4" w:space="0" w:color="auto"/>
              <w:left w:val="nil"/>
              <w:bottom w:val="nil"/>
              <w:right w:val="nil"/>
            </w:tcBorders>
            <w:noWrap/>
            <w:vAlign w:val="bottom"/>
            <w:hideMark/>
          </w:tcPr>
          <w:p w14:paraId="6CBD1128"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lang w:eastAsia="en-IN"/>
                <w14:ligatures w14:val="none"/>
              </w:rPr>
            </w:pPr>
            <w:r w:rsidRPr="00AF18A3">
              <w:rPr>
                <w:rFonts w:ascii="Times New Roman" w:hAnsi="Times New Roman" w:cs="Times New Roman"/>
                <w:color w:val="000000"/>
                <w:sz w:val="20"/>
                <w:szCs w:val="20"/>
              </w:rPr>
              <w:t>0.3666</w:t>
            </w:r>
          </w:p>
        </w:tc>
        <w:tc>
          <w:tcPr>
            <w:tcW w:w="946" w:type="dxa"/>
            <w:tcBorders>
              <w:top w:val="single" w:sz="4" w:space="0" w:color="auto"/>
              <w:left w:val="nil"/>
              <w:bottom w:val="nil"/>
              <w:right w:val="nil"/>
            </w:tcBorders>
            <w:noWrap/>
            <w:vAlign w:val="bottom"/>
            <w:hideMark/>
          </w:tcPr>
          <w:p w14:paraId="2C48272A"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lang w:eastAsia="en-IN"/>
                <w14:ligatures w14:val="none"/>
              </w:rPr>
            </w:pPr>
            <w:r w:rsidRPr="00AF18A3">
              <w:rPr>
                <w:rFonts w:ascii="Times New Roman" w:hAnsi="Times New Roman" w:cs="Times New Roman"/>
                <w:color w:val="000000"/>
                <w:sz w:val="20"/>
                <w:szCs w:val="20"/>
              </w:rPr>
              <w:t>0.3926</w:t>
            </w:r>
          </w:p>
        </w:tc>
        <w:tc>
          <w:tcPr>
            <w:tcW w:w="1004" w:type="dxa"/>
            <w:tcBorders>
              <w:top w:val="single" w:sz="4" w:space="0" w:color="auto"/>
              <w:left w:val="nil"/>
              <w:bottom w:val="nil"/>
              <w:right w:val="nil"/>
            </w:tcBorders>
            <w:vAlign w:val="bottom"/>
          </w:tcPr>
          <w:p w14:paraId="67134501"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vertAlign w:val="superscript"/>
                <w:lang w:eastAsia="en-IN"/>
                <w14:ligatures w14:val="none"/>
              </w:rPr>
            </w:pPr>
            <w:r w:rsidRPr="00AF18A3">
              <w:rPr>
                <w:rFonts w:ascii="Times New Roman" w:hAnsi="Times New Roman" w:cs="Times New Roman"/>
                <w:color w:val="000000"/>
                <w:sz w:val="20"/>
                <w:szCs w:val="20"/>
              </w:rPr>
              <w:t>0.3796</w:t>
            </w:r>
          </w:p>
        </w:tc>
        <w:tc>
          <w:tcPr>
            <w:tcW w:w="1045" w:type="dxa"/>
            <w:tcBorders>
              <w:top w:val="single" w:sz="4" w:space="0" w:color="auto"/>
              <w:left w:val="nil"/>
              <w:bottom w:val="nil"/>
              <w:right w:val="nil"/>
            </w:tcBorders>
            <w:vAlign w:val="bottom"/>
          </w:tcPr>
          <w:p w14:paraId="694B33E4" w14:textId="77777777" w:rsidR="007E0A41" w:rsidRPr="00AF18A3" w:rsidRDefault="007E0A41" w:rsidP="00D1336B">
            <w:pPr>
              <w:spacing w:after="0" w:line="276" w:lineRule="auto"/>
              <w:jc w:val="center"/>
              <w:rPr>
                <w:rFonts w:ascii="Times New Roman" w:hAnsi="Times New Roman" w:cs="Times New Roman"/>
                <w:color w:val="000000"/>
                <w:sz w:val="20"/>
                <w:szCs w:val="20"/>
              </w:rPr>
            </w:pPr>
            <w:r w:rsidRPr="00AF18A3">
              <w:rPr>
                <w:rFonts w:ascii="Times New Roman" w:hAnsi="Times New Roman" w:cs="Times New Roman"/>
                <w:color w:val="000000"/>
                <w:sz w:val="20"/>
                <w:szCs w:val="20"/>
              </w:rPr>
              <w:t>0.0036</w:t>
            </w:r>
          </w:p>
        </w:tc>
        <w:tc>
          <w:tcPr>
            <w:tcW w:w="1027" w:type="dxa"/>
            <w:tcBorders>
              <w:top w:val="single" w:sz="4" w:space="0" w:color="auto"/>
              <w:left w:val="nil"/>
              <w:bottom w:val="nil"/>
              <w:right w:val="nil"/>
            </w:tcBorders>
            <w:vAlign w:val="bottom"/>
          </w:tcPr>
          <w:p w14:paraId="0512ADB0" w14:textId="77777777" w:rsidR="007E0A41" w:rsidRPr="00AF18A3" w:rsidRDefault="007E0A41" w:rsidP="00D1336B">
            <w:pPr>
              <w:spacing w:after="0" w:line="276" w:lineRule="auto"/>
              <w:jc w:val="center"/>
              <w:rPr>
                <w:rFonts w:ascii="Times New Roman" w:hAnsi="Times New Roman" w:cs="Times New Roman"/>
                <w:color w:val="000000"/>
                <w:sz w:val="20"/>
                <w:szCs w:val="20"/>
              </w:rPr>
            </w:pPr>
            <w:r w:rsidRPr="00AF18A3">
              <w:rPr>
                <w:rFonts w:ascii="Times New Roman" w:hAnsi="Times New Roman" w:cs="Times New Roman"/>
                <w:color w:val="000000"/>
                <w:sz w:val="20"/>
                <w:szCs w:val="20"/>
              </w:rPr>
              <w:t>0.0044</w:t>
            </w:r>
          </w:p>
        </w:tc>
        <w:tc>
          <w:tcPr>
            <w:tcW w:w="1230" w:type="dxa"/>
            <w:tcBorders>
              <w:top w:val="single" w:sz="4" w:space="0" w:color="auto"/>
              <w:left w:val="nil"/>
              <w:bottom w:val="nil"/>
              <w:right w:val="nil"/>
            </w:tcBorders>
            <w:vAlign w:val="bottom"/>
          </w:tcPr>
          <w:p w14:paraId="389DF614" w14:textId="77777777" w:rsidR="007E0A41" w:rsidRPr="00AF18A3" w:rsidRDefault="007E0A41" w:rsidP="00D1336B">
            <w:pPr>
              <w:spacing w:after="0" w:line="276" w:lineRule="auto"/>
              <w:jc w:val="center"/>
              <w:rPr>
                <w:rFonts w:ascii="Times New Roman" w:hAnsi="Times New Roman" w:cs="Times New Roman"/>
                <w:color w:val="000000"/>
                <w:sz w:val="20"/>
                <w:szCs w:val="20"/>
              </w:rPr>
            </w:pPr>
            <w:r w:rsidRPr="00AF18A3">
              <w:rPr>
                <w:rFonts w:ascii="Times New Roman" w:hAnsi="Times New Roman" w:cs="Times New Roman"/>
                <w:color w:val="000000"/>
                <w:sz w:val="20"/>
                <w:szCs w:val="20"/>
              </w:rPr>
              <w:t>0.0040</w:t>
            </w:r>
          </w:p>
        </w:tc>
      </w:tr>
      <w:tr w:rsidR="007E0A41" w:rsidRPr="00AF18A3" w14:paraId="6E0431DE" w14:textId="77777777" w:rsidTr="00701562">
        <w:trPr>
          <w:trHeight w:val="187"/>
        </w:trPr>
        <w:tc>
          <w:tcPr>
            <w:tcW w:w="641" w:type="dxa"/>
            <w:tcBorders>
              <w:top w:val="nil"/>
              <w:left w:val="nil"/>
              <w:bottom w:val="nil"/>
              <w:right w:val="nil"/>
            </w:tcBorders>
            <w:noWrap/>
            <w:hideMark/>
          </w:tcPr>
          <w:p w14:paraId="67EEC9FE"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lang w:eastAsia="en-IN"/>
                <w14:ligatures w14:val="none"/>
              </w:rPr>
            </w:pPr>
            <w:r w:rsidRPr="00AF18A3">
              <w:rPr>
                <w:rFonts w:ascii="Times New Roman" w:hAnsi="Times New Roman" w:cs="Times New Roman"/>
                <w:sz w:val="20"/>
                <w:szCs w:val="20"/>
              </w:rPr>
              <w:t>T</w:t>
            </w:r>
            <w:r w:rsidRPr="00AF18A3">
              <w:rPr>
                <w:rFonts w:ascii="Times New Roman" w:hAnsi="Times New Roman" w:cs="Times New Roman"/>
                <w:sz w:val="20"/>
                <w:szCs w:val="20"/>
                <w:vertAlign w:val="subscript"/>
              </w:rPr>
              <w:t>2</w:t>
            </w:r>
          </w:p>
        </w:tc>
        <w:tc>
          <w:tcPr>
            <w:tcW w:w="2033" w:type="dxa"/>
            <w:tcBorders>
              <w:top w:val="nil"/>
              <w:left w:val="nil"/>
              <w:bottom w:val="nil"/>
              <w:right w:val="nil"/>
            </w:tcBorders>
            <w:vAlign w:val="center"/>
            <w:hideMark/>
          </w:tcPr>
          <w:p w14:paraId="4EC813D4"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lang w:eastAsia="en-IN"/>
                <w14:ligatures w14:val="none"/>
              </w:rPr>
            </w:pPr>
            <w:r w:rsidRPr="00AF18A3">
              <w:rPr>
                <w:rFonts w:ascii="Times New Roman" w:eastAsia="Times New Roman" w:hAnsi="Times New Roman" w:cs="Times New Roman"/>
                <w:color w:val="000000"/>
                <w:kern w:val="0"/>
                <w:sz w:val="20"/>
                <w:szCs w:val="20"/>
                <w:lang w:eastAsia="en-IN"/>
                <w14:ligatures w14:val="none"/>
              </w:rPr>
              <w:t>Chelated iron @0.25%</w:t>
            </w:r>
          </w:p>
        </w:tc>
        <w:tc>
          <w:tcPr>
            <w:tcW w:w="1012" w:type="dxa"/>
            <w:tcBorders>
              <w:top w:val="nil"/>
              <w:left w:val="nil"/>
              <w:bottom w:val="nil"/>
              <w:right w:val="nil"/>
            </w:tcBorders>
            <w:noWrap/>
            <w:vAlign w:val="bottom"/>
            <w:hideMark/>
          </w:tcPr>
          <w:p w14:paraId="6CAD7DD6"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lang w:eastAsia="en-IN"/>
                <w14:ligatures w14:val="none"/>
              </w:rPr>
            </w:pPr>
            <w:r w:rsidRPr="00AF18A3">
              <w:rPr>
                <w:rFonts w:ascii="Times New Roman" w:hAnsi="Times New Roman" w:cs="Times New Roman"/>
                <w:color w:val="000000"/>
                <w:sz w:val="20"/>
                <w:szCs w:val="20"/>
              </w:rPr>
              <w:t>0.0875</w:t>
            </w:r>
          </w:p>
        </w:tc>
        <w:tc>
          <w:tcPr>
            <w:tcW w:w="881" w:type="dxa"/>
            <w:tcBorders>
              <w:top w:val="nil"/>
              <w:left w:val="nil"/>
              <w:bottom w:val="nil"/>
              <w:right w:val="nil"/>
            </w:tcBorders>
            <w:noWrap/>
            <w:vAlign w:val="bottom"/>
            <w:hideMark/>
          </w:tcPr>
          <w:p w14:paraId="56C16211"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lang w:eastAsia="en-IN"/>
                <w14:ligatures w14:val="none"/>
              </w:rPr>
            </w:pPr>
            <w:r w:rsidRPr="00AF18A3">
              <w:rPr>
                <w:rFonts w:ascii="Times New Roman" w:hAnsi="Times New Roman" w:cs="Times New Roman"/>
                <w:color w:val="000000"/>
                <w:sz w:val="20"/>
                <w:szCs w:val="20"/>
              </w:rPr>
              <w:t>0.0871</w:t>
            </w:r>
          </w:p>
        </w:tc>
        <w:tc>
          <w:tcPr>
            <w:tcW w:w="1114" w:type="dxa"/>
            <w:tcBorders>
              <w:top w:val="nil"/>
              <w:left w:val="nil"/>
              <w:bottom w:val="nil"/>
              <w:right w:val="nil"/>
            </w:tcBorders>
            <w:vAlign w:val="bottom"/>
          </w:tcPr>
          <w:p w14:paraId="53DC1299"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vertAlign w:val="superscript"/>
                <w:lang w:eastAsia="en-IN"/>
                <w14:ligatures w14:val="none"/>
              </w:rPr>
            </w:pPr>
            <w:r w:rsidRPr="00AF18A3">
              <w:rPr>
                <w:rFonts w:ascii="Times New Roman" w:hAnsi="Times New Roman" w:cs="Times New Roman"/>
                <w:color w:val="000000"/>
                <w:sz w:val="20"/>
                <w:szCs w:val="20"/>
              </w:rPr>
              <w:t>0.0873</w:t>
            </w:r>
          </w:p>
        </w:tc>
        <w:tc>
          <w:tcPr>
            <w:tcW w:w="966" w:type="dxa"/>
            <w:tcBorders>
              <w:top w:val="nil"/>
              <w:left w:val="nil"/>
              <w:bottom w:val="nil"/>
              <w:right w:val="nil"/>
            </w:tcBorders>
            <w:noWrap/>
            <w:vAlign w:val="bottom"/>
            <w:hideMark/>
          </w:tcPr>
          <w:p w14:paraId="3CC24B0D"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lang w:eastAsia="en-IN"/>
                <w14:ligatures w14:val="none"/>
              </w:rPr>
            </w:pPr>
            <w:r w:rsidRPr="00AF18A3">
              <w:rPr>
                <w:rFonts w:ascii="Times New Roman" w:hAnsi="Times New Roman" w:cs="Times New Roman"/>
                <w:color w:val="000000"/>
                <w:sz w:val="20"/>
                <w:szCs w:val="20"/>
              </w:rPr>
              <w:t>0.0180</w:t>
            </w:r>
          </w:p>
        </w:tc>
        <w:tc>
          <w:tcPr>
            <w:tcW w:w="881" w:type="dxa"/>
            <w:tcBorders>
              <w:top w:val="nil"/>
              <w:left w:val="nil"/>
              <w:bottom w:val="nil"/>
              <w:right w:val="nil"/>
            </w:tcBorders>
            <w:noWrap/>
            <w:vAlign w:val="bottom"/>
            <w:hideMark/>
          </w:tcPr>
          <w:p w14:paraId="04C618E7"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lang w:eastAsia="en-IN"/>
                <w14:ligatures w14:val="none"/>
              </w:rPr>
            </w:pPr>
            <w:r w:rsidRPr="00AF18A3">
              <w:rPr>
                <w:rFonts w:ascii="Times New Roman" w:hAnsi="Times New Roman" w:cs="Times New Roman"/>
                <w:color w:val="000000"/>
                <w:sz w:val="20"/>
                <w:szCs w:val="20"/>
              </w:rPr>
              <w:t>0.0184</w:t>
            </w:r>
          </w:p>
        </w:tc>
        <w:tc>
          <w:tcPr>
            <w:tcW w:w="1087" w:type="dxa"/>
            <w:tcBorders>
              <w:top w:val="nil"/>
              <w:left w:val="nil"/>
              <w:bottom w:val="nil"/>
              <w:right w:val="nil"/>
            </w:tcBorders>
            <w:vAlign w:val="bottom"/>
          </w:tcPr>
          <w:p w14:paraId="3EB60DF7"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vertAlign w:val="superscript"/>
                <w:lang w:eastAsia="en-IN"/>
                <w14:ligatures w14:val="none"/>
              </w:rPr>
            </w:pPr>
            <w:r w:rsidRPr="00AF18A3">
              <w:rPr>
                <w:rFonts w:ascii="Times New Roman" w:hAnsi="Times New Roman" w:cs="Times New Roman"/>
                <w:color w:val="000000"/>
                <w:sz w:val="20"/>
                <w:szCs w:val="20"/>
              </w:rPr>
              <w:t>0.0183</w:t>
            </w:r>
          </w:p>
        </w:tc>
        <w:tc>
          <w:tcPr>
            <w:tcW w:w="1028" w:type="dxa"/>
            <w:tcBorders>
              <w:top w:val="nil"/>
              <w:left w:val="nil"/>
              <w:bottom w:val="nil"/>
              <w:right w:val="nil"/>
            </w:tcBorders>
            <w:noWrap/>
            <w:vAlign w:val="bottom"/>
            <w:hideMark/>
          </w:tcPr>
          <w:p w14:paraId="69429179"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lang w:eastAsia="en-IN"/>
                <w14:ligatures w14:val="none"/>
              </w:rPr>
            </w:pPr>
            <w:r w:rsidRPr="00AF18A3">
              <w:rPr>
                <w:rFonts w:ascii="Times New Roman" w:hAnsi="Times New Roman" w:cs="Times New Roman"/>
                <w:color w:val="000000"/>
                <w:sz w:val="20"/>
                <w:szCs w:val="20"/>
              </w:rPr>
              <w:t>0.7861</w:t>
            </w:r>
          </w:p>
        </w:tc>
        <w:tc>
          <w:tcPr>
            <w:tcW w:w="946" w:type="dxa"/>
            <w:tcBorders>
              <w:top w:val="nil"/>
              <w:left w:val="nil"/>
              <w:bottom w:val="nil"/>
              <w:right w:val="nil"/>
            </w:tcBorders>
            <w:noWrap/>
            <w:vAlign w:val="bottom"/>
            <w:hideMark/>
          </w:tcPr>
          <w:p w14:paraId="39D3B981"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lang w:eastAsia="en-IN"/>
                <w14:ligatures w14:val="none"/>
              </w:rPr>
            </w:pPr>
            <w:r w:rsidRPr="00AF18A3">
              <w:rPr>
                <w:rFonts w:ascii="Times New Roman" w:hAnsi="Times New Roman" w:cs="Times New Roman"/>
                <w:color w:val="000000"/>
                <w:sz w:val="20"/>
                <w:szCs w:val="20"/>
              </w:rPr>
              <w:t>0.7426</w:t>
            </w:r>
          </w:p>
        </w:tc>
        <w:tc>
          <w:tcPr>
            <w:tcW w:w="1004" w:type="dxa"/>
            <w:tcBorders>
              <w:top w:val="nil"/>
              <w:left w:val="nil"/>
              <w:bottom w:val="nil"/>
              <w:right w:val="nil"/>
            </w:tcBorders>
            <w:vAlign w:val="bottom"/>
          </w:tcPr>
          <w:p w14:paraId="0A806EF2"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vertAlign w:val="superscript"/>
                <w:lang w:eastAsia="en-IN"/>
                <w14:ligatures w14:val="none"/>
              </w:rPr>
            </w:pPr>
            <w:r w:rsidRPr="00AF18A3">
              <w:rPr>
                <w:rFonts w:ascii="Times New Roman" w:hAnsi="Times New Roman" w:cs="Times New Roman"/>
                <w:color w:val="000000"/>
                <w:sz w:val="20"/>
                <w:szCs w:val="20"/>
              </w:rPr>
              <w:t>0.7643</w:t>
            </w:r>
          </w:p>
        </w:tc>
        <w:tc>
          <w:tcPr>
            <w:tcW w:w="1045" w:type="dxa"/>
            <w:tcBorders>
              <w:top w:val="nil"/>
              <w:left w:val="nil"/>
              <w:bottom w:val="nil"/>
              <w:right w:val="nil"/>
            </w:tcBorders>
            <w:vAlign w:val="bottom"/>
          </w:tcPr>
          <w:p w14:paraId="7C2CEEA9" w14:textId="77777777" w:rsidR="007E0A41" w:rsidRPr="00AF18A3" w:rsidRDefault="007E0A41" w:rsidP="00D1336B">
            <w:pPr>
              <w:spacing w:after="0" w:line="276" w:lineRule="auto"/>
              <w:jc w:val="center"/>
              <w:rPr>
                <w:rFonts w:ascii="Times New Roman" w:hAnsi="Times New Roman" w:cs="Times New Roman"/>
                <w:color w:val="000000"/>
                <w:sz w:val="20"/>
                <w:szCs w:val="20"/>
              </w:rPr>
            </w:pPr>
            <w:r w:rsidRPr="00AF18A3">
              <w:rPr>
                <w:rFonts w:ascii="Times New Roman" w:hAnsi="Times New Roman" w:cs="Times New Roman"/>
                <w:color w:val="000000"/>
                <w:sz w:val="20"/>
                <w:szCs w:val="20"/>
              </w:rPr>
              <w:t>0.0099</w:t>
            </w:r>
          </w:p>
        </w:tc>
        <w:tc>
          <w:tcPr>
            <w:tcW w:w="1027" w:type="dxa"/>
            <w:tcBorders>
              <w:top w:val="nil"/>
              <w:left w:val="nil"/>
              <w:bottom w:val="nil"/>
              <w:right w:val="nil"/>
            </w:tcBorders>
            <w:vAlign w:val="bottom"/>
          </w:tcPr>
          <w:p w14:paraId="62CCC4CD" w14:textId="77777777" w:rsidR="007E0A41" w:rsidRPr="00AF18A3" w:rsidRDefault="007E0A41" w:rsidP="00D1336B">
            <w:pPr>
              <w:spacing w:after="0" w:line="276" w:lineRule="auto"/>
              <w:jc w:val="center"/>
              <w:rPr>
                <w:rFonts w:ascii="Times New Roman" w:hAnsi="Times New Roman" w:cs="Times New Roman"/>
                <w:color w:val="000000"/>
                <w:sz w:val="20"/>
                <w:szCs w:val="20"/>
              </w:rPr>
            </w:pPr>
            <w:r w:rsidRPr="00AF18A3">
              <w:rPr>
                <w:rFonts w:ascii="Times New Roman" w:hAnsi="Times New Roman" w:cs="Times New Roman"/>
                <w:color w:val="000000"/>
                <w:sz w:val="20"/>
                <w:szCs w:val="20"/>
              </w:rPr>
              <w:t>0.0095</w:t>
            </w:r>
          </w:p>
        </w:tc>
        <w:tc>
          <w:tcPr>
            <w:tcW w:w="1230" w:type="dxa"/>
            <w:tcBorders>
              <w:top w:val="nil"/>
              <w:left w:val="nil"/>
              <w:bottom w:val="nil"/>
              <w:right w:val="nil"/>
            </w:tcBorders>
            <w:vAlign w:val="bottom"/>
          </w:tcPr>
          <w:p w14:paraId="64A6CC9B" w14:textId="77777777" w:rsidR="007E0A41" w:rsidRPr="00AF18A3" w:rsidRDefault="007E0A41" w:rsidP="00D1336B">
            <w:pPr>
              <w:spacing w:after="0" w:line="276" w:lineRule="auto"/>
              <w:jc w:val="center"/>
              <w:rPr>
                <w:rFonts w:ascii="Times New Roman" w:hAnsi="Times New Roman" w:cs="Times New Roman"/>
                <w:color w:val="000000"/>
                <w:sz w:val="20"/>
                <w:szCs w:val="20"/>
              </w:rPr>
            </w:pPr>
            <w:r w:rsidRPr="00AF18A3">
              <w:rPr>
                <w:rFonts w:ascii="Times New Roman" w:hAnsi="Times New Roman" w:cs="Times New Roman"/>
                <w:color w:val="000000"/>
                <w:sz w:val="20"/>
                <w:szCs w:val="20"/>
              </w:rPr>
              <w:t>0.0097</w:t>
            </w:r>
          </w:p>
        </w:tc>
      </w:tr>
      <w:tr w:rsidR="007E0A41" w:rsidRPr="00AF18A3" w14:paraId="08153E91" w14:textId="77777777" w:rsidTr="00701562">
        <w:trPr>
          <w:trHeight w:val="187"/>
        </w:trPr>
        <w:tc>
          <w:tcPr>
            <w:tcW w:w="641" w:type="dxa"/>
            <w:tcBorders>
              <w:top w:val="nil"/>
              <w:left w:val="nil"/>
              <w:bottom w:val="nil"/>
              <w:right w:val="nil"/>
            </w:tcBorders>
            <w:noWrap/>
            <w:hideMark/>
          </w:tcPr>
          <w:p w14:paraId="31FA1081"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lang w:eastAsia="en-IN"/>
                <w14:ligatures w14:val="none"/>
              </w:rPr>
            </w:pPr>
            <w:r w:rsidRPr="00AF18A3">
              <w:rPr>
                <w:rFonts w:ascii="Times New Roman" w:hAnsi="Times New Roman" w:cs="Times New Roman"/>
                <w:sz w:val="20"/>
                <w:szCs w:val="20"/>
              </w:rPr>
              <w:t>T</w:t>
            </w:r>
            <w:r w:rsidRPr="00AF18A3">
              <w:rPr>
                <w:rFonts w:ascii="Times New Roman" w:hAnsi="Times New Roman" w:cs="Times New Roman"/>
                <w:sz w:val="20"/>
                <w:szCs w:val="20"/>
                <w:vertAlign w:val="subscript"/>
              </w:rPr>
              <w:t>3</w:t>
            </w:r>
          </w:p>
        </w:tc>
        <w:tc>
          <w:tcPr>
            <w:tcW w:w="2033" w:type="dxa"/>
            <w:tcBorders>
              <w:top w:val="nil"/>
              <w:left w:val="nil"/>
              <w:bottom w:val="nil"/>
              <w:right w:val="nil"/>
            </w:tcBorders>
            <w:vAlign w:val="center"/>
            <w:hideMark/>
          </w:tcPr>
          <w:p w14:paraId="6157EC45"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lang w:eastAsia="en-IN"/>
                <w14:ligatures w14:val="none"/>
              </w:rPr>
            </w:pPr>
            <w:r w:rsidRPr="00AF18A3">
              <w:rPr>
                <w:rFonts w:ascii="Times New Roman" w:eastAsia="Times New Roman" w:hAnsi="Times New Roman" w:cs="Times New Roman"/>
                <w:color w:val="000000"/>
                <w:kern w:val="0"/>
                <w:sz w:val="20"/>
                <w:szCs w:val="20"/>
                <w:lang w:eastAsia="en-IN"/>
                <w14:ligatures w14:val="none"/>
              </w:rPr>
              <w:t>Chelated iron @0.50%</w:t>
            </w:r>
          </w:p>
        </w:tc>
        <w:tc>
          <w:tcPr>
            <w:tcW w:w="1012" w:type="dxa"/>
            <w:tcBorders>
              <w:top w:val="nil"/>
              <w:left w:val="nil"/>
              <w:bottom w:val="nil"/>
              <w:right w:val="nil"/>
            </w:tcBorders>
            <w:noWrap/>
            <w:vAlign w:val="bottom"/>
            <w:hideMark/>
          </w:tcPr>
          <w:p w14:paraId="050FF0E1"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lang w:eastAsia="en-IN"/>
                <w14:ligatures w14:val="none"/>
              </w:rPr>
            </w:pPr>
            <w:r w:rsidRPr="00AF18A3">
              <w:rPr>
                <w:rFonts w:ascii="Times New Roman" w:hAnsi="Times New Roman" w:cs="Times New Roman"/>
                <w:color w:val="000000"/>
                <w:sz w:val="20"/>
                <w:szCs w:val="20"/>
              </w:rPr>
              <w:t>0.0901</w:t>
            </w:r>
          </w:p>
        </w:tc>
        <w:tc>
          <w:tcPr>
            <w:tcW w:w="881" w:type="dxa"/>
            <w:tcBorders>
              <w:top w:val="nil"/>
              <w:left w:val="nil"/>
              <w:bottom w:val="nil"/>
              <w:right w:val="nil"/>
            </w:tcBorders>
            <w:noWrap/>
            <w:vAlign w:val="bottom"/>
            <w:hideMark/>
          </w:tcPr>
          <w:p w14:paraId="4F98AB19"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lang w:eastAsia="en-IN"/>
                <w14:ligatures w14:val="none"/>
              </w:rPr>
            </w:pPr>
            <w:r w:rsidRPr="00AF18A3">
              <w:rPr>
                <w:rFonts w:ascii="Times New Roman" w:hAnsi="Times New Roman" w:cs="Times New Roman"/>
                <w:color w:val="000000"/>
                <w:sz w:val="20"/>
                <w:szCs w:val="20"/>
              </w:rPr>
              <w:t>0.0900</w:t>
            </w:r>
          </w:p>
        </w:tc>
        <w:tc>
          <w:tcPr>
            <w:tcW w:w="1114" w:type="dxa"/>
            <w:tcBorders>
              <w:top w:val="nil"/>
              <w:left w:val="nil"/>
              <w:bottom w:val="nil"/>
              <w:right w:val="nil"/>
            </w:tcBorders>
            <w:vAlign w:val="bottom"/>
          </w:tcPr>
          <w:p w14:paraId="2EE8C33D"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vertAlign w:val="superscript"/>
                <w:lang w:eastAsia="en-IN"/>
                <w14:ligatures w14:val="none"/>
              </w:rPr>
            </w:pPr>
            <w:r w:rsidRPr="00AF18A3">
              <w:rPr>
                <w:rFonts w:ascii="Times New Roman" w:hAnsi="Times New Roman" w:cs="Times New Roman"/>
                <w:color w:val="000000"/>
                <w:sz w:val="20"/>
                <w:szCs w:val="20"/>
              </w:rPr>
              <w:t>0.0900</w:t>
            </w:r>
          </w:p>
        </w:tc>
        <w:tc>
          <w:tcPr>
            <w:tcW w:w="966" w:type="dxa"/>
            <w:tcBorders>
              <w:top w:val="nil"/>
              <w:left w:val="nil"/>
              <w:bottom w:val="nil"/>
              <w:right w:val="nil"/>
            </w:tcBorders>
            <w:noWrap/>
            <w:vAlign w:val="bottom"/>
            <w:hideMark/>
          </w:tcPr>
          <w:p w14:paraId="3296B6E1"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lang w:eastAsia="en-IN"/>
                <w14:ligatures w14:val="none"/>
              </w:rPr>
            </w:pPr>
            <w:r w:rsidRPr="00AF18A3">
              <w:rPr>
                <w:rFonts w:ascii="Times New Roman" w:hAnsi="Times New Roman" w:cs="Times New Roman"/>
                <w:color w:val="000000"/>
                <w:sz w:val="20"/>
                <w:szCs w:val="20"/>
              </w:rPr>
              <w:t>0.0160</w:t>
            </w:r>
          </w:p>
        </w:tc>
        <w:tc>
          <w:tcPr>
            <w:tcW w:w="881" w:type="dxa"/>
            <w:tcBorders>
              <w:top w:val="nil"/>
              <w:left w:val="nil"/>
              <w:bottom w:val="nil"/>
              <w:right w:val="nil"/>
            </w:tcBorders>
            <w:noWrap/>
            <w:vAlign w:val="bottom"/>
            <w:hideMark/>
          </w:tcPr>
          <w:p w14:paraId="5AF2A6A9"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lang w:eastAsia="en-IN"/>
                <w14:ligatures w14:val="none"/>
              </w:rPr>
            </w:pPr>
            <w:r w:rsidRPr="00AF18A3">
              <w:rPr>
                <w:rFonts w:ascii="Times New Roman" w:hAnsi="Times New Roman" w:cs="Times New Roman"/>
                <w:color w:val="000000"/>
                <w:sz w:val="20"/>
                <w:szCs w:val="20"/>
              </w:rPr>
              <w:t>0.0160</w:t>
            </w:r>
          </w:p>
        </w:tc>
        <w:tc>
          <w:tcPr>
            <w:tcW w:w="1087" w:type="dxa"/>
            <w:tcBorders>
              <w:top w:val="nil"/>
              <w:left w:val="nil"/>
              <w:bottom w:val="nil"/>
              <w:right w:val="nil"/>
            </w:tcBorders>
            <w:vAlign w:val="bottom"/>
          </w:tcPr>
          <w:p w14:paraId="29F081D4"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vertAlign w:val="superscript"/>
                <w:lang w:eastAsia="en-IN"/>
                <w14:ligatures w14:val="none"/>
              </w:rPr>
            </w:pPr>
            <w:r w:rsidRPr="00AF18A3">
              <w:rPr>
                <w:rFonts w:ascii="Times New Roman" w:hAnsi="Times New Roman" w:cs="Times New Roman"/>
                <w:color w:val="000000"/>
                <w:sz w:val="20"/>
                <w:szCs w:val="20"/>
              </w:rPr>
              <w:t>0.0160</w:t>
            </w:r>
          </w:p>
        </w:tc>
        <w:tc>
          <w:tcPr>
            <w:tcW w:w="1028" w:type="dxa"/>
            <w:tcBorders>
              <w:top w:val="nil"/>
              <w:left w:val="nil"/>
              <w:bottom w:val="nil"/>
              <w:right w:val="nil"/>
            </w:tcBorders>
            <w:noWrap/>
            <w:vAlign w:val="bottom"/>
            <w:hideMark/>
          </w:tcPr>
          <w:p w14:paraId="0AB17317"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lang w:eastAsia="en-IN"/>
                <w14:ligatures w14:val="none"/>
              </w:rPr>
            </w:pPr>
            <w:r w:rsidRPr="00AF18A3">
              <w:rPr>
                <w:rFonts w:ascii="Times New Roman" w:hAnsi="Times New Roman" w:cs="Times New Roman"/>
                <w:color w:val="000000"/>
                <w:sz w:val="20"/>
                <w:szCs w:val="20"/>
              </w:rPr>
              <w:t>0.8641</w:t>
            </w:r>
          </w:p>
        </w:tc>
        <w:tc>
          <w:tcPr>
            <w:tcW w:w="946" w:type="dxa"/>
            <w:tcBorders>
              <w:top w:val="nil"/>
              <w:left w:val="nil"/>
              <w:bottom w:val="nil"/>
              <w:right w:val="nil"/>
            </w:tcBorders>
            <w:noWrap/>
            <w:vAlign w:val="bottom"/>
            <w:hideMark/>
          </w:tcPr>
          <w:p w14:paraId="5499015C"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lang w:eastAsia="en-IN"/>
                <w14:ligatures w14:val="none"/>
              </w:rPr>
            </w:pPr>
            <w:r w:rsidRPr="00AF18A3">
              <w:rPr>
                <w:rFonts w:ascii="Times New Roman" w:hAnsi="Times New Roman" w:cs="Times New Roman"/>
                <w:color w:val="000000"/>
                <w:sz w:val="20"/>
                <w:szCs w:val="20"/>
              </w:rPr>
              <w:t>0.8954</w:t>
            </w:r>
          </w:p>
        </w:tc>
        <w:tc>
          <w:tcPr>
            <w:tcW w:w="1004" w:type="dxa"/>
            <w:tcBorders>
              <w:top w:val="nil"/>
              <w:left w:val="nil"/>
              <w:bottom w:val="nil"/>
              <w:right w:val="nil"/>
            </w:tcBorders>
            <w:vAlign w:val="bottom"/>
          </w:tcPr>
          <w:p w14:paraId="0CD6159E"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vertAlign w:val="superscript"/>
                <w:lang w:eastAsia="en-IN"/>
                <w14:ligatures w14:val="none"/>
              </w:rPr>
            </w:pPr>
            <w:r w:rsidRPr="00AF18A3">
              <w:rPr>
                <w:rFonts w:ascii="Times New Roman" w:hAnsi="Times New Roman" w:cs="Times New Roman"/>
                <w:color w:val="000000"/>
                <w:sz w:val="20"/>
                <w:szCs w:val="20"/>
              </w:rPr>
              <w:t>0.8797</w:t>
            </w:r>
          </w:p>
        </w:tc>
        <w:tc>
          <w:tcPr>
            <w:tcW w:w="1045" w:type="dxa"/>
            <w:tcBorders>
              <w:top w:val="nil"/>
              <w:left w:val="nil"/>
              <w:bottom w:val="nil"/>
              <w:right w:val="nil"/>
            </w:tcBorders>
            <w:vAlign w:val="bottom"/>
          </w:tcPr>
          <w:p w14:paraId="0C081728" w14:textId="77777777" w:rsidR="007E0A41" w:rsidRPr="00AF18A3" w:rsidRDefault="007E0A41" w:rsidP="00D1336B">
            <w:pPr>
              <w:spacing w:after="0" w:line="276" w:lineRule="auto"/>
              <w:jc w:val="center"/>
              <w:rPr>
                <w:rFonts w:ascii="Times New Roman" w:hAnsi="Times New Roman" w:cs="Times New Roman"/>
                <w:color w:val="000000"/>
                <w:sz w:val="20"/>
                <w:szCs w:val="20"/>
              </w:rPr>
            </w:pPr>
            <w:r w:rsidRPr="00AF18A3">
              <w:rPr>
                <w:rFonts w:ascii="Times New Roman" w:hAnsi="Times New Roman" w:cs="Times New Roman"/>
                <w:color w:val="000000"/>
                <w:sz w:val="20"/>
                <w:szCs w:val="20"/>
              </w:rPr>
              <w:t>0.0135</w:t>
            </w:r>
          </w:p>
        </w:tc>
        <w:tc>
          <w:tcPr>
            <w:tcW w:w="1027" w:type="dxa"/>
            <w:tcBorders>
              <w:top w:val="nil"/>
              <w:left w:val="nil"/>
              <w:bottom w:val="nil"/>
              <w:right w:val="nil"/>
            </w:tcBorders>
            <w:vAlign w:val="bottom"/>
          </w:tcPr>
          <w:p w14:paraId="2D6D1B52" w14:textId="77777777" w:rsidR="007E0A41" w:rsidRPr="00AF18A3" w:rsidRDefault="007E0A41" w:rsidP="00D1336B">
            <w:pPr>
              <w:spacing w:after="0" w:line="276" w:lineRule="auto"/>
              <w:jc w:val="center"/>
              <w:rPr>
                <w:rFonts w:ascii="Times New Roman" w:hAnsi="Times New Roman" w:cs="Times New Roman"/>
                <w:color w:val="000000"/>
                <w:sz w:val="20"/>
                <w:szCs w:val="20"/>
              </w:rPr>
            </w:pPr>
            <w:r w:rsidRPr="00AF18A3">
              <w:rPr>
                <w:rFonts w:ascii="Times New Roman" w:hAnsi="Times New Roman" w:cs="Times New Roman"/>
                <w:color w:val="000000"/>
                <w:sz w:val="20"/>
                <w:szCs w:val="20"/>
              </w:rPr>
              <w:t>0.0171</w:t>
            </w:r>
          </w:p>
        </w:tc>
        <w:tc>
          <w:tcPr>
            <w:tcW w:w="1230" w:type="dxa"/>
            <w:tcBorders>
              <w:top w:val="nil"/>
              <w:left w:val="nil"/>
              <w:bottom w:val="nil"/>
              <w:right w:val="nil"/>
            </w:tcBorders>
            <w:vAlign w:val="bottom"/>
          </w:tcPr>
          <w:p w14:paraId="4DBDDEB2" w14:textId="77777777" w:rsidR="007E0A41" w:rsidRPr="00AF18A3" w:rsidRDefault="007E0A41" w:rsidP="00D1336B">
            <w:pPr>
              <w:spacing w:after="0" w:line="276" w:lineRule="auto"/>
              <w:jc w:val="center"/>
              <w:rPr>
                <w:rFonts w:ascii="Times New Roman" w:hAnsi="Times New Roman" w:cs="Times New Roman"/>
                <w:color w:val="000000"/>
                <w:sz w:val="20"/>
                <w:szCs w:val="20"/>
              </w:rPr>
            </w:pPr>
            <w:r w:rsidRPr="00AF18A3">
              <w:rPr>
                <w:rFonts w:ascii="Times New Roman" w:hAnsi="Times New Roman" w:cs="Times New Roman"/>
                <w:color w:val="000000"/>
                <w:sz w:val="20"/>
                <w:szCs w:val="20"/>
              </w:rPr>
              <w:t>0.0153</w:t>
            </w:r>
          </w:p>
        </w:tc>
      </w:tr>
      <w:tr w:rsidR="007E0A41" w:rsidRPr="00AF18A3" w14:paraId="2D6789A1" w14:textId="77777777" w:rsidTr="00701562">
        <w:trPr>
          <w:trHeight w:val="187"/>
        </w:trPr>
        <w:tc>
          <w:tcPr>
            <w:tcW w:w="641" w:type="dxa"/>
            <w:tcBorders>
              <w:top w:val="nil"/>
              <w:left w:val="nil"/>
              <w:bottom w:val="nil"/>
              <w:right w:val="nil"/>
            </w:tcBorders>
            <w:noWrap/>
            <w:hideMark/>
          </w:tcPr>
          <w:p w14:paraId="320DE35E"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lang w:eastAsia="en-IN"/>
                <w14:ligatures w14:val="none"/>
              </w:rPr>
            </w:pPr>
            <w:r w:rsidRPr="00AF18A3">
              <w:rPr>
                <w:rFonts w:ascii="Times New Roman" w:hAnsi="Times New Roman" w:cs="Times New Roman"/>
                <w:sz w:val="20"/>
                <w:szCs w:val="20"/>
              </w:rPr>
              <w:t>T</w:t>
            </w:r>
            <w:r w:rsidRPr="00AF18A3">
              <w:rPr>
                <w:rFonts w:ascii="Times New Roman" w:hAnsi="Times New Roman" w:cs="Times New Roman"/>
                <w:sz w:val="20"/>
                <w:szCs w:val="20"/>
                <w:vertAlign w:val="subscript"/>
              </w:rPr>
              <w:t>4</w:t>
            </w:r>
          </w:p>
        </w:tc>
        <w:tc>
          <w:tcPr>
            <w:tcW w:w="2033" w:type="dxa"/>
            <w:tcBorders>
              <w:top w:val="nil"/>
              <w:left w:val="nil"/>
              <w:bottom w:val="nil"/>
              <w:right w:val="nil"/>
            </w:tcBorders>
            <w:vAlign w:val="center"/>
            <w:hideMark/>
          </w:tcPr>
          <w:p w14:paraId="59D86ACF"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lang w:eastAsia="en-IN"/>
                <w14:ligatures w14:val="none"/>
              </w:rPr>
            </w:pPr>
            <w:r w:rsidRPr="00AF18A3">
              <w:rPr>
                <w:rFonts w:ascii="Times New Roman" w:eastAsia="Times New Roman" w:hAnsi="Times New Roman" w:cs="Times New Roman"/>
                <w:color w:val="000000"/>
                <w:kern w:val="0"/>
                <w:sz w:val="20"/>
                <w:szCs w:val="20"/>
                <w:lang w:eastAsia="en-IN"/>
                <w14:ligatures w14:val="none"/>
              </w:rPr>
              <w:t>Chelated iron @0.75%</w:t>
            </w:r>
          </w:p>
        </w:tc>
        <w:tc>
          <w:tcPr>
            <w:tcW w:w="1012" w:type="dxa"/>
            <w:tcBorders>
              <w:top w:val="nil"/>
              <w:left w:val="nil"/>
              <w:bottom w:val="nil"/>
              <w:right w:val="nil"/>
            </w:tcBorders>
            <w:noWrap/>
            <w:vAlign w:val="bottom"/>
            <w:hideMark/>
          </w:tcPr>
          <w:p w14:paraId="5E8662FC"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lang w:eastAsia="en-IN"/>
                <w14:ligatures w14:val="none"/>
              </w:rPr>
            </w:pPr>
            <w:r w:rsidRPr="00AF18A3">
              <w:rPr>
                <w:rFonts w:ascii="Times New Roman" w:hAnsi="Times New Roman" w:cs="Times New Roman"/>
                <w:color w:val="000000"/>
                <w:sz w:val="20"/>
                <w:szCs w:val="20"/>
              </w:rPr>
              <w:t>0.0919</w:t>
            </w:r>
          </w:p>
        </w:tc>
        <w:tc>
          <w:tcPr>
            <w:tcW w:w="881" w:type="dxa"/>
            <w:tcBorders>
              <w:top w:val="nil"/>
              <w:left w:val="nil"/>
              <w:bottom w:val="nil"/>
              <w:right w:val="nil"/>
            </w:tcBorders>
            <w:noWrap/>
            <w:vAlign w:val="bottom"/>
            <w:hideMark/>
          </w:tcPr>
          <w:p w14:paraId="64904AF1"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lang w:eastAsia="en-IN"/>
                <w14:ligatures w14:val="none"/>
              </w:rPr>
            </w:pPr>
            <w:r w:rsidRPr="00AF18A3">
              <w:rPr>
                <w:rFonts w:ascii="Times New Roman" w:hAnsi="Times New Roman" w:cs="Times New Roman"/>
                <w:color w:val="000000"/>
                <w:sz w:val="20"/>
                <w:szCs w:val="20"/>
              </w:rPr>
              <w:t>0.0920</w:t>
            </w:r>
          </w:p>
        </w:tc>
        <w:tc>
          <w:tcPr>
            <w:tcW w:w="1114" w:type="dxa"/>
            <w:tcBorders>
              <w:top w:val="nil"/>
              <w:left w:val="nil"/>
              <w:bottom w:val="nil"/>
              <w:right w:val="nil"/>
            </w:tcBorders>
            <w:vAlign w:val="bottom"/>
          </w:tcPr>
          <w:p w14:paraId="0E97E0E3"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vertAlign w:val="superscript"/>
                <w:lang w:eastAsia="en-IN"/>
                <w14:ligatures w14:val="none"/>
              </w:rPr>
            </w:pPr>
            <w:r w:rsidRPr="00AF18A3">
              <w:rPr>
                <w:rFonts w:ascii="Times New Roman" w:hAnsi="Times New Roman" w:cs="Times New Roman"/>
                <w:color w:val="000000"/>
                <w:sz w:val="20"/>
                <w:szCs w:val="20"/>
              </w:rPr>
              <w:t>0.0919</w:t>
            </w:r>
          </w:p>
        </w:tc>
        <w:tc>
          <w:tcPr>
            <w:tcW w:w="966" w:type="dxa"/>
            <w:tcBorders>
              <w:top w:val="nil"/>
              <w:left w:val="nil"/>
              <w:bottom w:val="nil"/>
              <w:right w:val="nil"/>
            </w:tcBorders>
            <w:noWrap/>
            <w:vAlign w:val="bottom"/>
            <w:hideMark/>
          </w:tcPr>
          <w:p w14:paraId="739B1611"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lang w:eastAsia="en-IN"/>
                <w14:ligatures w14:val="none"/>
              </w:rPr>
            </w:pPr>
            <w:r w:rsidRPr="00AF18A3">
              <w:rPr>
                <w:rFonts w:ascii="Times New Roman" w:hAnsi="Times New Roman" w:cs="Times New Roman"/>
                <w:color w:val="000000"/>
                <w:sz w:val="20"/>
                <w:szCs w:val="20"/>
              </w:rPr>
              <w:t>0.0149</w:t>
            </w:r>
          </w:p>
        </w:tc>
        <w:tc>
          <w:tcPr>
            <w:tcW w:w="881" w:type="dxa"/>
            <w:tcBorders>
              <w:top w:val="nil"/>
              <w:left w:val="nil"/>
              <w:bottom w:val="nil"/>
              <w:right w:val="nil"/>
            </w:tcBorders>
            <w:noWrap/>
            <w:vAlign w:val="bottom"/>
            <w:hideMark/>
          </w:tcPr>
          <w:p w14:paraId="1FAA6D75"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lang w:eastAsia="en-IN"/>
                <w14:ligatures w14:val="none"/>
              </w:rPr>
            </w:pPr>
            <w:r w:rsidRPr="00AF18A3">
              <w:rPr>
                <w:rFonts w:ascii="Times New Roman" w:hAnsi="Times New Roman" w:cs="Times New Roman"/>
                <w:color w:val="000000"/>
                <w:sz w:val="20"/>
                <w:szCs w:val="20"/>
              </w:rPr>
              <w:t>0.0148</w:t>
            </w:r>
          </w:p>
        </w:tc>
        <w:tc>
          <w:tcPr>
            <w:tcW w:w="1087" w:type="dxa"/>
            <w:tcBorders>
              <w:top w:val="nil"/>
              <w:left w:val="nil"/>
              <w:bottom w:val="nil"/>
              <w:right w:val="nil"/>
            </w:tcBorders>
            <w:vAlign w:val="bottom"/>
          </w:tcPr>
          <w:p w14:paraId="6835EEE7"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vertAlign w:val="superscript"/>
                <w:lang w:eastAsia="en-IN"/>
                <w14:ligatures w14:val="none"/>
              </w:rPr>
            </w:pPr>
            <w:r w:rsidRPr="00AF18A3">
              <w:rPr>
                <w:rFonts w:ascii="Times New Roman" w:hAnsi="Times New Roman" w:cs="Times New Roman"/>
                <w:color w:val="000000"/>
                <w:sz w:val="20"/>
                <w:szCs w:val="20"/>
              </w:rPr>
              <w:t>0.0148</w:t>
            </w:r>
          </w:p>
        </w:tc>
        <w:tc>
          <w:tcPr>
            <w:tcW w:w="1028" w:type="dxa"/>
            <w:tcBorders>
              <w:top w:val="nil"/>
              <w:left w:val="nil"/>
              <w:bottom w:val="nil"/>
              <w:right w:val="nil"/>
            </w:tcBorders>
            <w:noWrap/>
            <w:vAlign w:val="bottom"/>
            <w:hideMark/>
          </w:tcPr>
          <w:p w14:paraId="781B061B"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lang w:eastAsia="en-IN"/>
                <w14:ligatures w14:val="none"/>
              </w:rPr>
            </w:pPr>
            <w:r w:rsidRPr="00AF18A3">
              <w:rPr>
                <w:rFonts w:ascii="Times New Roman" w:hAnsi="Times New Roman" w:cs="Times New Roman"/>
                <w:color w:val="000000"/>
                <w:sz w:val="20"/>
                <w:szCs w:val="20"/>
              </w:rPr>
              <w:t>1.0634</w:t>
            </w:r>
          </w:p>
        </w:tc>
        <w:tc>
          <w:tcPr>
            <w:tcW w:w="946" w:type="dxa"/>
            <w:tcBorders>
              <w:top w:val="nil"/>
              <w:left w:val="nil"/>
              <w:bottom w:val="nil"/>
              <w:right w:val="nil"/>
            </w:tcBorders>
            <w:noWrap/>
            <w:vAlign w:val="bottom"/>
            <w:hideMark/>
          </w:tcPr>
          <w:p w14:paraId="3FC6331E"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lang w:eastAsia="en-IN"/>
                <w14:ligatures w14:val="none"/>
              </w:rPr>
            </w:pPr>
            <w:r w:rsidRPr="00AF18A3">
              <w:rPr>
                <w:rFonts w:ascii="Times New Roman" w:hAnsi="Times New Roman" w:cs="Times New Roman"/>
                <w:color w:val="000000"/>
                <w:sz w:val="20"/>
                <w:szCs w:val="20"/>
              </w:rPr>
              <w:t>1.1603</w:t>
            </w:r>
          </w:p>
        </w:tc>
        <w:tc>
          <w:tcPr>
            <w:tcW w:w="1004" w:type="dxa"/>
            <w:tcBorders>
              <w:top w:val="nil"/>
              <w:left w:val="nil"/>
              <w:bottom w:val="nil"/>
              <w:right w:val="nil"/>
            </w:tcBorders>
            <w:vAlign w:val="bottom"/>
          </w:tcPr>
          <w:p w14:paraId="31A3E2BC"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vertAlign w:val="superscript"/>
                <w:lang w:eastAsia="en-IN"/>
                <w14:ligatures w14:val="none"/>
              </w:rPr>
            </w:pPr>
            <w:r w:rsidRPr="00AF18A3">
              <w:rPr>
                <w:rFonts w:ascii="Times New Roman" w:hAnsi="Times New Roman" w:cs="Times New Roman"/>
                <w:color w:val="000000"/>
                <w:sz w:val="20"/>
                <w:szCs w:val="20"/>
              </w:rPr>
              <w:t>0.1119</w:t>
            </w:r>
          </w:p>
        </w:tc>
        <w:tc>
          <w:tcPr>
            <w:tcW w:w="1045" w:type="dxa"/>
            <w:tcBorders>
              <w:top w:val="nil"/>
              <w:left w:val="nil"/>
              <w:bottom w:val="nil"/>
              <w:right w:val="nil"/>
            </w:tcBorders>
            <w:vAlign w:val="bottom"/>
          </w:tcPr>
          <w:p w14:paraId="773E2228" w14:textId="77777777" w:rsidR="007E0A41" w:rsidRPr="00AF18A3" w:rsidRDefault="007E0A41" w:rsidP="00D1336B">
            <w:pPr>
              <w:spacing w:after="0" w:line="276" w:lineRule="auto"/>
              <w:jc w:val="center"/>
              <w:rPr>
                <w:rFonts w:ascii="Times New Roman" w:hAnsi="Times New Roman" w:cs="Times New Roman"/>
                <w:color w:val="000000"/>
                <w:sz w:val="20"/>
                <w:szCs w:val="20"/>
              </w:rPr>
            </w:pPr>
            <w:r w:rsidRPr="00AF18A3">
              <w:rPr>
                <w:rFonts w:ascii="Times New Roman" w:hAnsi="Times New Roman" w:cs="Times New Roman"/>
                <w:color w:val="000000"/>
                <w:sz w:val="20"/>
                <w:szCs w:val="20"/>
              </w:rPr>
              <w:t>0.0298</w:t>
            </w:r>
          </w:p>
        </w:tc>
        <w:tc>
          <w:tcPr>
            <w:tcW w:w="1027" w:type="dxa"/>
            <w:tcBorders>
              <w:top w:val="nil"/>
              <w:left w:val="nil"/>
              <w:bottom w:val="nil"/>
              <w:right w:val="nil"/>
            </w:tcBorders>
            <w:vAlign w:val="bottom"/>
          </w:tcPr>
          <w:p w14:paraId="25B14CE6" w14:textId="77777777" w:rsidR="007E0A41" w:rsidRPr="00AF18A3" w:rsidRDefault="007E0A41" w:rsidP="00D1336B">
            <w:pPr>
              <w:spacing w:after="0" w:line="276" w:lineRule="auto"/>
              <w:jc w:val="center"/>
              <w:rPr>
                <w:rFonts w:ascii="Times New Roman" w:hAnsi="Times New Roman" w:cs="Times New Roman"/>
                <w:color w:val="000000"/>
                <w:sz w:val="20"/>
                <w:szCs w:val="20"/>
              </w:rPr>
            </w:pPr>
            <w:r w:rsidRPr="00AF18A3">
              <w:rPr>
                <w:rFonts w:ascii="Times New Roman" w:hAnsi="Times New Roman" w:cs="Times New Roman"/>
                <w:color w:val="000000"/>
                <w:sz w:val="20"/>
                <w:szCs w:val="20"/>
              </w:rPr>
              <w:t>0.0241</w:t>
            </w:r>
          </w:p>
        </w:tc>
        <w:tc>
          <w:tcPr>
            <w:tcW w:w="1230" w:type="dxa"/>
            <w:tcBorders>
              <w:top w:val="nil"/>
              <w:left w:val="nil"/>
              <w:bottom w:val="nil"/>
              <w:right w:val="nil"/>
            </w:tcBorders>
            <w:vAlign w:val="bottom"/>
          </w:tcPr>
          <w:p w14:paraId="1DDFCA7B" w14:textId="77777777" w:rsidR="007E0A41" w:rsidRPr="00AF18A3" w:rsidRDefault="007E0A41" w:rsidP="00D1336B">
            <w:pPr>
              <w:spacing w:after="0" w:line="276" w:lineRule="auto"/>
              <w:jc w:val="center"/>
              <w:rPr>
                <w:rFonts w:ascii="Times New Roman" w:hAnsi="Times New Roman" w:cs="Times New Roman"/>
                <w:color w:val="000000"/>
                <w:sz w:val="20"/>
                <w:szCs w:val="20"/>
              </w:rPr>
            </w:pPr>
            <w:r w:rsidRPr="00AF18A3">
              <w:rPr>
                <w:rFonts w:ascii="Times New Roman" w:hAnsi="Times New Roman" w:cs="Times New Roman"/>
                <w:color w:val="000000"/>
                <w:sz w:val="20"/>
                <w:szCs w:val="20"/>
              </w:rPr>
              <w:t>0.0269</w:t>
            </w:r>
          </w:p>
        </w:tc>
      </w:tr>
      <w:tr w:rsidR="007E0A41" w:rsidRPr="00AF18A3" w14:paraId="365E6E0F" w14:textId="77777777" w:rsidTr="00701562">
        <w:trPr>
          <w:trHeight w:val="203"/>
        </w:trPr>
        <w:tc>
          <w:tcPr>
            <w:tcW w:w="641" w:type="dxa"/>
            <w:tcBorders>
              <w:top w:val="nil"/>
              <w:left w:val="nil"/>
              <w:bottom w:val="nil"/>
              <w:right w:val="nil"/>
            </w:tcBorders>
            <w:noWrap/>
            <w:hideMark/>
          </w:tcPr>
          <w:p w14:paraId="7817C11F"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lang w:eastAsia="en-IN"/>
                <w14:ligatures w14:val="none"/>
              </w:rPr>
            </w:pPr>
            <w:r w:rsidRPr="00AF18A3">
              <w:rPr>
                <w:rFonts w:ascii="Times New Roman" w:hAnsi="Times New Roman" w:cs="Times New Roman"/>
                <w:sz w:val="20"/>
                <w:szCs w:val="20"/>
              </w:rPr>
              <w:t>T</w:t>
            </w:r>
            <w:r w:rsidRPr="00AF18A3">
              <w:rPr>
                <w:rFonts w:ascii="Times New Roman" w:hAnsi="Times New Roman" w:cs="Times New Roman"/>
                <w:sz w:val="20"/>
                <w:szCs w:val="20"/>
                <w:vertAlign w:val="subscript"/>
              </w:rPr>
              <w:t>5</w:t>
            </w:r>
          </w:p>
        </w:tc>
        <w:tc>
          <w:tcPr>
            <w:tcW w:w="2033" w:type="dxa"/>
            <w:tcBorders>
              <w:top w:val="nil"/>
              <w:left w:val="nil"/>
              <w:bottom w:val="nil"/>
              <w:right w:val="nil"/>
            </w:tcBorders>
            <w:vAlign w:val="center"/>
            <w:hideMark/>
          </w:tcPr>
          <w:p w14:paraId="4258C815"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lang w:eastAsia="en-IN"/>
                <w14:ligatures w14:val="none"/>
              </w:rPr>
            </w:pPr>
            <w:r w:rsidRPr="00AF18A3">
              <w:rPr>
                <w:rFonts w:ascii="Times New Roman" w:eastAsia="Times New Roman" w:hAnsi="Times New Roman" w:cs="Times New Roman"/>
                <w:color w:val="000000"/>
                <w:kern w:val="0"/>
                <w:sz w:val="20"/>
                <w:szCs w:val="20"/>
                <w:lang w:eastAsia="en-IN"/>
                <w14:ligatures w14:val="none"/>
              </w:rPr>
              <w:t>FeSO</w:t>
            </w:r>
            <w:r w:rsidRPr="00AF18A3">
              <w:rPr>
                <w:rFonts w:ascii="Times New Roman" w:eastAsia="Times New Roman" w:hAnsi="Times New Roman" w:cs="Times New Roman"/>
                <w:color w:val="000000"/>
                <w:kern w:val="0"/>
                <w:sz w:val="20"/>
                <w:szCs w:val="20"/>
                <w:vertAlign w:val="subscript"/>
                <w:lang w:eastAsia="en-IN"/>
                <w14:ligatures w14:val="none"/>
              </w:rPr>
              <w:t>4</w:t>
            </w:r>
            <w:r w:rsidRPr="00AF18A3">
              <w:rPr>
                <w:rFonts w:ascii="Times New Roman" w:eastAsia="Times New Roman" w:hAnsi="Times New Roman" w:cs="Times New Roman"/>
                <w:color w:val="000000"/>
                <w:kern w:val="0"/>
                <w:sz w:val="20"/>
                <w:szCs w:val="20"/>
                <w:lang w:eastAsia="en-IN"/>
                <w14:ligatures w14:val="none"/>
              </w:rPr>
              <w:t xml:space="preserve"> @0.25%</w:t>
            </w:r>
          </w:p>
        </w:tc>
        <w:tc>
          <w:tcPr>
            <w:tcW w:w="1012" w:type="dxa"/>
            <w:tcBorders>
              <w:top w:val="nil"/>
              <w:left w:val="nil"/>
              <w:bottom w:val="nil"/>
              <w:right w:val="nil"/>
            </w:tcBorders>
            <w:noWrap/>
            <w:vAlign w:val="bottom"/>
            <w:hideMark/>
          </w:tcPr>
          <w:p w14:paraId="6300B75A"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lang w:eastAsia="en-IN"/>
                <w14:ligatures w14:val="none"/>
              </w:rPr>
            </w:pPr>
            <w:r w:rsidRPr="00AF18A3">
              <w:rPr>
                <w:rFonts w:ascii="Times New Roman" w:hAnsi="Times New Roman" w:cs="Times New Roman"/>
                <w:color w:val="000000"/>
                <w:sz w:val="20"/>
                <w:szCs w:val="20"/>
              </w:rPr>
              <w:t>0.0882</w:t>
            </w:r>
          </w:p>
        </w:tc>
        <w:tc>
          <w:tcPr>
            <w:tcW w:w="881" w:type="dxa"/>
            <w:tcBorders>
              <w:top w:val="nil"/>
              <w:left w:val="nil"/>
              <w:bottom w:val="nil"/>
              <w:right w:val="nil"/>
            </w:tcBorders>
            <w:noWrap/>
            <w:vAlign w:val="bottom"/>
            <w:hideMark/>
          </w:tcPr>
          <w:p w14:paraId="2D86DCDA"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lang w:eastAsia="en-IN"/>
                <w14:ligatures w14:val="none"/>
              </w:rPr>
            </w:pPr>
            <w:r w:rsidRPr="00AF18A3">
              <w:rPr>
                <w:rFonts w:ascii="Times New Roman" w:hAnsi="Times New Roman" w:cs="Times New Roman"/>
                <w:color w:val="000000"/>
                <w:sz w:val="20"/>
                <w:szCs w:val="20"/>
              </w:rPr>
              <w:t>0.0879</w:t>
            </w:r>
          </w:p>
        </w:tc>
        <w:tc>
          <w:tcPr>
            <w:tcW w:w="1114" w:type="dxa"/>
            <w:tcBorders>
              <w:top w:val="nil"/>
              <w:left w:val="nil"/>
              <w:bottom w:val="nil"/>
              <w:right w:val="nil"/>
            </w:tcBorders>
            <w:vAlign w:val="bottom"/>
          </w:tcPr>
          <w:p w14:paraId="29D352EA"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vertAlign w:val="superscript"/>
                <w:lang w:eastAsia="en-IN"/>
                <w14:ligatures w14:val="none"/>
              </w:rPr>
            </w:pPr>
            <w:r w:rsidRPr="00AF18A3">
              <w:rPr>
                <w:rFonts w:ascii="Times New Roman" w:hAnsi="Times New Roman" w:cs="Times New Roman"/>
                <w:color w:val="000000"/>
                <w:sz w:val="20"/>
                <w:szCs w:val="20"/>
              </w:rPr>
              <w:t>0.0881</w:t>
            </w:r>
          </w:p>
        </w:tc>
        <w:tc>
          <w:tcPr>
            <w:tcW w:w="966" w:type="dxa"/>
            <w:tcBorders>
              <w:top w:val="nil"/>
              <w:left w:val="nil"/>
              <w:bottom w:val="nil"/>
              <w:right w:val="nil"/>
            </w:tcBorders>
            <w:noWrap/>
            <w:vAlign w:val="bottom"/>
            <w:hideMark/>
          </w:tcPr>
          <w:p w14:paraId="2B20ABEF"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lang w:eastAsia="en-IN"/>
                <w14:ligatures w14:val="none"/>
              </w:rPr>
            </w:pPr>
            <w:r w:rsidRPr="00AF18A3">
              <w:rPr>
                <w:rFonts w:ascii="Times New Roman" w:hAnsi="Times New Roman" w:cs="Times New Roman"/>
                <w:color w:val="000000"/>
                <w:sz w:val="20"/>
                <w:szCs w:val="20"/>
              </w:rPr>
              <w:t>0.0165</w:t>
            </w:r>
          </w:p>
        </w:tc>
        <w:tc>
          <w:tcPr>
            <w:tcW w:w="881" w:type="dxa"/>
            <w:tcBorders>
              <w:top w:val="nil"/>
              <w:left w:val="nil"/>
              <w:bottom w:val="nil"/>
              <w:right w:val="nil"/>
            </w:tcBorders>
            <w:noWrap/>
            <w:vAlign w:val="bottom"/>
            <w:hideMark/>
          </w:tcPr>
          <w:p w14:paraId="1F70A9E5"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lang w:eastAsia="en-IN"/>
                <w14:ligatures w14:val="none"/>
              </w:rPr>
            </w:pPr>
            <w:r w:rsidRPr="00AF18A3">
              <w:rPr>
                <w:rFonts w:ascii="Times New Roman" w:hAnsi="Times New Roman" w:cs="Times New Roman"/>
                <w:color w:val="000000"/>
                <w:sz w:val="20"/>
                <w:szCs w:val="20"/>
              </w:rPr>
              <w:t>0.0167</w:t>
            </w:r>
          </w:p>
        </w:tc>
        <w:tc>
          <w:tcPr>
            <w:tcW w:w="1087" w:type="dxa"/>
            <w:tcBorders>
              <w:top w:val="nil"/>
              <w:left w:val="nil"/>
              <w:bottom w:val="nil"/>
              <w:right w:val="nil"/>
            </w:tcBorders>
            <w:vAlign w:val="bottom"/>
          </w:tcPr>
          <w:p w14:paraId="40328744"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vertAlign w:val="superscript"/>
                <w:lang w:eastAsia="en-IN"/>
                <w14:ligatures w14:val="none"/>
              </w:rPr>
            </w:pPr>
            <w:r w:rsidRPr="00AF18A3">
              <w:rPr>
                <w:rFonts w:ascii="Times New Roman" w:hAnsi="Times New Roman" w:cs="Times New Roman"/>
                <w:color w:val="000000"/>
                <w:sz w:val="20"/>
                <w:szCs w:val="20"/>
              </w:rPr>
              <w:t>0.0166</w:t>
            </w:r>
          </w:p>
        </w:tc>
        <w:tc>
          <w:tcPr>
            <w:tcW w:w="1028" w:type="dxa"/>
            <w:tcBorders>
              <w:top w:val="nil"/>
              <w:left w:val="nil"/>
              <w:bottom w:val="nil"/>
              <w:right w:val="nil"/>
            </w:tcBorders>
            <w:noWrap/>
            <w:vAlign w:val="bottom"/>
            <w:hideMark/>
          </w:tcPr>
          <w:p w14:paraId="6D7C03B5"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lang w:eastAsia="en-IN"/>
                <w14:ligatures w14:val="none"/>
              </w:rPr>
            </w:pPr>
            <w:r w:rsidRPr="00AF18A3">
              <w:rPr>
                <w:rFonts w:ascii="Times New Roman" w:hAnsi="Times New Roman" w:cs="Times New Roman"/>
                <w:color w:val="000000"/>
                <w:sz w:val="20"/>
                <w:szCs w:val="20"/>
              </w:rPr>
              <w:t>0.6558</w:t>
            </w:r>
          </w:p>
        </w:tc>
        <w:tc>
          <w:tcPr>
            <w:tcW w:w="946" w:type="dxa"/>
            <w:tcBorders>
              <w:top w:val="nil"/>
              <w:left w:val="nil"/>
              <w:bottom w:val="nil"/>
              <w:right w:val="nil"/>
            </w:tcBorders>
            <w:noWrap/>
            <w:vAlign w:val="bottom"/>
            <w:hideMark/>
          </w:tcPr>
          <w:p w14:paraId="49A725F2"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lang w:eastAsia="en-IN"/>
                <w14:ligatures w14:val="none"/>
              </w:rPr>
            </w:pPr>
            <w:r w:rsidRPr="00AF18A3">
              <w:rPr>
                <w:rFonts w:ascii="Times New Roman" w:hAnsi="Times New Roman" w:cs="Times New Roman"/>
                <w:color w:val="000000"/>
                <w:sz w:val="20"/>
                <w:szCs w:val="20"/>
              </w:rPr>
              <w:t>0.6100</w:t>
            </w:r>
          </w:p>
        </w:tc>
        <w:tc>
          <w:tcPr>
            <w:tcW w:w="1004" w:type="dxa"/>
            <w:tcBorders>
              <w:top w:val="nil"/>
              <w:left w:val="nil"/>
              <w:bottom w:val="nil"/>
              <w:right w:val="nil"/>
            </w:tcBorders>
            <w:vAlign w:val="bottom"/>
          </w:tcPr>
          <w:p w14:paraId="2C67A409"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vertAlign w:val="superscript"/>
                <w:lang w:eastAsia="en-IN"/>
                <w14:ligatures w14:val="none"/>
              </w:rPr>
            </w:pPr>
            <w:r w:rsidRPr="00AF18A3">
              <w:rPr>
                <w:rFonts w:ascii="Times New Roman" w:hAnsi="Times New Roman" w:cs="Times New Roman"/>
                <w:color w:val="000000"/>
                <w:sz w:val="20"/>
                <w:szCs w:val="20"/>
              </w:rPr>
              <w:t>0.6329</w:t>
            </w:r>
          </w:p>
        </w:tc>
        <w:tc>
          <w:tcPr>
            <w:tcW w:w="1045" w:type="dxa"/>
            <w:tcBorders>
              <w:top w:val="nil"/>
              <w:left w:val="nil"/>
              <w:bottom w:val="nil"/>
              <w:right w:val="nil"/>
            </w:tcBorders>
            <w:vAlign w:val="bottom"/>
          </w:tcPr>
          <w:p w14:paraId="1F0CAF0F" w14:textId="77777777" w:rsidR="007E0A41" w:rsidRPr="00AF18A3" w:rsidRDefault="007E0A41" w:rsidP="00D1336B">
            <w:pPr>
              <w:spacing w:after="0" w:line="276" w:lineRule="auto"/>
              <w:jc w:val="center"/>
              <w:rPr>
                <w:rFonts w:ascii="Times New Roman" w:hAnsi="Times New Roman" w:cs="Times New Roman"/>
                <w:color w:val="000000"/>
                <w:sz w:val="20"/>
                <w:szCs w:val="20"/>
              </w:rPr>
            </w:pPr>
            <w:r w:rsidRPr="00AF18A3">
              <w:rPr>
                <w:rFonts w:ascii="Times New Roman" w:hAnsi="Times New Roman" w:cs="Times New Roman"/>
                <w:color w:val="000000"/>
                <w:sz w:val="20"/>
                <w:szCs w:val="20"/>
              </w:rPr>
              <w:t>0.0038</w:t>
            </w:r>
          </w:p>
        </w:tc>
        <w:tc>
          <w:tcPr>
            <w:tcW w:w="1027" w:type="dxa"/>
            <w:tcBorders>
              <w:top w:val="nil"/>
              <w:left w:val="nil"/>
              <w:bottom w:val="nil"/>
              <w:right w:val="nil"/>
            </w:tcBorders>
            <w:vAlign w:val="bottom"/>
          </w:tcPr>
          <w:p w14:paraId="44A4985B" w14:textId="77777777" w:rsidR="007E0A41" w:rsidRPr="00AF18A3" w:rsidRDefault="007E0A41" w:rsidP="00D1336B">
            <w:pPr>
              <w:spacing w:after="0" w:line="276" w:lineRule="auto"/>
              <w:jc w:val="center"/>
              <w:rPr>
                <w:rFonts w:ascii="Times New Roman" w:hAnsi="Times New Roman" w:cs="Times New Roman"/>
                <w:color w:val="000000"/>
                <w:sz w:val="20"/>
                <w:szCs w:val="20"/>
              </w:rPr>
            </w:pPr>
            <w:r w:rsidRPr="00AF18A3">
              <w:rPr>
                <w:rFonts w:ascii="Times New Roman" w:hAnsi="Times New Roman" w:cs="Times New Roman"/>
                <w:color w:val="000000"/>
                <w:sz w:val="20"/>
                <w:szCs w:val="20"/>
              </w:rPr>
              <w:t>0.0057</w:t>
            </w:r>
          </w:p>
        </w:tc>
        <w:tc>
          <w:tcPr>
            <w:tcW w:w="1230" w:type="dxa"/>
            <w:tcBorders>
              <w:top w:val="nil"/>
              <w:left w:val="nil"/>
              <w:bottom w:val="nil"/>
              <w:right w:val="nil"/>
            </w:tcBorders>
            <w:vAlign w:val="bottom"/>
          </w:tcPr>
          <w:p w14:paraId="7975C6F4" w14:textId="77777777" w:rsidR="007E0A41" w:rsidRPr="00AF18A3" w:rsidRDefault="007E0A41" w:rsidP="00D1336B">
            <w:pPr>
              <w:spacing w:after="0" w:line="276" w:lineRule="auto"/>
              <w:jc w:val="center"/>
              <w:rPr>
                <w:rFonts w:ascii="Times New Roman" w:hAnsi="Times New Roman" w:cs="Times New Roman"/>
                <w:color w:val="000000"/>
                <w:sz w:val="20"/>
                <w:szCs w:val="20"/>
              </w:rPr>
            </w:pPr>
            <w:r w:rsidRPr="00AF18A3">
              <w:rPr>
                <w:rFonts w:ascii="Times New Roman" w:hAnsi="Times New Roman" w:cs="Times New Roman"/>
                <w:color w:val="000000"/>
                <w:sz w:val="20"/>
                <w:szCs w:val="20"/>
              </w:rPr>
              <w:t>0.0047</w:t>
            </w:r>
          </w:p>
        </w:tc>
      </w:tr>
      <w:tr w:rsidR="007E0A41" w:rsidRPr="00AF18A3" w14:paraId="3CCA459B" w14:textId="77777777" w:rsidTr="00701562">
        <w:trPr>
          <w:trHeight w:val="203"/>
        </w:trPr>
        <w:tc>
          <w:tcPr>
            <w:tcW w:w="641" w:type="dxa"/>
            <w:tcBorders>
              <w:top w:val="nil"/>
              <w:left w:val="nil"/>
              <w:bottom w:val="nil"/>
              <w:right w:val="nil"/>
            </w:tcBorders>
            <w:noWrap/>
            <w:hideMark/>
          </w:tcPr>
          <w:p w14:paraId="5FB1132F"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lang w:eastAsia="en-IN"/>
                <w14:ligatures w14:val="none"/>
              </w:rPr>
            </w:pPr>
            <w:r w:rsidRPr="00AF18A3">
              <w:rPr>
                <w:rFonts w:ascii="Times New Roman" w:hAnsi="Times New Roman" w:cs="Times New Roman"/>
                <w:sz w:val="20"/>
                <w:szCs w:val="20"/>
              </w:rPr>
              <w:t>T</w:t>
            </w:r>
            <w:r w:rsidRPr="00AF18A3">
              <w:rPr>
                <w:rFonts w:ascii="Times New Roman" w:hAnsi="Times New Roman" w:cs="Times New Roman"/>
                <w:sz w:val="20"/>
                <w:szCs w:val="20"/>
                <w:vertAlign w:val="subscript"/>
              </w:rPr>
              <w:t>6</w:t>
            </w:r>
          </w:p>
        </w:tc>
        <w:tc>
          <w:tcPr>
            <w:tcW w:w="2033" w:type="dxa"/>
            <w:tcBorders>
              <w:top w:val="nil"/>
              <w:left w:val="nil"/>
              <w:bottom w:val="nil"/>
              <w:right w:val="nil"/>
            </w:tcBorders>
            <w:vAlign w:val="center"/>
            <w:hideMark/>
          </w:tcPr>
          <w:p w14:paraId="2739D4D5"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lang w:eastAsia="en-IN"/>
                <w14:ligatures w14:val="none"/>
              </w:rPr>
            </w:pPr>
            <w:r w:rsidRPr="00AF18A3">
              <w:rPr>
                <w:rFonts w:ascii="Times New Roman" w:eastAsia="Times New Roman" w:hAnsi="Times New Roman" w:cs="Times New Roman"/>
                <w:color w:val="000000"/>
                <w:kern w:val="0"/>
                <w:sz w:val="20"/>
                <w:szCs w:val="20"/>
                <w:lang w:eastAsia="en-IN"/>
                <w14:ligatures w14:val="none"/>
              </w:rPr>
              <w:t>FeSO</w:t>
            </w:r>
            <w:r w:rsidRPr="00AF18A3">
              <w:rPr>
                <w:rFonts w:ascii="Times New Roman" w:eastAsia="Times New Roman" w:hAnsi="Times New Roman" w:cs="Times New Roman"/>
                <w:color w:val="000000"/>
                <w:kern w:val="0"/>
                <w:sz w:val="20"/>
                <w:szCs w:val="20"/>
                <w:vertAlign w:val="subscript"/>
                <w:lang w:eastAsia="en-IN"/>
                <w14:ligatures w14:val="none"/>
              </w:rPr>
              <w:t>4</w:t>
            </w:r>
            <w:r w:rsidRPr="00AF18A3">
              <w:rPr>
                <w:rFonts w:ascii="Times New Roman" w:eastAsia="Times New Roman" w:hAnsi="Times New Roman" w:cs="Times New Roman"/>
                <w:color w:val="000000"/>
                <w:kern w:val="0"/>
                <w:sz w:val="20"/>
                <w:szCs w:val="20"/>
                <w:lang w:eastAsia="en-IN"/>
                <w14:ligatures w14:val="none"/>
              </w:rPr>
              <w:t xml:space="preserve"> @0.50%</w:t>
            </w:r>
          </w:p>
        </w:tc>
        <w:tc>
          <w:tcPr>
            <w:tcW w:w="1012" w:type="dxa"/>
            <w:tcBorders>
              <w:top w:val="nil"/>
              <w:left w:val="nil"/>
              <w:bottom w:val="nil"/>
              <w:right w:val="nil"/>
            </w:tcBorders>
            <w:noWrap/>
            <w:vAlign w:val="bottom"/>
            <w:hideMark/>
          </w:tcPr>
          <w:p w14:paraId="70A6B24A"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lang w:eastAsia="en-IN"/>
                <w14:ligatures w14:val="none"/>
              </w:rPr>
            </w:pPr>
            <w:r w:rsidRPr="00AF18A3">
              <w:rPr>
                <w:rFonts w:ascii="Times New Roman" w:hAnsi="Times New Roman" w:cs="Times New Roman"/>
                <w:color w:val="000000"/>
                <w:sz w:val="20"/>
                <w:szCs w:val="20"/>
              </w:rPr>
              <w:t>0.0895</w:t>
            </w:r>
          </w:p>
        </w:tc>
        <w:tc>
          <w:tcPr>
            <w:tcW w:w="881" w:type="dxa"/>
            <w:tcBorders>
              <w:top w:val="nil"/>
              <w:left w:val="nil"/>
              <w:bottom w:val="nil"/>
              <w:right w:val="nil"/>
            </w:tcBorders>
            <w:noWrap/>
            <w:vAlign w:val="bottom"/>
            <w:hideMark/>
          </w:tcPr>
          <w:p w14:paraId="4612A297"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lang w:eastAsia="en-IN"/>
                <w14:ligatures w14:val="none"/>
              </w:rPr>
            </w:pPr>
            <w:r w:rsidRPr="00AF18A3">
              <w:rPr>
                <w:rFonts w:ascii="Times New Roman" w:hAnsi="Times New Roman" w:cs="Times New Roman"/>
                <w:color w:val="000000"/>
                <w:sz w:val="20"/>
                <w:szCs w:val="20"/>
              </w:rPr>
              <w:t>0.0894</w:t>
            </w:r>
          </w:p>
        </w:tc>
        <w:tc>
          <w:tcPr>
            <w:tcW w:w="1114" w:type="dxa"/>
            <w:tcBorders>
              <w:top w:val="nil"/>
              <w:left w:val="nil"/>
              <w:bottom w:val="nil"/>
              <w:right w:val="nil"/>
            </w:tcBorders>
            <w:vAlign w:val="bottom"/>
          </w:tcPr>
          <w:p w14:paraId="53F44F4C"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vertAlign w:val="superscript"/>
                <w:lang w:eastAsia="en-IN"/>
                <w14:ligatures w14:val="none"/>
              </w:rPr>
            </w:pPr>
            <w:r w:rsidRPr="00AF18A3">
              <w:rPr>
                <w:rFonts w:ascii="Times New Roman" w:hAnsi="Times New Roman" w:cs="Times New Roman"/>
                <w:color w:val="000000"/>
                <w:sz w:val="20"/>
                <w:szCs w:val="20"/>
              </w:rPr>
              <w:t>0.0894</w:t>
            </w:r>
          </w:p>
        </w:tc>
        <w:tc>
          <w:tcPr>
            <w:tcW w:w="966" w:type="dxa"/>
            <w:tcBorders>
              <w:top w:val="nil"/>
              <w:left w:val="nil"/>
              <w:bottom w:val="nil"/>
              <w:right w:val="nil"/>
            </w:tcBorders>
            <w:noWrap/>
            <w:vAlign w:val="bottom"/>
            <w:hideMark/>
          </w:tcPr>
          <w:p w14:paraId="5E930BA5"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lang w:eastAsia="en-IN"/>
                <w14:ligatures w14:val="none"/>
              </w:rPr>
            </w:pPr>
            <w:r w:rsidRPr="00AF18A3">
              <w:rPr>
                <w:rFonts w:ascii="Times New Roman" w:hAnsi="Times New Roman" w:cs="Times New Roman"/>
                <w:color w:val="000000"/>
                <w:sz w:val="20"/>
                <w:szCs w:val="20"/>
              </w:rPr>
              <w:t>0.0154</w:t>
            </w:r>
          </w:p>
        </w:tc>
        <w:tc>
          <w:tcPr>
            <w:tcW w:w="881" w:type="dxa"/>
            <w:tcBorders>
              <w:top w:val="nil"/>
              <w:left w:val="nil"/>
              <w:bottom w:val="nil"/>
              <w:right w:val="nil"/>
            </w:tcBorders>
            <w:noWrap/>
            <w:vAlign w:val="bottom"/>
            <w:hideMark/>
          </w:tcPr>
          <w:p w14:paraId="4A32AE81"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lang w:eastAsia="en-IN"/>
                <w14:ligatures w14:val="none"/>
              </w:rPr>
            </w:pPr>
            <w:r w:rsidRPr="00AF18A3">
              <w:rPr>
                <w:rFonts w:ascii="Times New Roman" w:hAnsi="Times New Roman" w:cs="Times New Roman"/>
                <w:color w:val="000000"/>
                <w:sz w:val="20"/>
                <w:szCs w:val="20"/>
              </w:rPr>
              <w:t>0.0159</w:t>
            </w:r>
          </w:p>
        </w:tc>
        <w:tc>
          <w:tcPr>
            <w:tcW w:w="1087" w:type="dxa"/>
            <w:tcBorders>
              <w:top w:val="nil"/>
              <w:left w:val="nil"/>
              <w:bottom w:val="nil"/>
              <w:right w:val="nil"/>
            </w:tcBorders>
            <w:vAlign w:val="bottom"/>
          </w:tcPr>
          <w:p w14:paraId="155D647B"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vertAlign w:val="superscript"/>
                <w:lang w:eastAsia="en-IN"/>
                <w14:ligatures w14:val="none"/>
              </w:rPr>
            </w:pPr>
            <w:r w:rsidRPr="00AF18A3">
              <w:rPr>
                <w:rFonts w:ascii="Times New Roman" w:hAnsi="Times New Roman" w:cs="Times New Roman"/>
                <w:color w:val="000000"/>
                <w:sz w:val="20"/>
                <w:szCs w:val="20"/>
              </w:rPr>
              <w:t>0.0157</w:t>
            </w:r>
          </w:p>
        </w:tc>
        <w:tc>
          <w:tcPr>
            <w:tcW w:w="1028" w:type="dxa"/>
            <w:tcBorders>
              <w:top w:val="nil"/>
              <w:left w:val="nil"/>
              <w:bottom w:val="nil"/>
              <w:right w:val="nil"/>
            </w:tcBorders>
            <w:noWrap/>
            <w:vAlign w:val="bottom"/>
            <w:hideMark/>
          </w:tcPr>
          <w:p w14:paraId="3AE47F73"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lang w:eastAsia="en-IN"/>
                <w14:ligatures w14:val="none"/>
              </w:rPr>
            </w:pPr>
            <w:r w:rsidRPr="00AF18A3">
              <w:rPr>
                <w:rFonts w:ascii="Times New Roman" w:hAnsi="Times New Roman" w:cs="Times New Roman"/>
                <w:color w:val="000000"/>
                <w:sz w:val="20"/>
                <w:szCs w:val="20"/>
              </w:rPr>
              <w:t>0.6810</w:t>
            </w:r>
          </w:p>
        </w:tc>
        <w:tc>
          <w:tcPr>
            <w:tcW w:w="946" w:type="dxa"/>
            <w:tcBorders>
              <w:top w:val="nil"/>
              <w:left w:val="nil"/>
              <w:bottom w:val="nil"/>
              <w:right w:val="nil"/>
            </w:tcBorders>
            <w:noWrap/>
            <w:vAlign w:val="bottom"/>
            <w:hideMark/>
          </w:tcPr>
          <w:p w14:paraId="6AFA4487"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lang w:eastAsia="en-IN"/>
                <w14:ligatures w14:val="none"/>
              </w:rPr>
            </w:pPr>
            <w:r w:rsidRPr="00AF18A3">
              <w:rPr>
                <w:rFonts w:ascii="Times New Roman" w:hAnsi="Times New Roman" w:cs="Times New Roman"/>
                <w:color w:val="000000"/>
                <w:sz w:val="20"/>
                <w:szCs w:val="20"/>
              </w:rPr>
              <w:t>0.5762</w:t>
            </w:r>
          </w:p>
        </w:tc>
        <w:tc>
          <w:tcPr>
            <w:tcW w:w="1004" w:type="dxa"/>
            <w:tcBorders>
              <w:top w:val="nil"/>
              <w:left w:val="nil"/>
              <w:bottom w:val="nil"/>
              <w:right w:val="nil"/>
            </w:tcBorders>
            <w:vAlign w:val="bottom"/>
          </w:tcPr>
          <w:p w14:paraId="1E23E283"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vertAlign w:val="superscript"/>
                <w:lang w:eastAsia="en-IN"/>
                <w14:ligatures w14:val="none"/>
              </w:rPr>
            </w:pPr>
            <w:r w:rsidRPr="00AF18A3">
              <w:rPr>
                <w:rFonts w:ascii="Times New Roman" w:hAnsi="Times New Roman" w:cs="Times New Roman"/>
                <w:color w:val="000000"/>
                <w:sz w:val="20"/>
                <w:szCs w:val="20"/>
              </w:rPr>
              <w:t>0.6286</w:t>
            </w:r>
          </w:p>
        </w:tc>
        <w:tc>
          <w:tcPr>
            <w:tcW w:w="1045" w:type="dxa"/>
            <w:tcBorders>
              <w:top w:val="nil"/>
              <w:left w:val="nil"/>
              <w:bottom w:val="nil"/>
              <w:right w:val="nil"/>
            </w:tcBorders>
            <w:vAlign w:val="bottom"/>
          </w:tcPr>
          <w:p w14:paraId="61B56B9E" w14:textId="77777777" w:rsidR="007E0A41" w:rsidRPr="00AF18A3" w:rsidRDefault="007E0A41" w:rsidP="00D1336B">
            <w:pPr>
              <w:spacing w:after="0" w:line="276" w:lineRule="auto"/>
              <w:jc w:val="center"/>
              <w:rPr>
                <w:rFonts w:ascii="Times New Roman" w:hAnsi="Times New Roman" w:cs="Times New Roman"/>
                <w:color w:val="000000"/>
                <w:sz w:val="20"/>
                <w:szCs w:val="20"/>
              </w:rPr>
            </w:pPr>
            <w:r w:rsidRPr="00AF18A3">
              <w:rPr>
                <w:rFonts w:ascii="Times New Roman" w:hAnsi="Times New Roman" w:cs="Times New Roman"/>
                <w:color w:val="000000"/>
                <w:sz w:val="20"/>
                <w:szCs w:val="20"/>
              </w:rPr>
              <w:t>0.0050</w:t>
            </w:r>
          </w:p>
        </w:tc>
        <w:tc>
          <w:tcPr>
            <w:tcW w:w="1027" w:type="dxa"/>
            <w:tcBorders>
              <w:top w:val="nil"/>
              <w:left w:val="nil"/>
              <w:bottom w:val="nil"/>
              <w:right w:val="nil"/>
            </w:tcBorders>
            <w:vAlign w:val="bottom"/>
          </w:tcPr>
          <w:p w14:paraId="07EE76CD" w14:textId="77777777" w:rsidR="007E0A41" w:rsidRPr="00AF18A3" w:rsidRDefault="007E0A41" w:rsidP="00D1336B">
            <w:pPr>
              <w:spacing w:after="0" w:line="276" w:lineRule="auto"/>
              <w:jc w:val="center"/>
              <w:rPr>
                <w:rFonts w:ascii="Times New Roman" w:hAnsi="Times New Roman" w:cs="Times New Roman"/>
                <w:color w:val="000000"/>
                <w:sz w:val="20"/>
                <w:szCs w:val="20"/>
              </w:rPr>
            </w:pPr>
            <w:r w:rsidRPr="00AF18A3">
              <w:rPr>
                <w:rFonts w:ascii="Times New Roman" w:hAnsi="Times New Roman" w:cs="Times New Roman"/>
                <w:color w:val="000000"/>
                <w:sz w:val="20"/>
                <w:szCs w:val="20"/>
              </w:rPr>
              <w:t>0.0050</w:t>
            </w:r>
          </w:p>
        </w:tc>
        <w:tc>
          <w:tcPr>
            <w:tcW w:w="1230" w:type="dxa"/>
            <w:tcBorders>
              <w:top w:val="nil"/>
              <w:left w:val="nil"/>
              <w:bottom w:val="nil"/>
              <w:right w:val="nil"/>
            </w:tcBorders>
            <w:vAlign w:val="bottom"/>
          </w:tcPr>
          <w:p w14:paraId="62504740" w14:textId="77777777" w:rsidR="007E0A41" w:rsidRPr="00AF18A3" w:rsidRDefault="007E0A41" w:rsidP="00D1336B">
            <w:pPr>
              <w:spacing w:after="0" w:line="276" w:lineRule="auto"/>
              <w:jc w:val="center"/>
              <w:rPr>
                <w:rFonts w:ascii="Times New Roman" w:hAnsi="Times New Roman" w:cs="Times New Roman"/>
                <w:color w:val="000000"/>
                <w:sz w:val="20"/>
                <w:szCs w:val="20"/>
              </w:rPr>
            </w:pPr>
            <w:r w:rsidRPr="00AF18A3">
              <w:rPr>
                <w:rFonts w:ascii="Times New Roman" w:hAnsi="Times New Roman" w:cs="Times New Roman"/>
                <w:color w:val="000000"/>
                <w:sz w:val="20"/>
                <w:szCs w:val="20"/>
              </w:rPr>
              <w:t>0.0050</w:t>
            </w:r>
          </w:p>
        </w:tc>
      </w:tr>
      <w:tr w:rsidR="007E0A41" w:rsidRPr="00AF18A3" w14:paraId="0C14A0CB" w14:textId="77777777" w:rsidTr="00701562">
        <w:trPr>
          <w:trHeight w:val="203"/>
        </w:trPr>
        <w:tc>
          <w:tcPr>
            <w:tcW w:w="641" w:type="dxa"/>
            <w:tcBorders>
              <w:top w:val="nil"/>
              <w:left w:val="nil"/>
              <w:bottom w:val="nil"/>
              <w:right w:val="nil"/>
            </w:tcBorders>
            <w:noWrap/>
            <w:hideMark/>
          </w:tcPr>
          <w:p w14:paraId="36DD1F9B"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lang w:eastAsia="en-IN"/>
                <w14:ligatures w14:val="none"/>
              </w:rPr>
            </w:pPr>
            <w:r w:rsidRPr="00AF18A3">
              <w:rPr>
                <w:rFonts w:ascii="Times New Roman" w:hAnsi="Times New Roman" w:cs="Times New Roman"/>
                <w:sz w:val="20"/>
                <w:szCs w:val="20"/>
              </w:rPr>
              <w:t>T</w:t>
            </w:r>
            <w:r w:rsidRPr="00AF18A3">
              <w:rPr>
                <w:rFonts w:ascii="Times New Roman" w:hAnsi="Times New Roman" w:cs="Times New Roman"/>
                <w:sz w:val="20"/>
                <w:szCs w:val="20"/>
                <w:vertAlign w:val="subscript"/>
              </w:rPr>
              <w:t>7</w:t>
            </w:r>
          </w:p>
        </w:tc>
        <w:tc>
          <w:tcPr>
            <w:tcW w:w="2033" w:type="dxa"/>
            <w:tcBorders>
              <w:top w:val="nil"/>
              <w:left w:val="nil"/>
              <w:bottom w:val="nil"/>
              <w:right w:val="nil"/>
            </w:tcBorders>
            <w:vAlign w:val="center"/>
            <w:hideMark/>
          </w:tcPr>
          <w:p w14:paraId="5C123E0C"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lang w:eastAsia="en-IN"/>
                <w14:ligatures w14:val="none"/>
              </w:rPr>
            </w:pPr>
            <w:r w:rsidRPr="00AF18A3">
              <w:rPr>
                <w:rFonts w:ascii="Times New Roman" w:eastAsia="Times New Roman" w:hAnsi="Times New Roman" w:cs="Times New Roman"/>
                <w:color w:val="000000"/>
                <w:kern w:val="0"/>
                <w:sz w:val="20"/>
                <w:szCs w:val="20"/>
                <w:lang w:eastAsia="en-IN"/>
                <w14:ligatures w14:val="none"/>
              </w:rPr>
              <w:t>FeSO</w:t>
            </w:r>
            <w:r w:rsidRPr="00AF18A3">
              <w:rPr>
                <w:rFonts w:ascii="Times New Roman" w:eastAsia="Times New Roman" w:hAnsi="Times New Roman" w:cs="Times New Roman"/>
                <w:color w:val="000000"/>
                <w:kern w:val="0"/>
                <w:sz w:val="20"/>
                <w:szCs w:val="20"/>
                <w:vertAlign w:val="subscript"/>
                <w:lang w:eastAsia="en-IN"/>
                <w14:ligatures w14:val="none"/>
              </w:rPr>
              <w:t>4</w:t>
            </w:r>
            <w:r w:rsidRPr="00AF18A3">
              <w:rPr>
                <w:rFonts w:ascii="Times New Roman" w:eastAsia="Times New Roman" w:hAnsi="Times New Roman" w:cs="Times New Roman"/>
                <w:color w:val="000000"/>
                <w:kern w:val="0"/>
                <w:sz w:val="20"/>
                <w:szCs w:val="20"/>
                <w:lang w:eastAsia="en-IN"/>
                <w14:ligatures w14:val="none"/>
              </w:rPr>
              <w:t xml:space="preserve"> @0.75%</w:t>
            </w:r>
          </w:p>
        </w:tc>
        <w:tc>
          <w:tcPr>
            <w:tcW w:w="1012" w:type="dxa"/>
            <w:tcBorders>
              <w:top w:val="nil"/>
              <w:left w:val="nil"/>
              <w:bottom w:val="nil"/>
              <w:right w:val="nil"/>
            </w:tcBorders>
            <w:noWrap/>
            <w:vAlign w:val="bottom"/>
            <w:hideMark/>
          </w:tcPr>
          <w:p w14:paraId="42E329CD"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lang w:eastAsia="en-IN"/>
                <w14:ligatures w14:val="none"/>
              </w:rPr>
            </w:pPr>
            <w:r w:rsidRPr="00AF18A3">
              <w:rPr>
                <w:rFonts w:ascii="Times New Roman" w:hAnsi="Times New Roman" w:cs="Times New Roman"/>
                <w:color w:val="000000"/>
                <w:sz w:val="20"/>
                <w:szCs w:val="20"/>
              </w:rPr>
              <w:t>0.0903</w:t>
            </w:r>
          </w:p>
        </w:tc>
        <w:tc>
          <w:tcPr>
            <w:tcW w:w="881" w:type="dxa"/>
            <w:tcBorders>
              <w:top w:val="nil"/>
              <w:left w:val="nil"/>
              <w:bottom w:val="nil"/>
              <w:right w:val="nil"/>
            </w:tcBorders>
            <w:noWrap/>
            <w:vAlign w:val="bottom"/>
            <w:hideMark/>
          </w:tcPr>
          <w:p w14:paraId="1FC77657"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lang w:eastAsia="en-IN"/>
                <w14:ligatures w14:val="none"/>
              </w:rPr>
            </w:pPr>
            <w:r w:rsidRPr="00AF18A3">
              <w:rPr>
                <w:rFonts w:ascii="Times New Roman" w:hAnsi="Times New Roman" w:cs="Times New Roman"/>
                <w:color w:val="000000"/>
                <w:sz w:val="20"/>
                <w:szCs w:val="20"/>
              </w:rPr>
              <w:t>0.0900</w:t>
            </w:r>
          </w:p>
        </w:tc>
        <w:tc>
          <w:tcPr>
            <w:tcW w:w="1114" w:type="dxa"/>
            <w:tcBorders>
              <w:top w:val="nil"/>
              <w:left w:val="nil"/>
              <w:bottom w:val="nil"/>
              <w:right w:val="nil"/>
            </w:tcBorders>
            <w:vAlign w:val="bottom"/>
          </w:tcPr>
          <w:p w14:paraId="4213AB6A"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vertAlign w:val="superscript"/>
                <w:lang w:eastAsia="en-IN"/>
                <w14:ligatures w14:val="none"/>
              </w:rPr>
            </w:pPr>
            <w:r w:rsidRPr="00AF18A3">
              <w:rPr>
                <w:rFonts w:ascii="Times New Roman" w:hAnsi="Times New Roman" w:cs="Times New Roman"/>
                <w:color w:val="000000"/>
                <w:sz w:val="20"/>
                <w:szCs w:val="20"/>
              </w:rPr>
              <w:t>0.0901</w:t>
            </w:r>
          </w:p>
        </w:tc>
        <w:tc>
          <w:tcPr>
            <w:tcW w:w="966" w:type="dxa"/>
            <w:tcBorders>
              <w:top w:val="nil"/>
              <w:left w:val="nil"/>
              <w:bottom w:val="nil"/>
              <w:right w:val="nil"/>
            </w:tcBorders>
            <w:noWrap/>
            <w:vAlign w:val="bottom"/>
            <w:hideMark/>
          </w:tcPr>
          <w:p w14:paraId="07A3EA1D"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lang w:eastAsia="en-IN"/>
                <w14:ligatures w14:val="none"/>
              </w:rPr>
            </w:pPr>
            <w:r w:rsidRPr="00AF18A3">
              <w:rPr>
                <w:rFonts w:ascii="Times New Roman" w:hAnsi="Times New Roman" w:cs="Times New Roman"/>
                <w:color w:val="000000"/>
                <w:sz w:val="20"/>
                <w:szCs w:val="20"/>
              </w:rPr>
              <w:t>0.0162</w:t>
            </w:r>
          </w:p>
        </w:tc>
        <w:tc>
          <w:tcPr>
            <w:tcW w:w="881" w:type="dxa"/>
            <w:tcBorders>
              <w:top w:val="nil"/>
              <w:left w:val="nil"/>
              <w:bottom w:val="nil"/>
              <w:right w:val="nil"/>
            </w:tcBorders>
            <w:noWrap/>
            <w:vAlign w:val="bottom"/>
            <w:hideMark/>
          </w:tcPr>
          <w:p w14:paraId="3658FD87"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lang w:eastAsia="en-IN"/>
                <w14:ligatures w14:val="none"/>
              </w:rPr>
            </w:pPr>
            <w:r w:rsidRPr="00AF18A3">
              <w:rPr>
                <w:rFonts w:ascii="Times New Roman" w:hAnsi="Times New Roman" w:cs="Times New Roman"/>
                <w:color w:val="000000"/>
                <w:sz w:val="20"/>
                <w:szCs w:val="20"/>
              </w:rPr>
              <w:t>0.0164</w:t>
            </w:r>
          </w:p>
        </w:tc>
        <w:tc>
          <w:tcPr>
            <w:tcW w:w="1087" w:type="dxa"/>
            <w:tcBorders>
              <w:top w:val="nil"/>
              <w:left w:val="nil"/>
              <w:bottom w:val="nil"/>
              <w:right w:val="nil"/>
            </w:tcBorders>
            <w:vAlign w:val="bottom"/>
          </w:tcPr>
          <w:p w14:paraId="0F02F737"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vertAlign w:val="superscript"/>
                <w:lang w:eastAsia="en-IN"/>
                <w14:ligatures w14:val="none"/>
              </w:rPr>
            </w:pPr>
            <w:r w:rsidRPr="00AF18A3">
              <w:rPr>
                <w:rFonts w:ascii="Times New Roman" w:hAnsi="Times New Roman" w:cs="Times New Roman"/>
                <w:color w:val="000000"/>
                <w:sz w:val="20"/>
                <w:szCs w:val="20"/>
              </w:rPr>
              <w:t>0.0163</w:t>
            </w:r>
          </w:p>
        </w:tc>
        <w:tc>
          <w:tcPr>
            <w:tcW w:w="1028" w:type="dxa"/>
            <w:tcBorders>
              <w:top w:val="nil"/>
              <w:left w:val="nil"/>
              <w:bottom w:val="nil"/>
              <w:right w:val="nil"/>
            </w:tcBorders>
            <w:noWrap/>
            <w:vAlign w:val="bottom"/>
            <w:hideMark/>
          </w:tcPr>
          <w:p w14:paraId="7FD2C448"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lang w:eastAsia="en-IN"/>
                <w14:ligatures w14:val="none"/>
              </w:rPr>
            </w:pPr>
            <w:r w:rsidRPr="00AF18A3">
              <w:rPr>
                <w:rFonts w:ascii="Times New Roman" w:hAnsi="Times New Roman" w:cs="Times New Roman"/>
                <w:color w:val="000000"/>
                <w:sz w:val="20"/>
                <w:szCs w:val="20"/>
              </w:rPr>
              <w:t>0.7699</w:t>
            </w:r>
          </w:p>
        </w:tc>
        <w:tc>
          <w:tcPr>
            <w:tcW w:w="946" w:type="dxa"/>
            <w:tcBorders>
              <w:top w:val="nil"/>
              <w:left w:val="nil"/>
              <w:bottom w:val="nil"/>
              <w:right w:val="nil"/>
            </w:tcBorders>
            <w:noWrap/>
            <w:vAlign w:val="bottom"/>
            <w:hideMark/>
          </w:tcPr>
          <w:p w14:paraId="53C0ED0D"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lang w:eastAsia="en-IN"/>
                <w14:ligatures w14:val="none"/>
              </w:rPr>
            </w:pPr>
            <w:r w:rsidRPr="00AF18A3">
              <w:rPr>
                <w:rFonts w:ascii="Times New Roman" w:hAnsi="Times New Roman" w:cs="Times New Roman"/>
                <w:color w:val="000000"/>
                <w:sz w:val="20"/>
                <w:szCs w:val="20"/>
              </w:rPr>
              <w:t>0.8620</w:t>
            </w:r>
          </w:p>
        </w:tc>
        <w:tc>
          <w:tcPr>
            <w:tcW w:w="1004" w:type="dxa"/>
            <w:tcBorders>
              <w:top w:val="nil"/>
              <w:left w:val="nil"/>
              <w:bottom w:val="nil"/>
              <w:right w:val="nil"/>
            </w:tcBorders>
            <w:vAlign w:val="bottom"/>
          </w:tcPr>
          <w:p w14:paraId="2B52DEF8"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vertAlign w:val="superscript"/>
                <w:lang w:eastAsia="en-IN"/>
                <w14:ligatures w14:val="none"/>
              </w:rPr>
            </w:pPr>
            <w:r w:rsidRPr="00AF18A3">
              <w:rPr>
                <w:rFonts w:ascii="Times New Roman" w:hAnsi="Times New Roman" w:cs="Times New Roman"/>
                <w:color w:val="000000"/>
                <w:sz w:val="20"/>
                <w:szCs w:val="20"/>
              </w:rPr>
              <w:t>0.8159</w:t>
            </w:r>
          </w:p>
        </w:tc>
        <w:tc>
          <w:tcPr>
            <w:tcW w:w="1045" w:type="dxa"/>
            <w:tcBorders>
              <w:top w:val="nil"/>
              <w:left w:val="nil"/>
              <w:bottom w:val="nil"/>
              <w:right w:val="nil"/>
            </w:tcBorders>
            <w:vAlign w:val="bottom"/>
          </w:tcPr>
          <w:p w14:paraId="2540A25E" w14:textId="77777777" w:rsidR="007E0A41" w:rsidRPr="00AF18A3" w:rsidRDefault="007E0A41" w:rsidP="00D1336B">
            <w:pPr>
              <w:spacing w:after="0" w:line="276" w:lineRule="auto"/>
              <w:jc w:val="center"/>
              <w:rPr>
                <w:rFonts w:ascii="Times New Roman" w:hAnsi="Times New Roman" w:cs="Times New Roman"/>
                <w:color w:val="000000"/>
                <w:sz w:val="20"/>
                <w:szCs w:val="20"/>
              </w:rPr>
            </w:pPr>
            <w:r w:rsidRPr="00AF18A3">
              <w:rPr>
                <w:rFonts w:ascii="Times New Roman" w:hAnsi="Times New Roman" w:cs="Times New Roman"/>
                <w:color w:val="000000"/>
                <w:sz w:val="20"/>
                <w:szCs w:val="20"/>
              </w:rPr>
              <w:t>0.0085</w:t>
            </w:r>
          </w:p>
        </w:tc>
        <w:tc>
          <w:tcPr>
            <w:tcW w:w="1027" w:type="dxa"/>
            <w:tcBorders>
              <w:top w:val="nil"/>
              <w:left w:val="nil"/>
              <w:bottom w:val="nil"/>
              <w:right w:val="nil"/>
            </w:tcBorders>
            <w:vAlign w:val="bottom"/>
          </w:tcPr>
          <w:p w14:paraId="3BA1B48F" w14:textId="77777777" w:rsidR="007E0A41" w:rsidRPr="00AF18A3" w:rsidRDefault="007E0A41" w:rsidP="00D1336B">
            <w:pPr>
              <w:spacing w:after="0" w:line="276" w:lineRule="auto"/>
              <w:jc w:val="center"/>
              <w:rPr>
                <w:rFonts w:ascii="Times New Roman" w:hAnsi="Times New Roman" w:cs="Times New Roman"/>
                <w:color w:val="000000"/>
                <w:sz w:val="20"/>
                <w:szCs w:val="20"/>
              </w:rPr>
            </w:pPr>
            <w:r w:rsidRPr="00AF18A3">
              <w:rPr>
                <w:rFonts w:ascii="Times New Roman" w:hAnsi="Times New Roman" w:cs="Times New Roman"/>
                <w:color w:val="000000"/>
                <w:sz w:val="20"/>
                <w:szCs w:val="20"/>
              </w:rPr>
              <w:t>0.0068</w:t>
            </w:r>
          </w:p>
        </w:tc>
        <w:tc>
          <w:tcPr>
            <w:tcW w:w="1230" w:type="dxa"/>
            <w:tcBorders>
              <w:top w:val="nil"/>
              <w:left w:val="nil"/>
              <w:bottom w:val="nil"/>
              <w:right w:val="nil"/>
            </w:tcBorders>
            <w:vAlign w:val="bottom"/>
          </w:tcPr>
          <w:p w14:paraId="4598A592" w14:textId="77777777" w:rsidR="007E0A41" w:rsidRPr="00AF18A3" w:rsidRDefault="007E0A41" w:rsidP="00D1336B">
            <w:pPr>
              <w:spacing w:after="0" w:line="276" w:lineRule="auto"/>
              <w:jc w:val="center"/>
              <w:rPr>
                <w:rFonts w:ascii="Times New Roman" w:hAnsi="Times New Roman" w:cs="Times New Roman"/>
                <w:color w:val="000000"/>
                <w:sz w:val="20"/>
                <w:szCs w:val="20"/>
              </w:rPr>
            </w:pPr>
            <w:r w:rsidRPr="00AF18A3">
              <w:rPr>
                <w:rFonts w:ascii="Times New Roman" w:hAnsi="Times New Roman" w:cs="Times New Roman"/>
                <w:color w:val="000000"/>
                <w:sz w:val="20"/>
                <w:szCs w:val="20"/>
              </w:rPr>
              <w:t>0.0077</w:t>
            </w:r>
          </w:p>
        </w:tc>
      </w:tr>
      <w:tr w:rsidR="007E0A41" w:rsidRPr="00AF18A3" w14:paraId="7DC1E824" w14:textId="77777777" w:rsidTr="00701562">
        <w:trPr>
          <w:trHeight w:val="187"/>
        </w:trPr>
        <w:tc>
          <w:tcPr>
            <w:tcW w:w="641" w:type="dxa"/>
            <w:tcBorders>
              <w:top w:val="nil"/>
              <w:left w:val="nil"/>
              <w:bottom w:val="nil"/>
              <w:right w:val="nil"/>
            </w:tcBorders>
            <w:noWrap/>
            <w:hideMark/>
          </w:tcPr>
          <w:p w14:paraId="0E693B8E"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lang w:eastAsia="en-IN"/>
                <w14:ligatures w14:val="none"/>
              </w:rPr>
            </w:pPr>
            <w:r w:rsidRPr="00AF18A3">
              <w:rPr>
                <w:rFonts w:ascii="Times New Roman" w:hAnsi="Times New Roman" w:cs="Times New Roman"/>
                <w:sz w:val="20"/>
                <w:szCs w:val="20"/>
              </w:rPr>
              <w:t>T</w:t>
            </w:r>
            <w:r w:rsidRPr="00AF18A3">
              <w:rPr>
                <w:rFonts w:ascii="Times New Roman" w:hAnsi="Times New Roman" w:cs="Times New Roman"/>
                <w:sz w:val="20"/>
                <w:szCs w:val="20"/>
                <w:vertAlign w:val="subscript"/>
              </w:rPr>
              <w:t>8</w:t>
            </w:r>
          </w:p>
        </w:tc>
        <w:tc>
          <w:tcPr>
            <w:tcW w:w="2033" w:type="dxa"/>
            <w:tcBorders>
              <w:top w:val="nil"/>
              <w:left w:val="nil"/>
              <w:bottom w:val="nil"/>
              <w:right w:val="nil"/>
            </w:tcBorders>
            <w:vAlign w:val="center"/>
            <w:hideMark/>
          </w:tcPr>
          <w:p w14:paraId="761E65B6"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lang w:eastAsia="en-IN"/>
                <w14:ligatures w14:val="none"/>
              </w:rPr>
            </w:pPr>
            <w:r w:rsidRPr="00AF18A3">
              <w:rPr>
                <w:rFonts w:ascii="Times New Roman" w:eastAsia="Times New Roman" w:hAnsi="Times New Roman" w:cs="Times New Roman"/>
                <w:color w:val="000000"/>
                <w:kern w:val="0"/>
                <w:sz w:val="20"/>
                <w:szCs w:val="20"/>
                <w:lang w:eastAsia="en-IN"/>
                <w14:ligatures w14:val="none"/>
              </w:rPr>
              <w:t>Chelated zinc @0.25%</w:t>
            </w:r>
          </w:p>
        </w:tc>
        <w:tc>
          <w:tcPr>
            <w:tcW w:w="1012" w:type="dxa"/>
            <w:tcBorders>
              <w:top w:val="nil"/>
              <w:left w:val="nil"/>
              <w:bottom w:val="nil"/>
              <w:right w:val="nil"/>
            </w:tcBorders>
            <w:noWrap/>
            <w:vAlign w:val="bottom"/>
            <w:hideMark/>
          </w:tcPr>
          <w:p w14:paraId="073100FD"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lang w:eastAsia="en-IN"/>
                <w14:ligatures w14:val="none"/>
              </w:rPr>
            </w:pPr>
            <w:r w:rsidRPr="00AF18A3">
              <w:rPr>
                <w:rFonts w:ascii="Times New Roman" w:hAnsi="Times New Roman" w:cs="Times New Roman"/>
                <w:color w:val="000000"/>
                <w:sz w:val="20"/>
                <w:szCs w:val="20"/>
              </w:rPr>
              <w:t>0.0923</w:t>
            </w:r>
          </w:p>
        </w:tc>
        <w:tc>
          <w:tcPr>
            <w:tcW w:w="881" w:type="dxa"/>
            <w:tcBorders>
              <w:top w:val="nil"/>
              <w:left w:val="nil"/>
              <w:bottom w:val="nil"/>
              <w:right w:val="nil"/>
            </w:tcBorders>
            <w:noWrap/>
            <w:vAlign w:val="bottom"/>
            <w:hideMark/>
          </w:tcPr>
          <w:p w14:paraId="7DFFA5C6"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lang w:eastAsia="en-IN"/>
                <w14:ligatures w14:val="none"/>
              </w:rPr>
            </w:pPr>
            <w:r w:rsidRPr="00AF18A3">
              <w:rPr>
                <w:rFonts w:ascii="Times New Roman" w:hAnsi="Times New Roman" w:cs="Times New Roman"/>
                <w:color w:val="000000"/>
                <w:sz w:val="20"/>
                <w:szCs w:val="20"/>
              </w:rPr>
              <w:t>0.0922</w:t>
            </w:r>
          </w:p>
        </w:tc>
        <w:tc>
          <w:tcPr>
            <w:tcW w:w="1114" w:type="dxa"/>
            <w:tcBorders>
              <w:top w:val="nil"/>
              <w:left w:val="nil"/>
              <w:bottom w:val="nil"/>
              <w:right w:val="nil"/>
            </w:tcBorders>
            <w:vAlign w:val="bottom"/>
          </w:tcPr>
          <w:p w14:paraId="5387A227"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vertAlign w:val="superscript"/>
                <w:lang w:eastAsia="en-IN"/>
                <w14:ligatures w14:val="none"/>
              </w:rPr>
            </w:pPr>
            <w:r w:rsidRPr="00AF18A3">
              <w:rPr>
                <w:rFonts w:ascii="Times New Roman" w:hAnsi="Times New Roman" w:cs="Times New Roman"/>
                <w:color w:val="000000"/>
                <w:sz w:val="20"/>
                <w:szCs w:val="20"/>
              </w:rPr>
              <w:t>0.0923</w:t>
            </w:r>
          </w:p>
        </w:tc>
        <w:tc>
          <w:tcPr>
            <w:tcW w:w="966" w:type="dxa"/>
            <w:tcBorders>
              <w:top w:val="nil"/>
              <w:left w:val="nil"/>
              <w:bottom w:val="nil"/>
              <w:right w:val="nil"/>
            </w:tcBorders>
            <w:noWrap/>
            <w:vAlign w:val="bottom"/>
            <w:hideMark/>
          </w:tcPr>
          <w:p w14:paraId="15648A83"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lang w:eastAsia="en-IN"/>
                <w14:ligatures w14:val="none"/>
              </w:rPr>
            </w:pPr>
            <w:r w:rsidRPr="00AF18A3">
              <w:rPr>
                <w:rFonts w:ascii="Times New Roman" w:hAnsi="Times New Roman" w:cs="Times New Roman"/>
                <w:color w:val="000000"/>
                <w:sz w:val="20"/>
                <w:szCs w:val="20"/>
              </w:rPr>
              <w:t>0.0157</w:t>
            </w:r>
          </w:p>
        </w:tc>
        <w:tc>
          <w:tcPr>
            <w:tcW w:w="881" w:type="dxa"/>
            <w:tcBorders>
              <w:top w:val="nil"/>
              <w:left w:val="nil"/>
              <w:bottom w:val="nil"/>
              <w:right w:val="nil"/>
            </w:tcBorders>
            <w:noWrap/>
            <w:vAlign w:val="bottom"/>
            <w:hideMark/>
          </w:tcPr>
          <w:p w14:paraId="4D227CFC"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lang w:eastAsia="en-IN"/>
                <w14:ligatures w14:val="none"/>
              </w:rPr>
            </w:pPr>
            <w:r w:rsidRPr="00AF18A3">
              <w:rPr>
                <w:rFonts w:ascii="Times New Roman" w:hAnsi="Times New Roman" w:cs="Times New Roman"/>
                <w:color w:val="000000"/>
                <w:sz w:val="20"/>
                <w:szCs w:val="20"/>
              </w:rPr>
              <w:t>0.0156</w:t>
            </w:r>
          </w:p>
        </w:tc>
        <w:tc>
          <w:tcPr>
            <w:tcW w:w="1087" w:type="dxa"/>
            <w:tcBorders>
              <w:top w:val="nil"/>
              <w:left w:val="nil"/>
              <w:bottom w:val="nil"/>
              <w:right w:val="nil"/>
            </w:tcBorders>
            <w:vAlign w:val="bottom"/>
          </w:tcPr>
          <w:p w14:paraId="3F21AEA2"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vertAlign w:val="superscript"/>
                <w:lang w:eastAsia="en-IN"/>
                <w14:ligatures w14:val="none"/>
              </w:rPr>
            </w:pPr>
            <w:r w:rsidRPr="00AF18A3">
              <w:rPr>
                <w:rFonts w:ascii="Times New Roman" w:hAnsi="Times New Roman" w:cs="Times New Roman"/>
                <w:color w:val="000000"/>
                <w:sz w:val="20"/>
                <w:szCs w:val="20"/>
              </w:rPr>
              <w:t>0.0157</w:t>
            </w:r>
          </w:p>
        </w:tc>
        <w:tc>
          <w:tcPr>
            <w:tcW w:w="1028" w:type="dxa"/>
            <w:tcBorders>
              <w:top w:val="nil"/>
              <w:left w:val="nil"/>
              <w:bottom w:val="nil"/>
              <w:right w:val="nil"/>
            </w:tcBorders>
            <w:noWrap/>
            <w:vAlign w:val="bottom"/>
            <w:hideMark/>
          </w:tcPr>
          <w:p w14:paraId="0A354396"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lang w:eastAsia="en-IN"/>
                <w14:ligatures w14:val="none"/>
              </w:rPr>
            </w:pPr>
            <w:r w:rsidRPr="00AF18A3">
              <w:rPr>
                <w:rFonts w:ascii="Times New Roman" w:hAnsi="Times New Roman" w:cs="Times New Roman"/>
                <w:color w:val="000000"/>
                <w:sz w:val="20"/>
                <w:szCs w:val="20"/>
              </w:rPr>
              <w:t>0.9240</w:t>
            </w:r>
          </w:p>
        </w:tc>
        <w:tc>
          <w:tcPr>
            <w:tcW w:w="946" w:type="dxa"/>
            <w:tcBorders>
              <w:top w:val="nil"/>
              <w:left w:val="nil"/>
              <w:bottom w:val="nil"/>
              <w:right w:val="nil"/>
            </w:tcBorders>
            <w:noWrap/>
            <w:vAlign w:val="bottom"/>
            <w:hideMark/>
          </w:tcPr>
          <w:p w14:paraId="386E96F4"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lang w:eastAsia="en-IN"/>
                <w14:ligatures w14:val="none"/>
              </w:rPr>
            </w:pPr>
            <w:r w:rsidRPr="00AF18A3">
              <w:rPr>
                <w:rFonts w:ascii="Times New Roman" w:hAnsi="Times New Roman" w:cs="Times New Roman"/>
                <w:color w:val="000000"/>
                <w:sz w:val="20"/>
                <w:szCs w:val="20"/>
              </w:rPr>
              <w:t>0.8738</w:t>
            </w:r>
          </w:p>
        </w:tc>
        <w:tc>
          <w:tcPr>
            <w:tcW w:w="1004" w:type="dxa"/>
            <w:tcBorders>
              <w:top w:val="nil"/>
              <w:left w:val="nil"/>
              <w:bottom w:val="nil"/>
              <w:right w:val="nil"/>
            </w:tcBorders>
            <w:vAlign w:val="bottom"/>
          </w:tcPr>
          <w:p w14:paraId="05A1D0BB"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vertAlign w:val="superscript"/>
                <w:lang w:eastAsia="en-IN"/>
                <w14:ligatures w14:val="none"/>
              </w:rPr>
            </w:pPr>
            <w:r w:rsidRPr="00AF18A3">
              <w:rPr>
                <w:rFonts w:ascii="Times New Roman" w:hAnsi="Times New Roman" w:cs="Times New Roman"/>
                <w:color w:val="000000"/>
                <w:sz w:val="20"/>
                <w:szCs w:val="20"/>
              </w:rPr>
              <w:t>0.8989</w:t>
            </w:r>
          </w:p>
        </w:tc>
        <w:tc>
          <w:tcPr>
            <w:tcW w:w="1045" w:type="dxa"/>
            <w:tcBorders>
              <w:top w:val="nil"/>
              <w:left w:val="nil"/>
              <w:bottom w:val="nil"/>
              <w:right w:val="nil"/>
            </w:tcBorders>
            <w:vAlign w:val="bottom"/>
          </w:tcPr>
          <w:p w14:paraId="2BD1515A" w14:textId="77777777" w:rsidR="007E0A41" w:rsidRPr="00AF18A3" w:rsidRDefault="007E0A41" w:rsidP="00D1336B">
            <w:pPr>
              <w:spacing w:after="0" w:line="276" w:lineRule="auto"/>
              <w:jc w:val="center"/>
              <w:rPr>
                <w:rFonts w:ascii="Times New Roman" w:hAnsi="Times New Roman" w:cs="Times New Roman"/>
                <w:color w:val="000000"/>
                <w:sz w:val="20"/>
                <w:szCs w:val="20"/>
              </w:rPr>
            </w:pPr>
            <w:r w:rsidRPr="00AF18A3">
              <w:rPr>
                <w:rFonts w:ascii="Times New Roman" w:hAnsi="Times New Roman" w:cs="Times New Roman"/>
                <w:color w:val="000000"/>
                <w:sz w:val="20"/>
                <w:szCs w:val="20"/>
              </w:rPr>
              <w:t>0.0163</w:t>
            </w:r>
          </w:p>
        </w:tc>
        <w:tc>
          <w:tcPr>
            <w:tcW w:w="1027" w:type="dxa"/>
            <w:tcBorders>
              <w:top w:val="nil"/>
              <w:left w:val="nil"/>
              <w:bottom w:val="nil"/>
              <w:right w:val="nil"/>
            </w:tcBorders>
            <w:vAlign w:val="bottom"/>
          </w:tcPr>
          <w:p w14:paraId="182AC51C" w14:textId="77777777" w:rsidR="007E0A41" w:rsidRPr="00AF18A3" w:rsidRDefault="007E0A41" w:rsidP="00D1336B">
            <w:pPr>
              <w:spacing w:after="0" w:line="276" w:lineRule="auto"/>
              <w:jc w:val="center"/>
              <w:rPr>
                <w:rFonts w:ascii="Times New Roman" w:hAnsi="Times New Roman" w:cs="Times New Roman"/>
                <w:color w:val="000000"/>
                <w:sz w:val="20"/>
                <w:szCs w:val="20"/>
              </w:rPr>
            </w:pPr>
            <w:r w:rsidRPr="00AF18A3">
              <w:rPr>
                <w:rFonts w:ascii="Times New Roman" w:hAnsi="Times New Roman" w:cs="Times New Roman"/>
                <w:color w:val="000000"/>
                <w:sz w:val="20"/>
                <w:szCs w:val="20"/>
              </w:rPr>
              <w:t>0.0161</w:t>
            </w:r>
          </w:p>
        </w:tc>
        <w:tc>
          <w:tcPr>
            <w:tcW w:w="1230" w:type="dxa"/>
            <w:tcBorders>
              <w:top w:val="nil"/>
              <w:left w:val="nil"/>
              <w:bottom w:val="nil"/>
              <w:right w:val="nil"/>
            </w:tcBorders>
            <w:vAlign w:val="bottom"/>
          </w:tcPr>
          <w:p w14:paraId="3BD88DBA" w14:textId="77777777" w:rsidR="007E0A41" w:rsidRPr="00AF18A3" w:rsidRDefault="007E0A41" w:rsidP="00D1336B">
            <w:pPr>
              <w:spacing w:after="0" w:line="276" w:lineRule="auto"/>
              <w:jc w:val="center"/>
              <w:rPr>
                <w:rFonts w:ascii="Times New Roman" w:hAnsi="Times New Roman" w:cs="Times New Roman"/>
                <w:color w:val="000000"/>
                <w:sz w:val="20"/>
                <w:szCs w:val="20"/>
              </w:rPr>
            </w:pPr>
            <w:r w:rsidRPr="00AF18A3">
              <w:rPr>
                <w:rFonts w:ascii="Times New Roman" w:hAnsi="Times New Roman" w:cs="Times New Roman"/>
                <w:color w:val="000000"/>
                <w:sz w:val="20"/>
                <w:szCs w:val="20"/>
              </w:rPr>
              <w:t>0.0162</w:t>
            </w:r>
          </w:p>
        </w:tc>
      </w:tr>
      <w:tr w:rsidR="007E0A41" w:rsidRPr="00AF18A3" w14:paraId="51890329" w14:textId="77777777" w:rsidTr="00701562">
        <w:trPr>
          <w:trHeight w:val="187"/>
        </w:trPr>
        <w:tc>
          <w:tcPr>
            <w:tcW w:w="641" w:type="dxa"/>
            <w:tcBorders>
              <w:top w:val="nil"/>
              <w:left w:val="nil"/>
              <w:bottom w:val="nil"/>
              <w:right w:val="nil"/>
            </w:tcBorders>
            <w:noWrap/>
            <w:hideMark/>
          </w:tcPr>
          <w:p w14:paraId="12F3A989"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lang w:eastAsia="en-IN"/>
                <w14:ligatures w14:val="none"/>
              </w:rPr>
            </w:pPr>
            <w:r w:rsidRPr="00AF18A3">
              <w:rPr>
                <w:rFonts w:ascii="Times New Roman" w:hAnsi="Times New Roman" w:cs="Times New Roman"/>
                <w:sz w:val="20"/>
                <w:szCs w:val="20"/>
              </w:rPr>
              <w:t>T</w:t>
            </w:r>
            <w:r w:rsidRPr="00AF18A3">
              <w:rPr>
                <w:rFonts w:ascii="Times New Roman" w:hAnsi="Times New Roman" w:cs="Times New Roman"/>
                <w:sz w:val="20"/>
                <w:szCs w:val="20"/>
                <w:vertAlign w:val="subscript"/>
              </w:rPr>
              <w:t>9</w:t>
            </w:r>
          </w:p>
        </w:tc>
        <w:tc>
          <w:tcPr>
            <w:tcW w:w="2033" w:type="dxa"/>
            <w:tcBorders>
              <w:top w:val="nil"/>
              <w:left w:val="nil"/>
              <w:bottom w:val="nil"/>
              <w:right w:val="nil"/>
            </w:tcBorders>
            <w:vAlign w:val="center"/>
            <w:hideMark/>
          </w:tcPr>
          <w:p w14:paraId="28BBBB5F"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lang w:eastAsia="en-IN"/>
                <w14:ligatures w14:val="none"/>
              </w:rPr>
            </w:pPr>
            <w:r w:rsidRPr="00AF18A3">
              <w:rPr>
                <w:rFonts w:ascii="Times New Roman" w:eastAsia="Times New Roman" w:hAnsi="Times New Roman" w:cs="Times New Roman"/>
                <w:color w:val="000000"/>
                <w:kern w:val="0"/>
                <w:sz w:val="20"/>
                <w:szCs w:val="20"/>
                <w:lang w:eastAsia="en-IN"/>
                <w14:ligatures w14:val="none"/>
              </w:rPr>
              <w:t>Chelated zinc @0.50%</w:t>
            </w:r>
          </w:p>
        </w:tc>
        <w:tc>
          <w:tcPr>
            <w:tcW w:w="1012" w:type="dxa"/>
            <w:tcBorders>
              <w:top w:val="nil"/>
              <w:left w:val="nil"/>
              <w:bottom w:val="nil"/>
              <w:right w:val="nil"/>
            </w:tcBorders>
            <w:noWrap/>
            <w:vAlign w:val="bottom"/>
            <w:hideMark/>
          </w:tcPr>
          <w:p w14:paraId="450FF3BE"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lang w:eastAsia="en-IN"/>
                <w14:ligatures w14:val="none"/>
              </w:rPr>
            </w:pPr>
            <w:r w:rsidRPr="00AF18A3">
              <w:rPr>
                <w:rFonts w:ascii="Times New Roman" w:hAnsi="Times New Roman" w:cs="Times New Roman"/>
                <w:color w:val="000000"/>
                <w:sz w:val="20"/>
                <w:szCs w:val="20"/>
              </w:rPr>
              <w:t>0.1042</w:t>
            </w:r>
          </w:p>
        </w:tc>
        <w:tc>
          <w:tcPr>
            <w:tcW w:w="881" w:type="dxa"/>
            <w:tcBorders>
              <w:top w:val="nil"/>
              <w:left w:val="nil"/>
              <w:bottom w:val="nil"/>
              <w:right w:val="nil"/>
            </w:tcBorders>
            <w:noWrap/>
            <w:vAlign w:val="bottom"/>
            <w:hideMark/>
          </w:tcPr>
          <w:p w14:paraId="10069DC3"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lang w:eastAsia="en-IN"/>
                <w14:ligatures w14:val="none"/>
              </w:rPr>
            </w:pPr>
            <w:r w:rsidRPr="00AF18A3">
              <w:rPr>
                <w:rFonts w:ascii="Times New Roman" w:hAnsi="Times New Roman" w:cs="Times New Roman"/>
                <w:color w:val="000000"/>
                <w:sz w:val="20"/>
                <w:szCs w:val="20"/>
              </w:rPr>
              <w:t>0.1042</w:t>
            </w:r>
          </w:p>
        </w:tc>
        <w:tc>
          <w:tcPr>
            <w:tcW w:w="1114" w:type="dxa"/>
            <w:tcBorders>
              <w:top w:val="nil"/>
              <w:left w:val="nil"/>
              <w:bottom w:val="nil"/>
              <w:right w:val="nil"/>
            </w:tcBorders>
            <w:vAlign w:val="bottom"/>
          </w:tcPr>
          <w:p w14:paraId="68DEFE3B"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vertAlign w:val="superscript"/>
                <w:lang w:eastAsia="en-IN"/>
                <w14:ligatures w14:val="none"/>
              </w:rPr>
            </w:pPr>
            <w:r w:rsidRPr="00AF18A3">
              <w:rPr>
                <w:rFonts w:ascii="Times New Roman" w:hAnsi="Times New Roman" w:cs="Times New Roman"/>
                <w:color w:val="000000"/>
                <w:sz w:val="20"/>
                <w:szCs w:val="20"/>
              </w:rPr>
              <w:t>0.1042</w:t>
            </w:r>
          </w:p>
        </w:tc>
        <w:tc>
          <w:tcPr>
            <w:tcW w:w="966" w:type="dxa"/>
            <w:tcBorders>
              <w:top w:val="nil"/>
              <w:left w:val="nil"/>
              <w:bottom w:val="nil"/>
              <w:right w:val="nil"/>
            </w:tcBorders>
            <w:noWrap/>
            <w:vAlign w:val="bottom"/>
            <w:hideMark/>
          </w:tcPr>
          <w:p w14:paraId="4DCC06B5"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lang w:eastAsia="en-IN"/>
                <w14:ligatures w14:val="none"/>
              </w:rPr>
            </w:pPr>
            <w:r w:rsidRPr="00AF18A3">
              <w:rPr>
                <w:rFonts w:ascii="Times New Roman" w:hAnsi="Times New Roman" w:cs="Times New Roman"/>
                <w:color w:val="000000"/>
                <w:sz w:val="20"/>
                <w:szCs w:val="20"/>
              </w:rPr>
              <w:t>0.0125</w:t>
            </w:r>
          </w:p>
        </w:tc>
        <w:tc>
          <w:tcPr>
            <w:tcW w:w="881" w:type="dxa"/>
            <w:tcBorders>
              <w:top w:val="nil"/>
              <w:left w:val="nil"/>
              <w:bottom w:val="nil"/>
              <w:right w:val="nil"/>
            </w:tcBorders>
            <w:noWrap/>
            <w:vAlign w:val="bottom"/>
            <w:hideMark/>
          </w:tcPr>
          <w:p w14:paraId="272A2F76"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lang w:eastAsia="en-IN"/>
                <w14:ligatures w14:val="none"/>
              </w:rPr>
            </w:pPr>
            <w:r w:rsidRPr="00AF18A3">
              <w:rPr>
                <w:rFonts w:ascii="Times New Roman" w:hAnsi="Times New Roman" w:cs="Times New Roman"/>
                <w:color w:val="000000"/>
                <w:sz w:val="20"/>
                <w:szCs w:val="20"/>
              </w:rPr>
              <w:t>0.0127</w:t>
            </w:r>
          </w:p>
        </w:tc>
        <w:tc>
          <w:tcPr>
            <w:tcW w:w="1087" w:type="dxa"/>
            <w:tcBorders>
              <w:top w:val="nil"/>
              <w:left w:val="nil"/>
              <w:bottom w:val="nil"/>
              <w:right w:val="nil"/>
            </w:tcBorders>
            <w:vAlign w:val="bottom"/>
          </w:tcPr>
          <w:p w14:paraId="186B9650"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vertAlign w:val="superscript"/>
                <w:lang w:eastAsia="en-IN"/>
                <w14:ligatures w14:val="none"/>
              </w:rPr>
            </w:pPr>
            <w:r w:rsidRPr="00AF18A3">
              <w:rPr>
                <w:rFonts w:ascii="Times New Roman" w:hAnsi="Times New Roman" w:cs="Times New Roman"/>
                <w:color w:val="000000"/>
                <w:sz w:val="20"/>
                <w:szCs w:val="20"/>
              </w:rPr>
              <w:t>0.0126</w:t>
            </w:r>
          </w:p>
        </w:tc>
        <w:tc>
          <w:tcPr>
            <w:tcW w:w="1028" w:type="dxa"/>
            <w:tcBorders>
              <w:top w:val="nil"/>
              <w:left w:val="nil"/>
              <w:bottom w:val="nil"/>
              <w:right w:val="nil"/>
            </w:tcBorders>
            <w:noWrap/>
            <w:vAlign w:val="bottom"/>
            <w:hideMark/>
          </w:tcPr>
          <w:p w14:paraId="727249BC"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lang w:eastAsia="en-IN"/>
                <w14:ligatures w14:val="none"/>
              </w:rPr>
            </w:pPr>
            <w:r w:rsidRPr="00AF18A3">
              <w:rPr>
                <w:rFonts w:ascii="Times New Roman" w:hAnsi="Times New Roman" w:cs="Times New Roman"/>
                <w:color w:val="000000"/>
                <w:sz w:val="20"/>
                <w:szCs w:val="20"/>
              </w:rPr>
              <w:t>2.0024</w:t>
            </w:r>
          </w:p>
        </w:tc>
        <w:tc>
          <w:tcPr>
            <w:tcW w:w="946" w:type="dxa"/>
            <w:tcBorders>
              <w:top w:val="nil"/>
              <w:left w:val="nil"/>
              <w:bottom w:val="nil"/>
              <w:right w:val="nil"/>
            </w:tcBorders>
            <w:noWrap/>
            <w:vAlign w:val="bottom"/>
            <w:hideMark/>
          </w:tcPr>
          <w:p w14:paraId="2583A6DC"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lang w:eastAsia="en-IN"/>
                <w14:ligatures w14:val="none"/>
              </w:rPr>
            </w:pPr>
            <w:r w:rsidRPr="00AF18A3">
              <w:rPr>
                <w:rFonts w:ascii="Times New Roman" w:hAnsi="Times New Roman" w:cs="Times New Roman"/>
                <w:color w:val="000000"/>
                <w:sz w:val="20"/>
                <w:szCs w:val="20"/>
              </w:rPr>
              <w:t>2.0831</w:t>
            </w:r>
          </w:p>
        </w:tc>
        <w:tc>
          <w:tcPr>
            <w:tcW w:w="1004" w:type="dxa"/>
            <w:tcBorders>
              <w:top w:val="nil"/>
              <w:left w:val="nil"/>
              <w:bottom w:val="nil"/>
              <w:right w:val="nil"/>
            </w:tcBorders>
            <w:vAlign w:val="bottom"/>
          </w:tcPr>
          <w:p w14:paraId="46A51F9C"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vertAlign w:val="superscript"/>
                <w:lang w:eastAsia="en-IN"/>
                <w14:ligatures w14:val="none"/>
              </w:rPr>
            </w:pPr>
            <w:r w:rsidRPr="00AF18A3">
              <w:rPr>
                <w:rFonts w:ascii="Times New Roman" w:hAnsi="Times New Roman" w:cs="Times New Roman"/>
                <w:color w:val="000000"/>
                <w:sz w:val="20"/>
                <w:szCs w:val="20"/>
              </w:rPr>
              <w:t>2.0428</w:t>
            </w:r>
          </w:p>
        </w:tc>
        <w:tc>
          <w:tcPr>
            <w:tcW w:w="1045" w:type="dxa"/>
            <w:tcBorders>
              <w:top w:val="nil"/>
              <w:left w:val="nil"/>
              <w:bottom w:val="nil"/>
              <w:right w:val="nil"/>
            </w:tcBorders>
            <w:vAlign w:val="bottom"/>
          </w:tcPr>
          <w:p w14:paraId="47BA8DC5" w14:textId="77777777" w:rsidR="007E0A41" w:rsidRPr="00AF18A3" w:rsidRDefault="007E0A41" w:rsidP="00D1336B">
            <w:pPr>
              <w:spacing w:after="0" w:line="276" w:lineRule="auto"/>
              <w:jc w:val="center"/>
              <w:rPr>
                <w:rFonts w:ascii="Times New Roman" w:hAnsi="Times New Roman" w:cs="Times New Roman"/>
                <w:color w:val="000000"/>
                <w:sz w:val="20"/>
                <w:szCs w:val="20"/>
              </w:rPr>
            </w:pPr>
            <w:r w:rsidRPr="00AF18A3">
              <w:rPr>
                <w:rFonts w:ascii="Times New Roman" w:hAnsi="Times New Roman" w:cs="Times New Roman"/>
                <w:color w:val="000000"/>
                <w:sz w:val="20"/>
                <w:szCs w:val="20"/>
              </w:rPr>
              <w:t>0.0443</w:t>
            </w:r>
          </w:p>
        </w:tc>
        <w:tc>
          <w:tcPr>
            <w:tcW w:w="1027" w:type="dxa"/>
            <w:tcBorders>
              <w:top w:val="nil"/>
              <w:left w:val="nil"/>
              <w:bottom w:val="nil"/>
              <w:right w:val="nil"/>
            </w:tcBorders>
            <w:vAlign w:val="bottom"/>
          </w:tcPr>
          <w:p w14:paraId="5ADDA032" w14:textId="77777777" w:rsidR="007E0A41" w:rsidRPr="00AF18A3" w:rsidRDefault="007E0A41" w:rsidP="00D1336B">
            <w:pPr>
              <w:spacing w:after="0" w:line="276" w:lineRule="auto"/>
              <w:jc w:val="center"/>
              <w:rPr>
                <w:rFonts w:ascii="Times New Roman" w:hAnsi="Times New Roman" w:cs="Times New Roman"/>
                <w:color w:val="000000"/>
                <w:sz w:val="20"/>
                <w:szCs w:val="20"/>
              </w:rPr>
            </w:pPr>
            <w:r w:rsidRPr="00AF18A3">
              <w:rPr>
                <w:rFonts w:ascii="Times New Roman" w:hAnsi="Times New Roman" w:cs="Times New Roman"/>
                <w:color w:val="000000"/>
                <w:sz w:val="20"/>
                <w:szCs w:val="20"/>
              </w:rPr>
              <w:t>0.0418</w:t>
            </w:r>
          </w:p>
        </w:tc>
        <w:tc>
          <w:tcPr>
            <w:tcW w:w="1230" w:type="dxa"/>
            <w:tcBorders>
              <w:top w:val="nil"/>
              <w:left w:val="nil"/>
              <w:bottom w:val="nil"/>
              <w:right w:val="nil"/>
            </w:tcBorders>
            <w:vAlign w:val="bottom"/>
          </w:tcPr>
          <w:p w14:paraId="03579202" w14:textId="77777777" w:rsidR="007E0A41" w:rsidRPr="00AF18A3" w:rsidRDefault="007E0A41" w:rsidP="00D1336B">
            <w:pPr>
              <w:spacing w:after="0" w:line="276" w:lineRule="auto"/>
              <w:jc w:val="center"/>
              <w:rPr>
                <w:rFonts w:ascii="Times New Roman" w:hAnsi="Times New Roman" w:cs="Times New Roman"/>
                <w:color w:val="000000"/>
                <w:sz w:val="20"/>
                <w:szCs w:val="20"/>
              </w:rPr>
            </w:pPr>
            <w:r w:rsidRPr="00AF18A3">
              <w:rPr>
                <w:rFonts w:ascii="Times New Roman" w:hAnsi="Times New Roman" w:cs="Times New Roman"/>
                <w:color w:val="000000"/>
                <w:sz w:val="20"/>
                <w:szCs w:val="20"/>
              </w:rPr>
              <w:t>0.0431</w:t>
            </w:r>
          </w:p>
        </w:tc>
      </w:tr>
      <w:tr w:rsidR="007E0A41" w:rsidRPr="00AF18A3" w14:paraId="6E856A9E" w14:textId="77777777" w:rsidTr="00701562">
        <w:trPr>
          <w:trHeight w:val="187"/>
        </w:trPr>
        <w:tc>
          <w:tcPr>
            <w:tcW w:w="641" w:type="dxa"/>
            <w:tcBorders>
              <w:top w:val="nil"/>
              <w:left w:val="nil"/>
              <w:bottom w:val="nil"/>
              <w:right w:val="nil"/>
            </w:tcBorders>
            <w:noWrap/>
            <w:hideMark/>
          </w:tcPr>
          <w:p w14:paraId="104B0AB9"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lang w:eastAsia="en-IN"/>
                <w14:ligatures w14:val="none"/>
              </w:rPr>
            </w:pPr>
            <w:r w:rsidRPr="00AF18A3">
              <w:rPr>
                <w:rFonts w:ascii="Times New Roman" w:hAnsi="Times New Roman" w:cs="Times New Roman"/>
                <w:sz w:val="20"/>
                <w:szCs w:val="20"/>
              </w:rPr>
              <w:t>T</w:t>
            </w:r>
            <w:r w:rsidRPr="00AF18A3">
              <w:rPr>
                <w:rFonts w:ascii="Times New Roman" w:hAnsi="Times New Roman" w:cs="Times New Roman"/>
                <w:sz w:val="20"/>
                <w:szCs w:val="20"/>
                <w:vertAlign w:val="subscript"/>
              </w:rPr>
              <w:t>10</w:t>
            </w:r>
          </w:p>
        </w:tc>
        <w:tc>
          <w:tcPr>
            <w:tcW w:w="2033" w:type="dxa"/>
            <w:tcBorders>
              <w:top w:val="nil"/>
              <w:left w:val="nil"/>
              <w:bottom w:val="nil"/>
              <w:right w:val="nil"/>
            </w:tcBorders>
            <w:vAlign w:val="center"/>
            <w:hideMark/>
          </w:tcPr>
          <w:p w14:paraId="29E711FB"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lang w:eastAsia="en-IN"/>
                <w14:ligatures w14:val="none"/>
              </w:rPr>
            </w:pPr>
            <w:r w:rsidRPr="00AF18A3">
              <w:rPr>
                <w:rFonts w:ascii="Times New Roman" w:eastAsia="Times New Roman" w:hAnsi="Times New Roman" w:cs="Times New Roman"/>
                <w:color w:val="000000"/>
                <w:kern w:val="0"/>
                <w:sz w:val="20"/>
                <w:szCs w:val="20"/>
                <w:lang w:eastAsia="en-IN"/>
                <w14:ligatures w14:val="none"/>
              </w:rPr>
              <w:t>Chelated zinc @0.75%</w:t>
            </w:r>
          </w:p>
        </w:tc>
        <w:tc>
          <w:tcPr>
            <w:tcW w:w="1012" w:type="dxa"/>
            <w:tcBorders>
              <w:top w:val="nil"/>
              <w:left w:val="nil"/>
              <w:bottom w:val="nil"/>
              <w:right w:val="nil"/>
            </w:tcBorders>
            <w:noWrap/>
            <w:vAlign w:val="bottom"/>
            <w:hideMark/>
          </w:tcPr>
          <w:p w14:paraId="20A99B8F"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lang w:eastAsia="en-IN"/>
                <w14:ligatures w14:val="none"/>
              </w:rPr>
            </w:pPr>
            <w:r w:rsidRPr="00AF18A3">
              <w:rPr>
                <w:rFonts w:ascii="Times New Roman" w:hAnsi="Times New Roman" w:cs="Times New Roman"/>
                <w:color w:val="000000"/>
                <w:sz w:val="20"/>
                <w:szCs w:val="20"/>
              </w:rPr>
              <w:t>0.1084</w:t>
            </w:r>
          </w:p>
        </w:tc>
        <w:tc>
          <w:tcPr>
            <w:tcW w:w="881" w:type="dxa"/>
            <w:tcBorders>
              <w:top w:val="nil"/>
              <w:left w:val="nil"/>
              <w:bottom w:val="nil"/>
              <w:right w:val="nil"/>
            </w:tcBorders>
            <w:noWrap/>
            <w:vAlign w:val="bottom"/>
            <w:hideMark/>
          </w:tcPr>
          <w:p w14:paraId="25C17A78"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lang w:eastAsia="en-IN"/>
                <w14:ligatures w14:val="none"/>
              </w:rPr>
            </w:pPr>
            <w:r w:rsidRPr="00AF18A3">
              <w:rPr>
                <w:rFonts w:ascii="Times New Roman" w:hAnsi="Times New Roman" w:cs="Times New Roman"/>
                <w:color w:val="000000"/>
                <w:sz w:val="20"/>
                <w:szCs w:val="20"/>
              </w:rPr>
              <w:t>0.1084</w:t>
            </w:r>
          </w:p>
        </w:tc>
        <w:tc>
          <w:tcPr>
            <w:tcW w:w="1114" w:type="dxa"/>
            <w:tcBorders>
              <w:top w:val="nil"/>
              <w:left w:val="nil"/>
              <w:bottom w:val="nil"/>
              <w:right w:val="nil"/>
            </w:tcBorders>
            <w:vAlign w:val="bottom"/>
          </w:tcPr>
          <w:p w14:paraId="0A8405F2"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vertAlign w:val="superscript"/>
                <w:lang w:eastAsia="en-IN"/>
                <w14:ligatures w14:val="none"/>
              </w:rPr>
            </w:pPr>
            <w:r w:rsidRPr="00AF18A3">
              <w:rPr>
                <w:rFonts w:ascii="Times New Roman" w:hAnsi="Times New Roman" w:cs="Times New Roman"/>
                <w:color w:val="000000"/>
                <w:sz w:val="20"/>
                <w:szCs w:val="20"/>
              </w:rPr>
              <w:t>0.1084</w:t>
            </w:r>
          </w:p>
        </w:tc>
        <w:tc>
          <w:tcPr>
            <w:tcW w:w="966" w:type="dxa"/>
            <w:tcBorders>
              <w:top w:val="nil"/>
              <w:left w:val="nil"/>
              <w:bottom w:val="nil"/>
              <w:right w:val="nil"/>
            </w:tcBorders>
            <w:noWrap/>
            <w:vAlign w:val="bottom"/>
            <w:hideMark/>
          </w:tcPr>
          <w:p w14:paraId="05E4B8CF"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lang w:eastAsia="en-IN"/>
                <w14:ligatures w14:val="none"/>
              </w:rPr>
            </w:pPr>
            <w:r w:rsidRPr="00AF18A3">
              <w:rPr>
                <w:rFonts w:ascii="Times New Roman" w:hAnsi="Times New Roman" w:cs="Times New Roman"/>
                <w:color w:val="000000"/>
                <w:sz w:val="20"/>
                <w:szCs w:val="20"/>
              </w:rPr>
              <w:t>0.0117</w:t>
            </w:r>
          </w:p>
        </w:tc>
        <w:tc>
          <w:tcPr>
            <w:tcW w:w="881" w:type="dxa"/>
            <w:tcBorders>
              <w:top w:val="nil"/>
              <w:left w:val="nil"/>
              <w:bottom w:val="nil"/>
              <w:right w:val="nil"/>
            </w:tcBorders>
            <w:noWrap/>
            <w:vAlign w:val="bottom"/>
            <w:hideMark/>
          </w:tcPr>
          <w:p w14:paraId="329290E7"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lang w:eastAsia="en-IN"/>
                <w14:ligatures w14:val="none"/>
              </w:rPr>
            </w:pPr>
            <w:r w:rsidRPr="00AF18A3">
              <w:rPr>
                <w:rFonts w:ascii="Times New Roman" w:hAnsi="Times New Roman" w:cs="Times New Roman"/>
                <w:color w:val="000000"/>
                <w:sz w:val="20"/>
                <w:szCs w:val="20"/>
              </w:rPr>
              <w:t>0.0119</w:t>
            </w:r>
          </w:p>
        </w:tc>
        <w:tc>
          <w:tcPr>
            <w:tcW w:w="1087" w:type="dxa"/>
            <w:tcBorders>
              <w:top w:val="nil"/>
              <w:left w:val="nil"/>
              <w:bottom w:val="nil"/>
              <w:right w:val="nil"/>
            </w:tcBorders>
            <w:vAlign w:val="bottom"/>
          </w:tcPr>
          <w:p w14:paraId="3BCDAE22"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vertAlign w:val="superscript"/>
                <w:lang w:eastAsia="en-IN"/>
                <w14:ligatures w14:val="none"/>
              </w:rPr>
            </w:pPr>
            <w:r w:rsidRPr="00AF18A3">
              <w:rPr>
                <w:rFonts w:ascii="Times New Roman" w:hAnsi="Times New Roman" w:cs="Times New Roman"/>
                <w:color w:val="000000"/>
                <w:sz w:val="20"/>
                <w:szCs w:val="20"/>
              </w:rPr>
              <w:t>0.0118</w:t>
            </w:r>
          </w:p>
        </w:tc>
        <w:tc>
          <w:tcPr>
            <w:tcW w:w="1028" w:type="dxa"/>
            <w:tcBorders>
              <w:top w:val="nil"/>
              <w:left w:val="nil"/>
              <w:bottom w:val="nil"/>
              <w:right w:val="nil"/>
            </w:tcBorders>
            <w:noWrap/>
            <w:vAlign w:val="bottom"/>
            <w:hideMark/>
          </w:tcPr>
          <w:p w14:paraId="5C9E1B60"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lang w:eastAsia="en-IN"/>
                <w14:ligatures w14:val="none"/>
              </w:rPr>
            </w:pPr>
            <w:r w:rsidRPr="00AF18A3">
              <w:rPr>
                <w:rFonts w:ascii="Times New Roman" w:hAnsi="Times New Roman" w:cs="Times New Roman"/>
                <w:color w:val="000000"/>
                <w:sz w:val="20"/>
                <w:szCs w:val="20"/>
              </w:rPr>
              <w:t>1.9848</w:t>
            </w:r>
          </w:p>
        </w:tc>
        <w:tc>
          <w:tcPr>
            <w:tcW w:w="946" w:type="dxa"/>
            <w:tcBorders>
              <w:top w:val="nil"/>
              <w:left w:val="nil"/>
              <w:bottom w:val="nil"/>
              <w:right w:val="nil"/>
            </w:tcBorders>
            <w:noWrap/>
            <w:vAlign w:val="bottom"/>
            <w:hideMark/>
          </w:tcPr>
          <w:p w14:paraId="388D2797"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lang w:eastAsia="en-IN"/>
                <w14:ligatures w14:val="none"/>
              </w:rPr>
            </w:pPr>
            <w:r w:rsidRPr="00AF18A3">
              <w:rPr>
                <w:rFonts w:ascii="Times New Roman" w:hAnsi="Times New Roman" w:cs="Times New Roman"/>
                <w:color w:val="000000"/>
                <w:sz w:val="20"/>
                <w:szCs w:val="20"/>
              </w:rPr>
              <w:t>1.9528</w:t>
            </w:r>
          </w:p>
        </w:tc>
        <w:tc>
          <w:tcPr>
            <w:tcW w:w="1004" w:type="dxa"/>
            <w:tcBorders>
              <w:top w:val="nil"/>
              <w:left w:val="nil"/>
              <w:bottom w:val="nil"/>
              <w:right w:val="nil"/>
            </w:tcBorders>
            <w:vAlign w:val="bottom"/>
          </w:tcPr>
          <w:p w14:paraId="1A348D0C"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vertAlign w:val="superscript"/>
                <w:lang w:eastAsia="en-IN"/>
                <w14:ligatures w14:val="none"/>
              </w:rPr>
            </w:pPr>
            <w:r w:rsidRPr="00AF18A3">
              <w:rPr>
                <w:rFonts w:ascii="Times New Roman" w:hAnsi="Times New Roman" w:cs="Times New Roman"/>
                <w:color w:val="000000"/>
                <w:sz w:val="20"/>
                <w:szCs w:val="20"/>
              </w:rPr>
              <w:t>1.9688</w:t>
            </w:r>
          </w:p>
        </w:tc>
        <w:tc>
          <w:tcPr>
            <w:tcW w:w="1045" w:type="dxa"/>
            <w:tcBorders>
              <w:top w:val="nil"/>
              <w:left w:val="nil"/>
              <w:bottom w:val="nil"/>
              <w:right w:val="nil"/>
            </w:tcBorders>
            <w:vAlign w:val="bottom"/>
          </w:tcPr>
          <w:p w14:paraId="6D13B9E2" w14:textId="77777777" w:rsidR="007E0A41" w:rsidRPr="00AF18A3" w:rsidRDefault="007E0A41" w:rsidP="00D1336B">
            <w:pPr>
              <w:spacing w:after="0" w:line="276" w:lineRule="auto"/>
              <w:jc w:val="center"/>
              <w:rPr>
                <w:rFonts w:ascii="Times New Roman" w:hAnsi="Times New Roman" w:cs="Times New Roman"/>
                <w:color w:val="000000"/>
                <w:sz w:val="20"/>
                <w:szCs w:val="20"/>
              </w:rPr>
            </w:pPr>
            <w:r w:rsidRPr="00AF18A3">
              <w:rPr>
                <w:rFonts w:ascii="Times New Roman" w:hAnsi="Times New Roman" w:cs="Times New Roman"/>
                <w:color w:val="000000"/>
                <w:sz w:val="20"/>
                <w:szCs w:val="20"/>
              </w:rPr>
              <w:t>0.0327</w:t>
            </w:r>
          </w:p>
        </w:tc>
        <w:tc>
          <w:tcPr>
            <w:tcW w:w="1027" w:type="dxa"/>
            <w:tcBorders>
              <w:top w:val="nil"/>
              <w:left w:val="nil"/>
              <w:bottom w:val="nil"/>
              <w:right w:val="nil"/>
            </w:tcBorders>
            <w:vAlign w:val="bottom"/>
          </w:tcPr>
          <w:p w14:paraId="28CEF99B" w14:textId="77777777" w:rsidR="007E0A41" w:rsidRPr="00AF18A3" w:rsidRDefault="007E0A41" w:rsidP="00D1336B">
            <w:pPr>
              <w:spacing w:after="0" w:line="276" w:lineRule="auto"/>
              <w:jc w:val="center"/>
              <w:rPr>
                <w:rFonts w:ascii="Times New Roman" w:hAnsi="Times New Roman" w:cs="Times New Roman"/>
                <w:color w:val="000000"/>
                <w:sz w:val="20"/>
                <w:szCs w:val="20"/>
              </w:rPr>
            </w:pPr>
            <w:r w:rsidRPr="00AF18A3">
              <w:rPr>
                <w:rFonts w:ascii="Times New Roman" w:hAnsi="Times New Roman" w:cs="Times New Roman"/>
                <w:color w:val="000000"/>
                <w:sz w:val="20"/>
                <w:szCs w:val="20"/>
              </w:rPr>
              <w:t>0.0332</w:t>
            </w:r>
          </w:p>
        </w:tc>
        <w:tc>
          <w:tcPr>
            <w:tcW w:w="1230" w:type="dxa"/>
            <w:tcBorders>
              <w:top w:val="nil"/>
              <w:left w:val="nil"/>
              <w:bottom w:val="nil"/>
              <w:right w:val="nil"/>
            </w:tcBorders>
            <w:vAlign w:val="bottom"/>
          </w:tcPr>
          <w:p w14:paraId="274A755E" w14:textId="77777777" w:rsidR="007E0A41" w:rsidRPr="00AF18A3" w:rsidRDefault="007E0A41" w:rsidP="00D1336B">
            <w:pPr>
              <w:spacing w:after="0" w:line="276" w:lineRule="auto"/>
              <w:jc w:val="center"/>
              <w:rPr>
                <w:rFonts w:ascii="Times New Roman" w:hAnsi="Times New Roman" w:cs="Times New Roman"/>
                <w:color w:val="000000"/>
                <w:sz w:val="20"/>
                <w:szCs w:val="20"/>
              </w:rPr>
            </w:pPr>
            <w:r w:rsidRPr="00AF18A3">
              <w:rPr>
                <w:rFonts w:ascii="Times New Roman" w:hAnsi="Times New Roman" w:cs="Times New Roman"/>
                <w:color w:val="000000"/>
                <w:sz w:val="20"/>
                <w:szCs w:val="20"/>
              </w:rPr>
              <w:t>0.0329</w:t>
            </w:r>
          </w:p>
        </w:tc>
      </w:tr>
      <w:tr w:rsidR="007E0A41" w:rsidRPr="00AF18A3" w14:paraId="78D9E6BE" w14:textId="77777777" w:rsidTr="00701562">
        <w:trPr>
          <w:trHeight w:val="203"/>
        </w:trPr>
        <w:tc>
          <w:tcPr>
            <w:tcW w:w="641" w:type="dxa"/>
            <w:tcBorders>
              <w:top w:val="nil"/>
              <w:left w:val="nil"/>
              <w:bottom w:val="nil"/>
              <w:right w:val="nil"/>
            </w:tcBorders>
            <w:noWrap/>
            <w:hideMark/>
          </w:tcPr>
          <w:p w14:paraId="0F581694"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lang w:eastAsia="en-IN"/>
                <w14:ligatures w14:val="none"/>
              </w:rPr>
            </w:pPr>
            <w:r w:rsidRPr="00AF18A3">
              <w:rPr>
                <w:rFonts w:ascii="Times New Roman" w:hAnsi="Times New Roman" w:cs="Times New Roman"/>
                <w:sz w:val="20"/>
                <w:szCs w:val="20"/>
              </w:rPr>
              <w:t>T</w:t>
            </w:r>
            <w:r w:rsidRPr="00AF18A3">
              <w:rPr>
                <w:rFonts w:ascii="Times New Roman" w:hAnsi="Times New Roman" w:cs="Times New Roman"/>
                <w:sz w:val="20"/>
                <w:szCs w:val="20"/>
                <w:vertAlign w:val="subscript"/>
              </w:rPr>
              <w:t>11</w:t>
            </w:r>
          </w:p>
        </w:tc>
        <w:tc>
          <w:tcPr>
            <w:tcW w:w="2033" w:type="dxa"/>
            <w:tcBorders>
              <w:top w:val="nil"/>
              <w:left w:val="nil"/>
              <w:bottom w:val="nil"/>
              <w:right w:val="nil"/>
            </w:tcBorders>
            <w:vAlign w:val="center"/>
            <w:hideMark/>
          </w:tcPr>
          <w:p w14:paraId="4166E3E3"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lang w:eastAsia="en-IN"/>
                <w14:ligatures w14:val="none"/>
              </w:rPr>
            </w:pPr>
            <w:r w:rsidRPr="00AF18A3">
              <w:rPr>
                <w:rFonts w:ascii="Times New Roman" w:eastAsia="Times New Roman" w:hAnsi="Times New Roman" w:cs="Times New Roman"/>
                <w:color w:val="000000"/>
                <w:kern w:val="0"/>
                <w:sz w:val="20"/>
                <w:szCs w:val="20"/>
                <w:lang w:eastAsia="en-IN"/>
                <w14:ligatures w14:val="none"/>
              </w:rPr>
              <w:t>ZnSO</w:t>
            </w:r>
            <w:r w:rsidRPr="00AF18A3">
              <w:rPr>
                <w:rFonts w:ascii="Times New Roman" w:eastAsia="Times New Roman" w:hAnsi="Times New Roman" w:cs="Times New Roman"/>
                <w:color w:val="000000"/>
                <w:kern w:val="0"/>
                <w:sz w:val="20"/>
                <w:szCs w:val="20"/>
                <w:vertAlign w:val="subscript"/>
                <w:lang w:eastAsia="en-IN"/>
                <w14:ligatures w14:val="none"/>
              </w:rPr>
              <w:t>4</w:t>
            </w:r>
            <w:r w:rsidRPr="00AF18A3">
              <w:rPr>
                <w:rFonts w:ascii="Times New Roman" w:eastAsia="Times New Roman" w:hAnsi="Times New Roman" w:cs="Times New Roman"/>
                <w:color w:val="000000"/>
                <w:kern w:val="0"/>
                <w:sz w:val="20"/>
                <w:szCs w:val="20"/>
                <w:lang w:eastAsia="en-IN"/>
                <w14:ligatures w14:val="none"/>
              </w:rPr>
              <w:t xml:space="preserve"> @0.25%</w:t>
            </w:r>
          </w:p>
        </w:tc>
        <w:tc>
          <w:tcPr>
            <w:tcW w:w="1012" w:type="dxa"/>
            <w:tcBorders>
              <w:top w:val="nil"/>
              <w:left w:val="nil"/>
              <w:bottom w:val="nil"/>
              <w:right w:val="nil"/>
            </w:tcBorders>
            <w:noWrap/>
            <w:vAlign w:val="bottom"/>
            <w:hideMark/>
          </w:tcPr>
          <w:p w14:paraId="2341572E"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lang w:eastAsia="en-IN"/>
                <w14:ligatures w14:val="none"/>
              </w:rPr>
            </w:pPr>
            <w:r w:rsidRPr="00AF18A3">
              <w:rPr>
                <w:rFonts w:ascii="Times New Roman" w:hAnsi="Times New Roman" w:cs="Times New Roman"/>
                <w:color w:val="000000"/>
                <w:sz w:val="20"/>
                <w:szCs w:val="20"/>
              </w:rPr>
              <w:t>0.0922</w:t>
            </w:r>
          </w:p>
        </w:tc>
        <w:tc>
          <w:tcPr>
            <w:tcW w:w="881" w:type="dxa"/>
            <w:tcBorders>
              <w:top w:val="nil"/>
              <w:left w:val="nil"/>
              <w:bottom w:val="nil"/>
              <w:right w:val="nil"/>
            </w:tcBorders>
            <w:noWrap/>
            <w:vAlign w:val="bottom"/>
            <w:hideMark/>
          </w:tcPr>
          <w:p w14:paraId="1CBA3FC7"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lang w:eastAsia="en-IN"/>
                <w14:ligatures w14:val="none"/>
              </w:rPr>
            </w:pPr>
            <w:r w:rsidRPr="00AF18A3">
              <w:rPr>
                <w:rFonts w:ascii="Times New Roman" w:hAnsi="Times New Roman" w:cs="Times New Roman"/>
                <w:color w:val="000000"/>
                <w:sz w:val="20"/>
                <w:szCs w:val="20"/>
              </w:rPr>
              <w:t>0.0921</w:t>
            </w:r>
          </w:p>
        </w:tc>
        <w:tc>
          <w:tcPr>
            <w:tcW w:w="1114" w:type="dxa"/>
            <w:tcBorders>
              <w:top w:val="nil"/>
              <w:left w:val="nil"/>
              <w:bottom w:val="nil"/>
              <w:right w:val="nil"/>
            </w:tcBorders>
            <w:vAlign w:val="bottom"/>
          </w:tcPr>
          <w:p w14:paraId="302D7462"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vertAlign w:val="superscript"/>
                <w:lang w:eastAsia="en-IN"/>
                <w14:ligatures w14:val="none"/>
              </w:rPr>
            </w:pPr>
            <w:r w:rsidRPr="00AF18A3">
              <w:rPr>
                <w:rFonts w:ascii="Times New Roman" w:hAnsi="Times New Roman" w:cs="Times New Roman"/>
                <w:color w:val="000000"/>
                <w:sz w:val="20"/>
                <w:szCs w:val="20"/>
              </w:rPr>
              <w:t>0.0922</w:t>
            </w:r>
          </w:p>
        </w:tc>
        <w:tc>
          <w:tcPr>
            <w:tcW w:w="966" w:type="dxa"/>
            <w:tcBorders>
              <w:top w:val="nil"/>
              <w:left w:val="nil"/>
              <w:bottom w:val="nil"/>
              <w:right w:val="nil"/>
            </w:tcBorders>
            <w:noWrap/>
            <w:vAlign w:val="bottom"/>
            <w:hideMark/>
          </w:tcPr>
          <w:p w14:paraId="5AD6AB31"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lang w:eastAsia="en-IN"/>
                <w14:ligatures w14:val="none"/>
              </w:rPr>
            </w:pPr>
            <w:r w:rsidRPr="00AF18A3">
              <w:rPr>
                <w:rFonts w:ascii="Times New Roman" w:hAnsi="Times New Roman" w:cs="Times New Roman"/>
                <w:color w:val="000000"/>
                <w:sz w:val="20"/>
                <w:szCs w:val="20"/>
              </w:rPr>
              <w:t>0.0149</w:t>
            </w:r>
          </w:p>
        </w:tc>
        <w:tc>
          <w:tcPr>
            <w:tcW w:w="881" w:type="dxa"/>
            <w:tcBorders>
              <w:top w:val="nil"/>
              <w:left w:val="nil"/>
              <w:bottom w:val="nil"/>
              <w:right w:val="nil"/>
            </w:tcBorders>
            <w:noWrap/>
            <w:vAlign w:val="bottom"/>
            <w:hideMark/>
          </w:tcPr>
          <w:p w14:paraId="78725D99"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lang w:eastAsia="en-IN"/>
                <w14:ligatures w14:val="none"/>
              </w:rPr>
            </w:pPr>
            <w:r w:rsidRPr="00AF18A3">
              <w:rPr>
                <w:rFonts w:ascii="Times New Roman" w:hAnsi="Times New Roman" w:cs="Times New Roman"/>
                <w:color w:val="000000"/>
                <w:sz w:val="20"/>
                <w:szCs w:val="20"/>
              </w:rPr>
              <w:t>0.0149</w:t>
            </w:r>
          </w:p>
        </w:tc>
        <w:tc>
          <w:tcPr>
            <w:tcW w:w="1087" w:type="dxa"/>
            <w:tcBorders>
              <w:top w:val="nil"/>
              <w:left w:val="nil"/>
              <w:bottom w:val="nil"/>
              <w:right w:val="nil"/>
            </w:tcBorders>
            <w:vAlign w:val="bottom"/>
          </w:tcPr>
          <w:p w14:paraId="567DBEE0"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vertAlign w:val="superscript"/>
                <w:lang w:eastAsia="en-IN"/>
                <w14:ligatures w14:val="none"/>
              </w:rPr>
            </w:pPr>
            <w:r w:rsidRPr="00AF18A3">
              <w:rPr>
                <w:rFonts w:ascii="Times New Roman" w:hAnsi="Times New Roman" w:cs="Times New Roman"/>
                <w:color w:val="000000"/>
                <w:sz w:val="20"/>
                <w:szCs w:val="20"/>
              </w:rPr>
              <w:t>0.0149</w:t>
            </w:r>
          </w:p>
        </w:tc>
        <w:tc>
          <w:tcPr>
            <w:tcW w:w="1028" w:type="dxa"/>
            <w:tcBorders>
              <w:top w:val="nil"/>
              <w:left w:val="nil"/>
              <w:bottom w:val="nil"/>
              <w:right w:val="nil"/>
            </w:tcBorders>
            <w:noWrap/>
            <w:vAlign w:val="bottom"/>
            <w:hideMark/>
          </w:tcPr>
          <w:p w14:paraId="311080CD"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lang w:eastAsia="en-IN"/>
                <w14:ligatures w14:val="none"/>
              </w:rPr>
            </w:pPr>
            <w:r w:rsidRPr="00AF18A3">
              <w:rPr>
                <w:rFonts w:ascii="Times New Roman" w:hAnsi="Times New Roman" w:cs="Times New Roman"/>
                <w:color w:val="000000"/>
                <w:sz w:val="20"/>
                <w:szCs w:val="20"/>
              </w:rPr>
              <w:t>0.8643</w:t>
            </w:r>
          </w:p>
        </w:tc>
        <w:tc>
          <w:tcPr>
            <w:tcW w:w="946" w:type="dxa"/>
            <w:tcBorders>
              <w:top w:val="nil"/>
              <w:left w:val="nil"/>
              <w:bottom w:val="nil"/>
              <w:right w:val="nil"/>
            </w:tcBorders>
            <w:noWrap/>
            <w:vAlign w:val="bottom"/>
            <w:hideMark/>
          </w:tcPr>
          <w:p w14:paraId="612A01C0"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lang w:eastAsia="en-IN"/>
                <w14:ligatures w14:val="none"/>
              </w:rPr>
            </w:pPr>
            <w:r w:rsidRPr="00AF18A3">
              <w:rPr>
                <w:rFonts w:ascii="Times New Roman" w:hAnsi="Times New Roman" w:cs="Times New Roman"/>
                <w:color w:val="000000"/>
                <w:sz w:val="20"/>
                <w:szCs w:val="20"/>
              </w:rPr>
              <w:t>0.9519</w:t>
            </w:r>
          </w:p>
        </w:tc>
        <w:tc>
          <w:tcPr>
            <w:tcW w:w="1004" w:type="dxa"/>
            <w:tcBorders>
              <w:top w:val="nil"/>
              <w:left w:val="nil"/>
              <w:bottom w:val="nil"/>
              <w:right w:val="nil"/>
            </w:tcBorders>
            <w:vAlign w:val="bottom"/>
          </w:tcPr>
          <w:p w14:paraId="23921551"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vertAlign w:val="superscript"/>
                <w:lang w:eastAsia="en-IN"/>
                <w14:ligatures w14:val="none"/>
              </w:rPr>
            </w:pPr>
            <w:r w:rsidRPr="00AF18A3">
              <w:rPr>
                <w:rFonts w:ascii="Times New Roman" w:hAnsi="Times New Roman" w:cs="Times New Roman"/>
                <w:color w:val="000000"/>
                <w:sz w:val="20"/>
                <w:szCs w:val="20"/>
              </w:rPr>
              <w:t>0.9081</w:t>
            </w:r>
          </w:p>
        </w:tc>
        <w:tc>
          <w:tcPr>
            <w:tcW w:w="1045" w:type="dxa"/>
            <w:tcBorders>
              <w:top w:val="nil"/>
              <w:left w:val="nil"/>
              <w:bottom w:val="nil"/>
              <w:right w:val="nil"/>
            </w:tcBorders>
            <w:vAlign w:val="bottom"/>
          </w:tcPr>
          <w:p w14:paraId="364893DA" w14:textId="77777777" w:rsidR="007E0A41" w:rsidRPr="00AF18A3" w:rsidRDefault="007E0A41" w:rsidP="00D1336B">
            <w:pPr>
              <w:spacing w:after="0" w:line="276" w:lineRule="auto"/>
              <w:jc w:val="center"/>
              <w:rPr>
                <w:rFonts w:ascii="Times New Roman" w:hAnsi="Times New Roman" w:cs="Times New Roman"/>
                <w:color w:val="000000"/>
                <w:sz w:val="20"/>
                <w:szCs w:val="20"/>
              </w:rPr>
            </w:pPr>
            <w:r w:rsidRPr="00AF18A3">
              <w:rPr>
                <w:rFonts w:ascii="Times New Roman" w:hAnsi="Times New Roman" w:cs="Times New Roman"/>
                <w:color w:val="000000"/>
                <w:sz w:val="20"/>
                <w:szCs w:val="20"/>
              </w:rPr>
              <w:t>0.0149</w:t>
            </w:r>
          </w:p>
        </w:tc>
        <w:tc>
          <w:tcPr>
            <w:tcW w:w="1027" w:type="dxa"/>
            <w:tcBorders>
              <w:top w:val="nil"/>
              <w:left w:val="nil"/>
              <w:bottom w:val="nil"/>
              <w:right w:val="nil"/>
            </w:tcBorders>
            <w:vAlign w:val="bottom"/>
          </w:tcPr>
          <w:p w14:paraId="195CDA5B" w14:textId="77777777" w:rsidR="007E0A41" w:rsidRPr="00AF18A3" w:rsidRDefault="007E0A41" w:rsidP="00D1336B">
            <w:pPr>
              <w:spacing w:after="0" w:line="276" w:lineRule="auto"/>
              <w:jc w:val="center"/>
              <w:rPr>
                <w:rFonts w:ascii="Times New Roman" w:hAnsi="Times New Roman" w:cs="Times New Roman"/>
                <w:color w:val="000000"/>
                <w:sz w:val="20"/>
                <w:szCs w:val="20"/>
              </w:rPr>
            </w:pPr>
            <w:r w:rsidRPr="00AF18A3">
              <w:rPr>
                <w:rFonts w:ascii="Times New Roman" w:hAnsi="Times New Roman" w:cs="Times New Roman"/>
                <w:color w:val="000000"/>
                <w:sz w:val="20"/>
                <w:szCs w:val="20"/>
              </w:rPr>
              <w:t>0.0149</w:t>
            </w:r>
          </w:p>
        </w:tc>
        <w:tc>
          <w:tcPr>
            <w:tcW w:w="1230" w:type="dxa"/>
            <w:tcBorders>
              <w:top w:val="nil"/>
              <w:left w:val="nil"/>
              <w:bottom w:val="nil"/>
              <w:right w:val="nil"/>
            </w:tcBorders>
            <w:vAlign w:val="bottom"/>
          </w:tcPr>
          <w:p w14:paraId="1A318577" w14:textId="77777777" w:rsidR="007E0A41" w:rsidRPr="00AF18A3" w:rsidRDefault="007E0A41" w:rsidP="00D1336B">
            <w:pPr>
              <w:spacing w:after="0" w:line="276" w:lineRule="auto"/>
              <w:jc w:val="center"/>
              <w:rPr>
                <w:rFonts w:ascii="Times New Roman" w:hAnsi="Times New Roman" w:cs="Times New Roman"/>
                <w:color w:val="000000"/>
                <w:sz w:val="20"/>
                <w:szCs w:val="20"/>
              </w:rPr>
            </w:pPr>
            <w:r w:rsidRPr="00AF18A3">
              <w:rPr>
                <w:rFonts w:ascii="Times New Roman" w:hAnsi="Times New Roman" w:cs="Times New Roman"/>
                <w:color w:val="000000"/>
                <w:sz w:val="20"/>
                <w:szCs w:val="20"/>
              </w:rPr>
              <w:t>0.0149</w:t>
            </w:r>
          </w:p>
        </w:tc>
      </w:tr>
      <w:tr w:rsidR="007E0A41" w:rsidRPr="00AF18A3" w14:paraId="70B5DE59" w14:textId="77777777" w:rsidTr="00701562">
        <w:trPr>
          <w:trHeight w:val="203"/>
        </w:trPr>
        <w:tc>
          <w:tcPr>
            <w:tcW w:w="641" w:type="dxa"/>
            <w:tcBorders>
              <w:top w:val="nil"/>
              <w:left w:val="nil"/>
              <w:bottom w:val="nil"/>
              <w:right w:val="nil"/>
            </w:tcBorders>
            <w:noWrap/>
            <w:hideMark/>
          </w:tcPr>
          <w:p w14:paraId="5A75EFEC"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lang w:eastAsia="en-IN"/>
                <w14:ligatures w14:val="none"/>
              </w:rPr>
            </w:pPr>
            <w:r w:rsidRPr="00AF18A3">
              <w:rPr>
                <w:rFonts w:ascii="Times New Roman" w:hAnsi="Times New Roman" w:cs="Times New Roman"/>
                <w:sz w:val="20"/>
                <w:szCs w:val="20"/>
              </w:rPr>
              <w:t>T</w:t>
            </w:r>
            <w:r w:rsidRPr="00AF18A3">
              <w:rPr>
                <w:rFonts w:ascii="Times New Roman" w:hAnsi="Times New Roman" w:cs="Times New Roman"/>
                <w:sz w:val="20"/>
                <w:szCs w:val="20"/>
                <w:vertAlign w:val="subscript"/>
              </w:rPr>
              <w:t>12</w:t>
            </w:r>
          </w:p>
        </w:tc>
        <w:tc>
          <w:tcPr>
            <w:tcW w:w="2033" w:type="dxa"/>
            <w:tcBorders>
              <w:top w:val="nil"/>
              <w:left w:val="nil"/>
              <w:bottom w:val="nil"/>
              <w:right w:val="nil"/>
            </w:tcBorders>
            <w:vAlign w:val="center"/>
            <w:hideMark/>
          </w:tcPr>
          <w:p w14:paraId="798215F6"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lang w:eastAsia="en-IN"/>
                <w14:ligatures w14:val="none"/>
              </w:rPr>
            </w:pPr>
            <w:r w:rsidRPr="00AF18A3">
              <w:rPr>
                <w:rFonts w:ascii="Times New Roman" w:eastAsia="Times New Roman" w:hAnsi="Times New Roman" w:cs="Times New Roman"/>
                <w:color w:val="000000"/>
                <w:kern w:val="0"/>
                <w:sz w:val="20"/>
                <w:szCs w:val="20"/>
                <w:lang w:eastAsia="en-IN"/>
                <w14:ligatures w14:val="none"/>
              </w:rPr>
              <w:t>ZnSO</w:t>
            </w:r>
            <w:r w:rsidRPr="00AF18A3">
              <w:rPr>
                <w:rFonts w:ascii="Times New Roman" w:eastAsia="Times New Roman" w:hAnsi="Times New Roman" w:cs="Times New Roman"/>
                <w:color w:val="000000"/>
                <w:kern w:val="0"/>
                <w:sz w:val="20"/>
                <w:szCs w:val="20"/>
                <w:vertAlign w:val="subscript"/>
                <w:lang w:eastAsia="en-IN"/>
                <w14:ligatures w14:val="none"/>
              </w:rPr>
              <w:t>4</w:t>
            </w:r>
            <w:r w:rsidRPr="00AF18A3">
              <w:rPr>
                <w:rFonts w:ascii="Times New Roman" w:eastAsia="Times New Roman" w:hAnsi="Times New Roman" w:cs="Times New Roman"/>
                <w:color w:val="000000"/>
                <w:kern w:val="0"/>
                <w:sz w:val="20"/>
                <w:szCs w:val="20"/>
                <w:lang w:eastAsia="en-IN"/>
                <w14:ligatures w14:val="none"/>
              </w:rPr>
              <w:t xml:space="preserve"> @0.50%</w:t>
            </w:r>
          </w:p>
        </w:tc>
        <w:tc>
          <w:tcPr>
            <w:tcW w:w="1012" w:type="dxa"/>
            <w:tcBorders>
              <w:top w:val="nil"/>
              <w:left w:val="nil"/>
              <w:bottom w:val="nil"/>
              <w:right w:val="nil"/>
            </w:tcBorders>
            <w:noWrap/>
            <w:vAlign w:val="bottom"/>
            <w:hideMark/>
          </w:tcPr>
          <w:p w14:paraId="0E91676C"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lang w:eastAsia="en-IN"/>
                <w14:ligatures w14:val="none"/>
              </w:rPr>
            </w:pPr>
            <w:r w:rsidRPr="00AF18A3">
              <w:rPr>
                <w:rFonts w:ascii="Times New Roman" w:hAnsi="Times New Roman" w:cs="Times New Roman"/>
                <w:color w:val="000000"/>
                <w:sz w:val="20"/>
                <w:szCs w:val="20"/>
              </w:rPr>
              <w:t>0.0922</w:t>
            </w:r>
          </w:p>
        </w:tc>
        <w:tc>
          <w:tcPr>
            <w:tcW w:w="881" w:type="dxa"/>
            <w:tcBorders>
              <w:top w:val="nil"/>
              <w:left w:val="nil"/>
              <w:bottom w:val="nil"/>
              <w:right w:val="nil"/>
            </w:tcBorders>
            <w:noWrap/>
            <w:vAlign w:val="bottom"/>
            <w:hideMark/>
          </w:tcPr>
          <w:p w14:paraId="7B3940D2"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lang w:eastAsia="en-IN"/>
                <w14:ligatures w14:val="none"/>
              </w:rPr>
            </w:pPr>
            <w:r w:rsidRPr="00AF18A3">
              <w:rPr>
                <w:rFonts w:ascii="Times New Roman" w:hAnsi="Times New Roman" w:cs="Times New Roman"/>
                <w:color w:val="000000"/>
                <w:sz w:val="20"/>
                <w:szCs w:val="20"/>
              </w:rPr>
              <w:t>0.0918</w:t>
            </w:r>
          </w:p>
        </w:tc>
        <w:tc>
          <w:tcPr>
            <w:tcW w:w="1114" w:type="dxa"/>
            <w:tcBorders>
              <w:top w:val="nil"/>
              <w:left w:val="nil"/>
              <w:bottom w:val="nil"/>
              <w:right w:val="nil"/>
            </w:tcBorders>
            <w:vAlign w:val="bottom"/>
          </w:tcPr>
          <w:p w14:paraId="5E78A708"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vertAlign w:val="superscript"/>
                <w:lang w:eastAsia="en-IN"/>
                <w14:ligatures w14:val="none"/>
              </w:rPr>
            </w:pPr>
            <w:r w:rsidRPr="00AF18A3">
              <w:rPr>
                <w:rFonts w:ascii="Times New Roman" w:hAnsi="Times New Roman" w:cs="Times New Roman"/>
                <w:color w:val="000000"/>
                <w:sz w:val="20"/>
                <w:szCs w:val="20"/>
              </w:rPr>
              <w:t>0.0919</w:t>
            </w:r>
          </w:p>
        </w:tc>
        <w:tc>
          <w:tcPr>
            <w:tcW w:w="966" w:type="dxa"/>
            <w:tcBorders>
              <w:top w:val="nil"/>
              <w:left w:val="nil"/>
              <w:bottom w:val="nil"/>
              <w:right w:val="nil"/>
            </w:tcBorders>
            <w:noWrap/>
            <w:vAlign w:val="bottom"/>
            <w:hideMark/>
          </w:tcPr>
          <w:p w14:paraId="55ACC9BA"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lang w:eastAsia="en-IN"/>
                <w14:ligatures w14:val="none"/>
              </w:rPr>
            </w:pPr>
            <w:r w:rsidRPr="00AF18A3">
              <w:rPr>
                <w:rFonts w:ascii="Times New Roman" w:hAnsi="Times New Roman" w:cs="Times New Roman"/>
                <w:color w:val="000000"/>
                <w:sz w:val="20"/>
                <w:szCs w:val="20"/>
              </w:rPr>
              <w:t>0.0156</w:t>
            </w:r>
          </w:p>
        </w:tc>
        <w:tc>
          <w:tcPr>
            <w:tcW w:w="881" w:type="dxa"/>
            <w:tcBorders>
              <w:top w:val="nil"/>
              <w:left w:val="nil"/>
              <w:bottom w:val="nil"/>
              <w:right w:val="nil"/>
            </w:tcBorders>
            <w:noWrap/>
            <w:vAlign w:val="bottom"/>
            <w:hideMark/>
          </w:tcPr>
          <w:p w14:paraId="60C3CD05"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lang w:eastAsia="en-IN"/>
                <w14:ligatures w14:val="none"/>
              </w:rPr>
            </w:pPr>
            <w:r w:rsidRPr="00AF18A3">
              <w:rPr>
                <w:rFonts w:ascii="Times New Roman" w:hAnsi="Times New Roman" w:cs="Times New Roman"/>
                <w:color w:val="000000"/>
                <w:sz w:val="20"/>
                <w:szCs w:val="20"/>
              </w:rPr>
              <w:t>0.0162</w:t>
            </w:r>
          </w:p>
        </w:tc>
        <w:tc>
          <w:tcPr>
            <w:tcW w:w="1087" w:type="dxa"/>
            <w:tcBorders>
              <w:top w:val="nil"/>
              <w:left w:val="nil"/>
              <w:bottom w:val="nil"/>
              <w:right w:val="nil"/>
            </w:tcBorders>
            <w:vAlign w:val="bottom"/>
          </w:tcPr>
          <w:p w14:paraId="529D1A99"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vertAlign w:val="superscript"/>
                <w:lang w:eastAsia="en-IN"/>
                <w14:ligatures w14:val="none"/>
              </w:rPr>
            </w:pPr>
            <w:r w:rsidRPr="00AF18A3">
              <w:rPr>
                <w:rFonts w:ascii="Times New Roman" w:hAnsi="Times New Roman" w:cs="Times New Roman"/>
                <w:color w:val="000000"/>
                <w:sz w:val="20"/>
                <w:szCs w:val="20"/>
              </w:rPr>
              <w:t>0.0159</w:t>
            </w:r>
          </w:p>
        </w:tc>
        <w:tc>
          <w:tcPr>
            <w:tcW w:w="1028" w:type="dxa"/>
            <w:tcBorders>
              <w:top w:val="nil"/>
              <w:left w:val="nil"/>
              <w:bottom w:val="nil"/>
              <w:right w:val="nil"/>
            </w:tcBorders>
            <w:noWrap/>
            <w:vAlign w:val="bottom"/>
            <w:hideMark/>
          </w:tcPr>
          <w:p w14:paraId="70123AFE"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lang w:eastAsia="en-IN"/>
                <w14:ligatures w14:val="none"/>
              </w:rPr>
            </w:pPr>
            <w:r w:rsidRPr="00AF18A3">
              <w:rPr>
                <w:rFonts w:ascii="Times New Roman" w:hAnsi="Times New Roman" w:cs="Times New Roman"/>
                <w:color w:val="000000"/>
                <w:sz w:val="20"/>
                <w:szCs w:val="20"/>
              </w:rPr>
              <w:t>0.9204</w:t>
            </w:r>
          </w:p>
        </w:tc>
        <w:tc>
          <w:tcPr>
            <w:tcW w:w="946" w:type="dxa"/>
            <w:tcBorders>
              <w:top w:val="nil"/>
              <w:left w:val="nil"/>
              <w:bottom w:val="nil"/>
              <w:right w:val="nil"/>
            </w:tcBorders>
            <w:noWrap/>
            <w:vAlign w:val="bottom"/>
            <w:hideMark/>
          </w:tcPr>
          <w:p w14:paraId="066E1332"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lang w:eastAsia="en-IN"/>
                <w14:ligatures w14:val="none"/>
              </w:rPr>
            </w:pPr>
            <w:r w:rsidRPr="00AF18A3">
              <w:rPr>
                <w:rFonts w:ascii="Times New Roman" w:hAnsi="Times New Roman" w:cs="Times New Roman"/>
                <w:color w:val="000000"/>
                <w:sz w:val="20"/>
                <w:szCs w:val="20"/>
              </w:rPr>
              <w:t>0.9470</w:t>
            </w:r>
          </w:p>
        </w:tc>
        <w:tc>
          <w:tcPr>
            <w:tcW w:w="1004" w:type="dxa"/>
            <w:tcBorders>
              <w:top w:val="nil"/>
              <w:left w:val="nil"/>
              <w:bottom w:val="nil"/>
              <w:right w:val="nil"/>
            </w:tcBorders>
            <w:vAlign w:val="bottom"/>
          </w:tcPr>
          <w:p w14:paraId="47E30E73"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vertAlign w:val="superscript"/>
                <w:lang w:eastAsia="en-IN"/>
                <w14:ligatures w14:val="none"/>
              </w:rPr>
            </w:pPr>
            <w:r w:rsidRPr="00AF18A3">
              <w:rPr>
                <w:rFonts w:ascii="Times New Roman" w:hAnsi="Times New Roman" w:cs="Times New Roman"/>
                <w:color w:val="000000"/>
                <w:sz w:val="20"/>
                <w:szCs w:val="20"/>
              </w:rPr>
              <w:t>0.9337</w:t>
            </w:r>
          </w:p>
        </w:tc>
        <w:tc>
          <w:tcPr>
            <w:tcW w:w="1045" w:type="dxa"/>
            <w:tcBorders>
              <w:top w:val="nil"/>
              <w:left w:val="nil"/>
              <w:bottom w:val="nil"/>
              <w:right w:val="nil"/>
            </w:tcBorders>
            <w:vAlign w:val="bottom"/>
          </w:tcPr>
          <w:p w14:paraId="6CAE2ED6" w14:textId="77777777" w:rsidR="007E0A41" w:rsidRPr="00AF18A3" w:rsidRDefault="007E0A41" w:rsidP="00D1336B">
            <w:pPr>
              <w:spacing w:after="0" w:line="276" w:lineRule="auto"/>
              <w:jc w:val="center"/>
              <w:rPr>
                <w:rFonts w:ascii="Times New Roman" w:hAnsi="Times New Roman" w:cs="Times New Roman"/>
                <w:color w:val="000000"/>
                <w:sz w:val="20"/>
                <w:szCs w:val="20"/>
              </w:rPr>
            </w:pPr>
            <w:r w:rsidRPr="00AF18A3">
              <w:rPr>
                <w:rFonts w:ascii="Times New Roman" w:hAnsi="Times New Roman" w:cs="Times New Roman"/>
                <w:color w:val="000000"/>
                <w:sz w:val="20"/>
                <w:szCs w:val="20"/>
              </w:rPr>
              <w:t>0.0249</w:t>
            </w:r>
          </w:p>
        </w:tc>
        <w:tc>
          <w:tcPr>
            <w:tcW w:w="1027" w:type="dxa"/>
            <w:tcBorders>
              <w:top w:val="nil"/>
              <w:left w:val="nil"/>
              <w:bottom w:val="nil"/>
              <w:right w:val="nil"/>
            </w:tcBorders>
            <w:vAlign w:val="bottom"/>
          </w:tcPr>
          <w:p w14:paraId="7147B882" w14:textId="77777777" w:rsidR="007E0A41" w:rsidRPr="00AF18A3" w:rsidRDefault="007E0A41" w:rsidP="00D1336B">
            <w:pPr>
              <w:spacing w:after="0" w:line="276" w:lineRule="auto"/>
              <w:jc w:val="center"/>
              <w:rPr>
                <w:rFonts w:ascii="Times New Roman" w:hAnsi="Times New Roman" w:cs="Times New Roman"/>
                <w:color w:val="000000"/>
                <w:sz w:val="20"/>
                <w:szCs w:val="20"/>
              </w:rPr>
            </w:pPr>
            <w:r w:rsidRPr="00AF18A3">
              <w:rPr>
                <w:rFonts w:ascii="Times New Roman" w:hAnsi="Times New Roman" w:cs="Times New Roman"/>
                <w:color w:val="000000"/>
                <w:sz w:val="20"/>
                <w:szCs w:val="20"/>
              </w:rPr>
              <w:t>0.0219</w:t>
            </w:r>
          </w:p>
        </w:tc>
        <w:tc>
          <w:tcPr>
            <w:tcW w:w="1230" w:type="dxa"/>
            <w:tcBorders>
              <w:top w:val="nil"/>
              <w:left w:val="nil"/>
              <w:bottom w:val="nil"/>
              <w:right w:val="nil"/>
            </w:tcBorders>
            <w:vAlign w:val="bottom"/>
          </w:tcPr>
          <w:p w14:paraId="677E3B4D" w14:textId="77777777" w:rsidR="007E0A41" w:rsidRPr="00AF18A3" w:rsidRDefault="007E0A41" w:rsidP="00D1336B">
            <w:pPr>
              <w:spacing w:after="0" w:line="276" w:lineRule="auto"/>
              <w:jc w:val="center"/>
              <w:rPr>
                <w:rFonts w:ascii="Times New Roman" w:hAnsi="Times New Roman" w:cs="Times New Roman"/>
                <w:color w:val="000000"/>
                <w:sz w:val="20"/>
                <w:szCs w:val="20"/>
              </w:rPr>
            </w:pPr>
            <w:r w:rsidRPr="00AF18A3">
              <w:rPr>
                <w:rFonts w:ascii="Times New Roman" w:hAnsi="Times New Roman" w:cs="Times New Roman"/>
                <w:color w:val="000000"/>
                <w:sz w:val="20"/>
                <w:szCs w:val="20"/>
              </w:rPr>
              <w:t>0.0234</w:t>
            </w:r>
          </w:p>
        </w:tc>
      </w:tr>
      <w:tr w:rsidR="007E0A41" w:rsidRPr="00AF18A3" w14:paraId="671DA548" w14:textId="77777777" w:rsidTr="00701562">
        <w:trPr>
          <w:trHeight w:val="203"/>
        </w:trPr>
        <w:tc>
          <w:tcPr>
            <w:tcW w:w="641" w:type="dxa"/>
            <w:tcBorders>
              <w:top w:val="nil"/>
              <w:left w:val="nil"/>
              <w:bottom w:val="single" w:sz="4" w:space="0" w:color="auto"/>
              <w:right w:val="nil"/>
            </w:tcBorders>
            <w:noWrap/>
            <w:hideMark/>
          </w:tcPr>
          <w:p w14:paraId="0C1FF352"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lang w:eastAsia="en-IN"/>
                <w14:ligatures w14:val="none"/>
              </w:rPr>
            </w:pPr>
            <w:r w:rsidRPr="00AF18A3">
              <w:rPr>
                <w:rFonts w:ascii="Times New Roman" w:hAnsi="Times New Roman" w:cs="Times New Roman"/>
                <w:sz w:val="20"/>
                <w:szCs w:val="20"/>
              </w:rPr>
              <w:t>T</w:t>
            </w:r>
            <w:r w:rsidRPr="00AF18A3">
              <w:rPr>
                <w:rFonts w:ascii="Times New Roman" w:hAnsi="Times New Roman" w:cs="Times New Roman"/>
                <w:sz w:val="20"/>
                <w:szCs w:val="20"/>
                <w:vertAlign w:val="subscript"/>
              </w:rPr>
              <w:t>13</w:t>
            </w:r>
          </w:p>
        </w:tc>
        <w:tc>
          <w:tcPr>
            <w:tcW w:w="2033" w:type="dxa"/>
            <w:tcBorders>
              <w:top w:val="nil"/>
              <w:left w:val="nil"/>
              <w:bottom w:val="single" w:sz="4" w:space="0" w:color="auto"/>
              <w:right w:val="nil"/>
            </w:tcBorders>
            <w:vAlign w:val="center"/>
            <w:hideMark/>
          </w:tcPr>
          <w:p w14:paraId="40C65559"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lang w:eastAsia="en-IN"/>
                <w14:ligatures w14:val="none"/>
              </w:rPr>
            </w:pPr>
            <w:r w:rsidRPr="00AF18A3">
              <w:rPr>
                <w:rFonts w:ascii="Times New Roman" w:eastAsia="Times New Roman" w:hAnsi="Times New Roman" w:cs="Times New Roman"/>
                <w:color w:val="000000"/>
                <w:kern w:val="0"/>
                <w:sz w:val="20"/>
                <w:szCs w:val="20"/>
                <w:lang w:eastAsia="en-IN"/>
                <w14:ligatures w14:val="none"/>
              </w:rPr>
              <w:t>ZnSO</w:t>
            </w:r>
            <w:r w:rsidRPr="00AF18A3">
              <w:rPr>
                <w:rFonts w:ascii="Times New Roman" w:eastAsia="Times New Roman" w:hAnsi="Times New Roman" w:cs="Times New Roman"/>
                <w:color w:val="000000"/>
                <w:kern w:val="0"/>
                <w:sz w:val="20"/>
                <w:szCs w:val="20"/>
                <w:vertAlign w:val="subscript"/>
                <w:lang w:eastAsia="en-IN"/>
                <w14:ligatures w14:val="none"/>
              </w:rPr>
              <w:t>4</w:t>
            </w:r>
            <w:r w:rsidRPr="00AF18A3">
              <w:rPr>
                <w:rFonts w:ascii="Times New Roman" w:eastAsia="Times New Roman" w:hAnsi="Times New Roman" w:cs="Times New Roman"/>
                <w:color w:val="000000"/>
                <w:kern w:val="0"/>
                <w:sz w:val="20"/>
                <w:szCs w:val="20"/>
                <w:lang w:eastAsia="en-IN"/>
                <w14:ligatures w14:val="none"/>
              </w:rPr>
              <w:t xml:space="preserve"> @0.75%</w:t>
            </w:r>
          </w:p>
        </w:tc>
        <w:tc>
          <w:tcPr>
            <w:tcW w:w="1012" w:type="dxa"/>
            <w:tcBorders>
              <w:top w:val="nil"/>
              <w:left w:val="nil"/>
              <w:bottom w:val="single" w:sz="4" w:space="0" w:color="auto"/>
              <w:right w:val="nil"/>
            </w:tcBorders>
            <w:noWrap/>
            <w:vAlign w:val="bottom"/>
            <w:hideMark/>
          </w:tcPr>
          <w:p w14:paraId="13C518E4"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lang w:eastAsia="en-IN"/>
                <w14:ligatures w14:val="none"/>
              </w:rPr>
            </w:pPr>
            <w:r w:rsidRPr="00AF18A3">
              <w:rPr>
                <w:rFonts w:ascii="Times New Roman" w:hAnsi="Times New Roman" w:cs="Times New Roman"/>
                <w:color w:val="000000"/>
                <w:sz w:val="20"/>
                <w:szCs w:val="20"/>
              </w:rPr>
              <w:t>0.0935</w:t>
            </w:r>
          </w:p>
        </w:tc>
        <w:tc>
          <w:tcPr>
            <w:tcW w:w="881" w:type="dxa"/>
            <w:tcBorders>
              <w:top w:val="nil"/>
              <w:left w:val="nil"/>
              <w:bottom w:val="single" w:sz="4" w:space="0" w:color="auto"/>
              <w:right w:val="nil"/>
            </w:tcBorders>
            <w:noWrap/>
            <w:vAlign w:val="bottom"/>
            <w:hideMark/>
          </w:tcPr>
          <w:p w14:paraId="0B58A957"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lang w:eastAsia="en-IN"/>
                <w14:ligatures w14:val="none"/>
              </w:rPr>
            </w:pPr>
            <w:r w:rsidRPr="00AF18A3">
              <w:rPr>
                <w:rFonts w:ascii="Times New Roman" w:hAnsi="Times New Roman" w:cs="Times New Roman"/>
                <w:color w:val="000000"/>
                <w:sz w:val="20"/>
                <w:szCs w:val="20"/>
              </w:rPr>
              <w:t>0.0931</w:t>
            </w:r>
          </w:p>
        </w:tc>
        <w:tc>
          <w:tcPr>
            <w:tcW w:w="1114" w:type="dxa"/>
            <w:tcBorders>
              <w:top w:val="nil"/>
              <w:left w:val="nil"/>
              <w:bottom w:val="single" w:sz="4" w:space="0" w:color="auto"/>
              <w:right w:val="nil"/>
            </w:tcBorders>
            <w:vAlign w:val="bottom"/>
          </w:tcPr>
          <w:p w14:paraId="63651F28"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vertAlign w:val="superscript"/>
                <w:lang w:eastAsia="en-IN"/>
                <w14:ligatures w14:val="none"/>
              </w:rPr>
            </w:pPr>
            <w:r w:rsidRPr="00AF18A3">
              <w:rPr>
                <w:rFonts w:ascii="Times New Roman" w:hAnsi="Times New Roman" w:cs="Times New Roman"/>
                <w:color w:val="000000"/>
                <w:sz w:val="20"/>
                <w:szCs w:val="20"/>
              </w:rPr>
              <w:t>0.0933</w:t>
            </w:r>
          </w:p>
        </w:tc>
        <w:tc>
          <w:tcPr>
            <w:tcW w:w="966" w:type="dxa"/>
            <w:tcBorders>
              <w:top w:val="nil"/>
              <w:left w:val="nil"/>
              <w:bottom w:val="single" w:sz="4" w:space="0" w:color="auto"/>
              <w:right w:val="nil"/>
            </w:tcBorders>
            <w:noWrap/>
            <w:vAlign w:val="bottom"/>
            <w:hideMark/>
          </w:tcPr>
          <w:p w14:paraId="39693658"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lang w:eastAsia="en-IN"/>
                <w14:ligatures w14:val="none"/>
              </w:rPr>
            </w:pPr>
            <w:r w:rsidRPr="00AF18A3">
              <w:rPr>
                <w:rFonts w:ascii="Times New Roman" w:hAnsi="Times New Roman" w:cs="Times New Roman"/>
                <w:color w:val="000000"/>
                <w:sz w:val="20"/>
                <w:szCs w:val="20"/>
              </w:rPr>
              <w:t>0.0148</w:t>
            </w:r>
          </w:p>
        </w:tc>
        <w:tc>
          <w:tcPr>
            <w:tcW w:w="881" w:type="dxa"/>
            <w:tcBorders>
              <w:top w:val="nil"/>
              <w:left w:val="nil"/>
              <w:bottom w:val="single" w:sz="4" w:space="0" w:color="auto"/>
              <w:right w:val="nil"/>
            </w:tcBorders>
            <w:noWrap/>
            <w:vAlign w:val="bottom"/>
            <w:hideMark/>
          </w:tcPr>
          <w:p w14:paraId="1456AEA1"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lang w:eastAsia="en-IN"/>
                <w14:ligatures w14:val="none"/>
              </w:rPr>
            </w:pPr>
            <w:r w:rsidRPr="00AF18A3">
              <w:rPr>
                <w:rFonts w:ascii="Times New Roman" w:hAnsi="Times New Roman" w:cs="Times New Roman"/>
                <w:color w:val="000000"/>
                <w:sz w:val="20"/>
                <w:szCs w:val="20"/>
              </w:rPr>
              <w:t>0.0150</w:t>
            </w:r>
          </w:p>
        </w:tc>
        <w:tc>
          <w:tcPr>
            <w:tcW w:w="1087" w:type="dxa"/>
            <w:tcBorders>
              <w:top w:val="nil"/>
              <w:left w:val="nil"/>
              <w:bottom w:val="single" w:sz="4" w:space="0" w:color="auto"/>
              <w:right w:val="nil"/>
            </w:tcBorders>
            <w:vAlign w:val="bottom"/>
          </w:tcPr>
          <w:p w14:paraId="5C76161A"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vertAlign w:val="superscript"/>
                <w:lang w:eastAsia="en-IN"/>
                <w14:ligatures w14:val="none"/>
              </w:rPr>
            </w:pPr>
            <w:r w:rsidRPr="00AF18A3">
              <w:rPr>
                <w:rFonts w:ascii="Times New Roman" w:hAnsi="Times New Roman" w:cs="Times New Roman"/>
                <w:color w:val="000000"/>
                <w:sz w:val="20"/>
                <w:szCs w:val="20"/>
              </w:rPr>
              <w:t>0.0149</w:t>
            </w:r>
          </w:p>
        </w:tc>
        <w:tc>
          <w:tcPr>
            <w:tcW w:w="1028" w:type="dxa"/>
            <w:tcBorders>
              <w:top w:val="nil"/>
              <w:left w:val="nil"/>
              <w:bottom w:val="single" w:sz="4" w:space="0" w:color="auto"/>
              <w:right w:val="nil"/>
            </w:tcBorders>
            <w:noWrap/>
            <w:vAlign w:val="bottom"/>
            <w:hideMark/>
          </w:tcPr>
          <w:p w14:paraId="393AC574"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lang w:eastAsia="en-IN"/>
                <w14:ligatures w14:val="none"/>
              </w:rPr>
            </w:pPr>
            <w:r w:rsidRPr="00AF18A3">
              <w:rPr>
                <w:rFonts w:ascii="Times New Roman" w:hAnsi="Times New Roman" w:cs="Times New Roman"/>
                <w:color w:val="000000"/>
                <w:sz w:val="20"/>
                <w:szCs w:val="20"/>
              </w:rPr>
              <w:t>0.9209</w:t>
            </w:r>
          </w:p>
        </w:tc>
        <w:tc>
          <w:tcPr>
            <w:tcW w:w="946" w:type="dxa"/>
            <w:tcBorders>
              <w:top w:val="nil"/>
              <w:left w:val="nil"/>
              <w:bottom w:val="single" w:sz="4" w:space="0" w:color="auto"/>
              <w:right w:val="nil"/>
            </w:tcBorders>
            <w:noWrap/>
            <w:vAlign w:val="bottom"/>
            <w:hideMark/>
          </w:tcPr>
          <w:p w14:paraId="1EB5BD19"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lang w:eastAsia="en-IN"/>
                <w14:ligatures w14:val="none"/>
              </w:rPr>
            </w:pPr>
            <w:r w:rsidRPr="00AF18A3">
              <w:rPr>
                <w:rFonts w:ascii="Times New Roman" w:hAnsi="Times New Roman" w:cs="Times New Roman"/>
                <w:color w:val="000000"/>
                <w:sz w:val="20"/>
                <w:szCs w:val="20"/>
              </w:rPr>
              <w:t>1.1325</w:t>
            </w:r>
          </w:p>
        </w:tc>
        <w:tc>
          <w:tcPr>
            <w:tcW w:w="1004" w:type="dxa"/>
            <w:tcBorders>
              <w:top w:val="nil"/>
              <w:left w:val="nil"/>
              <w:bottom w:val="single" w:sz="4" w:space="0" w:color="auto"/>
              <w:right w:val="nil"/>
            </w:tcBorders>
            <w:vAlign w:val="bottom"/>
          </w:tcPr>
          <w:p w14:paraId="3D242646"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vertAlign w:val="superscript"/>
                <w:lang w:eastAsia="en-IN"/>
                <w14:ligatures w14:val="none"/>
              </w:rPr>
            </w:pPr>
            <w:r w:rsidRPr="00AF18A3">
              <w:rPr>
                <w:rFonts w:ascii="Times New Roman" w:hAnsi="Times New Roman" w:cs="Times New Roman"/>
                <w:color w:val="000000"/>
                <w:sz w:val="20"/>
                <w:szCs w:val="20"/>
              </w:rPr>
              <w:t>1.0267</w:t>
            </w:r>
          </w:p>
        </w:tc>
        <w:tc>
          <w:tcPr>
            <w:tcW w:w="1045" w:type="dxa"/>
            <w:tcBorders>
              <w:top w:val="nil"/>
              <w:left w:val="nil"/>
              <w:bottom w:val="single" w:sz="4" w:space="0" w:color="auto"/>
              <w:right w:val="nil"/>
            </w:tcBorders>
            <w:vAlign w:val="bottom"/>
          </w:tcPr>
          <w:p w14:paraId="2EDD1C21" w14:textId="77777777" w:rsidR="007E0A41" w:rsidRPr="00AF18A3" w:rsidRDefault="007E0A41" w:rsidP="00D1336B">
            <w:pPr>
              <w:spacing w:after="0" w:line="276" w:lineRule="auto"/>
              <w:jc w:val="center"/>
              <w:rPr>
                <w:rFonts w:ascii="Times New Roman" w:hAnsi="Times New Roman" w:cs="Times New Roman"/>
                <w:color w:val="000000"/>
                <w:sz w:val="20"/>
                <w:szCs w:val="20"/>
              </w:rPr>
            </w:pPr>
            <w:r w:rsidRPr="00AF18A3">
              <w:rPr>
                <w:rFonts w:ascii="Times New Roman" w:hAnsi="Times New Roman" w:cs="Times New Roman"/>
                <w:color w:val="000000"/>
                <w:sz w:val="20"/>
                <w:szCs w:val="20"/>
              </w:rPr>
              <w:t>0.0190</w:t>
            </w:r>
          </w:p>
        </w:tc>
        <w:tc>
          <w:tcPr>
            <w:tcW w:w="1027" w:type="dxa"/>
            <w:tcBorders>
              <w:top w:val="nil"/>
              <w:left w:val="nil"/>
              <w:bottom w:val="single" w:sz="4" w:space="0" w:color="auto"/>
              <w:right w:val="nil"/>
            </w:tcBorders>
            <w:vAlign w:val="bottom"/>
          </w:tcPr>
          <w:p w14:paraId="738CE983" w14:textId="77777777" w:rsidR="007E0A41" w:rsidRPr="00AF18A3" w:rsidRDefault="007E0A41" w:rsidP="00D1336B">
            <w:pPr>
              <w:spacing w:after="0" w:line="276" w:lineRule="auto"/>
              <w:jc w:val="center"/>
              <w:rPr>
                <w:rFonts w:ascii="Times New Roman" w:hAnsi="Times New Roman" w:cs="Times New Roman"/>
                <w:color w:val="000000"/>
                <w:sz w:val="20"/>
                <w:szCs w:val="20"/>
              </w:rPr>
            </w:pPr>
            <w:r w:rsidRPr="00AF18A3">
              <w:rPr>
                <w:rFonts w:ascii="Times New Roman" w:hAnsi="Times New Roman" w:cs="Times New Roman"/>
                <w:color w:val="000000"/>
                <w:sz w:val="20"/>
                <w:szCs w:val="20"/>
              </w:rPr>
              <w:t>0.0183</w:t>
            </w:r>
          </w:p>
        </w:tc>
        <w:tc>
          <w:tcPr>
            <w:tcW w:w="1230" w:type="dxa"/>
            <w:tcBorders>
              <w:top w:val="nil"/>
              <w:left w:val="nil"/>
              <w:bottom w:val="single" w:sz="4" w:space="0" w:color="auto"/>
              <w:right w:val="nil"/>
            </w:tcBorders>
            <w:vAlign w:val="bottom"/>
          </w:tcPr>
          <w:p w14:paraId="7FE74A63" w14:textId="77777777" w:rsidR="007E0A41" w:rsidRPr="00AF18A3" w:rsidRDefault="007E0A41" w:rsidP="00D1336B">
            <w:pPr>
              <w:spacing w:after="0" w:line="276" w:lineRule="auto"/>
              <w:jc w:val="center"/>
              <w:rPr>
                <w:rFonts w:ascii="Times New Roman" w:hAnsi="Times New Roman" w:cs="Times New Roman"/>
                <w:color w:val="000000"/>
                <w:sz w:val="20"/>
                <w:szCs w:val="20"/>
              </w:rPr>
            </w:pPr>
            <w:r w:rsidRPr="00AF18A3">
              <w:rPr>
                <w:rFonts w:ascii="Times New Roman" w:hAnsi="Times New Roman" w:cs="Times New Roman"/>
                <w:color w:val="000000"/>
                <w:sz w:val="20"/>
                <w:szCs w:val="20"/>
              </w:rPr>
              <w:t>0.0186</w:t>
            </w:r>
          </w:p>
        </w:tc>
      </w:tr>
      <w:tr w:rsidR="007E0A41" w:rsidRPr="00AF18A3" w14:paraId="38D69B57" w14:textId="77777777" w:rsidTr="00701562">
        <w:trPr>
          <w:trHeight w:val="187"/>
        </w:trPr>
        <w:tc>
          <w:tcPr>
            <w:tcW w:w="641" w:type="dxa"/>
            <w:tcBorders>
              <w:top w:val="single" w:sz="4" w:space="0" w:color="auto"/>
              <w:left w:val="nil"/>
              <w:bottom w:val="nil"/>
              <w:right w:val="nil"/>
            </w:tcBorders>
            <w:noWrap/>
            <w:vAlign w:val="bottom"/>
            <w:hideMark/>
          </w:tcPr>
          <w:p w14:paraId="775ABBF4"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lang w:eastAsia="en-IN"/>
                <w14:ligatures w14:val="none"/>
              </w:rPr>
            </w:pPr>
          </w:p>
        </w:tc>
        <w:tc>
          <w:tcPr>
            <w:tcW w:w="2033" w:type="dxa"/>
            <w:tcBorders>
              <w:top w:val="single" w:sz="4" w:space="0" w:color="auto"/>
              <w:left w:val="nil"/>
              <w:bottom w:val="nil"/>
              <w:right w:val="nil"/>
            </w:tcBorders>
            <w:vAlign w:val="center"/>
            <w:hideMark/>
          </w:tcPr>
          <w:p w14:paraId="6EE9890E"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lang w:eastAsia="en-IN"/>
                <w14:ligatures w14:val="none"/>
              </w:rPr>
            </w:pPr>
            <w:proofErr w:type="spellStart"/>
            <w:r w:rsidRPr="00AF18A3">
              <w:rPr>
                <w:rFonts w:ascii="Times New Roman" w:eastAsia="Times New Roman" w:hAnsi="Times New Roman" w:cs="Times New Roman"/>
                <w:color w:val="000000"/>
                <w:kern w:val="0"/>
                <w:sz w:val="20"/>
                <w:szCs w:val="20"/>
                <w:lang w:eastAsia="en-IN"/>
                <w14:ligatures w14:val="none"/>
              </w:rPr>
              <w:t>SEm</w:t>
            </w:r>
            <w:proofErr w:type="spellEnd"/>
            <w:r w:rsidRPr="00AF18A3">
              <w:rPr>
                <w:rFonts w:ascii="Times New Roman" w:eastAsia="Times New Roman" w:hAnsi="Times New Roman" w:cs="Times New Roman"/>
                <w:color w:val="000000"/>
                <w:kern w:val="0"/>
                <w:sz w:val="20"/>
                <w:szCs w:val="20"/>
                <w:lang w:eastAsia="en-IN"/>
                <w14:ligatures w14:val="none"/>
              </w:rPr>
              <w:t xml:space="preserve"> (±)</w:t>
            </w:r>
          </w:p>
        </w:tc>
        <w:tc>
          <w:tcPr>
            <w:tcW w:w="1012" w:type="dxa"/>
            <w:tcBorders>
              <w:top w:val="single" w:sz="4" w:space="0" w:color="auto"/>
              <w:left w:val="nil"/>
              <w:bottom w:val="nil"/>
              <w:right w:val="nil"/>
            </w:tcBorders>
            <w:noWrap/>
            <w:vAlign w:val="center"/>
            <w:hideMark/>
          </w:tcPr>
          <w:p w14:paraId="103BE363"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lang w:eastAsia="en-IN"/>
                <w14:ligatures w14:val="none"/>
              </w:rPr>
            </w:pPr>
            <w:r w:rsidRPr="00AF18A3">
              <w:rPr>
                <w:rFonts w:ascii="Times New Roman" w:eastAsia="Times New Roman" w:hAnsi="Times New Roman" w:cs="Times New Roman"/>
                <w:color w:val="000000"/>
                <w:kern w:val="0"/>
                <w:sz w:val="20"/>
                <w:szCs w:val="20"/>
                <w:lang w:eastAsia="en-IN"/>
                <w14:ligatures w14:val="none"/>
              </w:rPr>
              <w:t>0.0010</w:t>
            </w:r>
          </w:p>
        </w:tc>
        <w:tc>
          <w:tcPr>
            <w:tcW w:w="881" w:type="dxa"/>
            <w:tcBorders>
              <w:top w:val="single" w:sz="4" w:space="0" w:color="auto"/>
              <w:left w:val="nil"/>
              <w:bottom w:val="nil"/>
              <w:right w:val="nil"/>
            </w:tcBorders>
            <w:noWrap/>
            <w:vAlign w:val="center"/>
            <w:hideMark/>
          </w:tcPr>
          <w:p w14:paraId="648F05D5"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lang w:eastAsia="en-IN"/>
                <w14:ligatures w14:val="none"/>
              </w:rPr>
            </w:pPr>
            <w:r w:rsidRPr="00AF18A3">
              <w:rPr>
                <w:rFonts w:ascii="Times New Roman" w:eastAsia="Times New Roman" w:hAnsi="Times New Roman" w:cs="Times New Roman"/>
                <w:color w:val="000000"/>
                <w:kern w:val="0"/>
                <w:sz w:val="20"/>
                <w:szCs w:val="20"/>
                <w:lang w:eastAsia="en-IN"/>
                <w14:ligatures w14:val="none"/>
              </w:rPr>
              <w:t>0.0011</w:t>
            </w:r>
          </w:p>
        </w:tc>
        <w:tc>
          <w:tcPr>
            <w:tcW w:w="1114" w:type="dxa"/>
            <w:tcBorders>
              <w:top w:val="single" w:sz="4" w:space="0" w:color="auto"/>
              <w:left w:val="nil"/>
              <w:bottom w:val="nil"/>
              <w:right w:val="nil"/>
            </w:tcBorders>
            <w:vAlign w:val="bottom"/>
          </w:tcPr>
          <w:p w14:paraId="5DDFB769"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lang w:eastAsia="en-IN"/>
                <w14:ligatures w14:val="none"/>
              </w:rPr>
            </w:pPr>
            <w:r w:rsidRPr="00AF18A3">
              <w:rPr>
                <w:rFonts w:ascii="Times New Roman" w:eastAsia="Times New Roman" w:hAnsi="Times New Roman" w:cs="Times New Roman"/>
                <w:color w:val="000000"/>
                <w:kern w:val="0"/>
                <w:sz w:val="20"/>
                <w:szCs w:val="20"/>
                <w:lang w:eastAsia="en-IN"/>
                <w14:ligatures w14:val="none"/>
              </w:rPr>
              <w:t>0.0011</w:t>
            </w:r>
          </w:p>
        </w:tc>
        <w:tc>
          <w:tcPr>
            <w:tcW w:w="966" w:type="dxa"/>
            <w:tcBorders>
              <w:top w:val="single" w:sz="4" w:space="0" w:color="auto"/>
              <w:left w:val="nil"/>
              <w:bottom w:val="nil"/>
              <w:right w:val="nil"/>
            </w:tcBorders>
            <w:noWrap/>
            <w:vAlign w:val="center"/>
            <w:hideMark/>
          </w:tcPr>
          <w:p w14:paraId="6A8C1AB9"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lang w:eastAsia="en-IN"/>
                <w14:ligatures w14:val="none"/>
              </w:rPr>
            </w:pPr>
            <w:r w:rsidRPr="00AF18A3">
              <w:rPr>
                <w:rFonts w:ascii="Times New Roman" w:eastAsia="Times New Roman" w:hAnsi="Times New Roman" w:cs="Times New Roman"/>
                <w:color w:val="000000"/>
                <w:kern w:val="0"/>
                <w:sz w:val="20"/>
                <w:szCs w:val="20"/>
                <w:lang w:eastAsia="en-IN"/>
                <w14:ligatures w14:val="none"/>
              </w:rPr>
              <w:t>0.0010</w:t>
            </w:r>
          </w:p>
        </w:tc>
        <w:tc>
          <w:tcPr>
            <w:tcW w:w="881" w:type="dxa"/>
            <w:tcBorders>
              <w:top w:val="single" w:sz="4" w:space="0" w:color="auto"/>
              <w:left w:val="nil"/>
              <w:bottom w:val="nil"/>
              <w:right w:val="nil"/>
            </w:tcBorders>
            <w:noWrap/>
            <w:vAlign w:val="center"/>
            <w:hideMark/>
          </w:tcPr>
          <w:p w14:paraId="1BEA1469"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lang w:eastAsia="en-IN"/>
                <w14:ligatures w14:val="none"/>
              </w:rPr>
            </w:pPr>
            <w:r w:rsidRPr="00AF18A3">
              <w:rPr>
                <w:rFonts w:ascii="Times New Roman" w:eastAsia="Times New Roman" w:hAnsi="Times New Roman" w:cs="Times New Roman"/>
                <w:color w:val="000000"/>
                <w:kern w:val="0"/>
                <w:sz w:val="20"/>
                <w:szCs w:val="20"/>
                <w:lang w:eastAsia="en-IN"/>
                <w14:ligatures w14:val="none"/>
              </w:rPr>
              <w:t>0.0009</w:t>
            </w:r>
          </w:p>
        </w:tc>
        <w:tc>
          <w:tcPr>
            <w:tcW w:w="1087" w:type="dxa"/>
            <w:tcBorders>
              <w:top w:val="single" w:sz="4" w:space="0" w:color="auto"/>
              <w:left w:val="nil"/>
              <w:bottom w:val="nil"/>
              <w:right w:val="nil"/>
            </w:tcBorders>
            <w:vAlign w:val="bottom"/>
          </w:tcPr>
          <w:p w14:paraId="7E1DB484"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lang w:eastAsia="en-IN"/>
                <w14:ligatures w14:val="none"/>
              </w:rPr>
            </w:pPr>
            <w:r w:rsidRPr="00AF18A3">
              <w:rPr>
                <w:rFonts w:ascii="Times New Roman" w:eastAsia="Times New Roman" w:hAnsi="Times New Roman" w:cs="Times New Roman"/>
                <w:color w:val="000000"/>
                <w:kern w:val="0"/>
                <w:sz w:val="20"/>
                <w:szCs w:val="20"/>
                <w:lang w:eastAsia="en-IN"/>
                <w14:ligatures w14:val="none"/>
              </w:rPr>
              <w:t>0.0009</w:t>
            </w:r>
          </w:p>
        </w:tc>
        <w:tc>
          <w:tcPr>
            <w:tcW w:w="1028" w:type="dxa"/>
            <w:tcBorders>
              <w:top w:val="single" w:sz="4" w:space="0" w:color="auto"/>
              <w:left w:val="nil"/>
              <w:bottom w:val="nil"/>
              <w:right w:val="nil"/>
            </w:tcBorders>
            <w:noWrap/>
            <w:vAlign w:val="center"/>
            <w:hideMark/>
          </w:tcPr>
          <w:p w14:paraId="54A32AE1"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lang w:eastAsia="en-IN"/>
                <w14:ligatures w14:val="none"/>
              </w:rPr>
            </w:pPr>
            <w:r w:rsidRPr="00AF18A3">
              <w:rPr>
                <w:rFonts w:ascii="Times New Roman" w:eastAsia="Times New Roman" w:hAnsi="Times New Roman" w:cs="Times New Roman"/>
                <w:color w:val="000000"/>
                <w:kern w:val="0"/>
                <w:sz w:val="20"/>
                <w:szCs w:val="20"/>
                <w:lang w:eastAsia="en-IN"/>
                <w14:ligatures w14:val="none"/>
              </w:rPr>
              <w:t>0.1959</w:t>
            </w:r>
          </w:p>
        </w:tc>
        <w:tc>
          <w:tcPr>
            <w:tcW w:w="946" w:type="dxa"/>
            <w:tcBorders>
              <w:top w:val="single" w:sz="4" w:space="0" w:color="auto"/>
              <w:left w:val="nil"/>
              <w:bottom w:val="nil"/>
              <w:right w:val="nil"/>
            </w:tcBorders>
            <w:noWrap/>
            <w:vAlign w:val="center"/>
            <w:hideMark/>
          </w:tcPr>
          <w:p w14:paraId="12B0EE8E"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lang w:eastAsia="en-IN"/>
                <w14:ligatures w14:val="none"/>
              </w:rPr>
            </w:pPr>
            <w:r w:rsidRPr="00AF18A3">
              <w:rPr>
                <w:rFonts w:ascii="Times New Roman" w:eastAsia="Times New Roman" w:hAnsi="Times New Roman" w:cs="Times New Roman"/>
                <w:color w:val="000000"/>
                <w:kern w:val="0"/>
                <w:sz w:val="20"/>
                <w:szCs w:val="20"/>
                <w:lang w:eastAsia="en-IN"/>
                <w14:ligatures w14:val="none"/>
              </w:rPr>
              <w:t>0.2451</w:t>
            </w:r>
          </w:p>
        </w:tc>
        <w:tc>
          <w:tcPr>
            <w:tcW w:w="1004" w:type="dxa"/>
            <w:tcBorders>
              <w:top w:val="single" w:sz="4" w:space="0" w:color="auto"/>
              <w:left w:val="nil"/>
              <w:bottom w:val="nil"/>
              <w:right w:val="nil"/>
            </w:tcBorders>
            <w:vAlign w:val="bottom"/>
          </w:tcPr>
          <w:p w14:paraId="28BC77E2"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lang w:eastAsia="en-IN"/>
                <w14:ligatures w14:val="none"/>
              </w:rPr>
            </w:pPr>
            <w:r w:rsidRPr="00AF18A3">
              <w:rPr>
                <w:rFonts w:ascii="Times New Roman" w:eastAsia="Times New Roman" w:hAnsi="Times New Roman" w:cs="Times New Roman"/>
                <w:color w:val="000000"/>
                <w:kern w:val="0"/>
                <w:sz w:val="20"/>
                <w:szCs w:val="20"/>
                <w:lang w:eastAsia="en-IN"/>
                <w14:ligatures w14:val="none"/>
              </w:rPr>
              <w:t>0.2219</w:t>
            </w:r>
          </w:p>
        </w:tc>
        <w:tc>
          <w:tcPr>
            <w:tcW w:w="1045" w:type="dxa"/>
            <w:tcBorders>
              <w:top w:val="single" w:sz="4" w:space="0" w:color="auto"/>
              <w:left w:val="nil"/>
              <w:bottom w:val="nil"/>
              <w:right w:val="nil"/>
            </w:tcBorders>
          </w:tcPr>
          <w:p w14:paraId="614FD8B7"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lang w:eastAsia="en-IN"/>
                <w14:ligatures w14:val="none"/>
              </w:rPr>
            </w:pPr>
            <w:r w:rsidRPr="00AF18A3">
              <w:rPr>
                <w:rFonts w:ascii="Times New Roman" w:eastAsia="Times New Roman" w:hAnsi="Times New Roman" w:cs="Times New Roman"/>
                <w:color w:val="000000"/>
                <w:kern w:val="0"/>
                <w:sz w:val="20"/>
                <w:szCs w:val="20"/>
                <w:lang w:eastAsia="en-IN"/>
                <w14:ligatures w14:val="none"/>
              </w:rPr>
              <w:t>0.0082</w:t>
            </w:r>
          </w:p>
        </w:tc>
        <w:tc>
          <w:tcPr>
            <w:tcW w:w="1027" w:type="dxa"/>
            <w:tcBorders>
              <w:top w:val="single" w:sz="4" w:space="0" w:color="auto"/>
              <w:left w:val="nil"/>
              <w:bottom w:val="nil"/>
              <w:right w:val="nil"/>
            </w:tcBorders>
          </w:tcPr>
          <w:p w14:paraId="4F39C67C"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lang w:eastAsia="en-IN"/>
                <w14:ligatures w14:val="none"/>
              </w:rPr>
            </w:pPr>
            <w:r w:rsidRPr="00AF18A3">
              <w:rPr>
                <w:rFonts w:ascii="Times New Roman" w:eastAsia="Times New Roman" w:hAnsi="Times New Roman" w:cs="Times New Roman"/>
                <w:color w:val="000000"/>
                <w:kern w:val="0"/>
                <w:sz w:val="20"/>
                <w:szCs w:val="20"/>
                <w:lang w:eastAsia="en-IN"/>
                <w14:ligatures w14:val="none"/>
              </w:rPr>
              <w:t>0.0046</w:t>
            </w:r>
          </w:p>
        </w:tc>
        <w:tc>
          <w:tcPr>
            <w:tcW w:w="1230" w:type="dxa"/>
            <w:tcBorders>
              <w:top w:val="single" w:sz="4" w:space="0" w:color="auto"/>
              <w:left w:val="nil"/>
              <w:bottom w:val="nil"/>
              <w:right w:val="nil"/>
            </w:tcBorders>
          </w:tcPr>
          <w:p w14:paraId="7680735D"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lang w:eastAsia="en-IN"/>
                <w14:ligatures w14:val="none"/>
              </w:rPr>
            </w:pPr>
            <w:r w:rsidRPr="00AF18A3">
              <w:rPr>
                <w:rFonts w:ascii="Times New Roman" w:eastAsia="Times New Roman" w:hAnsi="Times New Roman" w:cs="Times New Roman"/>
                <w:color w:val="000000"/>
                <w:kern w:val="0"/>
                <w:sz w:val="20"/>
                <w:szCs w:val="20"/>
                <w:lang w:eastAsia="en-IN"/>
                <w14:ligatures w14:val="none"/>
              </w:rPr>
              <w:t>0.0066</w:t>
            </w:r>
          </w:p>
        </w:tc>
      </w:tr>
      <w:tr w:rsidR="007E0A41" w:rsidRPr="00AF18A3" w14:paraId="03CE4D76" w14:textId="77777777" w:rsidTr="00701562">
        <w:trPr>
          <w:trHeight w:val="187"/>
        </w:trPr>
        <w:tc>
          <w:tcPr>
            <w:tcW w:w="641" w:type="dxa"/>
            <w:tcBorders>
              <w:top w:val="nil"/>
              <w:left w:val="nil"/>
              <w:bottom w:val="single" w:sz="4" w:space="0" w:color="auto"/>
              <w:right w:val="nil"/>
            </w:tcBorders>
            <w:noWrap/>
            <w:vAlign w:val="bottom"/>
            <w:hideMark/>
          </w:tcPr>
          <w:p w14:paraId="1C122975"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lang w:eastAsia="en-IN"/>
                <w14:ligatures w14:val="none"/>
              </w:rPr>
            </w:pPr>
          </w:p>
        </w:tc>
        <w:tc>
          <w:tcPr>
            <w:tcW w:w="2033" w:type="dxa"/>
            <w:tcBorders>
              <w:top w:val="nil"/>
              <w:left w:val="nil"/>
              <w:bottom w:val="single" w:sz="4" w:space="0" w:color="auto"/>
              <w:right w:val="nil"/>
            </w:tcBorders>
            <w:vAlign w:val="center"/>
            <w:hideMark/>
          </w:tcPr>
          <w:p w14:paraId="7FCD209A"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lang w:eastAsia="en-IN"/>
                <w14:ligatures w14:val="none"/>
              </w:rPr>
            </w:pPr>
            <w:r w:rsidRPr="00AF18A3">
              <w:rPr>
                <w:rFonts w:ascii="Times New Roman" w:eastAsia="Times New Roman" w:hAnsi="Times New Roman" w:cs="Times New Roman"/>
                <w:color w:val="000000"/>
                <w:kern w:val="0"/>
                <w:sz w:val="20"/>
                <w:szCs w:val="20"/>
                <w:lang w:eastAsia="en-IN"/>
                <w14:ligatures w14:val="none"/>
              </w:rPr>
              <w:t>CD (p≤0.05)</w:t>
            </w:r>
          </w:p>
        </w:tc>
        <w:tc>
          <w:tcPr>
            <w:tcW w:w="1012" w:type="dxa"/>
            <w:tcBorders>
              <w:top w:val="nil"/>
              <w:left w:val="nil"/>
              <w:bottom w:val="single" w:sz="4" w:space="0" w:color="auto"/>
              <w:right w:val="nil"/>
            </w:tcBorders>
            <w:noWrap/>
            <w:vAlign w:val="center"/>
            <w:hideMark/>
          </w:tcPr>
          <w:p w14:paraId="7B68AF80"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lang w:eastAsia="en-IN"/>
                <w14:ligatures w14:val="none"/>
              </w:rPr>
            </w:pPr>
            <w:r w:rsidRPr="00AF18A3">
              <w:rPr>
                <w:rFonts w:ascii="Times New Roman" w:eastAsia="Times New Roman" w:hAnsi="Times New Roman" w:cs="Times New Roman"/>
                <w:color w:val="000000"/>
                <w:kern w:val="0"/>
                <w:sz w:val="20"/>
                <w:szCs w:val="20"/>
                <w:lang w:eastAsia="en-IN"/>
                <w14:ligatures w14:val="none"/>
              </w:rPr>
              <w:t>0.0032</w:t>
            </w:r>
          </w:p>
        </w:tc>
        <w:tc>
          <w:tcPr>
            <w:tcW w:w="881" w:type="dxa"/>
            <w:tcBorders>
              <w:top w:val="nil"/>
              <w:left w:val="nil"/>
              <w:bottom w:val="single" w:sz="4" w:space="0" w:color="auto"/>
              <w:right w:val="nil"/>
            </w:tcBorders>
            <w:noWrap/>
            <w:vAlign w:val="center"/>
            <w:hideMark/>
          </w:tcPr>
          <w:p w14:paraId="7A21AF91"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lang w:eastAsia="en-IN"/>
                <w14:ligatures w14:val="none"/>
              </w:rPr>
            </w:pPr>
            <w:r w:rsidRPr="00AF18A3">
              <w:rPr>
                <w:rFonts w:ascii="Times New Roman" w:eastAsia="Times New Roman" w:hAnsi="Times New Roman" w:cs="Times New Roman"/>
                <w:color w:val="000000"/>
                <w:kern w:val="0"/>
                <w:sz w:val="20"/>
                <w:szCs w:val="20"/>
                <w:lang w:eastAsia="en-IN"/>
                <w14:ligatures w14:val="none"/>
              </w:rPr>
              <w:t>0.0032</w:t>
            </w:r>
          </w:p>
        </w:tc>
        <w:tc>
          <w:tcPr>
            <w:tcW w:w="1114" w:type="dxa"/>
            <w:tcBorders>
              <w:top w:val="nil"/>
              <w:left w:val="nil"/>
              <w:bottom w:val="single" w:sz="4" w:space="0" w:color="auto"/>
              <w:right w:val="nil"/>
            </w:tcBorders>
            <w:vAlign w:val="bottom"/>
          </w:tcPr>
          <w:p w14:paraId="7959476E"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lang w:eastAsia="en-IN"/>
                <w14:ligatures w14:val="none"/>
              </w:rPr>
            </w:pPr>
            <w:r w:rsidRPr="00AF18A3">
              <w:rPr>
                <w:rFonts w:ascii="Times New Roman" w:eastAsia="Times New Roman" w:hAnsi="Times New Roman" w:cs="Times New Roman"/>
                <w:color w:val="000000"/>
                <w:kern w:val="0"/>
                <w:sz w:val="20"/>
                <w:szCs w:val="20"/>
                <w:lang w:eastAsia="en-IN"/>
                <w14:ligatures w14:val="none"/>
              </w:rPr>
              <w:t>0.0022</w:t>
            </w:r>
          </w:p>
        </w:tc>
        <w:tc>
          <w:tcPr>
            <w:tcW w:w="966" w:type="dxa"/>
            <w:tcBorders>
              <w:top w:val="nil"/>
              <w:left w:val="nil"/>
              <w:bottom w:val="single" w:sz="4" w:space="0" w:color="auto"/>
              <w:right w:val="nil"/>
            </w:tcBorders>
            <w:noWrap/>
            <w:vAlign w:val="center"/>
            <w:hideMark/>
          </w:tcPr>
          <w:p w14:paraId="71164D9B"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lang w:eastAsia="en-IN"/>
                <w14:ligatures w14:val="none"/>
              </w:rPr>
            </w:pPr>
            <w:r w:rsidRPr="00AF18A3">
              <w:rPr>
                <w:rFonts w:ascii="Times New Roman" w:eastAsia="Times New Roman" w:hAnsi="Times New Roman" w:cs="Times New Roman"/>
                <w:color w:val="000000"/>
                <w:kern w:val="0"/>
                <w:sz w:val="20"/>
                <w:szCs w:val="20"/>
                <w:lang w:eastAsia="en-IN"/>
                <w14:ligatures w14:val="none"/>
              </w:rPr>
              <w:t>0.0029</w:t>
            </w:r>
          </w:p>
        </w:tc>
        <w:tc>
          <w:tcPr>
            <w:tcW w:w="881" w:type="dxa"/>
            <w:tcBorders>
              <w:top w:val="nil"/>
              <w:left w:val="nil"/>
              <w:bottom w:val="single" w:sz="4" w:space="0" w:color="auto"/>
              <w:right w:val="nil"/>
            </w:tcBorders>
            <w:noWrap/>
            <w:vAlign w:val="center"/>
            <w:hideMark/>
          </w:tcPr>
          <w:p w14:paraId="7FAC1CE1"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lang w:eastAsia="en-IN"/>
                <w14:ligatures w14:val="none"/>
              </w:rPr>
            </w:pPr>
            <w:r w:rsidRPr="00AF18A3">
              <w:rPr>
                <w:rFonts w:ascii="Times New Roman" w:eastAsia="Times New Roman" w:hAnsi="Times New Roman" w:cs="Times New Roman"/>
                <w:color w:val="000000"/>
                <w:kern w:val="0"/>
                <w:sz w:val="20"/>
                <w:szCs w:val="20"/>
                <w:lang w:eastAsia="en-IN"/>
                <w14:ligatures w14:val="none"/>
              </w:rPr>
              <w:t>0.0026</w:t>
            </w:r>
          </w:p>
        </w:tc>
        <w:tc>
          <w:tcPr>
            <w:tcW w:w="1087" w:type="dxa"/>
            <w:tcBorders>
              <w:top w:val="nil"/>
              <w:left w:val="nil"/>
              <w:bottom w:val="single" w:sz="4" w:space="0" w:color="auto"/>
              <w:right w:val="nil"/>
            </w:tcBorders>
            <w:vAlign w:val="bottom"/>
          </w:tcPr>
          <w:p w14:paraId="08DCE166"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lang w:eastAsia="en-IN"/>
                <w14:ligatures w14:val="none"/>
              </w:rPr>
            </w:pPr>
            <w:r w:rsidRPr="00AF18A3">
              <w:rPr>
                <w:rFonts w:ascii="Times New Roman" w:eastAsia="Times New Roman" w:hAnsi="Times New Roman" w:cs="Times New Roman"/>
                <w:color w:val="000000"/>
                <w:kern w:val="0"/>
                <w:sz w:val="20"/>
                <w:szCs w:val="20"/>
                <w:lang w:eastAsia="en-IN"/>
                <w14:ligatures w14:val="none"/>
              </w:rPr>
              <w:t>0.0019</w:t>
            </w:r>
          </w:p>
        </w:tc>
        <w:tc>
          <w:tcPr>
            <w:tcW w:w="1028" w:type="dxa"/>
            <w:tcBorders>
              <w:top w:val="nil"/>
              <w:left w:val="nil"/>
              <w:bottom w:val="single" w:sz="4" w:space="0" w:color="auto"/>
              <w:right w:val="nil"/>
            </w:tcBorders>
            <w:noWrap/>
            <w:vAlign w:val="center"/>
            <w:hideMark/>
          </w:tcPr>
          <w:p w14:paraId="1CBFAAB2"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lang w:eastAsia="en-IN"/>
                <w14:ligatures w14:val="none"/>
              </w:rPr>
            </w:pPr>
            <w:r w:rsidRPr="00AF18A3">
              <w:rPr>
                <w:rFonts w:ascii="Times New Roman" w:eastAsia="Times New Roman" w:hAnsi="Times New Roman" w:cs="Times New Roman"/>
                <w:color w:val="000000"/>
                <w:kern w:val="0"/>
                <w:sz w:val="20"/>
                <w:szCs w:val="20"/>
                <w:lang w:eastAsia="en-IN"/>
                <w14:ligatures w14:val="none"/>
              </w:rPr>
              <w:t>0.5718</w:t>
            </w:r>
          </w:p>
        </w:tc>
        <w:tc>
          <w:tcPr>
            <w:tcW w:w="946" w:type="dxa"/>
            <w:tcBorders>
              <w:top w:val="nil"/>
              <w:left w:val="nil"/>
              <w:bottom w:val="single" w:sz="4" w:space="0" w:color="auto"/>
              <w:right w:val="nil"/>
            </w:tcBorders>
            <w:noWrap/>
            <w:vAlign w:val="center"/>
            <w:hideMark/>
          </w:tcPr>
          <w:p w14:paraId="000441B0"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lang w:eastAsia="en-IN"/>
                <w14:ligatures w14:val="none"/>
              </w:rPr>
            </w:pPr>
            <w:r w:rsidRPr="00AF18A3">
              <w:rPr>
                <w:rFonts w:ascii="Times New Roman" w:eastAsia="Times New Roman" w:hAnsi="Times New Roman" w:cs="Times New Roman"/>
                <w:color w:val="000000"/>
                <w:kern w:val="0"/>
                <w:sz w:val="20"/>
                <w:szCs w:val="20"/>
                <w:lang w:eastAsia="en-IN"/>
                <w14:ligatures w14:val="none"/>
              </w:rPr>
              <w:t>0.7155</w:t>
            </w:r>
          </w:p>
        </w:tc>
        <w:tc>
          <w:tcPr>
            <w:tcW w:w="1004" w:type="dxa"/>
            <w:tcBorders>
              <w:top w:val="nil"/>
              <w:left w:val="nil"/>
              <w:bottom w:val="single" w:sz="4" w:space="0" w:color="auto"/>
              <w:right w:val="nil"/>
            </w:tcBorders>
            <w:vAlign w:val="bottom"/>
          </w:tcPr>
          <w:p w14:paraId="3E58BA4E"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lang w:eastAsia="en-IN"/>
                <w14:ligatures w14:val="none"/>
              </w:rPr>
            </w:pPr>
            <w:r w:rsidRPr="00AF18A3">
              <w:rPr>
                <w:rFonts w:ascii="Times New Roman" w:eastAsia="Times New Roman" w:hAnsi="Times New Roman" w:cs="Times New Roman"/>
                <w:color w:val="000000"/>
                <w:kern w:val="0"/>
                <w:sz w:val="20"/>
                <w:szCs w:val="20"/>
                <w:lang w:eastAsia="en-IN"/>
                <w14:ligatures w14:val="none"/>
              </w:rPr>
              <w:t>0.4461</w:t>
            </w:r>
          </w:p>
        </w:tc>
        <w:tc>
          <w:tcPr>
            <w:tcW w:w="1045" w:type="dxa"/>
            <w:tcBorders>
              <w:top w:val="nil"/>
              <w:left w:val="nil"/>
              <w:bottom w:val="single" w:sz="4" w:space="0" w:color="auto"/>
              <w:right w:val="nil"/>
            </w:tcBorders>
          </w:tcPr>
          <w:p w14:paraId="6CF0131C"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lang w:eastAsia="en-IN"/>
                <w14:ligatures w14:val="none"/>
              </w:rPr>
            </w:pPr>
            <w:r w:rsidRPr="00AF18A3">
              <w:rPr>
                <w:rFonts w:ascii="Times New Roman" w:eastAsia="Times New Roman" w:hAnsi="Times New Roman" w:cs="Times New Roman"/>
                <w:color w:val="000000"/>
                <w:kern w:val="0"/>
                <w:sz w:val="20"/>
                <w:szCs w:val="20"/>
                <w:lang w:eastAsia="en-IN"/>
                <w14:ligatures w14:val="none"/>
              </w:rPr>
              <w:t>0.0239</w:t>
            </w:r>
          </w:p>
        </w:tc>
        <w:tc>
          <w:tcPr>
            <w:tcW w:w="1027" w:type="dxa"/>
            <w:tcBorders>
              <w:top w:val="nil"/>
              <w:left w:val="nil"/>
              <w:bottom w:val="single" w:sz="4" w:space="0" w:color="auto"/>
              <w:right w:val="nil"/>
            </w:tcBorders>
          </w:tcPr>
          <w:p w14:paraId="5119F987"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lang w:eastAsia="en-IN"/>
                <w14:ligatures w14:val="none"/>
              </w:rPr>
            </w:pPr>
            <w:r w:rsidRPr="00AF18A3">
              <w:rPr>
                <w:rFonts w:ascii="Times New Roman" w:eastAsia="Times New Roman" w:hAnsi="Times New Roman" w:cs="Times New Roman"/>
                <w:color w:val="000000"/>
                <w:kern w:val="0"/>
                <w:sz w:val="20"/>
                <w:szCs w:val="20"/>
                <w:lang w:eastAsia="en-IN"/>
                <w14:ligatures w14:val="none"/>
              </w:rPr>
              <w:t>0.0134</w:t>
            </w:r>
          </w:p>
        </w:tc>
        <w:tc>
          <w:tcPr>
            <w:tcW w:w="1230" w:type="dxa"/>
            <w:tcBorders>
              <w:top w:val="nil"/>
              <w:left w:val="nil"/>
              <w:bottom w:val="single" w:sz="4" w:space="0" w:color="auto"/>
              <w:right w:val="nil"/>
            </w:tcBorders>
          </w:tcPr>
          <w:p w14:paraId="6C86A0A8" w14:textId="77777777" w:rsidR="007E0A41" w:rsidRPr="00AF18A3" w:rsidRDefault="007E0A41" w:rsidP="00D1336B">
            <w:pPr>
              <w:spacing w:after="0" w:line="276" w:lineRule="auto"/>
              <w:jc w:val="center"/>
              <w:rPr>
                <w:rFonts w:ascii="Times New Roman" w:eastAsia="Times New Roman" w:hAnsi="Times New Roman" w:cs="Times New Roman"/>
                <w:color w:val="000000"/>
                <w:kern w:val="0"/>
                <w:sz w:val="20"/>
                <w:szCs w:val="20"/>
                <w:lang w:eastAsia="en-IN"/>
                <w14:ligatures w14:val="none"/>
              </w:rPr>
            </w:pPr>
            <w:r w:rsidRPr="00AF18A3">
              <w:rPr>
                <w:rFonts w:ascii="Times New Roman" w:eastAsia="Times New Roman" w:hAnsi="Times New Roman" w:cs="Times New Roman"/>
                <w:color w:val="000000"/>
                <w:kern w:val="0"/>
                <w:sz w:val="20"/>
                <w:szCs w:val="20"/>
                <w:lang w:eastAsia="en-IN"/>
                <w14:ligatures w14:val="none"/>
              </w:rPr>
              <w:t>0.0134</w:t>
            </w:r>
          </w:p>
        </w:tc>
      </w:tr>
    </w:tbl>
    <w:p w14:paraId="1C7E683C" w14:textId="77777777" w:rsidR="007E0A41" w:rsidRPr="00AF18A3" w:rsidRDefault="007E0A41" w:rsidP="00D1336B">
      <w:pPr>
        <w:spacing w:after="0" w:line="276" w:lineRule="auto"/>
        <w:rPr>
          <w:rFonts w:ascii="Times New Roman" w:hAnsi="Times New Roman" w:cs="Times New Roman"/>
          <w:sz w:val="20"/>
          <w:szCs w:val="20"/>
          <w:lang w:val="en-GB"/>
        </w:rPr>
        <w:sectPr w:rsidR="007E0A41" w:rsidRPr="00AF18A3" w:rsidSect="007E0A41">
          <w:pgSz w:w="16838" w:h="11906" w:orient="landscape"/>
          <w:pgMar w:top="2268" w:right="2268" w:bottom="1701" w:left="2268" w:header="709" w:footer="709" w:gutter="0"/>
          <w:cols w:space="708"/>
          <w:docGrid w:linePitch="360"/>
        </w:sectPr>
      </w:pPr>
    </w:p>
    <w:p w14:paraId="38717A66" w14:textId="77777777" w:rsidR="0048609B" w:rsidRPr="00AF18A3" w:rsidRDefault="0048609B" w:rsidP="00701562">
      <w:pPr>
        <w:spacing w:after="0" w:line="276" w:lineRule="auto"/>
        <w:jc w:val="center"/>
        <w:rPr>
          <w:rFonts w:ascii="Times New Roman" w:hAnsi="Times New Roman" w:cs="Times New Roman"/>
        </w:rPr>
      </w:pPr>
      <w:r w:rsidRPr="00AF18A3">
        <w:rPr>
          <w:noProof/>
          <w:lang w:eastAsia="en-IN" w:bidi="hi-IN"/>
        </w:rPr>
        <w:lastRenderedPageBreak/>
        <w:drawing>
          <wp:inline distT="0" distB="0" distL="0" distR="0" wp14:anchorId="7746B799" wp14:editId="5961E848">
            <wp:extent cx="3771900" cy="2905125"/>
            <wp:effectExtent l="0" t="0" r="0" b="9525"/>
            <wp:docPr id="795753496" name="Chart 1">
              <a:extLst xmlns:a="http://schemas.openxmlformats.org/drawingml/2006/main">
                <a:ext uri="{FF2B5EF4-FFF2-40B4-BE49-F238E27FC236}">
                  <a16:creationId xmlns:a16="http://schemas.microsoft.com/office/drawing/2014/main" id="{A5170431-3405-12AE-39EB-533DF04A61B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74716229" w14:textId="77777777" w:rsidR="0048609B" w:rsidRPr="00AF18A3" w:rsidRDefault="0048609B" w:rsidP="00701562">
      <w:pPr>
        <w:spacing w:after="0" w:line="276" w:lineRule="auto"/>
        <w:jc w:val="center"/>
        <w:rPr>
          <w:rFonts w:ascii="Times New Roman" w:hAnsi="Times New Roman" w:cs="Times New Roman"/>
          <w:sz w:val="20"/>
          <w:szCs w:val="20"/>
        </w:rPr>
      </w:pPr>
      <w:r w:rsidRPr="00AF18A3">
        <w:rPr>
          <w:rFonts w:ascii="Times New Roman" w:hAnsi="Times New Roman" w:cs="Times New Roman"/>
          <w:sz w:val="20"/>
          <w:szCs w:val="20"/>
        </w:rPr>
        <w:t xml:space="preserve">Fig. 3. </w:t>
      </w:r>
      <w:r w:rsidR="00FB5AB7" w:rsidRPr="00AF18A3">
        <w:rPr>
          <w:rFonts w:ascii="Times New Roman" w:hAnsi="Times New Roman" w:cs="Times New Roman"/>
          <w:sz w:val="20"/>
          <w:szCs w:val="20"/>
        </w:rPr>
        <w:t xml:space="preserve">Effect of Zn and Fe </w:t>
      </w:r>
      <w:proofErr w:type="spellStart"/>
      <w:r w:rsidR="00FB5AB7" w:rsidRPr="00AF18A3">
        <w:rPr>
          <w:rFonts w:ascii="Times New Roman" w:hAnsi="Times New Roman" w:cs="Times New Roman"/>
          <w:sz w:val="20"/>
          <w:szCs w:val="20"/>
        </w:rPr>
        <w:t>biofortication</w:t>
      </w:r>
      <w:proofErr w:type="spellEnd"/>
      <w:r w:rsidR="00FB5AB7" w:rsidRPr="00AF18A3">
        <w:rPr>
          <w:rFonts w:ascii="Times New Roman" w:hAnsi="Times New Roman" w:cs="Times New Roman"/>
          <w:sz w:val="20"/>
          <w:szCs w:val="20"/>
        </w:rPr>
        <w:t xml:space="preserve"> on relative growth rate of sweet corn during the year 2024.</w:t>
      </w:r>
    </w:p>
    <w:p w14:paraId="3CCFA732" w14:textId="77777777" w:rsidR="0048609B" w:rsidRPr="00AF18A3" w:rsidRDefault="0048609B" w:rsidP="00701562">
      <w:pPr>
        <w:spacing w:after="0" w:line="276" w:lineRule="auto"/>
        <w:jc w:val="center"/>
        <w:rPr>
          <w:rFonts w:ascii="Times New Roman" w:hAnsi="Times New Roman" w:cs="Times New Roman"/>
          <w:sz w:val="20"/>
          <w:szCs w:val="20"/>
        </w:rPr>
      </w:pPr>
      <w:r w:rsidRPr="00AF18A3">
        <w:rPr>
          <w:noProof/>
          <w:sz w:val="20"/>
          <w:szCs w:val="20"/>
          <w:lang w:eastAsia="en-IN" w:bidi="hi-IN"/>
        </w:rPr>
        <w:drawing>
          <wp:inline distT="0" distB="0" distL="0" distR="0" wp14:anchorId="0A54368E" wp14:editId="1FE0BBF7">
            <wp:extent cx="3752850" cy="2628900"/>
            <wp:effectExtent l="0" t="0" r="0" b="0"/>
            <wp:docPr id="1750327011" name="Chart 1">
              <a:extLst xmlns:a="http://schemas.openxmlformats.org/drawingml/2006/main">
                <a:ext uri="{FF2B5EF4-FFF2-40B4-BE49-F238E27FC236}">
                  <a16:creationId xmlns:a16="http://schemas.microsoft.com/office/drawing/2014/main" id="{10D38F48-A6F3-0FCF-7B14-C68806D93F2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054DFD03" w14:textId="77777777" w:rsidR="0048609B" w:rsidRPr="00AF18A3" w:rsidRDefault="0048609B" w:rsidP="00701562">
      <w:pPr>
        <w:spacing w:after="0" w:line="276" w:lineRule="auto"/>
        <w:jc w:val="center"/>
        <w:rPr>
          <w:rFonts w:ascii="Times New Roman" w:hAnsi="Times New Roman" w:cs="Times New Roman"/>
          <w:sz w:val="20"/>
          <w:szCs w:val="20"/>
        </w:rPr>
      </w:pPr>
      <w:r w:rsidRPr="00AF18A3">
        <w:rPr>
          <w:rFonts w:ascii="Times New Roman" w:hAnsi="Times New Roman" w:cs="Times New Roman"/>
          <w:sz w:val="20"/>
          <w:szCs w:val="20"/>
        </w:rPr>
        <w:t xml:space="preserve">Fig.4. </w:t>
      </w:r>
      <w:r w:rsidR="00FB5AB7" w:rsidRPr="00AF18A3">
        <w:rPr>
          <w:rFonts w:ascii="Times New Roman" w:hAnsi="Times New Roman" w:cs="Times New Roman"/>
          <w:sz w:val="20"/>
          <w:szCs w:val="20"/>
        </w:rPr>
        <w:t xml:space="preserve">Effect of Zn and Fe </w:t>
      </w:r>
      <w:proofErr w:type="spellStart"/>
      <w:r w:rsidR="00FB5AB7" w:rsidRPr="00AF18A3">
        <w:rPr>
          <w:rFonts w:ascii="Times New Roman" w:hAnsi="Times New Roman" w:cs="Times New Roman"/>
          <w:sz w:val="20"/>
          <w:szCs w:val="20"/>
        </w:rPr>
        <w:t>biofortication</w:t>
      </w:r>
      <w:proofErr w:type="spellEnd"/>
      <w:r w:rsidR="00FB5AB7" w:rsidRPr="00AF18A3">
        <w:rPr>
          <w:rFonts w:ascii="Times New Roman" w:hAnsi="Times New Roman" w:cs="Times New Roman"/>
          <w:sz w:val="20"/>
          <w:szCs w:val="20"/>
        </w:rPr>
        <w:t xml:space="preserve"> on relative growth rate of sweet corn during the year 2025.</w:t>
      </w:r>
    </w:p>
    <w:p w14:paraId="1BF01962" w14:textId="77777777" w:rsidR="0048609B" w:rsidRPr="00AF18A3" w:rsidRDefault="0048609B" w:rsidP="00D1336B">
      <w:pPr>
        <w:spacing w:after="0" w:line="276" w:lineRule="auto"/>
        <w:jc w:val="both"/>
        <w:rPr>
          <w:rFonts w:ascii="Times New Roman" w:hAnsi="Times New Roman" w:cs="Times New Roman"/>
        </w:rPr>
      </w:pPr>
    </w:p>
    <w:p w14:paraId="650A8E67" w14:textId="77777777" w:rsidR="0048609B" w:rsidRPr="00AF18A3" w:rsidRDefault="0048609B" w:rsidP="00D1336B">
      <w:pPr>
        <w:spacing w:after="0" w:line="276" w:lineRule="auto"/>
        <w:jc w:val="both"/>
        <w:rPr>
          <w:rFonts w:ascii="Times New Roman" w:hAnsi="Times New Roman" w:cs="Times New Roman"/>
        </w:rPr>
      </w:pPr>
    </w:p>
    <w:p w14:paraId="61060266" w14:textId="77777777" w:rsidR="0048609B" w:rsidRPr="00AF18A3" w:rsidRDefault="0048609B" w:rsidP="00D1336B">
      <w:pPr>
        <w:spacing w:after="0" w:line="276" w:lineRule="auto"/>
        <w:jc w:val="both"/>
        <w:rPr>
          <w:rFonts w:ascii="Times New Roman" w:hAnsi="Times New Roman" w:cs="Times New Roman"/>
        </w:rPr>
      </w:pPr>
    </w:p>
    <w:p w14:paraId="3E96DBFF" w14:textId="77777777" w:rsidR="0048609B" w:rsidRPr="00AF18A3" w:rsidRDefault="0048609B" w:rsidP="00D1336B">
      <w:pPr>
        <w:spacing w:after="0" w:line="276" w:lineRule="auto"/>
        <w:jc w:val="both"/>
        <w:rPr>
          <w:rFonts w:ascii="Times New Roman" w:hAnsi="Times New Roman" w:cs="Times New Roman"/>
        </w:rPr>
      </w:pPr>
    </w:p>
    <w:p w14:paraId="3C82906A" w14:textId="77777777" w:rsidR="0048609B" w:rsidRPr="00AF18A3" w:rsidRDefault="0048609B" w:rsidP="00D1336B">
      <w:pPr>
        <w:spacing w:after="0" w:line="276" w:lineRule="auto"/>
        <w:jc w:val="both"/>
        <w:rPr>
          <w:rFonts w:ascii="Times New Roman" w:hAnsi="Times New Roman" w:cs="Times New Roman"/>
        </w:rPr>
      </w:pPr>
    </w:p>
    <w:p w14:paraId="77EB16FC" w14:textId="77777777" w:rsidR="0048609B" w:rsidRPr="00AF18A3" w:rsidRDefault="0048609B" w:rsidP="00D1336B">
      <w:pPr>
        <w:spacing w:after="0" w:line="276" w:lineRule="auto"/>
        <w:jc w:val="both"/>
        <w:rPr>
          <w:rFonts w:ascii="Times New Roman" w:hAnsi="Times New Roman" w:cs="Times New Roman"/>
        </w:rPr>
      </w:pPr>
    </w:p>
    <w:p w14:paraId="10DDB1A5" w14:textId="77777777" w:rsidR="0048609B" w:rsidRPr="00AF18A3" w:rsidRDefault="0048609B" w:rsidP="00701562">
      <w:pPr>
        <w:spacing w:after="0" w:line="276" w:lineRule="auto"/>
        <w:jc w:val="center"/>
        <w:rPr>
          <w:rFonts w:ascii="Times New Roman" w:hAnsi="Times New Roman" w:cs="Times New Roman"/>
          <w:sz w:val="20"/>
          <w:szCs w:val="20"/>
        </w:rPr>
      </w:pPr>
      <w:r w:rsidRPr="00AF18A3">
        <w:rPr>
          <w:noProof/>
          <w:sz w:val="20"/>
          <w:szCs w:val="20"/>
          <w:lang w:eastAsia="en-IN" w:bidi="hi-IN"/>
        </w:rPr>
        <w:lastRenderedPageBreak/>
        <w:drawing>
          <wp:inline distT="0" distB="0" distL="0" distR="0" wp14:anchorId="4B8AAC80" wp14:editId="22088996">
            <wp:extent cx="4572000" cy="2743200"/>
            <wp:effectExtent l="0" t="0" r="0" b="0"/>
            <wp:docPr id="92345005" name="Chart 1">
              <a:extLst xmlns:a="http://schemas.openxmlformats.org/drawingml/2006/main">
                <a:ext uri="{FF2B5EF4-FFF2-40B4-BE49-F238E27FC236}">
                  <a16:creationId xmlns:a16="http://schemas.microsoft.com/office/drawing/2014/main" id="{9EC21A00-2A85-4DED-F53C-9C741ADE905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23F4B03B" w14:textId="77777777" w:rsidR="0048609B" w:rsidRPr="00AF18A3" w:rsidRDefault="0048609B" w:rsidP="00701562">
      <w:pPr>
        <w:spacing w:after="0" w:line="276" w:lineRule="auto"/>
        <w:jc w:val="center"/>
        <w:rPr>
          <w:rFonts w:ascii="Times New Roman" w:hAnsi="Times New Roman" w:cs="Times New Roman"/>
          <w:sz w:val="20"/>
          <w:szCs w:val="20"/>
        </w:rPr>
      </w:pPr>
      <w:r w:rsidRPr="00AF18A3">
        <w:rPr>
          <w:rFonts w:ascii="Times New Roman" w:hAnsi="Times New Roman" w:cs="Times New Roman"/>
          <w:sz w:val="20"/>
          <w:szCs w:val="20"/>
        </w:rPr>
        <w:t xml:space="preserve">Fig.5. </w:t>
      </w:r>
      <w:r w:rsidR="00FB5AB7" w:rsidRPr="00AF18A3">
        <w:rPr>
          <w:rFonts w:ascii="Times New Roman" w:hAnsi="Times New Roman" w:cs="Times New Roman"/>
          <w:sz w:val="20"/>
          <w:szCs w:val="20"/>
        </w:rPr>
        <w:t xml:space="preserve">Effect of Zn and Fe </w:t>
      </w:r>
      <w:proofErr w:type="spellStart"/>
      <w:r w:rsidR="00FB5AB7" w:rsidRPr="00AF18A3">
        <w:rPr>
          <w:rFonts w:ascii="Times New Roman" w:hAnsi="Times New Roman" w:cs="Times New Roman"/>
          <w:sz w:val="20"/>
          <w:szCs w:val="20"/>
        </w:rPr>
        <w:t>biofortication</w:t>
      </w:r>
      <w:proofErr w:type="spellEnd"/>
      <w:r w:rsidR="00FB5AB7" w:rsidRPr="00AF18A3">
        <w:rPr>
          <w:rFonts w:ascii="Times New Roman" w:hAnsi="Times New Roman" w:cs="Times New Roman"/>
          <w:sz w:val="20"/>
          <w:szCs w:val="20"/>
        </w:rPr>
        <w:t xml:space="preserve"> on net assimilation rate of sweet corn during the year 2024.</w:t>
      </w:r>
    </w:p>
    <w:p w14:paraId="7D197E21" w14:textId="77777777" w:rsidR="0048609B" w:rsidRPr="00AF18A3" w:rsidRDefault="0048609B" w:rsidP="00701562">
      <w:pPr>
        <w:spacing w:after="0" w:line="276" w:lineRule="auto"/>
        <w:jc w:val="center"/>
        <w:rPr>
          <w:rFonts w:ascii="Times New Roman" w:hAnsi="Times New Roman" w:cs="Times New Roman"/>
          <w:sz w:val="20"/>
          <w:szCs w:val="20"/>
        </w:rPr>
      </w:pPr>
      <w:r w:rsidRPr="00AF18A3">
        <w:rPr>
          <w:noProof/>
          <w:sz w:val="20"/>
          <w:szCs w:val="20"/>
          <w:lang w:eastAsia="en-IN" w:bidi="hi-IN"/>
        </w:rPr>
        <w:drawing>
          <wp:inline distT="0" distB="0" distL="0" distR="0" wp14:anchorId="6AB146AE" wp14:editId="2DF17D4B">
            <wp:extent cx="4572000" cy="2743200"/>
            <wp:effectExtent l="0" t="0" r="0" b="0"/>
            <wp:docPr id="468316538" name="Chart 1">
              <a:extLst xmlns:a="http://schemas.openxmlformats.org/drawingml/2006/main">
                <a:ext uri="{FF2B5EF4-FFF2-40B4-BE49-F238E27FC236}">
                  <a16:creationId xmlns:a16="http://schemas.microsoft.com/office/drawing/2014/main" id="{99D61168-FB87-D871-2B03-F3178F96DD9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5608A8C1" w14:textId="77777777" w:rsidR="0048609B" w:rsidRPr="00AF18A3" w:rsidRDefault="0048609B" w:rsidP="00701562">
      <w:pPr>
        <w:spacing w:after="0" w:line="276" w:lineRule="auto"/>
        <w:jc w:val="center"/>
        <w:rPr>
          <w:rFonts w:ascii="Times New Roman" w:hAnsi="Times New Roman" w:cs="Times New Roman"/>
          <w:sz w:val="20"/>
          <w:szCs w:val="20"/>
        </w:rPr>
      </w:pPr>
      <w:r w:rsidRPr="00AF18A3">
        <w:rPr>
          <w:rFonts w:ascii="Times New Roman" w:hAnsi="Times New Roman" w:cs="Times New Roman"/>
          <w:sz w:val="20"/>
          <w:szCs w:val="20"/>
        </w:rPr>
        <w:t xml:space="preserve">Fig.6. </w:t>
      </w:r>
      <w:r w:rsidR="00FB5AB7" w:rsidRPr="00AF18A3">
        <w:rPr>
          <w:rFonts w:ascii="Times New Roman" w:hAnsi="Times New Roman" w:cs="Times New Roman"/>
          <w:sz w:val="20"/>
          <w:szCs w:val="20"/>
        </w:rPr>
        <w:t xml:space="preserve">Effect of Zn and Fe </w:t>
      </w:r>
      <w:proofErr w:type="spellStart"/>
      <w:r w:rsidR="00FB5AB7" w:rsidRPr="00AF18A3">
        <w:rPr>
          <w:rFonts w:ascii="Times New Roman" w:hAnsi="Times New Roman" w:cs="Times New Roman"/>
          <w:sz w:val="20"/>
          <w:szCs w:val="20"/>
        </w:rPr>
        <w:t>biofortication</w:t>
      </w:r>
      <w:proofErr w:type="spellEnd"/>
      <w:r w:rsidR="00FB5AB7" w:rsidRPr="00AF18A3">
        <w:rPr>
          <w:rFonts w:ascii="Times New Roman" w:hAnsi="Times New Roman" w:cs="Times New Roman"/>
          <w:sz w:val="20"/>
          <w:szCs w:val="20"/>
        </w:rPr>
        <w:t xml:space="preserve"> on net assimilation rate of sweet corn during the year 202</w:t>
      </w:r>
      <w:r w:rsidR="00262367" w:rsidRPr="00AF18A3">
        <w:rPr>
          <w:rFonts w:ascii="Times New Roman" w:hAnsi="Times New Roman" w:cs="Times New Roman"/>
          <w:sz w:val="20"/>
          <w:szCs w:val="20"/>
        </w:rPr>
        <w:t>5</w:t>
      </w:r>
      <w:r w:rsidR="00FB5AB7" w:rsidRPr="00AF18A3">
        <w:rPr>
          <w:rFonts w:ascii="Times New Roman" w:hAnsi="Times New Roman" w:cs="Times New Roman"/>
          <w:sz w:val="20"/>
          <w:szCs w:val="20"/>
        </w:rPr>
        <w:t>.</w:t>
      </w:r>
    </w:p>
    <w:p w14:paraId="253EDC31" w14:textId="77777777" w:rsidR="0048609B" w:rsidRPr="00AF18A3" w:rsidRDefault="0048609B" w:rsidP="00D1336B">
      <w:pPr>
        <w:spacing w:after="0" w:line="276" w:lineRule="auto"/>
        <w:jc w:val="both"/>
        <w:rPr>
          <w:rFonts w:ascii="Times New Roman" w:hAnsi="Times New Roman" w:cs="Times New Roman"/>
        </w:rPr>
      </w:pPr>
    </w:p>
    <w:p w14:paraId="779202BD" w14:textId="77777777" w:rsidR="007E0A41" w:rsidRPr="00AF18A3" w:rsidRDefault="007E0A41" w:rsidP="00D1336B">
      <w:pPr>
        <w:spacing w:after="0" w:line="276" w:lineRule="auto"/>
        <w:jc w:val="both"/>
        <w:rPr>
          <w:rFonts w:ascii="Times New Roman" w:hAnsi="Times New Roman" w:cs="Times New Roman"/>
          <w:b/>
          <w:bCs/>
          <w:sz w:val="20"/>
          <w:szCs w:val="20"/>
        </w:rPr>
      </w:pPr>
      <w:r w:rsidRPr="00AF18A3">
        <w:rPr>
          <w:rFonts w:ascii="Times New Roman" w:hAnsi="Times New Roman" w:cs="Times New Roman"/>
          <w:b/>
          <w:bCs/>
          <w:sz w:val="20"/>
          <w:szCs w:val="20"/>
        </w:rPr>
        <w:t>Discussion</w:t>
      </w:r>
    </w:p>
    <w:p w14:paraId="377FFCAE" w14:textId="77777777" w:rsidR="007E0A41" w:rsidRPr="00AF18A3" w:rsidRDefault="007E0A41" w:rsidP="00D1336B">
      <w:pPr>
        <w:spacing w:after="0" w:line="276" w:lineRule="auto"/>
        <w:jc w:val="both"/>
        <w:rPr>
          <w:rFonts w:ascii="Times New Roman" w:hAnsi="Times New Roman" w:cs="Times New Roman"/>
          <w:b/>
          <w:bCs/>
          <w:sz w:val="20"/>
          <w:szCs w:val="20"/>
        </w:rPr>
      </w:pPr>
      <w:r w:rsidRPr="00AF18A3">
        <w:rPr>
          <w:rFonts w:ascii="Times New Roman" w:hAnsi="Times New Roman" w:cs="Times New Roman"/>
          <w:b/>
          <w:bCs/>
          <w:sz w:val="20"/>
          <w:szCs w:val="20"/>
        </w:rPr>
        <w:t>CGR</w:t>
      </w:r>
    </w:p>
    <w:p w14:paraId="440D67F7" w14:textId="77777777" w:rsidR="007E0A41" w:rsidRPr="00AF18A3" w:rsidRDefault="007E0A41" w:rsidP="00A64A69">
      <w:pPr>
        <w:spacing w:after="0" w:line="276" w:lineRule="auto"/>
        <w:jc w:val="both"/>
        <w:rPr>
          <w:rFonts w:ascii="Times New Roman" w:hAnsi="Times New Roman" w:cs="Times New Roman"/>
          <w:sz w:val="20"/>
          <w:szCs w:val="20"/>
        </w:rPr>
      </w:pPr>
      <w:r w:rsidRPr="00AF18A3">
        <w:rPr>
          <w:rFonts w:ascii="Times New Roman" w:hAnsi="Times New Roman" w:cs="Times New Roman"/>
          <w:sz w:val="20"/>
          <w:szCs w:val="20"/>
        </w:rPr>
        <w:t>Table 1 presents CGR data for sweet corn over three growth intervals. CGR values were low and similar across all treatments during the first interval (0–30 DAT), at approximately 2.0 g m⁻² day⁻¹; they then increased markedly during the second interval (30–60 DAT) before declining again at 60–90 DAT. Chelated zinc @ 0.75% recorded the highest pooled CGR during 30–60 DAT, reaching 49.99 g m⁻² day⁻¹, and remained highest at 21.98 g m⁻² day⁻¹ during the final period (60–90 DAT). The control recorded a lower pooled value of 22.14 g m⁻² day⁻¹ during the middle interval.</w:t>
      </w:r>
    </w:p>
    <w:p w14:paraId="515A56E1" w14:textId="03C8A691" w:rsidR="007E0A41" w:rsidRPr="00AF18A3" w:rsidRDefault="007E0A41" w:rsidP="00D1336B">
      <w:pPr>
        <w:spacing w:after="0" w:line="276" w:lineRule="auto"/>
        <w:ind w:firstLine="720"/>
        <w:jc w:val="both"/>
        <w:rPr>
          <w:rFonts w:ascii="Times New Roman" w:hAnsi="Times New Roman" w:cs="Times New Roman"/>
          <w:sz w:val="20"/>
          <w:szCs w:val="20"/>
        </w:rPr>
      </w:pPr>
      <w:r w:rsidRPr="00AF18A3">
        <w:rPr>
          <w:rFonts w:ascii="Times New Roman" w:hAnsi="Times New Roman" w:cs="Times New Roman"/>
          <w:sz w:val="20"/>
          <w:szCs w:val="20"/>
        </w:rPr>
        <w:t xml:space="preserve">This bell-shaped pattern is consistent with the underlying physiology of a C4 crop such as maize. During the first stage, the young plant establishes its roots and produces its initial leaves, so dry-matter accumulation per unit ground area changes relatively little among nutrient treatments, as reported by Lindquist </w:t>
      </w:r>
      <w:r w:rsidRPr="00AF18A3">
        <w:rPr>
          <w:rFonts w:ascii="Times New Roman" w:hAnsi="Times New Roman" w:cs="Times New Roman"/>
          <w:i/>
          <w:iCs/>
          <w:sz w:val="20"/>
          <w:szCs w:val="20"/>
        </w:rPr>
        <w:t>et al.</w:t>
      </w:r>
      <w:r w:rsidRPr="00AF18A3">
        <w:rPr>
          <w:rFonts w:ascii="Times New Roman" w:hAnsi="Times New Roman" w:cs="Times New Roman"/>
          <w:sz w:val="20"/>
          <w:szCs w:val="20"/>
        </w:rPr>
        <w:t xml:space="preserve"> (2005). Once the canopy closes and leaf area index increases during the transition from vegetative to reproductive growth, both light interception and photosynthetic capacity increase, and crop growth rate also rises. Differences among treatments become more apparent at this stage because zinc and iron availability can affect the efficiency with which captured light is converted into plant biomass (Fageria </w:t>
      </w:r>
      <w:r w:rsidRPr="00AF18A3">
        <w:rPr>
          <w:rFonts w:ascii="Times New Roman" w:hAnsi="Times New Roman" w:cs="Times New Roman"/>
          <w:i/>
          <w:iCs/>
          <w:sz w:val="20"/>
          <w:szCs w:val="20"/>
        </w:rPr>
        <w:t>et al.</w:t>
      </w:r>
      <w:r w:rsidRPr="00AF18A3">
        <w:rPr>
          <w:rFonts w:ascii="Times New Roman" w:hAnsi="Times New Roman" w:cs="Times New Roman"/>
          <w:sz w:val="20"/>
          <w:szCs w:val="20"/>
        </w:rPr>
        <w:t>, 201</w:t>
      </w:r>
      <w:r w:rsidR="006C65A4">
        <w:rPr>
          <w:rFonts w:ascii="Times New Roman" w:hAnsi="Times New Roman" w:cs="Times New Roman"/>
          <w:sz w:val="20"/>
          <w:szCs w:val="20"/>
        </w:rPr>
        <w:t>0</w:t>
      </w:r>
      <w:r w:rsidRPr="00AF18A3">
        <w:rPr>
          <w:rFonts w:ascii="Times New Roman" w:hAnsi="Times New Roman" w:cs="Times New Roman"/>
          <w:sz w:val="20"/>
          <w:szCs w:val="20"/>
        </w:rPr>
        <w:t xml:space="preserve">). After 60 DAT, the crop enters the grain-filling stage, and a substantial proportion of the assimilates produced through photosynthesis is transferred from </w:t>
      </w:r>
      <w:r w:rsidRPr="00AF18A3">
        <w:rPr>
          <w:rFonts w:ascii="Times New Roman" w:hAnsi="Times New Roman" w:cs="Times New Roman"/>
          <w:sz w:val="20"/>
          <w:szCs w:val="20"/>
        </w:rPr>
        <w:lastRenderedPageBreak/>
        <w:t>the leaves and stems to the developing ear. Lower leaves begin to senesce and their photosynthetic capacity decreases, causing the overall crop growth rate to decline even in the best-performing treatments (Yang &amp; Zhang, 2006).</w:t>
      </w:r>
    </w:p>
    <w:p w14:paraId="11C3E203" w14:textId="77777777" w:rsidR="007E0A41" w:rsidRPr="00AF18A3" w:rsidRDefault="007E0A41" w:rsidP="00D1336B">
      <w:pPr>
        <w:spacing w:after="0" w:line="276" w:lineRule="auto"/>
        <w:ind w:firstLine="720"/>
        <w:jc w:val="both"/>
        <w:rPr>
          <w:rFonts w:ascii="Times New Roman" w:hAnsi="Times New Roman" w:cs="Times New Roman"/>
          <w:sz w:val="20"/>
          <w:szCs w:val="20"/>
        </w:rPr>
      </w:pPr>
      <w:r w:rsidRPr="00AF18A3">
        <w:rPr>
          <w:rFonts w:ascii="Times New Roman" w:hAnsi="Times New Roman" w:cs="Times New Roman"/>
          <w:sz w:val="20"/>
          <w:szCs w:val="20"/>
        </w:rPr>
        <w:t>The consistent advantage of chelated zinc, particularly at 0.50% and 0.75%, is consistent with findings from previous studies. Ravikiran and Halepyati (2013) reported that zinc application increased the growth rate of cotton more consistently than other micronutrients. They attributed this response to zinc's role in maintaining cell-membrane structure in mesophyll cells, thereby supporting photosynthetic function for a longer period during crop growth. Potarzycki and Grzebisz (2009) found a similar pattern in maize, where foliar zinc application increased both grain production and plant growth during grain filling. They related this response to zinc's role in carbonic anhydrase, which is important for supplying CO₂ to Rubisco during photosynthesis. This mechanism helps explain why the zinc treatments in the present study continued to perform better than the iron-only treatments even as overall growth slowed after 60 DAT. Plants with higher zinc supply retained greater photosynthetic activity.</w:t>
      </w:r>
    </w:p>
    <w:p w14:paraId="22C252A0" w14:textId="0906ECA3" w:rsidR="007E0A41" w:rsidRPr="00AF18A3" w:rsidRDefault="007E0A41" w:rsidP="00D1336B">
      <w:pPr>
        <w:spacing w:after="0" w:line="276" w:lineRule="auto"/>
        <w:ind w:firstLine="720"/>
        <w:jc w:val="both"/>
        <w:rPr>
          <w:rFonts w:ascii="Times New Roman" w:hAnsi="Times New Roman" w:cs="Times New Roman"/>
          <w:sz w:val="20"/>
          <w:szCs w:val="20"/>
        </w:rPr>
      </w:pPr>
      <w:r w:rsidRPr="00AF18A3">
        <w:rPr>
          <w:rFonts w:ascii="Times New Roman" w:hAnsi="Times New Roman" w:cs="Times New Roman"/>
          <w:sz w:val="20"/>
          <w:szCs w:val="20"/>
        </w:rPr>
        <w:t xml:space="preserve">Iron's role appeared more limited than that of zinc, which is consistent with its biological function. Iron does not contribute directly to carbon-fixing enzymes in the same manner as zinc; rather, it is primarily involved in chlorophyll formation and is a component of cytochromes in the electron-transport chain (Abadia </w:t>
      </w:r>
      <w:r w:rsidRPr="00AF18A3">
        <w:rPr>
          <w:rFonts w:ascii="Times New Roman" w:hAnsi="Times New Roman" w:cs="Times New Roman"/>
          <w:i/>
          <w:iCs/>
          <w:sz w:val="20"/>
          <w:szCs w:val="20"/>
        </w:rPr>
        <w:t>et al.</w:t>
      </w:r>
      <w:r w:rsidRPr="00AF18A3">
        <w:rPr>
          <w:rFonts w:ascii="Times New Roman" w:hAnsi="Times New Roman" w:cs="Times New Roman"/>
          <w:sz w:val="20"/>
          <w:szCs w:val="20"/>
        </w:rPr>
        <w:t xml:space="preserve">, 2011). Paramasivan </w:t>
      </w:r>
      <w:r w:rsidRPr="00AF18A3">
        <w:rPr>
          <w:rFonts w:ascii="Times New Roman" w:hAnsi="Times New Roman" w:cs="Times New Roman"/>
          <w:i/>
          <w:iCs/>
          <w:sz w:val="20"/>
          <w:szCs w:val="20"/>
        </w:rPr>
        <w:t>et al.</w:t>
      </w:r>
      <w:r w:rsidRPr="00AF18A3">
        <w:rPr>
          <w:rFonts w:ascii="Times New Roman" w:hAnsi="Times New Roman" w:cs="Times New Roman"/>
          <w:sz w:val="20"/>
          <w:szCs w:val="20"/>
        </w:rPr>
        <w:t xml:space="preserve"> (2011) observed a similar ceiling effect in hybrid maize, where iron addition improved growth during the early growth phase but provided little further improvement after flowering, including in comparisons with zinc. </w:t>
      </w:r>
      <w:r w:rsidR="006C65A4" w:rsidRPr="006C65A4">
        <w:rPr>
          <w:rFonts w:ascii="Times New Roman" w:hAnsi="Times New Roman" w:cs="Times New Roman"/>
          <w:sz w:val="20"/>
          <w:szCs w:val="20"/>
        </w:rPr>
        <w:t>Tariq</w:t>
      </w:r>
      <w:r w:rsidRPr="00AF18A3">
        <w:rPr>
          <w:rFonts w:ascii="Times New Roman" w:hAnsi="Times New Roman" w:cs="Times New Roman"/>
          <w:sz w:val="20"/>
          <w:szCs w:val="20"/>
        </w:rPr>
        <w:t xml:space="preserve"> </w:t>
      </w:r>
      <w:r w:rsidRPr="00AF18A3">
        <w:rPr>
          <w:rFonts w:ascii="Times New Roman" w:hAnsi="Times New Roman" w:cs="Times New Roman"/>
          <w:i/>
          <w:iCs/>
          <w:sz w:val="20"/>
          <w:szCs w:val="20"/>
        </w:rPr>
        <w:t>et al.</w:t>
      </w:r>
      <w:r w:rsidRPr="00AF18A3">
        <w:rPr>
          <w:rFonts w:ascii="Times New Roman" w:hAnsi="Times New Roman" w:cs="Times New Roman"/>
          <w:sz w:val="20"/>
          <w:szCs w:val="20"/>
        </w:rPr>
        <w:t xml:space="preserve"> (2014) reported that maize plants with inadequate zinc showed a more rapid decline in growth rate after flowering than plants with sufficient zinc. This further indicates the importance of zinc during the post-flowering decline represented by the 60–90 DAT interval in the present study.</w:t>
      </w:r>
    </w:p>
    <w:p w14:paraId="13E88D2F" w14:textId="77777777" w:rsidR="007E0A41" w:rsidRPr="00AF18A3" w:rsidRDefault="007E0A41" w:rsidP="00D1336B">
      <w:pPr>
        <w:spacing w:after="0" w:line="276" w:lineRule="auto"/>
        <w:ind w:firstLine="720"/>
        <w:jc w:val="both"/>
        <w:rPr>
          <w:rFonts w:ascii="Times New Roman" w:hAnsi="Times New Roman" w:cs="Times New Roman"/>
          <w:sz w:val="20"/>
          <w:szCs w:val="20"/>
        </w:rPr>
      </w:pPr>
      <w:r w:rsidRPr="00AF18A3">
        <w:rPr>
          <w:rFonts w:ascii="Times New Roman" w:hAnsi="Times New Roman" w:cs="Times New Roman"/>
          <w:sz w:val="20"/>
          <w:szCs w:val="20"/>
        </w:rPr>
        <w:t xml:space="preserve">The benefit of using chelated forms rather than sulphate sources at comparable concentrations is consistent with previous findings that chelation can reduce nutrient fixation and maintain nutrient availability for longer periods (Mortvedt, 1979; Hergert </w:t>
      </w:r>
      <w:r w:rsidRPr="00AF18A3">
        <w:rPr>
          <w:rFonts w:ascii="Times New Roman" w:hAnsi="Times New Roman" w:cs="Times New Roman"/>
          <w:i/>
          <w:iCs/>
          <w:sz w:val="20"/>
          <w:szCs w:val="20"/>
        </w:rPr>
        <w:t>et al.</w:t>
      </w:r>
      <w:r w:rsidRPr="00AF18A3">
        <w:rPr>
          <w:rFonts w:ascii="Times New Roman" w:hAnsi="Times New Roman" w:cs="Times New Roman"/>
          <w:sz w:val="20"/>
          <w:szCs w:val="20"/>
        </w:rPr>
        <w:t>, 1984). This may explain why chelated zinc remained effective during the 60–90 DAT period even though plant growth slowed across all treatments.</w:t>
      </w:r>
    </w:p>
    <w:p w14:paraId="5B7CFB5F" w14:textId="77777777" w:rsidR="00A64A69" w:rsidRPr="00AF18A3" w:rsidRDefault="00A64A69" w:rsidP="00D1336B">
      <w:pPr>
        <w:spacing w:after="0" w:line="276" w:lineRule="auto"/>
        <w:rPr>
          <w:rFonts w:ascii="Times New Roman" w:hAnsi="Times New Roman" w:cs="Times New Roman"/>
          <w:sz w:val="20"/>
          <w:szCs w:val="20"/>
          <w:lang w:val="en-GB"/>
        </w:rPr>
      </w:pPr>
    </w:p>
    <w:p w14:paraId="64C4474C" w14:textId="77777777" w:rsidR="007E0A41" w:rsidRPr="00AF18A3" w:rsidRDefault="007E0A41" w:rsidP="00D1336B">
      <w:pPr>
        <w:spacing w:after="0" w:line="276" w:lineRule="auto"/>
        <w:rPr>
          <w:rFonts w:ascii="Times New Roman" w:hAnsi="Times New Roman" w:cs="Times New Roman"/>
          <w:b/>
          <w:bCs/>
          <w:sz w:val="20"/>
          <w:szCs w:val="20"/>
          <w:lang w:val="en-GB"/>
        </w:rPr>
      </w:pPr>
      <w:r w:rsidRPr="00AF18A3">
        <w:rPr>
          <w:rFonts w:ascii="Times New Roman" w:hAnsi="Times New Roman" w:cs="Times New Roman"/>
          <w:b/>
          <w:bCs/>
          <w:sz w:val="20"/>
          <w:szCs w:val="20"/>
          <w:lang w:val="en-GB"/>
        </w:rPr>
        <w:t>RGR</w:t>
      </w:r>
    </w:p>
    <w:p w14:paraId="58F01C01" w14:textId="77777777" w:rsidR="007E0A41" w:rsidRPr="00AF18A3" w:rsidRDefault="007E0A41" w:rsidP="00A64A69">
      <w:pPr>
        <w:spacing w:after="0" w:line="276" w:lineRule="auto"/>
        <w:jc w:val="both"/>
        <w:rPr>
          <w:rFonts w:ascii="Times New Roman" w:hAnsi="Times New Roman" w:cs="Times New Roman"/>
          <w:sz w:val="20"/>
          <w:szCs w:val="20"/>
        </w:rPr>
      </w:pPr>
      <w:r w:rsidRPr="00AF18A3">
        <w:rPr>
          <w:rFonts w:ascii="Times New Roman" w:hAnsi="Times New Roman" w:cs="Times New Roman"/>
          <w:sz w:val="20"/>
          <w:szCs w:val="20"/>
        </w:rPr>
        <w:t>The RGR data show that the treatments recording the highest relative growth rates during 30–60 DAT subsequently recorded the lowest RGR values during 60–90 DAT. Chelated zinc @ 0.75% recorded the highest pooled RGR in the first interval at 0.1084 g g⁻¹ day⁻¹, well above the control value of 0.0830 g g⁻¹ day⁻¹; however, by the second interval, it had declined to 0.0118 g g⁻¹ day⁻¹, below the control value of 0.0170 g g⁻¹ day⁻¹. The same reversal occurred, to a lesser extent, across nearly every zinc and iron treatment. Rather than indicating unpredictability, this inverse pattern is consistent with conventional growth-analysis theory.</w:t>
      </w:r>
    </w:p>
    <w:p w14:paraId="0E6F33B3" w14:textId="77777777" w:rsidR="007E0A41" w:rsidRPr="00AF18A3" w:rsidRDefault="007E0A41" w:rsidP="00D1336B">
      <w:pPr>
        <w:spacing w:after="0" w:line="276" w:lineRule="auto"/>
        <w:ind w:firstLine="720"/>
        <w:jc w:val="both"/>
        <w:rPr>
          <w:rFonts w:ascii="Times New Roman" w:hAnsi="Times New Roman" w:cs="Times New Roman"/>
          <w:sz w:val="20"/>
          <w:szCs w:val="20"/>
        </w:rPr>
      </w:pPr>
      <w:r w:rsidRPr="00AF18A3">
        <w:rPr>
          <w:rFonts w:ascii="Times New Roman" w:hAnsi="Times New Roman" w:cs="Times New Roman"/>
          <w:sz w:val="20"/>
          <w:szCs w:val="20"/>
        </w:rPr>
        <w:t>Relative growth rate is, by definition, the increment in dry matter expressed per unit of existing dry matter; therefore, RGR is mathematically sensitive to plant size in a way that absolute measures such as CGR are not (Hunt, 1990; Evans, 1972). A plant that has already accumulated substantial biomass by 60 DAT, as occurred under the chelated zinc treatments, requires a proportionally larger absolute increment to maintain the same RGR as a smaller plant. The control, which remained relatively small at 60 DAT, could therefore show a higher RGR later because its baseline biomass was lower, even though its absolute growth rate remained below that of the treated plants, as shown by the CGR data in Table 1. Poorter (1989) described this as a general feature of RGR: it declines with plant ontogeny regardless of nutrient treatment because self-shading among lower leaves and an increasing proportion of non-photosynthetic structural tissue reduce the efficiency of new biomass production as the canopy matures.</w:t>
      </w:r>
    </w:p>
    <w:p w14:paraId="5B1F0BA1" w14:textId="77777777" w:rsidR="007E0A41" w:rsidRPr="00AF18A3" w:rsidRDefault="007E0A41" w:rsidP="00D1336B">
      <w:pPr>
        <w:spacing w:after="0" w:line="276" w:lineRule="auto"/>
        <w:ind w:firstLine="720"/>
        <w:jc w:val="both"/>
        <w:rPr>
          <w:rFonts w:ascii="Times New Roman" w:hAnsi="Times New Roman" w:cs="Times New Roman"/>
          <w:sz w:val="20"/>
          <w:szCs w:val="20"/>
        </w:rPr>
      </w:pPr>
      <w:r w:rsidRPr="00AF18A3">
        <w:rPr>
          <w:rFonts w:ascii="Times New Roman" w:hAnsi="Times New Roman" w:cs="Times New Roman"/>
          <w:sz w:val="20"/>
          <w:szCs w:val="20"/>
        </w:rPr>
        <w:t xml:space="preserve">Zinc's early advantage in RGR is consistent with its established role in auxin metabolism and enzyme activation. Zinc is required for tryptophan synthetase activity, and tryptophan contributes to IAA biosynthesis; therefore, plants with adequate zinc status tend to show rapid cell division and expansion during the early-to-mid vegetative period, which is reflected in the 30–60 DAT RGR values in this study (Cakmak, 2000; Marschner, 1995). Once the canopy closes and the crop shifts towards reproductive development, this early relative advantage necessarily declines because the plant invests more assimilate in the ear rather than in new vegetative tissue, while the increasing biomass base makes further proportional gains more difficult to sustain (Yang &amp; Zhang, 2006). Grzebisz </w:t>
      </w:r>
      <w:r w:rsidRPr="00AF18A3">
        <w:rPr>
          <w:rFonts w:ascii="Times New Roman" w:hAnsi="Times New Roman" w:cs="Times New Roman"/>
          <w:i/>
          <w:iCs/>
          <w:sz w:val="20"/>
          <w:szCs w:val="20"/>
        </w:rPr>
        <w:t>et al.</w:t>
      </w:r>
      <w:r w:rsidRPr="00AF18A3">
        <w:rPr>
          <w:rFonts w:ascii="Times New Roman" w:hAnsi="Times New Roman" w:cs="Times New Roman"/>
          <w:sz w:val="20"/>
          <w:szCs w:val="20"/>
        </w:rPr>
        <w:t xml:space="preserve"> (2008) found a similar reduction in growth rate in maize plants receiving foliar zinc after vegetative growth had ceased. They attributed this response to a shift in assimilate allocation towards seed production rather </w:t>
      </w:r>
      <w:r w:rsidRPr="00AF18A3">
        <w:rPr>
          <w:rFonts w:ascii="Times New Roman" w:hAnsi="Times New Roman" w:cs="Times New Roman"/>
          <w:sz w:val="20"/>
          <w:szCs w:val="20"/>
        </w:rPr>
        <w:lastRenderedPageBreak/>
        <w:t xml:space="preserve">than to a loss of zinc effectiveness. Plants treated with iron showed a slower decline in growth between the two periods than those treated with zinc. This is consistent with the role of iron in maintaining chlorophyll and photosynthetic function through the season, while having a smaller direct effect on cell elongation (Abadia </w:t>
      </w:r>
      <w:r w:rsidRPr="00AF18A3">
        <w:rPr>
          <w:rFonts w:ascii="Times New Roman" w:hAnsi="Times New Roman" w:cs="Times New Roman"/>
          <w:i/>
          <w:iCs/>
          <w:sz w:val="20"/>
          <w:szCs w:val="20"/>
        </w:rPr>
        <w:t>et al.</w:t>
      </w:r>
      <w:r w:rsidRPr="00AF18A3">
        <w:rPr>
          <w:rFonts w:ascii="Times New Roman" w:hAnsi="Times New Roman" w:cs="Times New Roman"/>
          <w:sz w:val="20"/>
          <w:szCs w:val="20"/>
        </w:rPr>
        <w:t>, 2011; Rout &amp; Sahoo, 2015). Because iron did not induce the same early growth surge as zinc, the iron treatments had less excess RGR to lose as the crop matured, and the CD values in the 60–90 DAT interval reflect this smaller spread.</w:t>
      </w:r>
    </w:p>
    <w:p w14:paraId="510E02C4" w14:textId="062C6AEC" w:rsidR="007E0A41" w:rsidRPr="00AF18A3" w:rsidRDefault="007E0A41" w:rsidP="00D1336B">
      <w:pPr>
        <w:spacing w:after="0" w:line="276" w:lineRule="auto"/>
        <w:ind w:firstLine="720"/>
        <w:jc w:val="both"/>
        <w:rPr>
          <w:rFonts w:ascii="Times New Roman" w:hAnsi="Times New Roman" w:cs="Times New Roman"/>
          <w:sz w:val="20"/>
          <w:szCs w:val="20"/>
        </w:rPr>
      </w:pPr>
      <w:r w:rsidRPr="00AF18A3">
        <w:rPr>
          <w:rFonts w:ascii="Times New Roman" w:hAnsi="Times New Roman" w:cs="Times New Roman"/>
          <w:sz w:val="20"/>
          <w:szCs w:val="20"/>
        </w:rPr>
        <w:t>This pattern of an early RGR peak followed by a steep decline as biomass accumulates has been widely documented in cereal growth-analysis studies (</w:t>
      </w:r>
      <w:r w:rsidR="006C65A4" w:rsidRPr="006C65A4">
        <w:rPr>
          <w:rFonts w:ascii="Times New Roman" w:hAnsi="Times New Roman" w:cs="Times New Roman"/>
          <w:sz w:val="20"/>
          <w:szCs w:val="20"/>
        </w:rPr>
        <w:t xml:space="preserve">Deswal </w:t>
      </w:r>
      <w:r w:rsidRPr="00AF18A3">
        <w:rPr>
          <w:rFonts w:ascii="Times New Roman" w:hAnsi="Times New Roman" w:cs="Times New Roman"/>
          <w:sz w:val="20"/>
          <w:szCs w:val="20"/>
        </w:rPr>
        <w:t xml:space="preserve">&amp; </w:t>
      </w:r>
      <w:proofErr w:type="spellStart"/>
      <w:r w:rsidR="006C65A4" w:rsidRPr="006C65A4">
        <w:rPr>
          <w:rFonts w:ascii="Times New Roman" w:hAnsi="Times New Roman" w:cs="Times New Roman"/>
          <w:sz w:val="20"/>
          <w:szCs w:val="20"/>
        </w:rPr>
        <w:t>Pandurangam</w:t>
      </w:r>
      <w:proofErr w:type="spellEnd"/>
      <w:r w:rsidRPr="00AF18A3">
        <w:rPr>
          <w:rFonts w:ascii="Times New Roman" w:hAnsi="Times New Roman" w:cs="Times New Roman"/>
          <w:sz w:val="20"/>
          <w:szCs w:val="20"/>
        </w:rPr>
        <w:t>, 201</w:t>
      </w:r>
      <w:r w:rsidR="006C65A4">
        <w:rPr>
          <w:rFonts w:ascii="Times New Roman" w:hAnsi="Times New Roman" w:cs="Times New Roman"/>
          <w:sz w:val="20"/>
          <w:szCs w:val="20"/>
        </w:rPr>
        <w:t>8</w:t>
      </w:r>
      <w:r w:rsidRPr="00AF18A3">
        <w:rPr>
          <w:rFonts w:ascii="Times New Roman" w:hAnsi="Times New Roman" w:cs="Times New Roman"/>
          <w:sz w:val="20"/>
          <w:szCs w:val="20"/>
        </w:rPr>
        <w:t xml:space="preserve">; </w:t>
      </w:r>
      <w:proofErr w:type="spellStart"/>
      <w:r w:rsidRPr="00AF18A3">
        <w:rPr>
          <w:rFonts w:ascii="Times New Roman" w:hAnsi="Times New Roman" w:cs="Times New Roman"/>
          <w:sz w:val="20"/>
          <w:szCs w:val="20"/>
        </w:rPr>
        <w:t>Fageria</w:t>
      </w:r>
      <w:proofErr w:type="spellEnd"/>
      <w:r w:rsidRPr="00AF18A3">
        <w:rPr>
          <w:rFonts w:ascii="Times New Roman" w:hAnsi="Times New Roman" w:cs="Times New Roman"/>
          <w:sz w:val="20"/>
          <w:szCs w:val="20"/>
        </w:rPr>
        <w:t xml:space="preserve"> </w:t>
      </w:r>
      <w:r w:rsidRPr="00AF18A3">
        <w:rPr>
          <w:rFonts w:ascii="Times New Roman" w:hAnsi="Times New Roman" w:cs="Times New Roman"/>
          <w:i/>
          <w:iCs/>
          <w:sz w:val="20"/>
          <w:szCs w:val="20"/>
        </w:rPr>
        <w:t>et al.</w:t>
      </w:r>
      <w:r w:rsidRPr="00AF18A3">
        <w:rPr>
          <w:rFonts w:ascii="Times New Roman" w:hAnsi="Times New Roman" w:cs="Times New Roman"/>
          <w:sz w:val="20"/>
          <w:szCs w:val="20"/>
        </w:rPr>
        <w:t>, 201</w:t>
      </w:r>
      <w:r w:rsidR="006C65A4">
        <w:rPr>
          <w:rFonts w:ascii="Times New Roman" w:hAnsi="Times New Roman" w:cs="Times New Roman"/>
          <w:sz w:val="20"/>
          <w:szCs w:val="20"/>
        </w:rPr>
        <w:t>0</w:t>
      </w:r>
      <w:r w:rsidRPr="00AF18A3">
        <w:rPr>
          <w:rFonts w:ascii="Times New Roman" w:hAnsi="Times New Roman" w:cs="Times New Roman"/>
          <w:sz w:val="20"/>
          <w:szCs w:val="20"/>
        </w:rPr>
        <w:t>). It is therefore best interpreted here not as evidence that the zinc and iron treatments stopped functioning, but as confirmation that crop growth in this trial followed the expected physiological trajectory, with the strongest micronutrient response concentrated in the early-to-mid vegetative phase, when the ultimate biomass ceiling is established.</w:t>
      </w:r>
    </w:p>
    <w:p w14:paraId="218D0CE5" w14:textId="77777777" w:rsidR="00A64A69" w:rsidRPr="00AF18A3" w:rsidRDefault="00A64A69" w:rsidP="00D1336B">
      <w:pPr>
        <w:spacing w:after="0" w:line="276" w:lineRule="auto"/>
        <w:ind w:firstLine="720"/>
        <w:jc w:val="both"/>
        <w:rPr>
          <w:rFonts w:ascii="Times New Roman" w:hAnsi="Times New Roman" w:cs="Times New Roman"/>
          <w:sz w:val="20"/>
          <w:szCs w:val="20"/>
        </w:rPr>
      </w:pPr>
    </w:p>
    <w:p w14:paraId="3B34720D" w14:textId="77777777" w:rsidR="007E0A41" w:rsidRPr="00AF18A3" w:rsidRDefault="00A64A69" w:rsidP="00D1336B">
      <w:pPr>
        <w:spacing w:after="0" w:line="276" w:lineRule="auto"/>
        <w:rPr>
          <w:rFonts w:ascii="Times New Roman" w:hAnsi="Times New Roman" w:cs="Times New Roman"/>
          <w:b/>
          <w:bCs/>
          <w:sz w:val="20"/>
          <w:szCs w:val="20"/>
          <w:lang w:val="en-GB"/>
        </w:rPr>
      </w:pPr>
      <w:r w:rsidRPr="00AF18A3">
        <w:rPr>
          <w:rFonts w:ascii="Times New Roman" w:hAnsi="Times New Roman" w:cs="Times New Roman"/>
          <w:b/>
          <w:bCs/>
          <w:sz w:val="20"/>
          <w:szCs w:val="20"/>
        </w:rPr>
        <w:t>Net assimilation rate (</w:t>
      </w:r>
      <w:r w:rsidR="007E0A41" w:rsidRPr="00AF18A3">
        <w:rPr>
          <w:rFonts w:ascii="Times New Roman" w:hAnsi="Times New Roman" w:cs="Times New Roman"/>
          <w:b/>
          <w:bCs/>
          <w:sz w:val="20"/>
          <w:szCs w:val="20"/>
          <w:lang w:val="en-GB"/>
        </w:rPr>
        <w:t>NAR</w:t>
      </w:r>
      <w:r w:rsidRPr="00AF18A3">
        <w:rPr>
          <w:rFonts w:ascii="Times New Roman" w:hAnsi="Times New Roman" w:cs="Times New Roman"/>
          <w:b/>
          <w:bCs/>
          <w:sz w:val="20"/>
          <w:szCs w:val="20"/>
          <w:lang w:val="en-GB"/>
        </w:rPr>
        <w:t>)</w:t>
      </w:r>
    </w:p>
    <w:p w14:paraId="660833CA" w14:textId="77777777" w:rsidR="007E0A41" w:rsidRPr="00AF18A3" w:rsidRDefault="007E0A41" w:rsidP="00A64A69">
      <w:pPr>
        <w:spacing w:after="0" w:line="276" w:lineRule="auto"/>
        <w:jc w:val="both"/>
        <w:rPr>
          <w:rFonts w:ascii="Times New Roman" w:hAnsi="Times New Roman" w:cs="Times New Roman"/>
          <w:sz w:val="20"/>
          <w:szCs w:val="20"/>
        </w:rPr>
      </w:pPr>
      <w:r w:rsidRPr="00AF18A3">
        <w:rPr>
          <w:rFonts w:ascii="Times New Roman" w:hAnsi="Times New Roman" w:cs="Times New Roman"/>
          <w:sz w:val="20"/>
          <w:szCs w:val="20"/>
        </w:rPr>
        <w:t>Net assimilation rate followed a trend similar to that observed for crop growth rate, while also showing how sharply assimilation efficiency declined during grain filling. During 30–60 DAT, NAR increased well above the control value of 0.3796 g m⁻² day⁻¹ in most treated plots, peaking at 2.0428 g m⁻² day⁻¹ in chelated zinc @ 0.50%, with chelated zinc @ 0.75% close behind at 1.9688 g m⁻² day⁻¹. By 60–90 DAT, values had declined across all treatments to a pooled range of 0.0040–0.0431 g m⁻² day⁻¹, although the same chelated zinc treatments remained among the highest at this later stage.</w:t>
      </w:r>
    </w:p>
    <w:p w14:paraId="63B7A8C4" w14:textId="77777777" w:rsidR="007E0A41" w:rsidRPr="00AF18A3" w:rsidRDefault="007E0A41" w:rsidP="00D1336B">
      <w:pPr>
        <w:spacing w:after="0" w:line="276" w:lineRule="auto"/>
        <w:ind w:firstLine="720"/>
        <w:jc w:val="both"/>
        <w:rPr>
          <w:rFonts w:ascii="Times New Roman" w:hAnsi="Times New Roman" w:cs="Times New Roman"/>
          <w:sz w:val="20"/>
          <w:szCs w:val="20"/>
        </w:rPr>
      </w:pPr>
      <w:r w:rsidRPr="00AF18A3">
        <w:rPr>
          <w:rFonts w:ascii="Times New Roman" w:hAnsi="Times New Roman" w:cs="Times New Roman"/>
          <w:sz w:val="20"/>
          <w:szCs w:val="20"/>
        </w:rPr>
        <w:t xml:space="preserve">NAR measures the rate of dry-matter gain per unit leaf area; therefore, unlike CGR, it removes the effect of total leaf area and isolates the efficiency of that leaf area in producing biomass (Watson, 1947; Hunt, 1990). The steep decline after 60 DAT therefore reflects a somewhat different process from the CGR response. It is a recognised feature of cereal physiology during grain filling, when a large proportion of assimilates is redirected towards the developing ear, lower leaves begin to senesce and lose photosynthetic capacity, and mutual shading within a dense canopy reduces the light available to each unit of leaf area (Gardner </w:t>
      </w:r>
      <w:r w:rsidRPr="00AF18A3">
        <w:rPr>
          <w:rFonts w:ascii="Times New Roman" w:hAnsi="Times New Roman" w:cs="Times New Roman"/>
          <w:i/>
          <w:iCs/>
          <w:sz w:val="20"/>
          <w:szCs w:val="20"/>
        </w:rPr>
        <w:t>et al.</w:t>
      </w:r>
      <w:r w:rsidRPr="00AF18A3">
        <w:rPr>
          <w:rFonts w:ascii="Times New Roman" w:hAnsi="Times New Roman" w:cs="Times New Roman"/>
          <w:sz w:val="20"/>
          <w:szCs w:val="20"/>
        </w:rPr>
        <w:t>, 1985; Muchow, 1994). Consequently, each unit of leaf tissue contributes less to biomass production during the second half of the season, irrespective of nutrient status, which explains the marked decline between the two intervals even in the best-performing treatments.</w:t>
      </w:r>
    </w:p>
    <w:p w14:paraId="17D265FC" w14:textId="77777777" w:rsidR="007E0A41" w:rsidRPr="00AF18A3" w:rsidRDefault="007E0A41" w:rsidP="00D1336B">
      <w:pPr>
        <w:spacing w:after="0" w:line="276" w:lineRule="auto"/>
        <w:ind w:firstLine="720"/>
        <w:jc w:val="both"/>
        <w:rPr>
          <w:rFonts w:ascii="Times New Roman" w:hAnsi="Times New Roman" w:cs="Times New Roman"/>
          <w:sz w:val="20"/>
          <w:szCs w:val="20"/>
        </w:rPr>
      </w:pPr>
      <w:r w:rsidRPr="00AF18A3">
        <w:rPr>
          <w:rFonts w:ascii="Times New Roman" w:hAnsi="Times New Roman" w:cs="Times New Roman"/>
          <w:sz w:val="20"/>
          <w:szCs w:val="20"/>
        </w:rPr>
        <w:t xml:space="preserve">The strong response to zinc during the 30–60 DAT interval is consistent with zinc's role in carbonic anhydrase activity, which supports the supply of CO₂ to Rubisco in the chloroplast stroma. Cakmak (2000) showed that zinc-deficient plants have markedly reduced carbonic anhydrase activity, which directly limits net carbon assimilation per unit leaf area. Accordingly, the zinc-treated plants in this trial, particularly the chelated forms at 0.50% and 0.75%, showed the largest NAR gains during the phase when canopy photosynthesis was most active. Iron produced a more moderate NAR response, consistent with its biochemical functions. Iron contributes to chlorophyll formation and the electron-transport chain, which are important for the light reactions of photosynthesis, whereas zinc contributes to carbonic anhydrase activity associated with the carboxylation process (Abadia </w:t>
      </w:r>
      <w:r w:rsidRPr="00AF18A3">
        <w:rPr>
          <w:rFonts w:ascii="Times New Roman" w:hAnsi="Times New Roman" w:cs="Times New Roman"/>
          <w:i/>
          <w:iCs/>
          <w:sz w:val="20"/>
          <w:szCs w:val="20"/>
        </w:rPr>
        <w:t>et al.</w:t>
      </w:r>
      <w:r w:rsidRPr="00AF18A3">
        <w:rPr>
          <w:rFonts w:ascii="Times New Roman" w:hAnsi="Times New Roman" w:cs="Times New Roman"/>
          <w:sz w:val="20"/>
          <w:szCs w:val="20"/>
        </w:rPr>
        <w:t>, 2011; Rout &amp; Sahoo, 2015).</w:t>
      </w:r>
    </w:p>
    <w:p w14:paraId="7D9F34E8" w14:textId="5A0F4F4F" w:rsidR="007E0A41" w:rsidRPr="00AF18A3" w:rsidRDefault="007E0A41" w:rsidP="00D1336B">
      <w:pPr>
        <w:spacing w:after="0" w:line="276" w:lineRule="auto"/>
        <w:ind w:firstLine="720"/>
        <w:jc w:val="both"/>
        <w:rPr>
          <w:rFonts w:ascii="Times New Roman" w:hAnsi="Times New Roman" w:cs="Times New Roman"/>
          <w:sz w:val="20"/>
          <w:szCs w:val="20"/>
        </w:rPr>
      </w:pPr>
      <w:r w:rsidRPr="00AF18A3">
        <w:rPr>
          <w:rFonts w:ascii="Times New Roman" w:hAnsi="Times New Roman" w:cs="Times New Roman"/>
          <w:sz w:val="20"/>
          <w:szCs w:val="20"/>
        </w:rPr>
        <w:t xml:space="preserve">This distinction may explain why the FeSO₄ and chelated iron treatments in Table 2 generally trailed the zinc treatments at both stages, a pattern consistent with reports by Grzebisz </w:t>
      </w:r>
      <w:r w:rsidRPr="00AF18A3">
        <w:rPr>
          <w:rFonts w:ascii="Times New Roman" w:hAnsi="Times New Roman" w:cs="Times New Roman"/>
          <w:i/>
          <w:iCs/>
          <w:sz w:val="20"/>
          <w:szCs w:val="20"/>
        </w:rPr>
        <w:t>et al.</w:t>
      </w:r>
      <w:r w:rsidRPr="00AF18A3">
        <w:rPr>
          <w:rFonts w:ascii="Times New Roman" w:hAnsi="Times New Roman" w:cs="Times New Roman"/>
          <w:sz w:val="20"/>
          <w:szCs w:val="20"/>
        </w:rPr>
        <w:t xml:space="preserve"> (2008) and Potarzycki and Grzebisz (2009) regarding zinc effects on assimilation-related traits in maize. The unusually low pooled value recorded for chelated iron @ 0.75% during 30–60 DAT stands out relative to its 2024 and 2025 values and likely reflects a computational or transcription inconsistency in the pooled column rather than a genuine treatment effect, because the individual-year values for that treatment were among the highest for the iron treatments. Aside from that anomaly, the overall trend across Tables 1 and 2 reinforces the patterns indicated by CGR and RGR: zinc, particularly chelated zinc, produced the strongest gains in assimilation efficiency during active vegetative growth, with the advantage narrowing sharply, although not disappearing, once the crop shifted towards grain filling (Ravikiran &amp; Halepyati, 2013; Fageria </w:t>
      </w:r>
      <w:r w:rsidRPr="00AF18A3">
        <w:rPr>
          <w:rFonts w:ascii="Times New Roman" w:hAnsi="Times New Roman" w:cs="Times New Roman"/>
          <w:i/>
          <w:iCs/>
          <w:sz w:val="20"/>
          <w:szCs w:val="20"/>
        </w:rPr>
        <w:t>et al.</w:t>
      </w:r>
      <w:r w:rsidRPr="00AF18A3">
        <w:rPr>
          <w:rFonts w:ascii="Times New Roman" w:hAnsi="Times New Roman" w:cs="Times New Roman"/>
          <w:sz w:val="20"/>
          <w:szCs w:val="20"/>
        </w:rPr>
        <w:t>, 201</w:t>
      </w:r>
      <w:r w:rsidR="006C65A4">
        <w:rPr>
          <w:rFonts w:ascii="Times New Roman" w:hAnsi="Times New Roman" w:cs="Times New Roman"/>
          <w:sz w:val="20"/>
          <w:szCs w:val="20"/>
        </w:rPr>
        <w:t>0</w:t>
      </w:r>
      <w:r w:rsidRPr="00AF18A3">
        <w:rPr>
          <w:rFonts w:ascii="Times New Roman" w:hAnsi="Times New Roman" w:cs="Times New Roman"/>
          <w:sz w:val="20"/>
          <w:szCs w:val="20"/>
        </w:rPr>
        <w:t>).</w:t>
      </w:r>
    </w:p>
    <w:p w14:paraId="5FBDA99B" w14:textId="77777777" w:rsidR="0048609B" w:rsidRPr="00AF18A3" w:rsidRDefault="0048609B" w:rsidP="00D1336B">
      <w:pPr>
        <w:spacing w:after="0" w:line="276" w:lineRule="auto"/>
        <w:jc w:val="both"/>
        <w:rPr>
          <w:rFonts w:ascii="Times New Roman" w:hAnsi="Times New Roman" w:cs="Times New Roman"/>
          <w:b/>
          <w:bCs/>
          <w:sz w:val="20"/>
          <w:szCs w:val="20"/>
        </w:rPr>
      </w:pPr>
      <w:r w:rsidRPr="00AF18A3">
        <w:rPr>
          <w:rFonts w:ascii="Times New Roman" w:hAnsi="Times New Roman" w:cs="Times New Roman"/>
          <w:b/>
          <w:bCs/>
          <w:sz w:val="20"/>
          <w:szCs w:val="20"/>
        </w:rPr>
        <w:t>Conclusion</w:t>
      </w:r>
    </w:p>
    <w:p w14:paraId="0A208CEF" w14:textId="77777777" w:rsidR="0048609B" w:rsidRPr="00AF18A3" w:rsidRDefault="0048609B" w:rsidP="00A64A69">
      <w:pPr>
        <w:spacing w:after="0" w:line="276" w:lineRule="auto"/>
        <w:jc w:val="both"/>
        <w:rPr>
          <w:rFonts w:ascii="Times New Roman" w:hAnsi="Times New Roman" w:cs="Times New Roman"/>
          <w:sz w:val="20"/>
          <w:szCs w:val="20"/>
        </w:rPr>
      </w:pPr>
      <w:r w:rsidRPr="00AF18A3">
        <w:rPr>
          <w:rFonts w:ascii="Times New Roman" w:hAnsi="Times New Roman" w:cs="Times New Roman"/>
          <w:sz w:val="20"/>
          <w:szCs w:val="20"/>
        </w:rPr>
        <w:t xml:space="preserve">The data indicate that chelated zinc had a greater effect on the growth of sweet corn than the iron treatments evaluated in this study. Zinc application increased crop growth rate relative to the control, with the highest responses observed under chelated zinc at 0.50% (T₉) and 0.75% (T₁₀). During the active growth period, these treatments recorded substantially higher CGR values than the control. A similar pattern was observed for RGR </w:t>
      </w:r>
      <w:r w:rsidRPr="00AF18A3">
        <w:rPr>
          <w:rFonts w:ascii="Times New Roman" w:hAnsi="Times New Roman" w:cs="Times New Roman"/>
          <w:sz w:val="20"/>
          <w:szCs w:val="20"/>
        </w:rPr>
        <w:lastRenderedPageBreak/>
        <w:t>and NAR, for which the same chelated-zinc treatments recorded the highest values between 30 and 60 DAT. These results indicate that zinc was associated with both faster overall growth and more efficient dry-matter production per unit leaf area at this stage. Iron treatments, whether applied in chelated form or as FeSO₄, provided consistent but smaller improvements relative to the control across the recorded growth indices.</w:t>
      </w:r>
    </w:p>
    <w:p w14:paraId="1DCB5656" w14:textId="77777777" w:rsidR="00FB5AB7" w:rsidRPr="00AF18A3" w:rsidRDefault="0048609B" w:rsidP="00D1336B">
      <w:pPr>
        <w:spacing w:after="0" w:line="276" w:lineRule="auto"/>
        <w:ind w:firstLine="720"/>
        <w:jc w:val="both"/>
        <w:rPr>
          <w:rFonts w:ascii="Times New Roman" w:hAnsi="Times New Roman" w:cs="Times New Roman"/>
          <w:sz w:val="20"/>
          <w:szCs w:val="20"/>
        </w:rPr>
      </w:pPr>
      <w:r w:rsidRPr="00AF18A3">
        <w:rPr>
          <w:rFonts w:ascii="Times New Roman" w:hAnsi="Times New Roman" w:cs="Times New Roman"/>
          <w:sz w:val="20"/>
          <w:szCs w:val="20"/>
        </w:rPr>
        <w:t>The early advantage associated with zinc declined as the crop matured. By 60–90 DAT, growth indices had decreased across all treatments. Differences between zinc and iron treatments became smaller and, in some cases, iron treatments and the control recorded similar values. This pattern indicates that zinc had its greatest influence on sweet corn during the vegetative phase, with the relative effect becoming less pronounced as the crop progressed towards reproductive development.</w:t>
      </w:r>
    </w:p>
    <w:p w14:paraId="1CBBECD9" w14:textId="77777777" w:rsidR="00701562" w:rsidRPr="00AF18A3" w:rsidRDefault="00701562" w:rsidP="00D1336B">
      <w:pPr>
        <w:spacing w:after="0" w:line="276" w:lineRule="auto"/>
        <w:jc w:val="both"/>
        <w:rPr>
          <w:rFonts w:ascii="Times New Roman" w:hAnsi="Times New Roman" w:cs="Times New Roman"/>
          <w:b/>
          <w:bCs/>
          <w:sz w:val="20"/>
          <w:szCs w:val="20"/>
        </w:rPr>
      </w:pPr>
    </w:p>
    <w:p w14:paraId="7079FEDF" w14:textId="77777777" w:rsidR="00FB5AB7" w:rsidRPr="00AF18A3" w:rsidRDefault="00FB5AB7" w:rsidP="00D1336B">
      <w:pPr>
        <w:spacing w:after="0" w:line="276" w:lineRule="auto"/>
        <w:jc w:val="both"/>
        <w:rPr>
          <w:rFonts w:ascii="Times New Roman" w:hAnsi="Times New Roman" w:cs="Times New Roman"/>
          <w:b/>
          <w:bCs/>
          <w:sz w:val="20"/>
          <w:szCs w:val="20"/>
        </w:rPr>
      </w:pPr>
      <w:r w:rsidRPr="00AF18A3">
        <w:rPr>
          <w:rFonts w:ascii="Times New Roman" w:hAnsi="Times New Roman" w:cs="Times New Roman"/>
          <w:b/>
          <w:bCs/>
          <w:sz w:val="20"/>
          <w:szCs w:val="20"/>
        </w:rPr>
        <w:t xml:space="preserve">6. Limitation </w:t>
      </w:r>
    </w:p>
    <w:p w14:paraId="13339A24" w14:textId="77777777" w:rsidR="00EB197F" w:rsidRPr="00AF18A3" w:rsidRDefault="00FB5AB7" w:rsidP="00701562">
      <w:pPr>
        <w:spacing w:after="0" w:line="276" w:lineRule="auto"/>
        <w:jc w:val="both"/>
        <w:rPr>
          <w:rFonts w:ascii="Times New Roman" w:hAnsi="Times New Roman" w:cs="Times New Roman"/>
          <w:sz w:val="20"/>
          <w:szCs w:val="20"/>
        </w:rPr>
      </w:pPr>
      <w:r w:rsidRPr="00AF18A3">
        <w:rPr>
          <w:rFonts w:ascii="Times New Roman" w:hAnsi="Times New Roman" w:cs="Times New Roman"/>
          <w:sz w:val="20"/>
          <w:szCs w:val="20"/>
        </w:rPr>
        <w:t xml:space="preserve">The experiment was conducted at one location using the sweet corn variety Sugar 75 during two </w:t>
      </w:r>
      <w:r w:rsidRPr="00AF18A3">
        <w:rPr>
          <w:rFonts w:ascii="Times New Roman" w:hAnsi="Times New Roman" w:cs="Times New Roman"/>
          <w:i/>
          <w:iCs/>
          <w:sz w:val="20"/>
          <w:szCs w:val="20"/>
        </w:rPr>
        <w:t>kharif</w:t>
      </w:r>
      <w:r w:rsidRPr="00AF18A3">
        <w:rPr>
          <w:rFonts w:ascii="Times New Roman" w:hAnsi="Times New Roman" w:cs="Times New Roman"/>
          <w:sz w:val="20"/>
          <w:szCs w:val="20"/>
        </w:rPr>
        <w:t xml:space="preserve"> seasons (2024 and 2025). The observed responses may therefore be specific to the soil conditions, climatic conditions, planting method and nutrient treatments used. The study focused on crop growth indices; consequently, the interpretation is confined to crop growth rate, relative growth rate and net assimilation rate. Validation across multiple locations and varieties is required before wider adoption.</w:t>
      </w:r>
    </w:p>
    <w:p w14:paraId="3DAD048F" w14:textId="77777777" w:rsidR="00806FD9" w:rsidRPr="00AF18A3" w:rsidRDefault="00806FD9" w:rsidP="00D1336B">
      <w:pPr>
        <w:spacing w:after="0" w:line="276" w:lineRule="auto"/>
        <w:ind w:firstLine="720"/>
        <w:jc w:val="both"/>
        <w:rPr>
          <w:rFonts w:ascii="Times New Roman" w:hAnsi="Times New Roman" w:cs="Times New Roman"/>
          <w:sz w:val="20"/>
          <w:szCs w:val="20"/>
        </w:rPr>
      </w:pPr>
    </w:p>
    <w:p w14:paraId="3194C59B" w14:textId="77777777" w:rsidR="0048609B" w:rsidRPr="00AF18A3" w:rsidRDefault="0048609B" w:rsidP="00D1336B">
      <w:pPr>
        <w:spacing w:after="0" w:line="276" w:lineRule="auto"/>
        <w:jc w:val="both"/>
        <w:rPr>
          <w:rFonts w:ascii="Times New Roman" w:hAnsi="Times New Roman" w:cs="Times New Roman"/>
          <w:b/>
          <w:bCs/>
          <w:sz w:val="20"/>
          <w:szCs w:val="20"/>
        </w:rPr>
      </w:pPr>
      <w:r w:rsidRPr="00AF18A3">
        <w:rPr>
          <w:rFonts w:ascii="Times New Roman" w:hAnsi="Times New Roman" w:cs="Times New Roman"/>
          <w:b/>
          <w:bCs/>
          <w:sz w:val="20"/>
          <w:szCs w:val="20"/>
        </w:rPr>
        <w:t>Competing Interests</w:t>
      </w:r>
    </w:p>
    <w:p w14:paraId="336D951D" w14:textId="77777777" w:rsidR="0048609B" w:rsidRPr="00AF18A3" w:rsidRDefault="0048609B" w:rsidP="00D1336B">
      <w:pPr>
        <w:tabs>
          <w:tab w:val="left" w:pos="7644"/>
        </w:tabs>
        <w:spacing w:after="0" w:line="276" w:lineRule="auto"/>
        <w:rPr>
          <w:rFonts w:ascii="Times New Roman" w:hAnsi="Times New Roman" w:cs="Times New Roman"/>
          <w:sz w:val="20"/>
          <w:szCs w:val="20"/>
        </w:rPr>
      </w:pPr>
      <w:r w:rsidRPr="00AF18A3">
        <w:rPr>
          <w:rFonts w:ascii="Times New Roman" w:hAnsi="Times New Roman" w:cs="Times New Roman"/>
          <w:sz w:val="20"/>
          <w:szCs w:val="20"/>
        </w:rPr>
        <w:t>Authors have declared that no competing interests exist.</w:t>
      </w:r>
    </w:p>
    <w:p w14:paraId="0DFE5028" w14:textId="77777777" w:rsidR="00AD59D9" w:rsidRPr="00AF18A3" w:rsidRDefault="00AD59D9" w:rsidP="00D1336B">
      <w:pPr>
        <w:tabs>
          <w:tab w:val="left" w:pos="7644"/>
        </w:tabs>
        <w:spacing w:after="0" w:line="276" w:lineRule="auto"/>
        <w:rPr>
          <w:rFonts w:ascii="Times New Roman" w:hAnsi="Times New Roman" w:cs="Times New Roman"/>
          <w:sz w:val="20"/>
          <w:szCs w:val="20"/>
        </w:rPr>
      </w:pPr>
    </w:p>
    <w:p w14:paraId="7055C11B" w14:textId="77777777" w:rsidR="00704BE9" w:rsidRPr="00AF18A3" w:rsidRDefault="00704BE9" w:rsidP="00704BE9">
      <w:pPr>
        <w:rPr>
          <w:rFonts w:ascii="Arial" w:hAnsi="Arial" w:cs="Arial"/>
          <w:b/>
          <w:bCs/>
        </w:rPr>
      </w:pPr>
      <w:r w:rsidRPr="00AF18A3">
        <w:rPr>
          <w:rFonts w:ascii="Arial" w:hAnsi="Arial" w:cs="Arial"/>
          <w:b/>
          <w:bCs/>
        </w:rPr>
        <w:t>Declaration of AI Use</w:t>
      </w:r>
    </w:p>
    <w:p w14:paraId="24DE19F4" w14:textId="77777777" w:rsidR="00704BE9" w:rsidRPr="00AF18A3" w:rsidRDefault="00704BE9" w:rsidP="00704BE9">
      <w:pPr>
        <w:rPr>
          <w:rFonts w:ascii="Arial" w:hAnsi="Arial" w:cs="Arial"/>
        </w:rPr>
      </w:pPr>
      <w:r w:rsidRPr="00AF18A3">
        <w:rPr>
          <w:rFonts w:ascii="Arial" w:hAnsi="Arial" w:cs="Arial"/>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779663E7" w14:textId="77777777" w:rsidR="00AD59D9" w:rsidRPr="00AF18A3" w:rsidRDefault="00AD59D9" w:rsidP="00D1336B">
      <w:pPr>
        <w:tabs>
          <w:tab w:val="left" w:pos="7644"/>
        </w:tabs>
        <w:spacing w:after="0" w:line="276" w:lineRule="auto"/>
        <w:rPr>
          <w:rFonts w:ascii="Times New Roman" w:hAnsi="Times New Roman" w:cs="Times New Roman"/>
          <w:sz w:val="20"/>
          <w:szCs w:val="20"/>
        </w:rPr>
      </w:pPr>
    </w:p>
    <w:p w14:paraId="5F8392F2" w14:textId="77777777" w:rsidR="00FB5AB7" w:rsidRDefault="00FB5AB7" w:rsidP="00D1336B">
      <w:pPr>
        <w:spacing w:after="0" w:line="276" w:lineRule="auto"/>
        <w:ind w:left="720" w:hanging="720"/>
        <w:jc w:val="both"/>
        <w:rPr>
          <w:rFonts w:ascii="Times New Roman" w:hAnsi="Times New Roman" w:cs="Times New Roman"/>
          <w:b/>
          <w:bCs/>
          <w:sz w:val="20"/>
          <w:szCs w:val="20"/>
        </w:rPr>
      </w:pPr>
      <w:r w:rsidRPr="00AF18A3">
        <w:rPr>
          <w:rFonts w:ascii="Times New Roman" w:hAnsi="Times New Roman" w:cs="Times New Roman"/>
          <w:b/>
          <w:bCs/>
          <w:sz w:val="20"/>
          <w:szCs w:val="20"/>
        </w:rPr>
        <w:t>References</w:t>
      </w:r>
    </w:p>
    <w:p w14:paraId="346804B0" w14:textId="77777777" w:rsidR="006C65A4" w:rsidRPr="006C65A4" w:rsidRDefault="006C65A4" w:rsidP="006C65A4">
      <w:pPr>
        <w:spacing w:before="100" w:beforeAutospacing="1" w:after="100" w:afterAutospacing="1" w:line="240" w:lineRule="auto"/>
        <w:rPr>
          <w:rFonts w:ascii="Times New Roman" w:eastAsia="Times New Roman" w:hAnsi="Times New Roman" w:cs="Times New Roman"/>
          <w:kern w:val="0"/>
          <w:sz w:val="24"/>
          <w:szCs w:val="24"/>
          <w:lang w:val="en-US"/>
          <w14:ligatures w14:val="none"/>
        </w:rPr>
      </w:pPr>
      <w:r w:rsidRPr="006C65A4">
        <w:rPr>
          <w:rFonts w:ascii="Times New Roman" w:eastAsia="Times New Roman" w:hAnsi="Times New Roman" w:cs="Times New Roman"/>
          <w:kern w:val="0"/>
          <w:sz w:val="24"/>
          <w:szCs w:val="24"/>
          <w:lang w:val="en-US"/>
          <w14:ligatures w14:val="none"/>
        </w:rPr>
        <w:t xml:space="preserve">Abadia, J., Vazquez, S., </w:t>
      </w:r>
      <w:proofErr w:type="spellStart"/>
      <w:r w:rsidRPr="006C65A4">
        <w:rPr>
          <w:rFonts w:ascii="Times New Roman" w:eastAsia="Times New Roman" w:hAnsi="Times New Roman" w:cs="Times New Roman"/>
          <w:kern w:val="0"/>
          <w:sz w:val="24"/>
          <w:szCs w:val="24"/>
          <w:lang w:val="en-US"/>
          <w14:ligatures w14:val="none"/>
        </w:rPr>
        <w:t>Rellan</w:t>
      </w:r>
      <w:proofErr w:type="spellEnd"/>
      <w:r w:rsidRPr="006C65A4">
        <w:rPr>
          <w:rFonts w:ascii="Times New Roman" w:eastAsia="Times New Roman" w:hAnsi="Times New Roman" w:cs="Times New Roman"/>
          <w:kern w:val="0"/>
          <w:sz w:val="24"/>
          <w:szCs w:val="24"/>
          <w:lang w:val="en-US"/>
          <w14:ligatures w14:val="none"/>
        </w:rPr>
        <w:t xml:space="preserve">-Alvarez, R., El-Jendoubi, H., Abadia, A., Alvarez-Fernandez, A., &amp; Lopez-Millan, A. F. (2011). Towards a knowledge-based correction of iron chlorosis. </w:t>
      </w:r>
      <w:r w:rsidRPr="006C65A4">
        <w:rPr>
          <w:rFonts w:ascii="Times New Roman" w:eastAsia="Times New Roman" w:hAnsi="Times New Roman" w:cs="Times New Roman"/>
          <w:i/>
          <w:iCs/>
          <w:kern w:val="0"/>
          <w:sz w:val="24"/>
          <w:szCs w:val="24"/>
          <w:lang w:val="en-US"/>
          <w14:ligatures w14:val="none"/>
        </w:rPr>
        <w:t>Plant Physiology and Biochemistry, 49</w:t>
      </w:r>
      <w:r w:rsidRPr="006C65A4">
        <w:rPr>
          <w:rFonts w:ascii="Times New Roman" w:eastAsia="Times New Roman" w:hAnsi="Times New Roman" w:cs="Times New Roman"/>
          <w:kern w:val="0"/>
          <w:sz w:val="24"/>
          <w:szCs w:val="24"/>
          <w:lang w:val="en-US"/>
          <w14:ligatures w14:val="none"/>
        </w:rPr>
        <w:t xml:space="preserve">(5), 471–482. </w:t>
      </w:r>
      <w:hyperlink r:id="rId18" w:history="1">
        <w:r w:rsidRPr="006C65A4">
          <w:rPr>
            <w:rFonts w:ascii="Times New Roman" w:eastAsia="Times New Roman" w:hAnsi="Times New Roman" w:cs="Times New Roman"/>
            <w:color w:val="0000FF"/>
            <w:kern w:val="0"/>
            <w:sz w:val="24"/>
            <w:szCs w:val="24"/>
            <w:u w:val="single"/>
            <w:lang w:val="en-US"/>
            <w14:ligatures w14:val="none"/>
          </w:rPr>
          <w:t>https://doi.org/10.1016/j.plaphy.2011.01.026</w:t>
        </w:r>
      </w:hyperlink>
    </w:p>
    <w:p w14:paraId="1588AED4" w14:textId="77777777" w:rsidR="006C65A4" w:rsidRPr="006C65A4" w:rsidRDefault="006C65A4" w:rsidP="006C65A4">
      <w:pPr>
        <w:spacing w:before="100" w:beforeAutospacing="1" w:after="100" w:afterAutospacing="1" w:line="240" w:lineRule="auto"/>
        <w:rPr>
          <w:rFonts w:ascii="Times New Roman" w:eastAsia="Times New Roman" w:hAnsi="Times New Roman" w:cs="Times New Roman"/>
          <w:kern w:val="0"/>
          <w:sz w:val="24"/>
          <w:szCs w:val="24"/>
          <w:lang w:val="en-US"/>
          <w14:ligatures w14:val="none"/>
        </w:rPr>
      </w:pPr>
      <w:r w:rsidRPr="006C65A4">
        <w:rPr>
          <w:rFonts w:ascii="Times New Roman" w:eastAsia="Times New Roman" w:hAnsi="Times New Roman" w:cs="Times New Roman"/>
          <w:kern w:val="0"/>
          <w:sz w:val="24"/>
          <w:szCs w:val="24"/>
          <w:lang w:val="en-US"/>
          <w14:ligatures w14:val="none"/>
        </w:rPr>
        <w:t xml:space="preserve">Cakmak, I. (2000). Possible roles of zinc in protecting plant cells from damage by reactive oxygen species. </w:t>
      </w:r>
      <w:r w:rsidRPr="006C65A4">
        <w:rPr>
          <w:rFonts w:ascii="Times New Roman" w:eastAsia="Times New Roman" w:hAnsi="Times New Roman" w:cs="Times New Roman"/>
          <w:i/>
          <w:iCs/>
          <w:kern w:val="0"/>
          <w:sz w:val="24"/>
          <w:szCs w:val="24"/>
          <w:lang w:val="en-US"/>
          <w14:ligatures w14:val="none"/>
        </w:rPr>
        <w:t>New Phytologist, 146</w:t>
      </w:r>
      <w:r w:rsidRPr="006C65A4">
        <w:rPr>
          <w:rFonts w:ascii="Times New Roman" w:eastAsia="Times New Roman" w:hAnsi="Times New Roman" w:cs="Times New Roman"/>
          <w:kern w:val="0"/>
          <w:sz w:val="24"/>
          <w:szCs w:val="24"/>
          <w:lang w:val="en-US"/>
          <w14:ligatures w14:val="none"/>
        </w:rPr>
        <w:t xml:space="preserve">(2), 185–205. </w:t>
      </w:r>
      <w:hyperlink r:id="rId19" w:history="1">
        <w:r w:rsidRPr="006C65A4">
          <w:rPr>
            <w:rFonts w:ascii="Times New Roman" w:eastAsia="Times New Roman" w:hAnsi="Times New Roman" w:cs="Times New Roman"/>
            <w:color w:val="0000FF"/>
            <w:kern w:val="0"/>
            <w:sz w:val="24"/>
            <w:szCs w:val="24"/>
            <w:u w:val="single"/>
            <w:lang w:val="en-US"/>
            <w14:ligatures w14:val="none"/>
          </w:rPr>
          <w:t>https://doi.org/10.1046/j.1469-8137.2000.00630.x</w:t>
        </w:r>
      </w:hyperlink>
    </w:p>
    <w:p w14:paraId="37A7BB28" w14:textId="77777777" w:rsidR="006C65A4" w:rsidRPr="006C65A4" w:rsidRDefault="006C65A4" w:rsidP="006C65A4">
      <w:pPr>
        <w:spacing w:before="100" w:beforeAutospacing="1" w:after="100" w:afterAutospacing="1" w:line="240" w:lineRule="auto"/>
        <w:rPr>
          <w:rFonts w:ascii="Times New Roman" w:eastAsia="Times New Roman" w:hAnsi="Times New Roman" w:cs="Times New Roman"/>
          <w:kern w:val="0"/>
          <w:sz w:val="24"/>
          <w:szCs w:val="24"/>
          <w:lang w:val="en-US"/>
          <w14:ligatures w14:val="none"/>
        </w:rPr>
      </w:pPr>
      <w:r w:rsidRPr="006C65A4">
        <w:rPr>
          <w:rFonts w:ascii="Times New Roman" w:eastAsia="Times New Roman" w:hAnsi="Times New Roman" w:cs="Times New Roman"/>
          <w:kern w:val="0"/>
          <w:sz w:val="24"/>
          <w:szCs w:val="24"/>
          <w:lang w:val="en-US"/>
          <w14:ligatures w14:val="none"/>
        </w:rPr>
        <w:t xml:space="preserve">Dawar, K., Shah, M. W., Alotaibi, M. O., Mian, I. A., Muhammad, A., Ahmad, I., Shoaib, S., Mahmoud, E., &amp; Ghoneim, A. M. (2025). Influence of sole and consortia application of micronutrients for biofortification of zinc, iron and boron for improving maize productivity. </w:t>
      </w:r>
      <w:r w:rsidRPr="006C65A4">
        <w:rPr>
          <w:rFonts w:ascii="Times New Roman" w:eastAsia="Times New Roman" w:hAnsi="Times New Roman" w:cs="Times New Roman"/>
          <w:i/>
          <w:iCs/>
          <w:kern w:val="0"/>
          <w:sz w:val="24"/>
          <w:szCs w:val="24"/>
          <w:lang w:val="en-US"/>
          <w14:ligatures w14:val="none"/>
        </w:rPr>
        <w:t>Scientific Reports, 15</w:t>
      </w:r>
      <w:r w:rsidRPr="006C65A4">
        <w:rPr>
          <w:rFonts w:ascii="Times New Roman" w:eastAsia="Times New Roman" w:hAnsi="Times New Roman" w:cs="Times New Roman"/>
          <w:kern w:val="0"/>
          <w:sz w:val="24"/>
          <w:szCs w:val="24"/>
          <w:lang w:val="en-US"/>
          <w14:ligatures w14:val="none"/>
        </w:rPr>
        <w:t xml:space="preserve">, 33250. </w:t>
      </w:r>
      <w:hyperlink r:id="rId20" w:history="1">
        <w:r w:rsidRPr="006C65A4">
          <w:rPr>
            <w:rFonts w:ascii="Times New Roman" w:eastAsia="Times New Roman" w:hAnsi="Times New Roman" w:cs="Times New Roman"/>
            <w:color w:val="0000FF"/>
            <w:kern w:val="0"/>
            <w:sz w:val="24"/>
            <w:szCs w:val="24"/>
            <w:u w:val="single"/>
            <w:lang w:val="en-US"/>
            <w14:ligatures w14:val="none"/>
          </w:rPr>
          <w:t>https://doi.org/10.1038/s41598-025-18968-x</w:t>
        </w:r>
      </w:hyperlink>
    </w:p>
    <w:p w14:paraId="38C3B397" w14:textId="77777777" w:rsidR="006C65A4" w:rsidRPr="006C65A4" w:rsidRDefault="006C65A4" w:rsidP="006C65A4">
      <w:pPr>
        <w:spacing w:before="100" w:beforeAutospacing="1" w:after="100" w:afterAutospacing="1" w:line="240" w:lineRule="auto"/>
        <w:rPr>
          <w:rFonts w:ascii="Times New Roman" w:eastAsia="Times New Roman" w:hAnsi="Times New Roman" w:cs="Times New Roman"/>
          <w:kern w:val="0"/>
          <w:sz w:val="24"/>
          <w:szCs w:val="24"/>
          <w:lang w:val="en-US"/>
          <w14:ligatures w14:val="none"/>
        </w:rPr>
      </w:pPr>
      <w:r w:rsidRPr="006C65A4">
        <w:rPr>
          <w:rFonts w:ascii="Times New Roman" w:eastAsia="Times New Roman" w:hAnsi="Times New Roman" w:cs="Times New Roman"/>
          <w:kern w:val="0"/>
          <w:sz w:val="24"/>
          <w:szCs w:val="24"/>
          <w:lang w:val="en-US"/>
          <w14:ligatures w14:val="none"/>
        </w:rPr>
        <w:t>Dhaliwal, S. S., Sharma, V., Shukla, A. K., Verma, V., Behera, S. K., Singh, P., Alotaibi, S. S., Gaber, A., &amp; Hossain, A. (2021). Comparative efficiency of mineral, chelated and nano forms of zinc and iron for improvement of zinc and iron in chickpea (</w:t>
      </w:r>
      <w:r w:rsidRPr="006C65A4">
        <w:rPr>
          <w:rFonts w:ascii="Times New Roman" w:eastAsia="Times New Roman" w:hAnsi="Times New Roman" w:cs="Times New Roman"/>
          <w:i/>
          <w:iCs/>
          <w:kern w:val="0"/>
          <w:sz w:val="24"/>
          <w:szCs w:val="24"/>
          <w:lang w:val="en-US"/>
          <w14:ligatures w14:val="none"/>
        </w:rPr>
        <w:t>Cicer arietinum</w:t>
      </w:r>
      <w:r w:rsidRPr="006C65A4">
        <w:rPr>
          <w:rFonts w:ascii="Times New Roman" w:eastAsia="Times New Roman" w:hAnsi="Times New Roman" w:cs="Times New Roman"/>
          <w:kern w:val="0"/>
          <w:sz w:val="24"/>
          <w:szCs w:val="24"/>
          <w:lang w:val="en-US"/>
          <w14:ligatures w14:val="none"/>
        </w:rPr>
        <w:t xml:space="preserve"> L.) through biofortification. </w:t>
      </w:r>
      <w:r w:rsidRPr="006C65A4">
        <w:rPr>
          <w:rFonts w:ascii="Times New Roman" w:eastAsia="Times New Roman" w:hAnsi="Times New Roman" w:cs="Times New Roman"/>
          <w:i/>
          <w:iCs/>
          <w:kern w:val="0"/>
          <w:sz w:val="24"/>
          <w:szCs w:val="24"/>
          <w:lang w:val="en-US"/>
          <w14:ligatures w14:val="none"/>
        </w:rPr>
        <w:t>Agronomy, 11</w:t>
      </w:r>
      <w:r w:rsidRPr="006C65A4">
        <w:rPr>
          <w:rFonts w:ascii="Times New Roman" w:eastAsia="Times New Roman" w:hAnsi="Times New Roman" w:cs="Times New Roman"/>
          <w:kern w:val="0"/>
          <w:sz w:val="24"/>
          <w:szCs w:val="24"/>
          <w:lang w:val="en-US"/>
          <w14:ligatures w14:val="none"/>
        </w:rPr>
        <w:t xml:space="preserve">(12), 2436. </w:t>
      </w:r>
      <w:hyperlink r:id="rId21" w:history="1">
        <w:r w:rsidRPr="006C65A4">
          <w:rPr>
            <w:rFonts w:ascii="Times New Roman" w:eastAsia="Times New Roman" w:hAnsi="Times New Roman" w:cs="Times New Roman"/>
            <w:color w:val="0000FF"/>
            <w:kern w:val="0"/>
            <w:sz w:val="24"/>
            <w:szCs w:val="24"/>
            <w:u w:val="single"/>
            <w:lang w:val="en-US"/>
            <w14:ligatures w14:val="none"/>
          </w:rPr>
          <w:t>https://doi.org/10.3390/agronomy11122436</w:t>
        </w:r>
      </w:hyperlink>
    </w:p>
    <w:p w14:paraId="46CD7B53" w14:textId="64B228C4" w:rsidR="006C65A4" w:rsidRPr="006C65A4" w:rsidRDefault="006C65A4" w:rsidP="006C65A4">
      <w:pPr>
        <w:spacing w:before="100" w:beforeAutospacing="1" w:after="100" w:afterAutospacing="1" w:line="240" w:lineRule="auto"/>
        <w:rPr>
          <w:rFonts w:ascii="Times New Roman" w:eastAsia="Times New Roman" w:hAnsi="Times New Roman" w:cs="Times New Roman"/>
          <w:kern w:val="0"/>
          <w:sz w:val="24"/>
          <w:szCs w:val="24"/>
          <w:lang w:val="en-US"/>
          <w14:ligatures w14:val="none"/>
        </w:rPr>
      </w:pPr>
      <w:proofErr w:type="spellStart"/>
      <w:r w:rsidRPr="006C65A4">
        <w:rPr>
          <w:rFonts w:ascii="Times New Roman" w:eastAsia="Times New Roman" w:hAnsi="Times New Roman" w:cs="Times New Roman"/>
          <w:kern w:val="0"/>
          <w:sz w:val="24"/>
          <w:szCs w:val="24"/>
          <w:lang w:val="en-US"/>
          <w14:ligatures w14:val="none"/>
        </w:rPr>
        <w:lastRenderedPageBreak/>
        <w:t>Durgude</w:t>
      </w:r>
      <w:proofErr w:type="spellEnd"/>
      <w:r w:rsidRPr="006C65A4">
        <w:rPr>
          <w:rFonts w:ascii="Times New Roman" w:eastAsia="Times New Roman" w:hAnsi="Times New Roman" w:cs="Times New Roman"/>
          <w:kern w:val="0"/>
          <w:sz w:val="24"/>
          <w:szCs w:val="24"/>
          <w:lang w:val="en-US"/>
          <w14:ligatures w14:val="none"/>
        </w:rPr>
        <w:t xml:space="preserve">, A. G., Kadam, S. R., &amp; </w:t>
      </w:r>
      <w:proofErr w:type="spellStart"/>
      <w:r w:rsidRPr="006C65A4">
        <w:rPr>
          <w:rFonts w:ascii="Times New Roman" w:eastAsia="Times New Roman" w:hAnsi="Times New Roman" w:cs="Times New Roman"/>
          <w:kern w:val="0"/>
          <w:sz w:val="24"/>
          <w:szCs w:val="24"/>
          <w:lang w:val="en-US"/>
          <w14:ligatures w14:val="none"/>
        </w:rPr>
        <w:t>Pharande</w:t>
      </w:r>
      <w:proofErr w:type="spellEnd"/>
      <w:r w:rsidRPr="006C65A4">
        <w:rPr>
          <w:rFonts w:ascii="Times New Roman" w:eastAsia="Times New Roman" w:hAnsi="Times New Roman" w:cs="Times New Roman"/>
          <w:kern w:val="0"/>
          <w:sz w:val="24"/>
          <w:szCs w:val="24"/>
          <w:lang w:val="en-US"/>
          <w14:ligatures w14:val="none"/>
        </w:rPr>
        <w:t xml:space="preserve">, A. L. (2014). Response of hybrid maize to soil and foliar application of iron and zinc on </w:t>
      </w:r>
      <w:proofErr w:type="spellStart"/>
      <w:r w:rsidRPr="006C65A4">
        <w:rPr>
          <w:rFonts w:ascii="Times New Roman" w:eastAsia="Times New Roman" w:hAnsi="Times New Roman" w:cs="Times New Roman"/>
          <w:kern w:val="0"/>
          <w:sz w:val="24"/>
          <w:szCs w:val="24"/>
          <w:lang w:val="en-US"/>
          <w14:ligatures w14:val="none"/>
        </w:rPr>
        <w:t>entisols</w:t>
      </w:r>
      <w:proofErr w:type="spellEnd"/>
      <w:r w:rsidRPr="006C65A4">
        <w:rPr>
          <w:rFonts w:ascii="Times New Roman" w:eastAsia="Times New Roman" w:hAnsi="Times New Roman" w:cs="Times New Roman"/>
          <w:kern w:val="0"/>
          <w:sz w:val="24"/>
          <w:szCs w:val="24"/>
          <w:lang w:val="en-US"/>
          <w14:ligatures w14:val="none"/>
        </w:rPr>
        <w:t xml:space="preserve">. </w:t>
      </w:r>
      <w:r w:rsidRPr="006C65A4">
        <w:rPr>
          <w:rFonts w:ascii="Times New Roman" w:eastAsia="Times New Roman" w:hAnsi="Times New Roman" w:cs="Times New Roman"/>
          <w:i/>
          <w:iCs/>
          <w:kern w:val="0"/>
          <w:sz w:val="24"/>
          <w:szCs w:val="24"/>
          <w:lang w:val="en-US"/>
          <w14:ligatures w14:val="none"/>
        </w:rPr>
        <w:t>An Asian Journal of Soil Science, 9</w:t>
      </w:r>
      <w:r w:rsidRPr="006C65A4">
        <w:rPr>
          <w:rFonts w:ascii="Times New Roman" w:eastAsia="Times New Roman" w:hAnsi="Times New Roman" w:cs="Times New Roman"/>
          <w:kern w:val="0"/>
          <w:sz w:val="24"/>
          <w:szCs w:val="24"/>
          <w:lang w:val="en-US"/>
          <w14:ligatures w14:val="none"/>
        </w:rPr>
        <w:t xml:space="preserve">(1), 36–40. </w:t>
      </w:r>
    </w:p>
    <w:p w14:paraId="54010654" w14:textId="77777777" w:rsidR="006C65A4" w:rsidRPr="006C65A4" w:rsidRDefault="006C65A4" w:rsidP="006C65A4">
      <w:pPr>
        <w:spacing w:before="100" w:beforeAutospacing="1" w:after="100" w:afterAutospacing="1" w:line="240" w:lineRule="auto"/>
        <w:rPr>
          <w:rFonts w:ascii="Times New Roman" w:eastAsia="Times New Roman" w:hAnsi="Times New Roman" w:cs="Times New Roman"/>
          <w:kern w:val="0"/>
          <w:sz w:val="24"/>
          <w:szCs w:val="24"/>
          <w:lang w:val="en-US"/>
          <w14:ligatures w14:val="none"/>
        </w:rPr>
      </w:pPr>
      <w:proofErr w:type="spellStart"/>
      <w:r w:rsidRPr="006C65A4">
        <w:rPr>
          <w:rFonts w:ascii="Times New Roman" w:eastAsia="Times New Roman" w:hAnsi="Times New Roman" w:cs="Times New Roman"/>
          <w:kern w:val="0"/>
          <w:sz w:val="24"/>
          <w:szCs w:val="24"/>
          <w:lang w:val="en-US"/>
          <w14:ligatures w14:val="none"/>
        </w:rPr>
        <w:t>Erenstein</w:t>
      </w:r>
      <w:proofErr w:type="spellEnd"/>
      <w:r w:rsidRPr="006C65A4">
        <w:rPr>
          <w:rFonts w:ascii="Times New Roman" w:eastAsia="Times New Roman" w:hAnsi="Times New Roman" w:cs="Times New Roman"/>
          <w:kern w:val="0"/>
          <w:sz w:val="24"/>
          <w:szCs w:val="24"/>
          <w:lang w:val="en-US"/>
          <w14:ligatures w14:val="none"/>
        </w:rPr>
        <w:t xml:space="preserve">, O., </w:t>
      </w:r>
      <w:proofErr w:type="spellStart"/>
      <w:r w:rsidRPr="006C65A4">
        <w:rPr>
          <w:rFonts w:ascii="Times New Roman" w:eastAsia="Times New Roman" w:hAnsi="Times New Roman" w:cs="Times New Roman"/>
          <w:kern w:val="0"/>
          <w:sz w:val="24"/>
          <w:szCs w:val="24"/>
          <w:lang w:val="en-US"/>
          <w14:ligatures w14:val="none"/>
        </w:rPr>
        <w:t>Jaleta</w:t>
      </w:r>
      <w:proofErr w:type="spellEnd"/>
      <w:r w:rsidRPr="006C65A4">
        <w:rPr>
          <w:rFonts w:ascii="Times New Roman" w:eastAsia="Times New Roman" w:hAnsi="Times New Roman" w:cs="Times New Roman"/>
          <w:kern w:val="0"/>
          <w:sz w:val="24"/>
          <w:szCs w:val="24"/>
          <w:lang w:val="en-US"/>
          <w14:ligatures w14:val="none"/>
        </w:rPr>
        <w:t xml:space="preserve">, M., Sonder, K., </w:t>
      </w:r>
      <w:proofErr w:type="spellStart"/>
      <w:r w:rsidRPr="006C65A4">
        <w:rPr>
          <w:rFonts w:ascii="Times New Roman" w:eastAsia="Times New Roman" w:hAnsi="Times New Roman" w:cs="Times New Roman"/>
          <w:kern w:val="0"/>
          <w:sz w:val="24"/>
          <w:szCs w:val="24"/>
          <w:lang w:val="en-US"/>
          <w14:ligatures w14:val="none"/>
        </w:rPr>
        <w:t>Mottaleb</w:t>
      </w:r>
      <w:proofErr w:type="spellEnd"/>
      <w:r w:rsidRPr="006C65A4">
        <w:rPr>
          <w:rFonts w:ascii="Times New Roman" w:eastAsia="Times New Roman" w:hAnsi="Times New Roman" w:cs="Times New Roman"/>
          <w:kern w:val="0"/>
          <w:sz w:val="24"/>
          <w:szCs w:val="24"/>
          <w:lang w:val="en-US"/>
          <w14:ligatures w14:val="none"/>
        </w:rPr>
        <w:t xml:space="preserve">, K., &amp; Prasanna, B. M. (2022). Global maize production, consumption and trade: Trends and R&amp;D implications. </w:t>
      </w:r>
      <w:r w:rsidRPr="006C65A4">
        <w:rPr>
          <w:rFonts w:ascii="Times New Roman" w:eastAsia="Times New Roman" w:hAnsi="Times New Roman" w:cs="Times New Roman"/>
          <w:i/>
          <w:iCs/>
          <w:kern w:val="0"/>
          <w:sz w:val="24"/>
          <w:szCs w:val="24"/>
          <w:lang w:val="en-US"/>
          <w14:ligatures w14:val="none"/>
        </w:rPr>
        <w:t>Food Security, 14</w:t>
      </w:r>
      <w:r w:rsidRPr="006C65A4">
        <w:rPr>
          <w:rFonts w:ascii="Times New Roman" w:eastAsia="Times New Roman" w:hAnsi="Times New Roman" w:cs="Times New Roman"/>
          <w:kern w:val="0"/>
          <w:sz w:val="24"/>
          <w:szCs w:val="24"/>
          <w:lang w:val="en-US"/>
          <w14:ligatures w14:val="none"/>
        </w:rPr>
        <w:t xml:space="preserve">, 1295–1319. </w:t>
      </w:r>
      <w:hyperlink r:id="rId22" w:history="1">
        <w:r w:rsidRPr="006C65A4">
          <w:rPr>
            <w:rFonts w:ascii="Times New Roman" w:eastAsia="Times New Roman" w:hAnsi="Times New Roman" w:cs="Times New Roman"/>
            <w:color w:val="0000FF"/>
            <w:kern w:val="0"/>
            <w:sz w:val="24"/>
            <w:szCs w:val="24"/>
            <w:u w:val="single"/>
            <w:lang w:val="en-US"/>
            <w14:ligatures w14:val="none"/>
          </w:rPr>
          <w:t>https://doi.org/10.1007/s12571-022-01288-7</w:t>
        </w:r>
      </w:hyperlink>
    </w:p>
    <w:p w14:paraId="465CA2ED" w14:textId="15010F3C" w:rsidR="006C65A4" w:rsidRPr="006C65A4" w:rsidRDefault="006C65A4" w:rsidP="006C65A4">
      <w:pPr>
        <w:spacing w:before="100" w:beforeAutospacing="1" w:after="100" w:afterAutospacing="1" w:line="240" w:lineRule="auto"/>
        <w:rPr>
          <w:rFonts w:ascii="Times New Roman" w:eastAsia="Times New Roman" w:hAnsi="Times New Roman" w:cs="Times New Roman"/>
          <w:kern w:val="0"/>
          <w:sz w:val="24"/>
          <w:szCs w:val="24"/>
          <w:lang w:val="en-US"/>
          <w14:ligatures w14:val="none"/>
        </w:rPr>
      </w:pPr>
      <w:r w:rsidRPr="006C65A4">
        <w:rPr>
          <w:rFonts w:ascii="Times New Roman" w:eastAsia="Times New Roman" w:hAnsi="Times New Roman" w:cs="Times New Roman"/>
          <w:kern w:val="0"/>
          <w:sz w:val="24"/>
          <w:szCs w:val="24"/>
          <w:lang w:val="en-US"/>
          <w14:ligatures w14:val="none"/>
        </w:rPr>
        <w:t xml:space="preserve">Evans, G. C. (1972). </w:t>
      </w:r>
      <w:r w:rsidRPr="006C65A4">
        <w:rPr>
          <w:rFonts w:ascii="Times New Roman" w:eastAsia="Times New Roman" w:hAnsi="Times New Roman" w:cs="Times New Roman"/>
          <w:i/>
          <w:iCs/>
          <w:kern w:val="0"/>
          <w:sz w:val="24"/>
          <w:szCs w:val="24"/>
          <w:lang w:val="en-US"/>
          <w14:ligatures w14:val="none"/>
        </w:rPr>
        <w:t>The quantitative analysis of plant growth</w:t>
      </w:r>
      <w:r w:rsidRPr="006C65A4">
        <w:rPr>
          <w:rFonts w:ascii="Times New Roman" w:eastAsia="Times New Roman" w:hAnsi="Times New Roman" w:cs="Times New Roman"/>
          <w:kern w:val="0"/>
          <w:sz w:val="24"/>
          <w:szCs w:val="24"/>
          <w:lang w:val="en-US"/>
          <w14:ligatures w14:val="none"/>
        </w:rPr>
        <w:t xml:space="preserve">. Blackwell Scientific Publications. </w:t>
      </w:r>
    </w:p>
    <w:p w14:paraId="6AE332D7" w14:textId="18627A78" w:rsidR="006C65A4" w:rsidRPr="006C65A4" w:rsidRDefault="006C65A4" w:rsidP="006C65A4">
      <w:pPr>
        <w:spacing w:before="100" w:beforeAutospacing="1" w:after="100" w:afterAutospacing="1" w:line="240" w:lineRule="auto"/>
        <w:rPr>
          <w:rFonts w:ascii="Times New Roman" w:eastAsia="Times New Roman" w:hAnsi="Times New Roman" w:cs="Times New Roman"/>
          <w:kern w:val="0"/>
          <w:sz w:val="24"/>
          <w:szCs w:val="24"/>
          <w:lang w:val="en-US"/>
          <w14:ligatures w14:val="none"/>
        </w:rPr>
      </w:pPr>
      <w:proofErr w:type="spellStart"/>
      <w:r w:rsidRPr="006C65A4">
        <w:rPr>
          <w:rFonts w:ascii="Times New Roman" w:eastAsia="Times New Roman" w:hAnsi="Times New Roman" w:cs="Times New Roman"/>
          <w:kern w:val="0"/>
          <w:sz w:val="24"/>
          <w:szCs w:val="24"/>
          <w:lang w:val="en-US"/>
          <w14:ligatures w14:val="none"/>
        </w:rPr>
        <w:t>Fageria</w:t>
      </w:r>
      <w:proofErr w:type="spellEnd"/>
      <w:r w:rsidRPr="006C65A4">
        <w:rPr>
          <w:rFonts w:ascii="Times New Roman" w:eastAsia="Times New Roman" w:hAnsi="Times New Roman" w:cs="Times New Roman"/>
          <w:kern w:val="0"/>
          <w:sz w:val="24"/>
          <w:szCs w:val="24"/>
          <w:lang w:val="en-US"/>
          <w14:ligatures w14:val="none"/>
        </w:rPr>
        <w:t xml:space="preserve">, N. K., </w:t>
      </w:r>
      <w:proofErr w:type="spellStart"/>
      <w:r w:rsidRPr="006C65A4">
        <w:rPr>
          <w:rFonts w:ascii="Times New Roman" w:eastAsia="Times New Roman" w:hAnsi="Times New Roman" w:cs="Times New Roman"/>
          <w:kern w:val="0"/>
          <w:sz w:val="24"/>
          <w:szCs w:val="24"/>
          <w:lang w:val="en-US"/>
          <w14:ligatures w14:val="none"/>
        </w:rPr>
        <w:t>Baligar</w:t>
      </w:r>
      <w:proofErr w:type="spellEnd"/>
      <w:r w:rsidRPr="006C65A4">
        <w:rPr>
          <w:rFonts w:ascii="Times New Roman" w:eastAsia="Times New Roman" w:hAnsi="Times New Roman" w:cs="Times New Roman"/>
          <w:kern w:val="0"/>
          <w:sz w:val="24"/>
          <w:szCs w:val="24"/>
          <w:lang w:val="en-US"/>
          <w14:ligatures w14:val="none"/>
        </w:rPr>
        <w:t xml:space="preserve">, V. C., &amp; Jones, C. A. (2010). </w:t>
      </w:r>
      <w:r w:rsidRPr="006C65A4">
        <w:rPr>
          <w:rFonts w:ascii="Times New Roman" w:eastAsia="Times New Roman" w:hAnsi="Times New Roman" w:cs="Times New Roman"/>
          <w:i/>
          <w:iCs/>
          <w:kern w:val="0"/>
          <w:sz w:val="24"/>
          <w:szCs w:val="24"/>
          <w:lang w:val="en-US"/>
          <w14:ligatures w14:val="none"/>
        </w:rPr>
        <w:t>Growth and mineral nutrition of field crops</w:t>
      </w:r>
      <w:r w:rsidRPr="006C65A4">
        <w:rPr>
          <w:rFonts w:ascii="Times New Roman" w:eastAsia="Times New Roman" w:hAnsi="Times New Roman" w:cs="Times New Roman"/>
          <w:kern w:val="0"/>
          <w:sz w:val="24"/>
          <w:szCs w:val="24"/>
          <w:lang w:val="en-US"/>
          <w14:ligatures w14:val="none"/>
        </w:rPr>
        <w:t xml:space="preserve"> (3rd ed.). CRC Press. </w:t>
      </w:r>
    </w:p>
    <w:p w14:paraId="23E387E6" w14:textId="77777777" w:rsidR="006C65A4" w:rsidRPr="006C65A4" w:rsidRDefault="006C65A4" w:rsidP="006C65A4">
      <w:pPr>
        <w:spacing w:before="100" w:beforeAutospacing="1" w:after="100" w:afterAutospacing="1" w:line="240" w:lineRule="auto"/>
        <w:rPr>
          <w:rFonts w:ascii="Times New Roman" w:eastAsia="Times New Roman" w:hAnsi="Times New Roman" w:cs="Times New Roman"/>
          <w:kern w:val="0"/>
          <w:sz w:val="24"/>
          <w:szCs w:val="24"/>
          <w:lang w:val="en-US"/>
          <w14:ligatures w14:val="none"/>
        </w:rPr>
      </w:pPr>
      <w:r w:rsidRPr="006C65A4">
        <w:rPr>
          <w:rFonts w:ascii="Times New Roman" w:eastAsia="Times New Roman" w:hAnsi="Times New Roman" w:cs="Times New Roman"/>
          <w:kern w:val="0"/>
          <w:sz w:val="24"/>
          <w:szCs w:val="24"/>
          <w:lang w:val="en-US"/>
          <w14:ligatures w14:val="none"/>
        </w:rPr>
        <w:t xml:space="preserve">Gardner, F. P., Pearce, R. B., &amp; Mitchell, R. L. (1985). </w:t>
      </w:r>
      <w:r w:rsidRPr="006C65A4">
        <w:rPr>
          <w:rFonts w:ascii="Times New Roman" w:eastAsia="Times New Roman" w:hAnsi="Times New Roman" w:cs="Times New Roman"/>
          <w:i/>
          <w:iCs/>
          <w:kern w:val="0"/>
          <w:sz w:val="24"/>
          <w:szCs w:val="24"/>
          <w:lang w:val="en-US"/>
          <w14:ligatures w14:val="none"/>
        </w:rPr>
        <w:t>Physiology of crop plants</w:t>
      </w:r>
      <w:r w:rsidRPr="006C65A4">
        <w:rPr>
          <w:rFonts w:ascii="Times New Roman" w:eastAsia="Times New Roman" w:hAnsi="Times New Roman" w:cs="Times New Roman"/>
          <w:kern w:val="0"/>
          <w:sz w:val="24"/>
          <w:szCs w:val="24"/>
          <w:lang w:val="en-US"/>
          <w14:ligatures w14:val="none"/>
        </w:rPr>
        <w:t xml:space="preserve">. Iowa State University Press. </w:t>
      </w:r>
      <w:hyperlink r:id="rId23" w:history="1">
        <w:r w:rsidRPr="006C65A4">
          <w:rPr>
            <w:rFonts w:ascii="Times New Roman" w:eastAsia="Times New Roman" w:hAnsi="Times New Roman" w:cs="Times New Roman"/>
            <w:color w:val="0000FF"/>
            <w:kern w:val="0"/>
            <w:sz w:val="24"/>
            <w:szCs w:val="24"/>
            <w:u w:val="single"/>
            <w:lang w:val="en-US"/>
            <w14:ligatures w14:val="none"/>
          </w:rPr>
          <w:t>https://agris.fao.org/search/en/providers/122535/records/65dde38bb766d82b18fac758</w:t>
        </w:r>
      </w:hyperlink>
    </w:p>
    <w:p w14:paraId="6AE1453D" w14:textId="77777777" w:rsidR="006C65A4" w:rsidRPr="006C65A4" w:rsidRDefault="006C65A4" w:rsidP="006C65A4">
      <w:pPr>
        <w:spacing w:before="100" w:beforeAutospacing="1" w:after="100" w:afterAutospacing="1" w:line="240" w:lineRule="auto"/>
        <w:rPr>
          <w:rFonts w:ascii="Times New Roman" w:eastAsia="Times New Roman" w:hAnsi="Times New Roman" w:cs="Times New Roman"/>
          <w:kern w:val="0"/>
          <w:sz w:val="24"/>
          <w:szCs w:val="24"/>
          <w:lang w:val="en-US"/>
          <w14:ligatures w14:val="none"/>
        </w:rPr>
      </w:pPr>
      <w:r w:rsidRPr="006C65A4">
        <w:rPr>
          <w:rFonts w:ascii="Times New Roman" w:eastAsia="Times New Roman" w:hAnsi="Times New Roman" w:cs="Times New Roman"/>
          <w:kern w:val="0"/>
          <w:sz w:val="24"/>
          <w:szCs w:val="24"/>
          <w:lang w:val="en-US"/>
          <w14:ligatures w14:val="none"/>
        </w:rPr>
        <w:t xml:space="preserve">Gomez, K. A., &amp; Gomez, A. A. (1984). </w:t>
      </w:r>
      <w:r w:rsidRPr="006C65A4">
        <w:rPr>
          <w:rFonts w:ascii="Times New Roman" w:eastAsia="Times New Roman" w:hAnsi="Times New Roman" w:cs="Times New Roman"/>
          <w:i/>
          <w:iCs/>
          <w:kern w:val="0"/>
          <w:sz w:val="24"/>
          <w:szCs w:val="24"/>
          <w:lang w:val="en-US"/>
          <w14:ligatures w14:val="none"/>
        </w:rPr>
        <w:t>Statistical procedures for agricultural research</w:t>
      </w:r>
      <w:r w:rsidRPr="006C65A4">
        <w:rPr>
          <w:rFonts w:ascii="Times New Roman" w:eastAsia="Times New Roman" w:hAnsi="Times New Roman" w:cs="Times New Roman"/>
          <w:kern w:val="0"/>
          <w:sz w:val="24"/>
          <w:szCs w:val="24"/>
          <w:lang w:val="en-US"/>
          <w14:ligatures w14:val="none"/>
        </w:rPr>
        <w:t xml:space="preserve"> (2nd ed.). Wiley. </w:t>
      </w:r>
      <w:hyperlink r:id="rId24" w:history="1">
        <w:r w:rsidRPr="006C65A4">
          <w:rPr>
            <w:rFonts w:ascii="Times New Roman" w:eastAsia="Times New Roman" w:hAnsi="Times New Roman" w:cs="Times New Roman"/>
            <w:color w:val="0000FF"/>
            <w:kern w:val="0"/>
            <w:sz w:val="24"/>
            <w:szCs w:val="24"/>
            <w:u w:val="single"/>
            <w:lang w:val="en-US"/>
            <w14:ligatures w14:val="none"/>
          </w:rPr>
          <w:t>https://searchworks.stanford.edu/view/1569749</w:t>
        </w:r>
      </w:hyperlink>
    </w:p>
    <w:p w14:paraId="5F2A2853" w14:textId="5F7C74E7" w:rsidR="006C65A4" w:rsidRPr="006C65A4" w:rsidRDefault="006C65A4" w:rsidP="006C65A4">
      <w:pPr>
        <w:spacing w:before="100" w:beforeAutospacing="1" w:after="100" w:afterAutospacing="1" w:line="240" w:lineRule="auto"/>
        <w:rPr>
          <w:rFonts w:ascii="Times New Roman" w:eastAsia="Times New Roman" w:hAnsi="Times New Roman" w:cs="Times New Roman"/>
          <w:kern w:val="0"/>
          <w:sz w:val="24"/>
          <w:szCs w:val="24"/>
          <w:lang w:val="en-US"/>
          <w14:ligatures w14:val="none"/>
        </w:rPr>
      </w:pPr>
      <w:proofErr w:type="spellStart"/>
      <w:r w:rsidRPr="006C65A4">
        <w:rPr>
          <w:rFonts w:ascii="Times New Roman" w:eastAsia="Times New Roman" w:hAnsi="Times New Roman" w:cs="Times New Roman"/>
          <w:kern w:val="0"/>
          <w:sz w:val="24"/>
          <w:szCs w:val="24"/>
          <w:lang w:val="en-US"/>
          <w14:ligatures w14:val="none"/>
        </w:rPr>
        <w:t>Grzebisz</w:t>
      </w:r>
      <w:proofErr w:type="spellEnd"/>
      <w:r w:rsidRPr="006C65A4">
        <w:rPr>
          <w:rFonts w:ascii="Times New Roman" w:eastAsia="Times New Roman" w:hAnsi="Times New Roman" w:cs="Times New Roman"/>
          <w:kern w:val="0"/>
          <w:sz w:val="24"/>
          <w:szCs w:val="24"/>
          <w:lang w:val="en-US"/>
          <w14:ligatures w14:val="none"/>
        </w:rPr>
        <w:t xml:space="preserve">, W., Wrońska, M., Diatta, J. B., &amp; Szczepaniak, W. (2008). Effect of zinc foliar application at an early stage of maize growth on patterns of nutrients and dry matter accumulation by the canopy: Part II. Nitrogen uptake and dry matter accumulation patterns. </w:t>
      </w:r>
      <w:r w:rsidRPr="006C65A4">
        <w:rPr>
          <w:rFonts w:ascii="Times New Roman" w:eastAsia="Times New Roman" w:hAnsi="Times New Roman" w:cs="Times New Roman"/>
          <w:i/>
          <w:iCs/>
          <w:kern w:val="0"/>
          <w:sz w:val="24"/>
          <w:szCs w:val="24"/>
          <w:lang w:val="en-US"/>
          <w14:ligatures w14:val="none"/>
        </w:rPr>
        <w:t xml:space="preserve">Journal of </w:t>
      </w:r>
      <w:proofErr w:type="spellStart"/>
      <w:r w:rsidRPr="006C65A4">
        <w:rPr>
          <w:rFonts w:ascii="Times New Roman" w:eastAsia="Times New Roman" w:hAnsi="Times New Roman" w:cs="Times New Roman"/>
          <w:i/>
          <w:iCs/>
          <w:kern w:val="0"/>
          <w:sz w:val="24"/>
          <w:szCs w:val="24"/>
          <w:lang w:val="en-US"/>
          <w14:ligatures w14:val="none"/>
        </w:rPr>
        <w:t>Elementology</w:t>
      </w:r>
      <w:proofErr w:type="spellEnd"/>
      <w:r w:rsidRPr="006C65A4">
        <w:rPr>
          <w:rFonts w:ascii="Times New Roman" w:eastAsia="Times New Roman" w:hAnsi="Times New Roman" w:cs="Times New Roman"/>
          <w:i/>
          <w:iCs/>
          <w:kern w:val="0"/>
          <w:sz w:val="24"/>
          <w:szCs w:val="24"/>
          <w:lang w:val="en-US"/>
          <w14:ligatures w14:val="none"/>
        </w:rPr>
        <w:t>, 13</w:t>
      </w:r>
      <w:r w:rsidRPr="006C65A4">
        <w:rPr>
          <w:rFonts w:ascii="Times New Roman" w:eastAsia="Times New Roman" w:hAnsi="Times New Roman" w:cs="Times New Roman"/>
          <w:kern w:val="0"/>
          <w:sz w:val="24"/>
          <w:szCs w:val="24"/>
          <w:lang w:val="en-US"/>
          <w14:ligatures w14:val="none"/>
        </w:rPr>
        <w:t xml:space="preserve">(1), 29–40. </w:t>
      </w:r>
    </w:p>
    <w:p w14:paraId="6F59D908" w14:textId="77777777" w:rsidR="006C65A4" w:rsidRPr="006C65A4" w:rsidRDefault="006C65A4" w:rsidP="006C65A4">
      <w:pPr>
        <w:spacing w:before="100" w:beforeAutospacing="1" w:after="100" w:afterAutospacing="1" w:line="240" w:lineRule="auto"/>
        <w:rPr>
          <w:rFonts w:ascii="Times New Roman" w:eastAsia="Times New Roman" w:hAnsi="Times New Roman" w:cs="Times New Roman"/>
          <w:kern w:val="0"/>
          <w:sz w:val="24"/>
          <w:szCs w:val="24"/>
          <w:lang w:val="en-US"/>
          <w14:ligatures w14:val="none"/>
        </w:rPr>
      </w:pPr>
      <w:r w:rsidRPr="006C65A4">
        <w:rPr>
          <w:rFonts w:ascii="Times New Roman" w:eastAsia="Times New Roman" w:hAnsi="Times New Roman" w:cs="Times New Roman"/>
          <w:kern w:val="0"/>
          <w:sz w:val="24"/>
          <w:szCs w:val="24"/>
          <w:lang w:val="en-US"/>
          <w14:ligatures w14:val="none"/>
        </w:rPr>
        <w:t xml:space="preserve">Hergert, G. W., Rehm, G. W., &amp; Wiese, R. A. (1984). Field evaluations of zinc sources band applied in ammonium polyphosphate suspension. </w:t>
      </w:r>
      <w:r w:rsidRPr="006C65A4">
        <w:rPr>
          <w:rFonts w:ascii="Times New Roman" w:eastAsia="Times New Roman" w:hAnsi="Times New Roman" w:cs="Times New Roman"/>
          <w:i/>
          <w:iCs/>
          <w:kern w:val="0"/>
          <w:sz w:val="24"/>
          <w:szCs w:val="24"/>
          <w:lang w:val="en-US"/>
          <w14:ligatures w14:val="none"/>
        </w:rPr>
        <w:t>Soil Science Society of America Journal, 48</w:t>
      </w:r>
      <w:r w:rsidRPr="006C65A4">
        <w:rPr>
          <w:rFonts w:ascii="Times New Roman" w:eastAsia="Times New Roman" w:hAnsi="Times New Roman" w:cs="Times New Roman"/>
          <w:kern w:val="0"/>
          <w:sz w:val="24"/>
          <w:szCs w:val="24"/>
          <w:lang w:val="en-US"/>
          <w14:ligatures w14:val="none"/>
        </w:rPr>
        <w:t xml:space="preserve">(5), 1190–1193. </w:t>
      </w:r>
      <w:hyperlink r:id="rId25" w:history="1">
        <w:r w:rsidRPr="006C65A4">
          <w:rPr>
            <w:rFonts w:ascii="Times New Roman" w:eastAsia="Times New Roman" w:hAnsi="Times New Roman" w:cs="Times New Roman"/>
            <w:color w:val="0000FF"/>
            <w:kern w:val="0"/>
            <w:sz w:val="24"/>
            <w:szCs w:val="24"/>
            <w:u w:val="single"/>
            <w:lang w:val="en-US"/>
            <w14:ligatures w14:val="none"/>
          </w:rPr>
          <w:t>https://doi.org/10.2136/sssaj1984.03615995004800050048x</w:t>
        </w:r>
      </w:hyperlink>
    </w:p>
    <w:p w14:paraId="64E802C9" w14:textId="77777777" w:rsidR="006C65A4" w:rsidRPr="006C65A4" w:rsidRDefault="006C65A4" w:rsidP="006C65A4">
      <w:pPr>
        <w:spacing w:before="100" w:beforeAutospacing="1" w:after="100" w:afterAutospacing="1" w:line="240" w:lineRule="auto"/>
        <w:rPr>
          <w:rFonts w:ascii="Times New Roman" w:eastAsia="Times New Roman" w:hAnsi="Times New Roman" w:cs="Times New Roman"/>
          <w:kern w:val="0"/>
          <w:sz w:val="24"/>
          <w:szCs w:val="24"/>
          <w:lang w:val="en-US"/>
          <w14:ligatures w14:val="none"/>
        </w:rPr>
      </w:pPr>
      <w:r w:rsidRPr="006C65A4">
        <w:rPr>
          <w:rFonts w:ascii="Times New Roman" w:eastAsia="Times New Roman" w:hAnsi="Times New Roman" w:cs="Times New Roman"/>
          <w:kern w:val="0"/>
          <w:sz w:val="24"/>
          <w:szCs w:val="24"/>
          <w:lang w:val="en-US"/>
          <w14:ligatures w14:val="none"/>
        </w:rPr>
        <w:t xml:space="preserve">Hunt, R. (1990). </w:t>
      </w:r>
      <w:r w:rsidRPr="006C65A4">
        <w:rPr>
          <w:rFonts w:ascii="Times New Roman" w:eastAsia="Times New Roman" w:hAnsi="Times New Roman" w:cs="Times New Roman"/>
          <w:i/>
          <w:iCs/>
          <w:kern w:val="0"/>
          <w:sz w:val="24"/>
          <w:szCs w:val="24"/>
          <w:lang w:val="en-US"/>
          <w14:ligatures w14:val="none"/>
        </w:rPr>
        <w:t>Basic growth analysis: Plant growth analysis for beginners</w:t>
      </w:r>
      <w:r w:rsidRPr="006C65A4">
        <w:rPr>
          <w:rFonts w:ascii="Times New Roman" w:eastAsia="Times New Roman" w:hAnsi="Times New Roman" w:cs="Times New Roman"/>
          <w:kern w:val="0"/>
          <w:sz w:val="24"/>
          <w:szCs w:val="24"/>
          <w:lang w:val="en-US"/>
          <w14:ligatures w14:val="none"/>
        </w:rPr>
        <w:t xml:space="preserve">. Unwin Hyman. </w:t>
      </w:r>
      <w:hyperlink r:id="rId26" w:history="1">
        <w:r w:rsidRPr="006C65A4">
          <w:rPr>
            <w:rFonts w:ascii="Times New Roman" w:eastAsia="Times New Roman" w:hAnsi="Times New Roman" w:cs="Times New Roman"/>
            <w:color w:val="0000FF"/>
            <w:kern w:val="0"/>
            <w:sz w:val="24"/>
            <w:szCs w:val="24"/>
            <w:u w:val="single"/>
            <w:lang w:val="en-US"/>
            <w14:ligatures w14:val="none"/>
          </w:rPr>
          <w:t>https://doi.org/10.1007/978-94-010-9117-6</w:t>
        </w:r>
      </w:hyperlink>
    </w:p>
    <w:p w14:paraId="33BFD507" w14:textId="77777777" w:rsidR="006C65A4" w:rsidRPr="006C65A4" w:rsidRDefault="006C65A4" w:rsidP="006C65A4">
      <w:pPr>
        <w:spacing w:before="100" w:beforeAutospacing="1" w:after="100" w:afterAutospacing="1" w:line="240" w:lineRule="auto"/>
        <w:rPr>
          <w:rFonts w:ascii="Times New Roman" w:eastAsia="Times New Roman" w:hAnsi="Times New Roman" w:cs="Times New Roman"/>
          <w:kern w:val="0"/>
          <w:sz w:val="24"/>
          <w:szCs w:val="24"/>
          <w:lang w:val="en-US"/>
          <w14:ligatures w14:val="none"/>
        </w:rPr>
      </w:pPr>
      <w:proofErr w:type="spellStart"/>
      <w:r w:rsidRPr="006C65A4">
        <w:rPr>
          <w:rFonts w:ascii="Times New Roman" w:eastAsia="Times New Roman" w:hAnsi="Times New Roman" w:cs="Times New Roman"/>
          <w:kern w:val="0"/>
          <w:sz w:val="24"/>
          <w:szCs w:val="24"/>
          <w:lang w:val="en-US"/>
          <w14:ligatures w14:val="none"/>
        </w:rPr>
        <w:t>Iseghohi</w:t>
      </w:r>
      <w:proofErr w:type="spellEnd"/>
      <w:r w:rsidRPr="006C65A4">
        <w:rPr>
          <w:rFonts w:ascii="Times New Roman" w:eastAsia="Times New Roman" w:hAnsi="Times New Roman" w:cs="Times New Roman"/>
          <w:kern w:val="0"/>
          <w:sz w:val="24"/>
          <w:szCs w:val="24"/>
          <w:lang w:val="en-US"/>
          <w14:ligatures w14:val="none"/>
        </w:rPr>
        <w:t xml:space="preserve">, I., Abe, A., </w:t>
      </w:r>
      <w:proofErr w:type="spellStart"/>
      <w:r w:rsidRPr="006C65A4">
        <w:rPr>
          <w:rFonts w:ascii="Times New Roman" w:eastAsia="Times New Roman" w:hAnsi="Times New Roman" w:cs="Times New Roman"/>
          <w:kern w:val="0"/>
          <w:sz w:val="24"/>
          <w:szCs w:val="24"/>
          <w:lang w:val="en-US"/>
          <w14:ligatures w14:val="none"/>
        </w:rPr>
        <w:t>Meseka</w:t>
      </w:r>
      <w:proofErr w:type="spellEnd"/>
      <w:r w:rsidRPr="006C65A4">
        <w:rPr>
          <w:rFonts w:ascii="Times New Roman" w:eastAsia="Times New Roman" w:hAnsi="Times New Roman" w:cs="Times New Roman"/>
          <w:kern w:val="0"/>
          <w:sz w:val="24"/>
          <w:szCs w:val="24"/>
          <w:lang w:val="en-US"/>
          <w14:ligatures w14:val="none"/>
        </w:rPr>
        <w:t xml:space="preserve">, S., Mengesha, W., </w:t>
      </w:r>
      <w:proofErr w:type="spellStart"/>
      <w:r w:rsidRPr="006C65A4">
        <w:rPr>
          <w:rFonts w:ascii="Times New Roman" w:eastAsia="Times New Roman" w:hAnsi="Times New Roman" w:cs="Times New Roman"/>
          <w:kern w:val="0"/>
          <w:sz w:val="24"/>
          <w:szCs w:val="24"/>
          <w:lang w:val="en-US"/>
          <w14:ligatures w14:val="none"/>
        </w:rPr>
        <w:t>Gedil</w:t>
      </w:r>
      <w:proofErr w:type="spellEnd"/>
      <w:r w:rsidRPr="006C65A4">
        <w:rPr>
          <w:rFonts w:ascii="Times New Roman" w:eastAsia="Times New Roman" w:hAnsi="Times New Roman" w:cs="Times New Roman"/>
          <w:kern w:val="0"/>
          <w:sz w:val="24"/>
          <w:szCs w:val="24"/>
          <w:lang w:val="en-US"/>
          <w14:ligatures w14:val="none"/>
        </w:rPr>
        <w:t xml:space="preserve">, M., Job, A., &amp; </w:t>
      </w:r>
      <w:proofErr w:type="spellStart"/>
      <w:r w:rsidRPr="006C65A4">
        <w:rPr>
          <w:rFonts w:ascii="Times New Roman" w:eastAsia="Times New Roman" w:hAnsi="Times New Roman" w:cs="Times New Roman"/>
          <w:kern w:val="0"/>
          <w:sz w:val="24"/>
          <w:szCs w:val="24"/>
          <w:lang w:val="en-US"/>
          <w14:ligatures w14:val="none"/>
        </w:rPr>
        <w:t>Menkir</w:t>
      </w:r>
      <w:proofErr w:type="spellEnd"/>
      <w:r w:rsidRPr="006C65A4">
        <w:rPr>
          <w:rFonts w:ascii="Times New Roman" w:eastAsia="Times New Roman" w:hAnsi="Times New Roman" w:cs="Times New Roman"/>
          <w:kern w:val="0"/>
          <w:sz w:val="24"/>
          <w:szCs w:val="24"/>
          <w:lang w:val="en-US"/>
          <w14:ligatures w14:val="none"/>
        </w:rPr>
        <w:t xml:space="preserve">, A. (2024). Reactions of provitamin-A-enriched maize to foliar diseases under field conditions in Nigeria. </w:t>
      </w:r>
      <w:r w:rsidRPr="006C65A4">
        <w:rPr>
          <w:rFonts w:ascii="Times New Roman" w:eastAsia="Times New Roman" w:hAnsi="Times New Roman" w:cs="Times New Roman"/>
          <w:i/>
          <w:iCs/>
          <w:kern w:val="0"/>
          <w:sz w:val="24"/>
          <w:szCs w:val="24"/>
          <w:lang w:val="en-US"/>
          <w14:ligatures w14:val="none"/>
        </w:rPr>
        <w:t>Cereal Research Communications, 52</w:t>
      </w:r>
      <w:r w:rsidRPr="006C65A4">
        <w:rPr>
          <w:rFonts w:ascii="Times New Roman" w:eastAsia="Times New Roman" w:hAnsi="Times New Roman" w:cs="Times New Roman"/>
          <w:kern w:val="0"/>
          <w:sz w:val="24"/>
          <w:szCs w:val="24"/>
          <w:lang w:val="en-US"/>
          <w14:ligatures w14:val="none"/>
        </w:rPr>
        <w:t xml:space="preserve">, 747–758. </w:t>
      </w:r>
      <w:hyperlink r:id="rId27" w:history="1">
        <w:r w:rsidRPr="006C65A4">
          <w:rPr>
            <w:rFonts w:ascii="Times New Roman" w:eastAsia="Times New Roman" w:hAnsi="Times New Roman" w:cs="Times New Roman"/>
            <w:color w:val="0000FF"/>
            <w:kern w:val="0"/>
            <w:sz w:val="24"/>
            <w:szCs w:val="24"/>
            <w:u w:val="single"/>
            <w:lang w:val="en-US"/>
            <w14:ligatures w14:val="none"/>
          </w:rPr>
          <w:t>https://doi.org/10.1007/s42976-023-00395-1</w:t>
        </w:r>
      </w:hyperlink>
    </w:p>
    <w:p w14:paraId="615C389F" w14:textId="77777777" w:rsidR="006C65A4" w:rsidRPr="006C65A4" w:rsidRDefault="006C65A4" w:rsidP="006C65A4">
      <w:pPr>
        <w:spacing w:before="100" w:beforeAutospacing="1" w:after="100" w:afterAutospacing="1" w:line="240" w:lineRule="auto"/>
        <w:rPr>
          <w:rFonts w:ascii="Times New Roman" w:eastAsia="Times New Roman" w:hAnsi="Times New Roman" w:cs="Times New Roman"/>
          <w:kern w:val="0"/>
          <w:sz w:val="24"/>
          <w:szCs w:val="24"/>
          <w:lang w:val="en-US"/>
          <w14:ligatures w14:val="none"/>
        </w:rPr>
      </w:pPr>
      <w:r w:rsidRPr="006C65A4">
        <w:rPr>
          <w:rFonts w:ascii="Times New Roman" w:eastAsia="Times New Roman" w:hAnsi="Times New Roman" w:cs="Times New Roman"/>
          <w:kern w:val="0"/>
          <w:sz w:val="24"/>
          <w:szCs w:val="24"/>
          <w:lang w:val="en-US"/>
          <w14:ligatures w14:val="none"/>
        </w:rPr>
        <w:t xml:space="preserve">Jat, H., Yadav, K. K., &amp; Singh, D. P. (2022). Effect of soil and foliar application of Zn and Fe on soil fertility after harvest of maize. </w:t>
      </w:r>
      <w:r w:rsidRPr="006C65A4">
        <w:rPr>
          <w:rFonts w:ascii="Times New Roman" w:eastAsia="Times New Roman" w:hAnsi="Times New Roman" w:cs="Times New Roman"/>
          <w:i/>
          <w:iCs/>
          <w:kern w:val="0"/>
          <w:sz w:val="24"/>
          <w:szCs w:val="24"/>
          <w:lang w:val="en-US"/>
          <w14:ligatures w14:val="none"/>
        </w:rPr>
        <w:t>Biological Forum–An International Journal, 14</w:t>
      </w:r>
      <w:r w:rsidRPr="006C65A4">
        <w:rPr>
          <w:rFonts w:ascii="Times New Roman" w:eastAsia="Times New Roman" w:hAnsi="Times New Roman" w:cs="Times New Roman"/>
          <w:kern w:val="0"/>
          <w:sz w:val="24"/>
          <w:szCs w:val="24"/>
          <w:lang w:val="en-US"/>
          <w14:ligatures w14:val="none"/>
        </w:rPr>
        <w:t xml:space="preserve">(1), 637–640. </w:t>
      </w:r>
      <w:hyperlink r:id="rId28" w:history="1">
        <w:r w:rsidRPr="006C65A4">
          <w:rPr>
            <w:rFonts w:ascii="Times New Roman" w:eastAsia="Times New Roman" w:hAnsi="Times New Roman" w:cs="Times New Roman"/>
            <w:color w:val="0000FF"/>
            <w:kern w:val="0"/>
            <w:sz w:val="24"/>
            <w:szCs w:val="24"/>
            <w:u w:val="single"/>
            <w:lang w:val="en-US"/>
            <w14:ligatures w14:val="none"/>
          </w:rPr>
          <w:t>https://www.researchtrend.net/bfij/effect-of-soil-and-foliar-application-of-zn-and-fe-on-soil-fertility-after-harvest-of-maize-3740</w:t>
        </w:r>
      </w:hyperlink>
    </w:p>
    <w:p w14:paraId="29F505C1" w14:textId="77777777" w:rsidR="006C65A4" w:rsidRPr="006C65A4" w:rsidRDefault="006C65A4" w:rsidP="006C65A4">
      <w:pPr>
        <w:spacing w:before="100" w:beforeAutospacing="1" w:after="100" w:afterAutospacing="1" w:line="240" w:lineRule="auto"/>
        <w:rPr>
          <w:rFonts w:ascii="Times New Roman" w:eastAsia="Times New Roman" w:hAnsi="Times New Roman" w:cs="Times New Roman"/>
          <w:kern w:val="0"/>
          <w:sz w:val="24"/>
          <w:szCs w:val="24"/>
          <w:lang w:val="en-US"/>
          <w14:ligatures w14:val="none"/>
        </w:rPr>
      </w:pPr>
      <w:r w:rsidRPr="006C65A4">
        <w:rPr>
          <w:rFonts w:ascii="Times New Roman" w:eastAsia="Times New Roman" w:hAnsi="Times New Roman" w:cs="Times New Roman"/>
          <w:kern w:val="0"/>
          <w:sz w:val="24"/>
          <w:szCs w:val="24"/>
          <w:lang w:val="en-US"/>
          <w14:ligatures w14:val="none"/>
        </w:rPr>
        <w:t xml:space="preserve">Karrimi, A. S., Reddy, A. P. K., </w:t>
      </w:r>
      <w:proofErr w:type="spellStart"/>
      <w:r w:rsidRPr="006C65A4">
        <w:rPr>
          <w:rFonts w:ascii="Times New Roman" w:eastAsia="Times New Roman" w:hAnsi="Times New Roman" w:cs="Times New Roman"/>
          <w:kern w:val="0"/>
          <w:sz w:val="24"/>
          <w:szCs w:val="24"/>
          <w:lang w:val="en-US"/>
          <w14:ligatures w14:val="none"/>
        </w:rPr>
        <w:t>Babazoi</w:t>
      </w:r>
      <w:proofErr w:type="spellEnd"/>
      <w:r w:rsidRPr="006C65A4">
        <w:rPr>
          <w:rFonts w:ascii="Times New Roman" w:eastAsia="Times New Roman" w:hAnsi="Times New Roman" w:cs="Times New Roman"/>
          <w:kern w:val="0"/>
          <w:sz w:val="24"/>
          <w:szCs w:val="24"/>
          <w:lang w:val="en-US"/>
          <w14:ligatures w14:val="none"/>
        </w:rPr>
        <w:t>, F., &amp; Kohistani, T. (2018). Growth, yield and post-harvest soil available nutrients in sweet corn (</w:t>
      </w:r>
      <w:r w:rsidRPr="006C65A4">
        <w:rPr>
          <w:rFonts w:ascii="Times New Roman" w:eastAsia="Times New Roman" w:hAnsi="Times New Roman" w:cs="Times New Roman"/>
          <w:i/>
          <w:iCs/>
          <w:kern w:val="0"/>
          <w:sz w:val="24"/>
          <w:szCs w:val="24"/>
          <w:lang w:val="en-US"/>
          <w14:ligatures w14:val="none"/>
        </w:rPr>
        <w:t>Zea mays</w:t>
      </w:r>
      <w:r w:rsidRPr="006C65A4">
        <w:rPr>
          <w:rFonts w:ascii="Times New Roman" w:eastAsia="Times New Roman" w:hAnsi="Times New Roman" w:cs="Times New Roman"/>
          <w:kern w:val="0"/>
          <w:sz w:val="24"/>
          <w:szCs w:val="24"/>
          <w:lang w:val="en-US"/>
          <w14:ligatures w14:val="none"/>
        </w:rPr>
        <w:t xml:space="preserve"> L.) as influenced by zinc and iron nutrition. </w:t>
      </w:r>
      <w:r w:rsidRPr="006C65A4">
        <w:rPr>
          <w:rFonts w:ascii="Times New Roman" w:eastAsia="Times New Roman" w:hAnsi="Times New Roman" w:cs="Times New Roman"/>
          <w:i/>
          <w:iCs/>
          <w:kern w:val="0"/>
          <w:sz w:val="24"/>
          <w:szCs w:val="24"/>
          <w:lang w:val="en-US"/>
          <w14:ligatures w14:val="none"/>
        </w:rPr>
        <w:t>Journal of Pharmacognosy and Phytochemistry, 7</w:t>
      </w:r>
      <w:r w:rsidRPr="006C65A4">
        <w:rPr>
          <w:rFonts w:ascii="Times New Roman" w:eastAsia="Times New Roman" w:hAnsi="Times New Roman" w:cs="Times New Roman"/>
          <w:kern w:val="0"/>
          <w:sz w:val="24"/>
          <w:szCs w:val="24"/>
          <w:lang w:val="en-US"/>
          <w14:ligatures w14:val="none"/>
        </w:rPr>
        <w:t xml:space="preserve">(4), 2372–2374. </w:t>
      </w:r>
      <w:hyperlink r:id="rId29" w:history="1">
        <w:r w:rsidRPr="006C65A4">
          <w:rPr>
            <w:rFonts w:ascii="Times New Roman" w:eastAsia="Times New Roman" w:hAnsi="Times New Roman" w:cs="Times New Roman"/>
            <w:color w:val="0000FF"/>
            <w:kern w:val="0"/>
            <w:sz w:val="24"/>
            <w:szCs w:val="24"/>
            <w:u w:val="single"/>
            <w:lang w:val="en-US"/>
            <w14:ligatures w14:val="none"/>
          </w:rPr>
          <w:t>https://www.phytojournal.com/archives/2018.v7.i4.5297/growth-yield-and-post-harvest-soil-available-nutrients-in-sweet-corn-ltemgtzea-mays-ltemgtl-as-influenced-by-zinc-and-iron-nutrition</w:t>
        </w:r>
      </w:hyperlink>
    </w:p>
    <w:p w14:paraId="37EA765C" w14:textId="77777777" w:rsidR="006C65A4" w:rsidRPr="006C65A4" w:rsidRDefault="006C65A4" w:rsidP="006C65A4">
      <w:pPr>
        <w:spacing w:before="100" w:beforeAutospacing="1" w:after="100" w:afterAutospacing="1" w:line="240" w:lineRule="auto"/>
        <w:rPr>
          <w:rFonts w:ascii="Times New Roman" w:eastAsia="Times New Roman" w:hAnsi="Times New Roman" w:cs="Times New Roman"/>
          <w:kern w:val="0"/>
          <w:sz w:val="24"/>
          <w:szCs w:val="24"/>
          <w:lang w:val="en-US"/>
          <w14:ligatures w14:val="none"/>
        </w:rPr>
      </w:pPr>
      <w:r w:rsidRPr="006C65A4">
        <w:rPr>
          <w:rFonts w:ascii="Times New Roman" w:eastAsia="Times New Roman" w:hAnsi="Times New Roman" w:cs="Times New Roman"/>
          <w:kern w:val="0"/>
          <w:sz w:val="24"/>
          <w:szCs w:val="24"/>
          <w:lang w:val="en-US"/>
          <w14:ligatures w14:val="none"/>
        </w:rPr>
        <w:lastRenderedPageBreak/>
        <w:t xml:space="preserve">Kihara, J., Sileshi, G. W., Bolo, P., </w:t>
      </w:r>
      <w:proofErr w:type="spellStart"/>
      <w:r w:rsidRPr="006C65A4">
        <w:rPr>
          <w:rFonts w:ascii="Times New Roman" w:eastAsia="Times New Roman" w:hAnsi="Times New Roman" w:cs="Times New Roman"/>
          <w:kern w:val="0"/>
          <w:sz w:val="24"/>
          <w:szCs w:val="24"/>
          <w:lang w:val="en-US"/>
          <w14:ligatures w14:val="none"/>
        </w:rPr>
        <w:t>Mutambu</w:t>
      </w:r>
      <w:proofErr w:type="spellEnd"/>
      <w:r w:rsidRPr="006C65A4">
        <w:rPr>
          <w:rFonts w:ascii="Times New Roman" w:eastAsia="Times New Roman" w:hAnsi="Times New Roman" w:cs="Times New Roman"/>
          <w:kern w:val="0"/>
          <w:sz w:val="24"/>
          <w:szCs w:val="24"/>
          <w:lang w:val="en-US"/>
          <w14:ligatures w14:val="none"/>
        </w:rPr>
        <w:t xml:space="preserve">, D., Senthilkumar, K., Sila, A., Devkota, M., &amp; Saito, K. (2024). Maize-grain zinc and iron concentrations as influenced by agronomic management and biophysical factors: A meta-analysis. </w:t>
      </w:r>
      <w:r w:rsidRPr="006C65A4">
        <w:rPr>
          <w:rFonts w:ascii="Times New Roman" w:eastAsia="Times New Roman" w:hAnsi="Times New Roman" w:cs="Times New Roman"/>
          <w:i/>
          <w:iCs/>
          <w:kern w:val="0"/>
          <w:sz w:val="24"/>
          <w:szCs w:val="24"/>
          <w:lang w:val="en-US"/>
          <w14:ligatures w14:val="none"/>
        </w:rPr>
        <w:t>Food Security, 16</w:t>
      </w:r>
      <w:r w:rsidRPr="006C65A4">
        <w:rPr>
          <w:rFonts w:ascii="Times New Roman" w:eastAsia="Times New Roman" w:hAnsi="Times New Roman" w:cs="Times New Roman"/>
          <w:kern w:val="0"/>
          <w:sz w:val="24"/>
          <w:szCs w:val="24"/>
          <w:lang w:val="en-US"/>
          <w14:ligatures w14:val="none"/>
        </w:rPr>
        <w:t xml:space="preserve">, 1147–1173. </w:t>
      </w:r>
      <w:hyperlink r:id="rId30" w:history="1">
        <w:r w:rsidRPr="006C65A4">
          <w:rPr>
            <w:rFonts w:ascii="Times New Roman" w:eastAsia="Times New Roman" w:hAnsi="Times New Roman" w:cs="Times New Roman"/>
            <w:color w:val="0000FF"/>
            <w:kern w:val="0"/>
            <w:sz w:val="24"/>
            <w:szCs w:val="24"/>
            <w:u w:val="single"/>
            <w:lang w:val="en-US"/>
            <w14:ligatures w14:val="none"/>
          </w:rPr>
          <w:t>https://doi.org/10.1007/s12571-024-01478-5</w:t>
        </w:r>
      </w:hyperlink>
    </w:p>
    <w:p w14:paraId="38CB7892" w14:textId="77777777" w:rsidR="006C65A4" w:rsidRPr="006C65A4" w:rsidRDefault="006C65A4" w:rsidP="006C65A4">
      <w:pPr>
        <w:spacing w:before="100" w:beforeAutospacing="1" w:after="100" w:afterAutospacing="1" w:line="240" w:lineRule="auto"/>
        <w:rPr>
          <w:rFonts w:ascii="Times New Roman" w:eastAsia="Times New Roman" w:hAnsi="Times New Roman" w:cs="Times New Roman"/>
          <w:kern w:val="0"/>
          <w:sz w:val="24"/>
          <w:szCs w:val="24"/>
          <w:lang w:val="en-US"/>
          <w14:ligatures w14:val="none"/>
        </w:rPr>
      </w:pPr>
      <w:r w:rsidRPr="006C65A4">
        <w:rPr>
          <w:rFonts w:ascii="Times New Roman" w:eastAsia="Times New Roman" w:hAnsi="Times New Roman" w:cs="Times New Roman"/>
          <w:kern w:val="0"/>
          <w:sz w:val="24"/>
          <w:szCs w:val="24"/>
          <w:lang w:val="en-US"/>
          <w14:ligatures w14:val="none"/>
        </w:rPr>
        <w:t xml:space="preserve">Lindquist, J. L., </w:t>
      </w:r>
      <w:proofErr w:type="spellStart"/>
      <w:r w:rsidRPr="006C65A4">
        <w:rPr>
          <w:rFonts w:ascii="Times New Roman" w:eastAsia="Times New Roman" w:hAnsi="Times New Roman" w:cs="Times New Roman"/>
          <w:kern w:val="0"/>
          <w:sz w:val="24"/>
          <w:szCs w:val="24"/>
          <w:lang w:val="en-US"/>
          <w14:ligatures w14:val="none"/>
        </w:rPr>
        <w:t>Arkebauer</w:t>
      </w:r>
      <w:proofErr w:type="spellEnd"/>
      <w:r w:rsidRPr="006C65A4">
        <w:rPr>
          <w:rFonts w:ascii="Times New Roman" w:eastAsia="Times New Roman" w:hAnsi="Times New Roman" w:cs="Times New Roman"/>
          <w:kern w:val="0"/>
          <w:sz w:val="24"/>
          <w:szCs w:val="24"/>
          <w:lang w:val="en-US"/>
          <w14:ligatures w14:val="none"/>
        </w:rPr>
        <w:t xml:space="preserve">, T. J., Walters, D. T., Cassman, K. G., &amp; Dobermann, A. (2005). Maize radiation use efficiency under optimal growth conditions. </w:t>
      </w:r>
      <w:r w:rsidRPr="006C65A4">
        <w:rPr>
          <w:rFonts w:ascii="Times New Roman" w:eastAsia="Times New Roman" w:hAnsi="Times New Roman" w:cs="Times New Roman"/>
          <w:i/>
          <w:iCs/>
          <w:kern w:val="0"/>
          <w:sz w:val="24"/>
          <w:szCs w:val="24"/>
          <w:lang w:val="en-US"/>
          <w14:ligatures w14:val="none"/>
        </w:rPr>
        <w:t>Agronomy Journal, 97</w:t>
      </w:r>
      <w:r w:rsidRPr="006C65A4">
        <w:rPr>
          <w:rFonts w:ascii="Times New Roman" w:eastAsia="Times New Roman" w:hAnsi="Times New Roman" w:cs="Times New Roman"/>
          <w:kern w:val="0"/>
          <w:sz w:val="24"/>
          <w:szCs w:val="24"/>
          <w:lang w:val="en-US"/>
          <w14:ligatures w14:val="none"/>
        </w:rPr>
        <w:t xml:space="preserve">(1), 72–78. </w:t>
      </w:r>
      <w:hyperlink r:id="rId31" w:history="1">
        <w:r w:rsidRPr="006C65A4">
          <w:rPr>
            <w:rFonts w:ascii="Times New Roman" w:eastAsia="Times New Roman" w:hAnsi="Times New Roman" w:cs="Times New Roman"/>
            <w:color w:val="0000FF"/>
            <w:kern w:val="0"/>
            <w:sz w:val="24"/>
            <w:szCs w:val="24"/>
            <w:u w:val="single"/>
            <w:lang w:val="en-US"/>
            <w14:ligatures w14:val="none"/>
          </w:rPr>
          <w:t>https://doi.org/10.2134/agronj2005.0072</w:t>
        </w:r>
      </w:hyperlink>
    </w:p>
    <w:p w14:paraId="70DD4803" w14:textId="77777777" w:rsidR="006C65A4" w:rsidRPr="006C65A4" w:rsidRDefault="006C65A4" w:rsidP="006C65A4">
      <w:pPr>
        <w:spacing w:before="100" w:beforeAutospacing="1" w:after="100" w:afterAutospacing="1" w:line="240" w:lineRule="auto"/>
        <w:rPr>
          <w:rFonts w:ascii="Times New Roman" w:eastAsia="Times New Roman" w:hAnsi="Times New Roman" w:cs="Times New Roman"/>
          <w:kern w:val="0"/>
          <w:sz w:val="24"/>
          <w:szCs w:val="24"/>
          <w:lang w:val="en-US"/>
          <w14:ligatures w14:val="none"/>
        </w:rPr>
      </w:pPr>
      <w:r w:rsidRPr="006C65A4">
        <w:rPr>
          <w:rFonts w:ascii="Times New Roman" w:eastAsia="Times New Roman" w:hAnsi="Times New Roman" w:cs="Times New Roman"/>
          <w:kern w:val="0"/>
          <w:sz w:val="24"/>
          <w:szCs w:val="24"/>
          <w:lang w:val="en-US"/>
          <w14:ligatures w14:val="none"/>
        </w:rPr>
        <w:t xml:space="preserve">Lone, A. H., Sheikh, T. A., Lone, B. A., </w:t>
      </w:r>
      <w:proofErr w:type="spellStart"/>
      <w:r w:rsidRPr="006C65A4">
        <w:rPr>
          <w:rFonts w:ascii="Times New Roman" w:eastAsia="Times New Roman" w:hAnsi="Times New Roman" w:cs="Times New Roman"/>
          <w:kern w:val="0"/>
          <w:sz w:val="24"/>
          <w:szCs w:val="24"/>
          <w:lang w:val="en-US"/>
          <w14:ligatures w14:val="none"/>
        </w:rPr>
        <w:t>Ahngar</w:t>
      </w:r>
      <w:proofErr w:type="spellEnd"/>
      <w:r w:rsidRPr="006C65A4">
        <w:rPr>
          <w:rFonts w:ascii="Times New Roman" w:eastAsia="Times New Roman" w:hAnsi="Times New Roman" w:cs="Times New Roman"/>
          <w:kern w:val="0"/>
          <w:sz w:val="24"/>
          <w:szCs w:val="24"/>
          <w:lang w:val="en-US"/>
          <w14:ligatures w14:val="none"/>
        </w:rPr>
        <w:t>, T. A., Baba, Z. A., Bashir, M., Sheikh, M. A., Mir, M. S., Rashid, Z., Majid, S., Rasool, F.-U., &amp; Dar, Z. A. (2022). Performance of sweet corn hybrids (</w:t>
      </w:r>
      <w:r w:rsidRPr="006C65A4">
        <w:rPr>
          <w:rFonts w:ascii="Times New Roman" w:eastAsia="Times New Roman" w:hAnsi="Times New Roman" w:cs="Times New Roman"/>
          <w:i/>
          <w:iCs/>
          <w:kern w:val="0"/>
          <w:sz w:val="24"/>
          <w:szCs w:val="24"/>
          <w:lang w:val="en-US"/>
          <w14:ligatures w14:val="none"/>
        </w:rPr>
        <w:t xml:space="preserve">Zea mays </w:t>
      </w:r>
      <w:proofErr w:type="spellStart"/>
      <w:r w:rsidRPr="006C65A4">
        <w:rPr>
          <w:rFonts w:ascii="Times New Roman" w:eastAsia="Times New Roman" w:hAnsi="Times New Roman" w:cs="Times New Roman"/>
          <w:i/>
          <w:iCs/>
          <w:kern w:val="0"/>
          <w:sz w:val="24"/>
          <w:szCs w:val="24"/>
          <w:lang w:val="en-US"/>
          <w14:ligatures w14:val="none"/>
        </w:rPr>
        <w:t>saccharata</w:t>
      </w:r>
      <w:proofErr w:type="spellEnd"/>
      <w:r w:rsidRPr="006C65A4">
        <w:rPr>
          <w:rFonts w:ascii="Times New Roman" w:eastAsia="Times New Roman" w:hAnsi="Times New Roman" w:cs="Times New Roman"/>
          <w:kern w:val="0"/>
          <w:sz w:val="24"/>
          <w:szCs w:val="24"/>
          <w:lang w:val="en-US"/>
          <w14:ligatures w14:val="none"/>
        </w:rPr>
        <w:t xml:space="preserve">) as influenced by soil and foliar application of zinc. </w:t>
      </w:r>
      <w:r w:rsidRPr="006C65A4">
        <w:rPr>
          <w:rFonts w:ascii="Times New Roman" w:eastAsia="Times New Roman" w:hAnsi="Times New Roman" w:cs="Times New Roman"/>
          <w:i/>
          <w:iCs/>
          <w:kern w:val="0"/>
          <w:sz w:val="24"/>
          <w:szCs w:val="24"/>
          <w:lang w:val="en-US"/>
          <w14:ligatures w14:val="none"/>
        </w:rPr>
        <w:t>Journal of Experimental Agriculture International, 44</w:t>
      </w:r>
      <w:r w:rsidRPr="006C65A4">
        <w:rPr>
          <w:rFonts w:ascii="Times New Roman" w:eastAsia="Times New Roman" w:hAnsi="Times New Roman" w:cs="Times New Roman"/>
          <w:kern w:val="0"/>
          <w:sz w:val="24"/>
          <w:szCs w:val="24"/>
          <w:lang w:val="en-US"/>
          <w14:ligatures w14:val="none"/>
        </w:rPr>
        <w:t xml:space="preserve">(12), 167–174. </w:t>
      </w:r>
      <w:hyperlink r:id="rId32" w:history="1">
        <w:r w:rsidRPr="006C65A4">
          <w:rPr>
            <w:rFonts w:ascii="Times New Roman" w:eastAsia="Times New Roman" w:hAnsi="Times New Roman" w:cs="Times New Roman"/>
            <w:color w:val="0000FF"/>
            <w:kern w:val="0"/>
            <w:sz w:val="24"/>
            <w:szCs w:val="24"/>
            <w:u w:val="single"/>
            <w:lang w:val="en-US"/>
            <w14:ligatures w14:val="none"/>
          </w:rPr>
          <w:t>https://doi.org/10.9734/jeai/2022/v44i122090</w:t>
        </w:r>
      </w:hyperlink>
    </w:p>
    <w:p w14:paraId="74208629" w14:textId="77777777" w:rsidR="006C65A4" w:rsidRPr="006C65A4" w:rsidRDefault="006C65A4" w:rsidP="006C65A4">
      <w:pPr>
        <w:spacing w:before="100" w:beforeAutospacing="1" w:after="100" w:afterAutospacing="1" w:line="240" w:lineRule="auto"/>
        <w:rPr>
          <w:rFonts w:ascii="Times New Roman" w:eastAsia="Times New Roman" w:hAnsi="Times New Roman" w:cs="Times New Roman"/>
          <w:kern w:val="0"/>
          <w:sz w:val="24"/>
          <w:szCs w:val="24"/>
          <w:lang w:val="en-US"/>
          <w14:ligatures w14:val="none"/>
        </w:rPr>
      </w:pPr>
      <w:r w:rsidRPr="006C65A4">
        <w:rPr>
          <w:rFonts w:ascii="Times New Roman" w:eastAsia="Times New Roman" w:hAnsi="Times New Roman" w:cs="Times New Roman"/>
          <w:kern w:val="0"/>
          <w:sz w:val="24"/>
          <w:szCs w:val="24"/>
          <w:lang w:val="en-US"/>
          <w14:ligatures w14:val="none"/>
        </w:rPr>
        <w:t xml:space="preserve">Malode, K. S., Kumar, Y., </w:t>
      </w:r>
      <w:proofErr w:type="spellStart"/>
      <w:r w:rsidRPr="006C65A4">
        <w:rPr>
          <w:rFonts w:ascii="Times New Roman" w:eastAsia="Times New Roman" w:hAnsi="Times New Roman" w:cs="Times New Roman"/>
          <w:kern w:val="0"/>
          <w:sz w:val="24"/>
          <w:szCs w:val="24"/>
          <w:lang w:val="en-US"/>
          <w14:ligatures w14:val="none"/>
        </w:rPr>
        <w:t>Bhonde</w:t>
      </w:r>
      <w:proofErr w:type="spellEnd"/>
      <w:r w:rsidRPr="006C65A4">
        <w:rPr>
          <w:rFonts w:ascii="Times New Roman" w:eastAsia="Times New Roman" w:hAnsi="Times New Roman" w:cs="Times New Roman"/>
          <w:kern w:val="0"/>
          <w:sz w:val="24"/>
          <w:szCs w:val="24"/>
          <w:lang w:val="en-US"/>
          <w14:ligatures w14:val="none"/>
        </w:rPr>
        <w:t xml:space="preserve">, S., </w:t>
      </w:r>
      <w:proofErr w:type="spellStart"/>
      <w:r w:rsidRPr="006C65A4">
        <w:rPr>
          <w:rFonts w:ascii="Times New Roman" w:eastAsia="Times New Roman" w:hAnsi="Times New Roman" w:cs="Times New Roman"/>
          <w:kern w:val="0"/>
          <w:sz w:val="24"/>
          <w:szCs w:val="24"/>
          <w:lang w:val="en-US"/>
          <w14:ligatures w14:val="none"/>
        </w:rPr>
        <w:t>Kothawade</w:t>
      </w:r>
      <w:proofErr w:type="spellEnd"/>
      <w:r w:rsidRPr="006C65A4">
        <w:rPr>
          <w:rFonts w:ascii="Times New Roman" w:eastAsia="Times New Roman" w:hAnsi="Times New Roman" w:cs="Times New Roman"/>
          <w:kern w:val="0"/>
          <w:sz w:val="24"/>
          <w:szCs w:val="24"/>
          <w:lang w:val="en-US"/>
          <w14:ligatures w14:val="none"/>
        </w:rPr>
        <w:t xml:space="preserve">, P., Malode, S., Ruchi, I., &amp; Pandey, R. (2025). Evaluation of the effectiveness of modified lignosulphonate-chelated zinc fertilizer on sweet corn yield. </w:t>
      </w:r>
      <w:r w:rsidRPr="006C65A4">
        <w:rPr>
          <w:rFonts w:ascii="Times New Roman" w:eastAsia="Times New Roman" w:hAnsi="Times New Roman" w:cs="Times New Roman"/>
          <w:i/>
          <w:iCs/>
          <w:kern w:val="0"/>
          <w:sz w:val="24"/>
          <w:szCs w:val="24"/>
          <w:lang w:val="en-US"/>
          <w14:ligatures w14:val="none"/>
        </w:rPr>
        <w:t>International Journal for Research in Applied Science &amp; Engineering Technology, 13</w:t>
      </w:r>
      <w:r w:rsidRPr="006C65A4">
        <w:rPr>
          <w:rFonts w:ascii="Times New Roman" w:eastAsia="Times New Roman" w:hAnsi="Times New Roman" w:cs="Times New Roman"/>
          <w:kern w:val="0"/>
          <w:sz w:val="24"/>
          <w:szCs w:val="24"/>
          <w:lang w:val="en-US"/>
          <w14:ligatures w14:val="none"/>
        </w:rPr>
        <w:t xml:space="preserve">(8), 857–861. </w:t>
      </w:r>
      <w:hyperlink r:id="rId33" w:history="1">
        <w:r w:rsidRPr="006C65A4">
          <w:rPr>
            <w:rFonts w:ascii="Times New Roman" w:eastAsia="Times New Roman" w:hAnsi="Times New Roman" w:cs="Times New Roman"/>
            <w:color w:val="0000FF"/>
            <w:kern w:val="0"/>
            <w:sz w:val="24"/>
            <w:szCs w:val="24"/>
            <w:u w:val="single"/>
            <w:lang w:val="en-US"/>
            <w14:ligatures w14:val="none"/>
          </w:rPr>
          <w:t>https://doi.org/10.22214/ijraset.2025.73673</w:t>
        </w:r>
      </w:hyperlink>
    </w:p>
    <w:p w14:paraId="1EC7C277" w14:textId="293B3567" w:rsidR="006C65A4" w:rsidRPr="006C65A4" w:rsidRDefault="006C65A4" w:rsidP="006C65A4">
      <w:pPr>
        <w:spacing w:before="100" w:beforeAutospacing="1" w:after="100" w:afterAutospacing="1" w:line="240" w:lineRule="auto"/>
        <w:rPr>
          <w:rFonts w:ascii="Times New Roman" w:eastAsia="Times New Roman" w:hAnsi="Times New Roman" w:cs="Times New Roman"/>
          <w:kern w:val="0"/>
          <w:sz w:val="24"/>
          <w:szCs w:val="24"/>
          <w:lang w:val="en-US"/>
          <w14:ligatures w14:val="none"/>
        </w:rPr>
      </w:pPr>
      <w:r w:rsidRPr="006C65A4">
        <w:rPr>
          <w:rFonts w:ascii="Times New Roman" w:eastAsia="Times New Roman" w:hAnsi="Times New Roman" w:cs="Times New Roman"/>
          <w:kern w:val="0"/>
          <w:sz w:val="24"/>
          <w:szCs w:val="24"/>
          <w:lang w:val="en-US"/>
          <w14:ligatures w14:val="none"/>
        </w:rPr>
        <w:t xml:space="preserve">Marschner, H. (1995). </w:t>
      </w:r>
      <w:r w:rsidRPr="006C65A4">
        <w:rPr>
          <w:rFonts w:ascii="Times New Roman" w:eastAsia="Times New Roman" w:hAnsi="Times New Roman" w:cs="Times New Roman"/>
          <w:i/>
          <w:iCs/>
          <w:kern w:val="0"/>
          <w:sz w:val="24"/>
          <w:szCs w:val="24"/>
          <w:lang w:val="en-US"/>
          <w14:ligatures w14:val="none"/>
        </w:rPr>
        <w:t>Mineral nutrition of higher plants</w:t>
      </w:r>
      <w:r w:rsidRPr="006C65A4">
        <w:rPr>
          <w:rFonts w:ascii="Times New Roman" w:eastAsia="Times New Roman" w:hAnsi="Times New Roman" w:cs="Times New Roman"/>
          <w:kern w:val="0"/>
          <w:sz w:val="24"/>
          <w:szCs w:val="24"/>
          <w:lang w:val="en-US"/>
          <w14:ligatures w14:val="none"/>
        </w:rPr>
        <w:t xml:space="preserve"> (2nd ed.). Academic Press. </w:t>
      </w:r>
    </w:p>
    <w:p w14:paraId="707C1489" w14:textId="14234C85" w:rsidR="006C65A4" w:rsidRPr="006C65A4" w:rsidRDefault="006C65A4" w:rsidP="006C65A4">
      <w:pPr>
        <w:spacing w:before="100" w:beforeAutospacing="1" w:after="100" w:afterAutospacing="1" w:line="240" w:lineRule="auto"/>
        <w:rPr>
          <w:rFonts w:ascii="Times New Roman" w:eastAsia="Times New Roman" w:hAnsi="Times New Roman" w:cs="Times New Roman"/>
          <w:kern w:val="0"/>
          <w:sz w:val="24"/>
          <w:szCs w:val="24"/>
          <w:lang w:val="en-US"/>
          <w14:ligatures w14:val="none"/>
        </w:rPr>
      </w:pPr>
      <w:r w:rsidRPr="006C65A4">
        <w:rPr>
          <w:rFonts w:ascii="Times New Roman" w:eastAsia="Times New Roman" w:hAnsi="Times New Roman" w:cs="Times New Roman"/>
          <w:kern w:val="0"/>
          <w:sz w:val="24"/>
          <w:szCs w:val="24"/>
          <w:lang w:val="en-US"/>
          <w14:ligatures w14:val="none"/>
        </w:rPr>
        <w:t xml:space="preserve">Mortvedt, J. J. (1979). Corn response to zinc sulfate applied alone or with suspensions. </w:t>
      </w:r>
      <w:r w:rsidRPr="006C65A4">
        <w:rPr>
          <w:rFonts w:ascii="Times New Roman" w:eastAsia="Times New Roman" w:hAnsi="Times New Roman" w:cs="Times New Roman"/>
          <w:i/>
          <w:iCs/>
          <w:kern w:val="0"/>
          <w:sz w:val="24"/>
          <w:szCs w:val="24"/>
          <w:lang w:val="en-US"/>
          <w14:ligatures w14:val="none"/>
        </w:rPr>
        <w:t>Fertilizer Solutions</w:t>
      </w:r>
      <w:r w:rsidRPr="006C65A4">
        <w:rPr>
          <w:rFonts w:ascii="Times New Roman" w:eastAsia="Times New Roman" w:hAnsi="Times New Roman" w:cs="Times New Roman"/>
          <w:kern w:val="0"/>
          <w:sz w:val="24"/>
          <w:szCs w:val="24"/>
          <w:lang w:val="en-US"/>
          <w14:ligatures w14:val="none"/>
        </w:rPr>
        <w:t xml:space="preserve">. </w:t>
      </w:r>
    </w:p>
    <w:p w14:paraId="632CCCA5" w14:textId="77777777" w:rsidR="006C65A4" w:rsidRPr="006C65A4" w:rsidRDefault="006C65A4" w:rsidP="006C65A4">
      <w:pPr>
        <w:spacing w:before="100" w:beforeAutospacing="1" w:after="100" w:afterAutospacing="1" w:line="240" w:lineRule="auto"/>
        <w:rPr>
          <w:rFonts w:ascii="Times New Roman" w:eastAsia="Times New Roman" w:hAnsi="Times New Roman" w:cs="Times New Roman"/>
          <w:kern w:val="0"/>
          <w:sz w:val="24"/>
          <w:szCs w:val="24"/>
          <w:lang w:val="en-US"/>
          <w14:ligatures w14:val="none"/>
        </w:rPr>
      </w:pPr>
      <w:r w:rsidRPr="006C65A4">
        <w:rPr>
          <w:rFonts w:ascii="Times New Roman" w:eastAsia="Times New Roman" w:hAnsi="Times New Roman" w:cs="Times New Roman"/>
          <w:kern w:val="0"/>
          <w:sz w:val="24"/>
          <w:szCs w:val="24"/>
          <w:lang w:val="en-US"/>
          <w14:ligatures w14:val="none"/>
        </w:rPr>
        <w:t xml:space="preserve">Muchow, R. C. (1994). Effect of nitrogen on yield determination in irrigated maize in tropical and subtropical environments. </w:t>
      </w:r>
      <w:r w:rsidRPr="006C65A4">
        <w:rPr>
          <w:rFonts w:ascii="Times New Roman" w:eastAsia="Times New Roman" w:hAnsi="Times New Roman" w:cs="Times New Roman"/>
          <w:i/>
          <w:iCs/>
          <w:kern w:val="0"/>
          <w:sz w:val="24"/>
          <w:szCs w:val="24"/>
          <w:lang w:val="en-US"/>
          <w14:ligatures w14:val="none"/>
        </w:rPr>
        <w:t>Field Crops Research, 38</w:t>
      </w:r>
      <w:r w:rsidRPr="006C65A4">
        <w:rPr>
          <w:rFonts w:ascii="Times New Roman" w:eastAsia="Times New Roman" w:hAnsi="Times New Roman" w:cs="Times New Roman"/>
          <w:kern w:val="0"/>
          <w:sz w:val="24"/>
          <w:szCs w:val="24"/>
          <w:lang w:val="en-US"/>
          <w14:ligatures w14:val="none"/>
        </w:rPr>
        <w:t xml:space="preserve">(1), 1–13. </w:t>
      </w:r>
      <w:hyperlink r:id="rId34" w:history="1">
        <w:r w:rsidRPr="006C65A4">
          <w:rPr>
            <w:rFonts w:ascii="Times New Roman" w:eastAsia="Times New Roman" w:hAnsi="Times New Roman" w:cs="Times New Roman"/>
            <w:color w:val="0000FF"/>
            <w:kern w:val="0"/>
            <w:sz w:val="24"/>
            <w:szCs w:val="24"/>
            <w:u w:val="single"/>
            <w:lang w:val="en-US"/>
            <w14:ligatures w14:val="none"/>
          </w:rPr>
          <w:t>https://doi.org/10.1016/0378-4290(94)90027-2</w:t>
        </w:r>
      </w:hyperlink>
    </w:p>
    <w:p w14:paraId="48B3BFF7" w14:textId="77777777" w:rsidR="006C65A4" w:rsidRPr="006C65A4" w:rsidRDefault="006C65A4" w:rsidP="006C65A4">
      <w:pPr>
        <w:spacing w:before="100" w:beforeAutospacing="1" w:after="100" w:afterAutospacing="1" w:line="240" w:lineRule="auto"/>
        <w:rPr>
          <w:rFonts w:ascii="Times New Roman" w:eastAsia="Times New Roman" w:hAnsi="Times New Roman" w:cs="Times New Roman"/>
          <w:kern w:val="0"/>
          <w:sz w:val="24"/>
          <w:szCs w:val="24"/>
          <w:lang w:val="en-US"/>
          <w14:ligatures w14:val="none"/>
        </w:rPr>
      </w:pPr>
      <w:r w:rsidRPr="006C65A4">
        <w:rPr>
          <w:rFonts w:ascii="Times New Roman" w:eastAsia="Times New Roman" w:hAnsi="Times New Roman" w:cs="Times New Roman"/>
          <w:kern w:val="0"/>
          <w:sz w:val="24"/>
          <w:szCs w:val="24"/>
          <w:lang w:val="en-US"/>
          <w14:ligatures w14:val="none"/>
        </w:rPr>
        <w:t>Pandey, H. P., Sachan, A. K., Pathak, R. K., Tiwari, U. S., Pandey, R. K., &amp; Pandey, R. (2021). Study the impact of vermicompost, zinc and iron on the performance of hybrid maize (</w:t>
      </w:r>
      <w:r w:rsidRPr="006C65A4">
        <w:rPr>
          <w:rFonts w:ascii="Times New Roman" w:eastAsia="Times New Roman" w:hAnsi="Times New Roman" w:cs="Times New Roman"/>
          <w:i/>
          <w:iCs/>
          <w:kern w:val="0"/>
          <w:sz w:val="24"/>
          <w:szCs w:val="24"/>
          <w:lang w:val="en-US"/>
          <w14:ligatures w14:val="none"/>
        </w:rPr>
        <w:t>Zea mays</w:t>
      </w:r>
      <w:r w:rsidRPr="006C65A4">
        <w:rPr>
          <w:rFonts w:ascii="Times New Roman" w:eastAsia="Times New Roman" w:hAnsi="Times New Roman" w:cs="Times New Roman"/>
          <w:kern w:val="0"/>
          <w:sz w:val="24"/>
          <w:szCs w:val="24"/>
          <w:lang w:val="en-US"/>
          <w14:ligatures w14:val="none"/>
        </w:rPr>
        <w:t xml:space="preserve"> L.). </w:t>
      </w:r>
      <w:r w:rsidRPr="006C65A4">
        <w:rPr>
          <w:rFonts w:ascii="Times New Roman" w:eastAsia="Times New Roman" w:hAnsi="Times New Roman" w:cs="Times New Roman"/>
          <w:i/>
          <w:iCs/>
          <w:kern w:val="0"/>
          <w:sz w:val="24"/>
          <w:szCs w:val="24"/>
          <w:lang w:val="en-US"/>
          <w14:ligatures w14:val="none"/>
        </w:rPr>
        <w:t>International Journal of Plant &amp; Soil Science, 33</w:t>
      </w:r>
      <w:r w:rsidRPr="006C65A4">
        <w:rPr>
          <w:rFonts w:ascii="Times New Roman" w:eastAsia="Times New Roman" w:hAnsi="Times New Roman" w:cs="Times New Roman"/>
          <w:kern w:val="0"/>
          <w:sz w:val="24"/>
          <w:szCs w:val="24"/>
          <w:lang w:val="en-US"/>
          <w14:ligatures w14:val="none"/>
        </w:rPr>
        <w:t xml:space="preserve">(4), 1–11. </w:t>
      </w:r>
      <w:hyperlink r:id="rId35" w:history="1">
        <w:r w:rsidRPr="006C65A4">
          <w:rPr>
            <w:rFonts w:ascii="Times New Roman" w:eastAsia="Times New Roman" w:hAnsi="Times New Roman" w:cs="Times New Roman"/>
            <w:color w:val="0000FF"/>
            <w:kern w:val="0"/>
            <w:sz w:val="24"/>
            <w:szCs w:val="24"/>
            <w:u w:val="single"/>
            <w:lang w:val="en-US"/>
            <w14:ligatures w14:val="none"/>
          </w:rPr>
          <w:t>https://doi.org/10.9734/ijpss/2021/v33i430424</w:t>
        </w:r>
      </w:hyperlink>
    </w:p>
    <w:p w14:paraId="32D84165" w14:textId="74B663E5" w:rsidR="006C65A4" w:rsidRPr="006C65A4" w:rsidRDefault="006C65A4" w:rsidP="006C65A4">
      <w:pPr>
        <w:spacing w:before="100" w:beforeAutospacing="1" w:after="100" w:afterAutospacing="1" w:line="240" w:lineRule="auto"/>
        <w:rPr>
          <w:rFonts w:ascii="Times New Roman" w:eastAsia="Times New Roman" w:hAnsi="Times New Roman" w:cs="Times New Roman"/>
          <w:kern w:val="0"/>
          <w:sz w:val="24"/>
          <w:szCs w:val="24"/>
          <w:lang w:val="en-US"/>
          <w14:ligatures w14:val="none"/>
        </w:rPr>
      </w:pPr>
      <w:r w:rsidRPr="006C65A4">
        <w:rPr>
          <w:rFonts w:ascii="Times New Roman" w:eastAsia="Times New Roman" w:hAnsi="Times New Roman" w:cs="Times New Roman"/>
          <w:kern w:val="0"/>
          <w:sz w:val="24"/>
          <w:szCs w:val="24"/>
          <w:lang w:val="en-US"/>
          <w14:ligatures w14:val="none"/>
        </w:rPr>
        <w:t xml:space="preserve">Paramasivan, M., Kumaresan, K. R., Malarvizhi, P., &amp; </w:t>
      </w:r>
      <w:proofErr w:type="spellStart"/>
      <w:r w:rsidRPr="006C65A4">
        <w:rPr>
          <w:rFonts w:ascii="Times New Roman" w:eastAsia="Times New Roman" w:hAnsi="Times New Roman" w:cs="Times New Roman"/>
          <w:kern w:val="0"/>
          <w:sz w:val="24"/>
          <w:szCs w:val="24"/>
          <w:lang w:val="en-US"/>
          <w14:ligatures w14:val="none"/>
        </w:rPr>
        <w:t>Velayudham</w:t>
      </w:r>
      <w:proofErr w:type="spellEnd"/>
      <w:r w:rsidRPr="006C65A4">
        <w:rPr>
          <w:rFonts w:ascii="Times New Roman" w:eastAsia="Times New Roman" w:hAnsi="Times New Roman" w:cs="Times New Roman"/>
          <w:kern w:val="0"/>
          <w:sz w:val="24"/>
          <w:szCs w:val="24"/>
          <w:lang w:val="en-US"/>
          <w14:ligatures w14:val="none"/>
        </w:rPr>
        <w:t xml:space="preserve">, K. (2011). Effect of different levels of NPK and Zn on yield and nutrient uptake by hybrid maize (COHM 5) in </w:t>
      </w:r>
      <w:proofErr w:type="spellStart"/>
      <w:r w:rsidRPr="006C65A4">
        <w:rPr>
          <w:rFonts w:ascii="Times New Roman" w:eastAsia="Times New Roman" w:hAnsi="Times New Roman" w:cs="Times New Roman"/>
          <w:kern w:val="0"/>
          <w:sz w:val="24"/>
          <w:szCs w:val="24"/>
          <w:lang w:val="en-US"/>
          <w14:ligatures w14:val="none"/>
        </w:rPr>
        <w:t>Pilamedu</w:t>
      </w:r>
      <w:proofErr w:type="spellEnd"/>
      <w:r w:rsidRPr="006C65A4">
        <w:rPr>
          <w:rFonts w:ascii="Times New Roman" w:eastAsia="Times New Roman" w:hAnsi="Times New Roman" w:cs="Times New Roman"/>
          <w:kern w:val="0"/>
          <w:sz w:val="24"/>
          <w:szCs w:val="24"/>
          <w:lang w:val="en-US"/>
          <w14:ligatures w14:val="none"/>
        </w:rPr>
        <w:t xml:space="preserve"> and </w:t>
      </w:r>
      <w:proofErr w:type="spellStart"/>
      <w:r w:rsidRPr="006C65A4">
        <w:rPr>
          <w:rFonts w:ascii="Times New Roman" w:eastAsia="Times New Roman" w:hAnsi="Times New Roman" w:cs="Times New Roman"/>
          <w:kern w:val="0"/>
          <w:sz w:val="24"/>
          <w:szCs w:val="24"/>
          <w:lang w:val="en-US"/>
          <w14:ligatures w14:val="none"/>
        </w:rPr>
        <w:t>Palaviduthi</w:t>
      </w:r>
      <w:proofErr w:type="spellEnd"/>
      <w:r w:rsidRPr="006C65A4">
        <w:rPr>
          <w:rFonts w:ascii="Times New Roman" w:eastAsia="Times New Roman" w:hAnsi="Times New Roman" w:cs="Times New Roman"/>
          <w:kern w:val="0"/>
          <w:sz w:val="24"/>
          <w:szCs w:val="24"/>
          <w:lang w:val="en-US"/>
          <w14:ligatures w14:val="none"/>
        </w:rPr>
        <w:t xml:space="preserve"> series of Tamil Nadu. </w:t>
      </w:r>
      <w:r w:rsidRPr="006C65A4">
        <w:rPr>
          <w:rFonts w:ascii="Times New Roman" w:eastAsia="Times New Roman" w:hAnsi="Times New Roman" w:cs="Times New Roman"/>
          <w:i/>
          <w:iCs/>
          <w:kern w:val="0"/>
          <w:sz w:val="24"/>
          <w:szCs w:val="24"/>
          <w:lang w:val="en-US"/>
          <w14:ligatures w14:val="none"/>
        </w:rPr>
        <w:t>Madras Agricultural Journal, 98</w:t>
      </w:r>
      <w:r w:rsidRPr="006C65A4">
        <w:rPr>
          <w:rFonts w:ascii="Times New Roman" w:eastAsia="Times New Roman" w:hAnsi="Times New Roman" w:cs="Times New Roman"/>
          <w:kern w:val="0"/>
          <w:sz w:val="24"/>
          <w:szCs w:val="24"/>
          <w:lang w:val="en-US"/>
          <w14:ligatures w14:val="none"/>
        </w:rPr>
        <w:t xml:space="preserve">(10–12), 334–338. </w:t>
      </w:r>
    </w:p>
    <w:p w14:paraId="2D51914A" w14:textId="211BEB60" w:rsidR="006C65A4" w:rsidRPr="006C65A4" w:rsidRDefault="006C65A4" w:rsidP="006C65A4">
      <w:pPr>
        <w:spacing w:before="100" w:beforeAutospacing="1" w:after="100" w:afterAutospacing="1" w:line="240" w:lineRule="auto"/>
        <w:rPr>
          <w:rFonts w:ascii="Times New Roman" w:eastAsia="Times New Roman" w:hAnsi="Times New Roman" w:cs="Times New Roman"/>
          <w:kern w:val="0"/>
          <w:sz w:val="24"/>
          <w:szCs w:val="24"/>
          <w:lang w:val="en-US"/>
          <w14:ligatures w14:val="none"/>
        </w:rPr>
      </w:pPr>
      <w:proofErr w:type="spellStart"/>
      <w:r w:rsidRPr="006C65A4">
        <w:rPr>
          <w:rFonts w:ascii="Times New Roman" w:eastAsia="Times New Roman" w:hAnsi="Times New Roman" w:cs="Times New Roman"/>
          <w:kern w:val="0"/>
          <w:sz w:val="24"/>
          <w:szCs w:val="24"/>
          <w:lang w:val="en-US"/>
          <w14:ligatures w14:val="none"/>
        </w:rPr>
        <w:t>Poorter</w:t>
      </w:r>
      <w:proofErr w:type="spellEnd"/>
      <w:r w:rsidRPr="006C65A4">
        <w:rPr>
          <w:rFonts w:ascii="Times New Roman" w:eastAsia="Times New Roman" w:hAnsi="Times New Roman" w:cs="Times New Roman"/>
          <w:kern w:val="0"/>
          <w:sz w:val="24"/>
          <w:szCs w:val="24"/>
          <w:lang w:val="en-US"/>
          <w14:ligatures w14:val="none"/>
        </w:rPr>
        <w:t xml:space="preserve">, H. (1989). Interspecific variation in relative growth rate: On ecological causes and physiological consequences. In H. Lambers, M. L. Cambridge, H. </w:t>
      </w:r>
      <w:proofErr w:type="spellStart"/>
      <w:r w:rsidRPr="006C65A4">
        <w:rPr>
          <w:rFonts w:ascii="Times New Roman" w:eastAsia="Times New Roman" w:hAnsi="Times New Roman" w:cs="Times New Roman"/>
          <w:kern w:val="0"/>
          <w:sz w:val="24"/>
          <w:szCs w:val="24"/>
          <w:lang w:val="en-US"/>
          <w14:ligatures w14:val="none"/>
        </w:rPr>
        <w:t>Konings</w:t>
      </w:r>
      <w:proofErr w:type="spellEnd"/>
      <w:r w:rsidRPr="006C65A4">
        <w:rPr>
          <w:rFonts w:ascii="Times New Roman" w:eastAsia="Times New Roman" w:hAnsi="Times New Roman" w:cs="Times New Roman"/>
          <w:kern w:val="0"/>
          <w:sz w:val="24"/>
          <w:szCs w:val="24"/>
          <w:lang w:val="en-US"/>
          <w14:ligatures w14:val="none"/>
        </w:rPr>
        <w:t xml:space="preserve">, &amp; T. L. Pons (Eds.), </w:t>
      </w:r>
      <w:r w:rsidRPr="006C65A4">
        <w:rPr>
          <w:rFonts w:ascii="Times New Roman" w:eastAsia="Times New Roman" w:hAnsi="Times New Roman" w:cs="Times New Roman"/>
          <w:i/>
          <w:iCs/>
          <w:kern w:val="0"/>
          <w:sz w:val="24"/>
          <w:szCs w:val="24"/>
          <w:lang w:val="en-US"/>
          <w14:ligatures w14:val="none"/>
        </w:rPr>
        <w:t>Causes and consequences of variation in growth rate and productivity of higher plants</w:t>
      </w:r>
      <w:r w:rsidRPr="006C65A4">
        <w:rPr>
          <w:rFonts w:ascii="Times New Roman" w:eastAsia="Times New Roman" w:hAnsi="Times New Roman" w:cs="Times New Roman"/>
          <w:kern w:val="0"/>
          <w:sz w:val="24"/>
          <w:szCs w:val="24"/>
          <w:lang w:val="en-US"/>
          <w14:ligatures w14:val="none"/>
        </w:rPr>
        <w:t xml:space="preserve"> (pp. 45–68). SPB Academic Publishing. </w:t>
      </w:r>
    </w:p>
    <w:p w14:paraId="2D3F964E" w14:textId="77777777" w:rsidR="006C65A4" w:rsidRPr="006C65A4" w:rsidRDefault="006C65A4" w:rsidP="006C65A4">
      <w:pPr>
        <w:spacing w:before="100" w:beforeAutospacing="1" w:after="100" w:afterAutospacing="1" w:line="240" w:lineRule="auto"/>
        <w:rPr>
          <w:rFonts w:ascii="Times New Roman" w:eastAsia="Times New Roman" w:hAnsi="Times New Roman" w:cs="Times New Roman"/>
          <w:kern w:val="0"/>
          <w:sz w:val="24"/>
          <w:szCs w:val="24"/>
          <w:lang w:val="en-US"/>
          <w14:ligatures w14:val="none"/>
        </w:rPr>
      </w:pPr>
      <w:r w:rsidRPr="006C65A4">
        <w:rPr>
          <w:rFonts w:ascii="Times New Roman" w:eastAsia="Times New Roman" w:hAnsi="Times New Roman" w:cs="Times New Roman"/>
          <w:kern w:val="0"/>
          <w:sz w:val="24"/>
          <w:szCs w:val="24"/>
          <w:lang w:val="en-US"/>
          <w14:ligatures w14:val="none"/>
        </w:rPr>
        <w:t xml:space="preserve">Potarzycki, J., &amp; </w:t>
      </w:r>
      <w:proofErr w:type="spellStart"/>
      <w:r w:rsidRPr="006C65A4">
        <w:rPr>
          <w:rFonts w:ascii="Times New Roman" w:eastAsia="Times New Roman" w:hAnsi="Times New Roman" w:cs="Times New Roman"/>
          <w:kern w:val="0"/>
          <w:sz w:val="24"/>
          <w:szCs w:val="24"/>
          <w:lang w:val="en-US"/>
          <w14:ligatures w14:val="none"/>
        </w:rPr>
        <w:t>Grzebisz</w:t>
      </w:r>
      <w:proofErr w:type="spellEnd"/>
      <w:r w:rsidRPr="006C65A4">
        <w:rPr>
          <w:rFonts w:ascii="Times New Roman" w:eastAsia="Times New Roman" w:hAnsi="Times New Roman" w:cs="Times New Roman"/>
          <w:kern w:val="0"/>
          <w:sz w:val="24"/>
          <w:szCs w:val="24"/>
          <w:lang w:val="en-US"/>
          <w14:ligatures w14:val="none"/>
        </w:rPr>
        <w:t xml:space="preserve">, W. (2009). Effect of zinc foliar application on grain yield of maize and its yielding components. </w:t>
      </w:r>
      <w:r w:rsidRPr="006C65A4">
        <w:rPr>
          <w:rFonts w:ascii="Times New Roman" w:eastAsia="Times New Roman" w:hAnsi="Times New Roman" w:cs="Times New Roman"/>
          <w:i/>
          <w:iCs/>
          <w:kern w:val="0"/>
          <w:sz w:val="24"/>
          <w:szCs w:val="24"/>
          <w:lang w:val="en-US"/>
          <w14:ligatures w14:val="none"/>
        </w:rPr>
        <w:t>Plant, Soil and Environment, 55</w:t>
      </w:r>
      <w:r w:rsidRPr="006C65A4">
        <w:rPr>
          <w:rFonts w:ascii="Times New Roman" w:eastAsia="Times New Roman" w:hAnsi="Times New Roman" w:cs="Times New Roman"/>
          <w:kern w:val="0"/>
          <w:sz w:val="24"/>
          <w:szCs w:val="24"/>
          <w:lang w:val="en-US"/>
          <w14:ligatures w14:val="none"/>
        </w:rPr>
        <w:t xml:space="preserve">(12), 519–527. </w:t>
      </w:r>
      <w:hyperlink r:id="rId36" w:history="1">
        <w:r w:rsidRPr="006C65A4">
          <w:rPr>
            <w:rFonts w:ascii="Times New Roman" w:eastAsia="Times New Roman" w:hAnsi="Times New Roman" w:cs="Times New Roman"/>
            <w:color w:val="0000FF"/>
            <w:kern w:val="0"/>
            <w:sz w:val="24"/>
            <w:szCs w:val="24"/>
            <w:u w:val="single"/>
            <w:lang w:val="en-US"/>
            <w14:ligatures w14:val="none"/>
          </w:rPr>
          <w:t>https://doi.org/10.17221/95/2009-PSE</w:t>
        </w:r>
      </w:hyperlink>
    </w:p>
    <w:p w14:paraId="790504F3" w14:textId="667D6C73" w:rsidR="006C65A4" w:rsidRPr="006C65A4" w:rsidRDefault="006C65A4" w:rsidP="006C65A4">
      <w:pPr>
        <w:spacing w:before="100" w:beforeAutospacing="1" w:after="100" w:afterAutospacing="1" w:line="240" w:lineRule="auto"/>
        <w:rPr>
          <w:rFonts w:ascii="Times New Roman" w:eastAsia="Times New Roman" w:hAnsi="Times New Roman" w:cs="Times New Roman"/>
          <w:kern w:val="0"/>
          <w:sz w:val="24"/>
          <w:szCs w:val="24"/>
          <w:lang w:val="en-US"/>
          <w14:ligatures w14:val="none"/>
        </w:rPr>
      </w:pPr>
      <w:r w:rsidRPr="006C65A4">
        <w:rPr>
          <w:rFonts w:ascii="Times New Roman" w:eastAsia="Times New Roman" w:hAnsi="Times New Roman" w:cs="Times New Roman"/>
          <w:kern w:val="0"/>
          <w:sz w:val="24"/>
          <w:szCs w:val="24"/>
          <w:lang w:val="en-US"/>
          <w14:ligatures w14:val="none"/>
        </w:rPr>
        <w:t xml:space="preserve">Deswal, K., &amp; </w:t>
      </w:r>
      <w:proofErr w:type="spellStart"/>
      <w:r w:rsidRPr="006C65A4">
        <w:rPr>
          <w:rFonts w:ascii="Times New Roman" w:eastAsia="Times New Roman" w:hAnsi="Times New Roman" w:cs="Times New Roman"/>
          <w:kern w:val="0"/>
          <w:sz w:val="24"/>
          <w:szCs w:val="24"/>
          <w:lang w:val="en-US"/>
          <w14:ligatures w14:val="none"/>
        </w:rPr>
        <w:t>Pandurangam</w:t>
      </w:r>
      <w:proofErr w:type="spellEnd"/>
      <w:r w:rsidRPr="006C65A4">
        <w:rPr>
          <w:rFonts w:ascii="Times New Roman" w:eastAsia="Times New Roman" w:hAnsi="Times New Roman" w:cs="Times New Roman"/>
          <w:kern w:val="0"/>
          <w:sz w:val="24"/>
          <w:szCs w:val="24"/>
          <w:lang w:val="en-US"/>
          <w14:ligatures w14:val="none"/>
        </w:rPr>
        <w:t>, V. (2018). Morpho-physiological and biochemical studies on foliar application of zinc, iron and boron in maize (</w:t>
      </w:r>
      <w:r w:rsidRPr="006C65A4">
        <w:rPr>
          <w:rFonts w:ascii="Times New Roman" w:eastAsia="Times New Roman" w:hAnsi="Times New Roman" w:cs="Times New Roman"/>
          <w:i/>
          <w:iCs/>
          <w:kern w:val="0"/>
          <w:sz w:val="24"/>
          <w:szCs w:val="24"/>
          <w:lang w:val="en-US"/>
          <w14:ligatures w14:val="none"/>
        </w:rPr>
        <w:t>Zea mays</w:t>
      </w:r>
      <w:r w:rsidRPr="006C65A4">
        <w:rPr>
          <w:rFonts w:ascii="Times New Roman" w:eastAsia="Times New Roman" w:hAnsi="Times New Roman" w:cs="Times New Roman"/>
          <w:kern w:val="0"/>
          <w:sz w:val="24"/>
          <w:szCs w:val="24"/>
          <w:lang w:val="en-US"/>
          <w14:ligatures w14:val="none"/>
        </w:rPr>
        <w:t xml:space="preserve"> L.). </w:t>
      </w:r>
      <w:r w:rsidRPr="006C65A4">
        <w:rPr>
          <w:rFonts w:ascii="Times New Roman" w:eastAsia="Times New Roman" w:hAnsi="Times New Roman" w:cs="Times New Roman"/>
          <w:i/>
          <w:iCs/>
          <w:kern w:val="0"/>
          <w:sz w:val="24"/>
          <w:szCs w:val="24"/>
          <w:lang w:val="en-US"/>
          <w14:ligatures w14:val="none"/>
        </w:rPr>
        <w:t xml:space="preserve">Journal of Pharmacognosy </w:t>
      </w:r>
      <w:r w:rsidRPr="006C65A4">
        <w:rPr>
          <w:rFonts w:ascii="Times New Roman" w:eastAsia="Times New Roman" w:hAnsi="Times New Roman" w:cs="Times New Roman"/>
          <w:i/>
          <w:iCs/>
          <w:kern w:val="0"/>
          <w:sz w:val="24"/>
          <w:szCs w:val="24"/>
          <w:lang w:val="en-US"/>
          <w14:ligatures w14:val="none"/>
        </w:rPr>
        <w:lastRenderedPageBreak/>
        <w:t>and Phytochemistry, 7</w:t>
      </w:r>
      <w:r w:rsidRPr="006C65A4">
        <w:rPr>
          <w:rFonts w:ascii="Times New Roman" w:eastAsia="Times New Roman" w:hAnsi="Times New Roman" w:cs="Times New Roman"/>
          <w:kern w:val="0"/>
          <w:sz w:val="24"/>
          <w:szCs w:val="24"/>
          <w:lang w:val="en-US"/>
          <w14:ligatures w14:val="none"/>
        </w:rPr>
        <w:t xml:space="preserve">(2), 3515–3518. </w:t>
      </w:r>
      <w:hyperlink r:id="rId37" w:history="1">
        <w:r w:rsidRPr="006C65A4">
          <w:rPr>
            <w:rFonts w:ascii="Times New Roman" w:eastAsia="Times New Roman" w:hAnsi="Times New Roman" w:cs="Times New Roman"/>
            <w:color w:val="0000FF"/>
            <w:kern w:val="0"/>
            <w:sz w:val="24"/>
            <w:szCs w:val="24"/>
            <w:u w:val="single"/>
            <w:lang w:val="en-US"/>
            <w14:ligatures w14:val="none"/>
          </w:rPr>
          <w:t>https://www.phytojournal.com/archives/2018.v7.i2.4100/morpho-physiological-and-biochemical-studies-on-foliar-application-of-zinc-iron-and-boron-in-maize-ltemgtzea-maysltemgt-l</w:t>
        </w:r>
      </w:hyperlink>
    </w:p>
    <w:p w14:paraId="509BD44A" w14:textId="77777777" w:rsidR="006C65A4" w:rsidRPr="006C65A4" w:rsidRDefault="006C65A4" w:rsidP="006C65A4">
      <w:pPr>
        <w:spacing w:before="100" w:beforeAutospacing="1" w:after="100" w:afterAutospacing="1" w:line="240" w:lineRule="auto"/>
        <w:rPr>
          <w:rFonts w:ascii="Times New Roman" w:eastAsia="Times New Roman" w:hAnsi="Times New Roman" w:cs="Times New Roman"/>
          <w:kern w:val="0"/>
          <w:sz w:val="24"/>
          <w:szCs w:val="24"/>
          <w:lang w:val="en-US"/>
          <w14:ligatures w14:val="none"/>
        </w:rPr>
      </w:pPr>
      <w:r w:rsidRPr="006C65A4">
        <w:rPr>
          <w:rFonts w:ascii="Times New Roman" w:eastAsia="Times New Roman" w:hAnsi="Times New Roman" w:cs="Times New Roman"/>
          <w:kern w:val="0"/>
          <w:sz w:val="24"/>
          <w:szCs w:val="24"/>
          <w:lang w:val="en-US"/>
          <w14:ligatures w14:val="none"/>
        </w:rPr>
        <w:t xml:space="preserve">Ravikiran, S., &amp; </w:t>
      </w:r>
      <w:proofErr w:type="spellStart"/>
      <w:r w:rsidRPr="006C65A4">
        <w:rPr>
          <w:rFonts w:ascii="Times New Roman" w:eastAsia="Times New Roman" w:hAnsi="Times New Roman" w:cs="Times New Roman"/>
          <w:kern w:val="0"/>
          <w:sz w:val="24"/>
          <w:szCs w:val="24"/>
          <w:lang w:val="en-US"/>
          <w14:ligatures w14:val="none"/>
        </w:rPr>
        <w:t>Halepyati</w:t>
      </w:r>
      <w:proofErr w:type="spellEnd"/>
      <w:r w:rsidRPr="006C65A4">
        <w:rPr>
          <w:rFonts w:ascii="Times New Roman" w:eastAsia="Times New Roman" w:hAnsi="Times New Roman" w:cs="Times New Roman"/>
          <w:kern w:val="0"/>
          <w:sz w:val="24"/>
          <w:szCs w:val="24"/>
          <w:lang w:val="en-US"/>
          <w14:ligatures w14:val="none"/>
        </w:rPr>
        <w:t xml:space="preserve">, A. S. (2013). Yield and yield components, quality parameters, uptake of nutrients and economics of </w:t>
      </w:r>
      <w:proofErr w:type="spellStart"/>
      <w:r w:rsidRPr="006C65A4">
        <w:rPr>
          <w:rFonts w:ascii="Times New Roman" w:eastAsia="Times New Roman" w:hAnsi="Times New Roman" w:cs="Times New Roman"/>
          <w:kern w:val="0"/>
          <w:sz w:val="24"/>
          <w:szCs w:val="24"/>
          <w:lang w:val="en-US"/>
          <w14:ligatures w14:val="none"/>
        </w:rPr>
        <w:t>Bt</w:t>
      </w:r>
      <w:proofErr w:type="spellEnd"/>
      <w:r w:rsidRPr="006C65A4">
        <w:rPr>
          <w:rFonts w:ascii="Times New Roman" w:eastAsia="Times New Roman" w:hAnsi="Times New Roman" w:cs="Times New Roman"/>
          <w:kern w:val="0"/>
          <w:sz w:val="24"/>
          <w:szCs w:val="24"/>
          <w:lang w:val="en-US"/>
          <w14:ligatures w14:val="none"/>
        </w:rPr>
        <w:t xml:space="preserve"> cotton (</w:t>
      </w:r>
      <w:r w:rsidRPr="006C65A4">
        <w:rPr>
          <w:rFonts w:ascii="Times New Roman" w:eastAsia="Times New Roman" w:hAnsi="Times New Roman" w:cs="Times New Roman"/>
          <w:i/>
          <w:iCs/>
          <w:kern w:val="0"/>
          <w:sz w:val="24"/>
          <w:szCs w:val="24"/>
          <w:lang w:val="en-US"/>
          <w14:ligatures w14:val="none"/>
        </w:rPr>
        <w:t>Gossypium hirsutum</w:t>
      </w:r>
      <w:r w:rsidRPr="006C65A4">
        <w:rPr>
          <w:rFonts w:ascii="Times New Roman" w:eastAsia="Times New Roman" w:hAnsi="Times New Roman" w:cs="Times New Roman"/>
          <w:kern w:val="0"/>
          <w:sz w:val="24"/>
          <w:szCs w:val="24"/>
          <w:lang w:val="en-US"/>
          <w14:ligatures w14:val="none"/>
        </w:rPr>
        <w:t xml:space="preserve"> L.) as influenced by macro and soluble micronutrients under irrigation. </w:t>
      </w:r>
      <w:r w:rsidRPr="006C65A4">
        <w:rPr>
          <w:rFonts w:ascii="Times New Roman" w:eastAsia="Times New Roman" w:hAnsi="Times New Roman" w:cs="Times New Roman"/>
          <w:i/>
          <w:iCs/>
          <w:kern w:val="0"/>
          <w:sz w:val="24"/>
          <w:szCs w:val="24"/>
          <w:lang w:val="en-US"/>
          <w14:ligatures w14:val="none"/>
        </w:rPr>
        <w:t>Crop Research, 45</w:t>
      </w:r>
      <w:r w:rsidRPr="006C65A4">
        <w:rPr>
          <w:rFonts w:ascii="Times New Roman" w:eastAsia="Times New Roman" w:hAnsi="Times New Roman" w:cs="Times New Roman"/>
          <w:kern w:val="0"/>
          <w:sz w:val="24"/>
          <w:szCs w:val="24"/>
          <w:lang w:val="en-US"/>
          <w14:ligatures w14:val="none"/>
        </w:rPr>
        <w:t xml:space="preserve">(1–3), 253–258. </w:t>
      </w:r>
      <w:hyperlink r:id="rId38" w:history="1">
        <w:r w:rsidRPr="006C65A4">
          <w:rPr>
            <w:rFonts w:ascii="Times New Roman" w:eastAsia="Times New Roman" w:hAnsi="Times New Roman" w:cs="Times New Roman"/>
            <w:color w:val="0000FF"/>
            <w:kern w:val="0"/>
            <w:sz w:val="24"/>
            <w:szCs w:val="24"/>
            <w:u w:val="single"/>
            <w:lang w:val="en-US"/>
            <w14:ligatures w14:val="none"/>
          </w:rPr>
          <w:t>https://gauravpublications.com/journal/crop-research/volume-45/issue-1to3-january-june/052</w:t>
        </w:r>
      </w:hyperlink>
    </w:p>
    <w:p w14:paraId="052BF806" w14:textId="77777777" w:rsidR="006C65A4" w:rsidRPr="006C65A4" w:rsidRDefault="006C65A4" w:rsidP="006C65A4">
      <w:pPr>
        <w:spacing w:before="100" w:beforeAutospacing="1" w:after="100" w:afterAutospacing="1" w:line="240" w:lineRule="auto"/>
        <w:rPr>
          <w:rFonts w:ascii="Times New Roman" w:eastAsia="Times New Roman" w:hAnsi="Times New Roman" w:cs="Times New Roman"/>
          <w:kern w:val="0"/>
          <w:sz w:val="24"/>
          <w:szCs w:val="24"/>
          <w:lang w:val="en-US"/>
          <w14:ligatures w14:val="none"/>
        </w:rPr>
      </w:pPr>
      <w:r w:rsidRPr="006C65A4">
        <w:rPr>
          <w:rFonts w:ascii="Times New Roman" w:eastAsia="Times New Roman" w:hAnsi="Times New Roman" w:cs="Times New Roman"/>
          <w:kern w:val="0"/>
          <w:sz w:val="24"/>
          <w:szCs w:val="24"/>
          <w:lang w:val="en-US"/>
          <w14:ligatures w14:val="none"/>
        </w:rPr>
        <w:t xml:space="preserve">Rout, G. R., &amp; Sahoo, S. (2015). Role of iron in plant growth and metabolism. </w:t>
      </w:r>
      <w:r w:rsidRPr="006C65A4">
        <w:rPr>
          <w:rFonts w:ascii="Times New Roman" w:eastAsia="Times New Roman" w:hAnsi="Times New Roman" w:cs="Times New Roman"/>
          <w:i/>
          <w:iCs/>
          <w:kern w:val="0"/>
          <w:sz w:val="24"/>
          <w:szCs w:val="24"/>
          <w:lang w:val="en-US"/>
          <w14:ligatures w14:val="none"/>
        </w:rPr>
        <w:t>Reviews in Agricultural Science, 3</w:t>
      </w:r>
      <w:r w:rsidRPr="006C65A4">
        <w:rPr>
          <w:rFonts w:ascii="Times New Roman" w:eastAsia="Times New Roman" w:hAnsi="Times New Roman" w:cs="Times New Roman"/>
          <w:kern w:val="0"/>
          <w:sz w:val="24"/>
          <w:szCs w:val="24"/>
          <w:lang w:val="en-US"/>
          <w14:ligatures w14:val="none"/>
        </w:rPr>
        <w:t xml:space="preserve">, 1–24. </w:t>
      </w:r>
      <w:hyperlink r:id="rId39" w:history="1">
        <w:r w:rsidRPr="006C65A4">
          <w:rPr>
            <w:rFonts w:ascii="Times New Roman" w:eastAsia="Times New Roman" w:hAnsi="Times New Roman" w:cs="Times New Roman"/>
            <w:color w:val="0000FF"/>
            <w:kern w:val="0"/>
            <w:sz w:val="24"/>
            <w:szCs w:val="24"/>
            <w:u w:val="single"/>
            <w:lang w:val="en-US"/>
            <w14:ligatures w14:val="none"/>
          </w:rPr>
          <w:t>https://doi.org/10.7831/ras.3.1</w:t>
        </w:r>
      </w:hyperlink>
    </w:p>
    <w:p w14:paraId="02D6A931" w14:textId="77777777" w:rsidR="006C65A4" w:rsidRPr="006C65A4" w:rsidRDefault="006C65A4" w:rsidP="006C65A4">
      <w:pPr>
        <w:spacing w:before="100" w:beforeAutospacing="1" w:after="100" w:afterAutospacing="1" w:line="240" w:lineRule="auto"/>
        <w:rPr>
          <w:rFonts w:ascii="Times New Roman" w:eastAsia="Times New Roman" w:hAnsi="Times New Roman" w:cs="Times New Roman"/>
          <w:kern w:val="0"/>
          <w:sz w:val="24"/>
          <w:szCs w:val="24"/>
          <w:lang w:val="en-US"/>
          <w14:ligatures w14:val="none"/>
        </w:rPr>
      </w:pPr>
      <w:r w:rsidRPr="006C65A4">
        <w:rPr>
          <w:rFonts w:ascii="Times New Roman" w:eastAsia="Times New Roman" w:hAnsi="Times New Roman" w:cs="Times New Roman"/>
          <w:kern w:val="0"/>
          <w:sz w:val="24"/>
          <w:szCs w:val="24"/>
          <w:lang w:val="en-US"/>
          <w14:ligatures w14:val="none"/>
        </w:rPr>
        <w:t xml:space="preserve">Sayooj, M., Thakur, J., Prasad, D., </w:t>
      </w:r>
      <w:proofErr w:type="spellStart"/>
      <w:r w:rsidRPr="006C65A4">
        <w:rPr>
          <w:rFonts w:ascii="Times New Roman" w:eastAsia="Times New Roman" w:hAnsi="Times New Roman" w:cs="Times New Roman"/>
          <w:kern w:val="0"/>
          <w:sz w:val="24"/>
          <w:szCs w:val="24"/>
          <w:lang w:val="en-US"/>
          <w14:ligatures w14:val="none"/>
        </w:rPr>
        <w:t>Ponniyath</w:t>
      </w:r>
      <w:proofErr w:type="spellEnd"/>
      <w:r w:rsidRPr="006C65A4">
        <w:rPr>
          <w:rFonts w:ascii="Times New Roman" w:eastAsia="Times New Roman" w:hAnsi="Times New Roman" w:cs="Times New Roman"/>
          <w:kern w:val="0"/>
          <w:sz w:val="24"/>
          <w:szCs w:val="24"/>
          <w:lang w:val="en-US"/>
          <w14:ligatures w14:val="none"/>
        </w:rPr>
        <w:t xml:space="preserve">, A., &amp; Adithya, J. B. (2025). Bio-fortification in crops, recent approaches, challenges and future strategies: A review. </w:t>
      </w:r>
      <w:r w:rsidRPr="006C65A4">
        <w:rPr>
          <w:rFonts w:ascii="Times New Roman" w:eastAsia="Times New Roman" w:hAnsi="Times New Roman" w:cs="Times New Roman"/>
          <w:i/>
          <w:iCs/>
          <w:kern w:val="0"/>
          <w:sz w:val="24"/>
          <w:szCs w:val="24"/>
          <w:lang w:val="en-US"/>
          <w14:ligatures w14:val="none"/>
        </w:rPr>
        <w:t>Plant Cell Biotechnology and Molecular Biology, 26</w:t>
      </w:r>
      <w:r w:rsidRPr="006C65A4">
        <w:rPr>
          <w:rFonts w:ascii="Times New Roman" w:eastAsia="Times New Roman" w:hAnsi="Times New Roman" w:cs="Times New Roman"/>
          <w:kern w:val="0"/>
          <w:sz w:val="24"/>
          <w:szCs w:val="24"/>
          <w:lang w:val="en-US"/>
          <w14:ligatures w14:val="none"/>
        </w:rPr>
        <w:t xml:space="preserve">(7–8), 102–115. </w:t>
      </w:r>
      <w:hyperlink r:id="rId40" w:history="1">
        <w:r w:rsidRPr="006C65A4">
          <w:rPr>
            <w:rFonts w:ascii="Times New Roman" w:eastAsia="Times New Roman" w:hAnsi="Times New Roman" w:cs="Times New Roman"/>
            <w:color w:val="0000FF"/>
            <w:kern w:val="0"/>
            <w:sz w:val="24"/>
            <w:szCs w:val="24"/>
            <w:u w:val="single"/>
            <w:lang w:val="en-US"/>
            <w14:ligatures w14:val="none"/>
          </w:rPr>
          <w:t>https://doi.org/10.56557/pcbmb/2025/v26i7-89395</w:t>
        </w:r>
      </w:hyperlink>
    </w:p>
    <w:p w14:paraId="00257A52" w14:textId="77777777" w:rsidR="006C65A4" w:rsidRPr="006C65A4" w:rsidRDefault="006C65A4" w:rsidP="006C65A4">
      <w:pPr>
        <w:spacing w:before="100" w:beforeAutospacing="1" w:after="100" w:afterAutospacing="1" w:line="240" w:lineRule="auto"/>
        <w:rPr>
          <w:rFonts w:ascii="Times New Roman" w:eastAsia="Times New Roman" w:hAnsi="Times New Roman" w:cs="Times New Roman"/>
          <w:kern w:val="0"/>
          <w:sz w:val="24"/>
          <w:szCs w:val="24"/>
          <w:lang w:val="en-US"/>
          <w14:ligatures w14:val="none"/>
        </w:rPr>
      </w:pPr>
      <w:r w:rsidRPr="006C65A4">
        <w:rPr>
          <w:rFonts w:ascii="Times New Roman" w:eastAsia="Times New Roman" w:hAnsi="Times New Roman" w:cs="Times New Roman"/>
          <w:kern w:val="0"/>
          <w:sz w:val="24"/>
          <w:szCs w:val="24"/>
          <w:lang w:val="en-US"/>
          <w14:ligatures w14:val="none"/>
        </w:rPr>
        <w:t xml:space="preserve">Tariq, A., Anjum, S. A., Randhawa, M. A., Ullah, E., Naeem, M., Qamar, R., Ashraf, U., &amp; Nadeem, M. (2014). Influence of zinc nutrition on growth and yield </w:t>
      </w:r>
      <w:proofErr w:type="spellStart"/>
      <w:r w:rsidRPr="006C65A4">
        <w:rPr>
          <w:rFonts w:ascii="Times New Roman" w:eastAsia="Times New Roman" w:hAnsi="Times New Roman" w:cs="Times New Roman"/>
          <w:kern w:val="0"/>
          <w:sz w:val="24"/>
          <w:szCs w:val="24"/>
          <w:lang w:val="en-US"/>
          <w14:ligatures w14:val="none"/>
        </w:rPr>
        <w:t>behaviour</w:t>
      </w:r>
      <w:proofErr w:type="spellEnd"/>
      <w:r w:rsidRPr="006C65A4">
        <w:rPr>
          <w:rFonts w:ascii="Times New Roman" w:eastAsia="Times New Roman" w:hAnsi="Times New Roman" w:cs="Times New Roman"/>
          <w:kern w:val="0"/>
          <w:sz w:val="24"/>
          <w:szCs w:val="24"/>
          <w:lang w:val="en-US"/>
          <w14:ligatures w14:val="none"/>
        </w:rPr>
        <w:t xml:space="preserve"> of maize (</w:t>
      </w:r>
      <w:r w:rsidRPr="006C65A4">
        <w:rPr>
          <w:rFonts w:ascii="Times New Roman" w:eastAsia="Times New Roman" w:hAnsi="Times New Roman" w:cs="Times New Roman"/>
          <w:i/>
          <w:iCs/>
          <w:kern w:val="0"/>
          <w:sz w:val="24"/>
          <w:szCs w:val="24"/>
          <w:lang w:val="en-US"/>
          <w14:ligatures w14:val="none"/>
        </w:rPr>
        <w:t>Zea mays</w:t>
      </w:r>
      <w:r w:rsidRPr="006C65A4">
        <w:rPr>
          <w:rFonts w:ascii="Times New Roman" w:eastAsia="Times New Roman" w:hAnsi="Times New Roman" w:cs="Times New Roman"/>
          <w:kern w:val="0"/>
          <w:sz w:val="24"/>
          <w:szCs w:val="24"/>
          <w:lang w:val="en-US"/>
          <w14:ligatures w14:val="none"/>
        </w:rPr>
        <w:t xml:space="preserve"> L.) hybrids. </w:t>
      </w:r>
      <w:r w:rsidRPr="006C65A4">
        <w:rPr>
          <w:rFonts w:ascii="Times New Roman" w:eastAsia="Times New Roman" w:hAnsi="Times New Roman" w:cs="Times New Roman"/>
          <w:i/>
          <w:iCs/>
          <w:kern w:val="0"/>
          <w:sz w:val="24"/>
          <w:szCs w:val="24"/>
          <w:lang w:val="en-US"/>
          <w14:ligatures w14:val="none"/>
        </w:rPr>
        <w:t>American Journal of Plant Sciences, 5</w:t>
      </w:r>
      <w:r w:rsidRPr="006C65A4">
        <w:rPr>
          <w:rFonts w:ascii="Times New Roman" w:eastAsia="Times New Roman" w:hAnsi="Times New Roman" w:cs="Times New Roman"/>
          <w:kern w:val="0"/>
          <w:sz w:val="24"/>
          <w:szCs w:val="24"/>
          <w:lang w:val="en-US"/>
          <w14:ligatures w14:val="none"/>
        </w:rPr>
        <w:t xml:space="preserve">, 2646–2654. </w:t>
      </w:r>
      <w:hyperlink r:id="rId41" w:history="1">
        <w:r w:rsidRPr="006C65A4">
          <w:rPr>
            <w:rFonts w:ascii="Times New Roman" w:eastAsia="Times New Roman" w:hAnsi="Times New Roman" w:cs="Times New Roman"/>
            <w:color w:val="0000FF"/>
            <w:kern w:val="0"/>
            <w:sz w:val="24"/>
            <w:szCs w:val="24"/>
            <w:u w:val="single"/>
            <w:lang w:val="en-US"/>
            <w14:ligatures w14:val="none"/>
          </w:rPr>
          <w:t>https://doi.org/10.4236/ajps.2014.518279</w:t>
        </w:r>
      </w:hyperlink>
    </w:p>
    <w:p w14:paraId="77F2A3F7" w14:textId="77777777" w:rsidR="006C65A4" w:rsidRPr="006C65A4" w:rsidRDefault="006C65A4" w:rsidP="006C65A4">
      <w:pPr>
        <w:spacing w:before="100" w:beforeAutospacing="1" w:after="100" w:afterAutospacing="1" w:line="240" w:lineRule="auto"/>
        <w:rPr>
          <w:rFonts w:ascii="Times New Roman" w:eastAsia="Times New Roman" w:hAnsi="Times New Roman" w:cs="Times New Roman"/>
          <w:kern w:val="0"/>
          <w:sz w:val="24"/>
          <w:szCs w:val="24"/>
          <w:lang w:val="en-US"/>
          <w14:ligatures w14:val="none"/>
        </w:rPr>
      </w:pPr>
      <w:r w:rsidRPr="006C65A4">
        <w:rPr>
          <w:rFonts w:ascii="Times New Roman" w:eastAsia="Times New Roman" w:hAnsi="Times New Roman" w:cs="Times New Roman"/>
          <w:kern w:val="0"/>
          <w:sz w:val="24"/>
          <w:szCs w:val="24"/>
          <w:lang w:val="en-US"/>
          <w14:ligatures w14:val="none"/>
        </w:rPr>
        <w:t xml:space="preserve">Thakur, M. P., Dawson, J., &amp; Thakur, T. (2020). Effect of phosphorus, zinc and iron levels on growth and yield of </w:t>
      </w:r>
      <w:r w:rsidRPr="006C65A4">
        <w:rPr>
          <w:rFonts w:ascii="Times New Roman" w:eastAsia="Times New Roman" w:hAnsi="Times New Roman" w:cs="Times New Roman"/>
          <w:i/>
          <w:iCs/>
          <w:kern w:val="0"/>
          <w:sz w:val="24"/>
          <w:szCs w:val="24"/>
          <w:lang w:val="en-US"/>
          <w14:ligatures w14:val="none"/>
        </w:rPr>
        <w:t>kharif</w:t>
      </w:r>
      <w:r w:rsidRPr="006C65A4">
        <w:rPr>
          <w:rFonts w:ascii="Times New Roman" w:eastAsia="Times New Roman" w:hAnsi="Times New Roman" w:cs="Times New Roman"/>
          <w:kern w:val="0"/>
          <w:sz w:val="24"/>
          <w:szCs w:val="24"/>
          <w:lang w:val="en-US"/>
          <w14:ligatures w14:val="none"/>
        </w:rPr>
        <w:t xml:space="preserve"> maize (</w:t>
      </w:r>
      <w:r w:rsidRPr="006C65A4">
        <w:rPr>
          <w:rFonts w:ascii="Times New Roman" w:eastAsia="Times New Roman" w:hAnsi="Times New Roman" w:cs="Times New Roman"/>
          <w:i/>
          <w:iCs/>
          <w:kern w:val="0"/>
          <w:sz w:val="24"/>
          <w:szCs w:val="24"/>
          <w:lang w:val="en-US"/>
          <w14:ligatures w14:val="none"/>
        </w:rPr>
        <w:t>Zea mays</w:t>
      </w:r>
      <w:r w:rsidRPr="006C65A4">
        <w:rPr>
          <w:rFonts w:ascii="Times New Roman" w:eastAsia="Times New Roman" w:hAnsi="Times New Roman" w:cs="Times New Roman"/>
          <w:kern w:val="0"/>
          <w:sz w:val="24"/>
          <w:szCs w:val="24"/>
          <w:lang w:val="en-US"/>
          <w14:ligatures w14:val="none"/>
        </w:rPr>
        <w:t xml:space="preserve"> L.). </w:t>
      </w:r>
      <w:r w:rsidRPr="006C65A4">
        <w:rPr>
          <w:rFonts w:ascii="Times New Roman" w:eastAsia="Times New Roman" w:hAnsi="Times New Roman" w:cs="Times New Roman"/>
          <w:i/>
          <w:iCs/>
          <w:kern w:val="0"/>
          <w:sz w:val="24"/>
          <w:szCs w:val="24"/>
          <w:lang w:val="en-US"/>
          <w14:ligatures w14:val="none"/>
        </w:rPr>
        <w:t>International Journal of Current Microbiology and Applied Sciences, 9</w:t>
      </w:r>
      <w:r w:rsidRPr="006C65A4">
        <w:rPr>
          <w:rFonts w:ascii="Times New Roman" w:eastAsia="Times New Roman" w:hAnsi="Times New Roman" w:cs="Times New Roman"/>
          <w:kern w:val="0"/>
          <w:sz w:val="24"/>
          <w:szCs w:val="24"/>
          <w:lang w:val="en-US"/>
          <w14:ligatures w14:val="none"/>
        </w:rPr>
        <w:t xml:space="preserve">(12), 2312–2323. </w:t>
      </w:r>
      <w:hyperlink r:id="rId42" w:history="1">
        <w:r w:rsidRPr="006C65A4">
          <w:rPr>
            <w:rFonts w:ascii="Times New Roman" w:eastAsia="Times New Roman" w:hAnsi="Times New Roman" w:cs="Times New Roman"/>
            <w:color w:val="0000FF"/>
            <w:kern w:val="0"/>
            <w:sz w:val="24"/>
            <w:szCs w:val="24"/>
            <w:u w:val="single"/>
            <w:lang w:val="en-US"/>
            <w14:ligatures w14:val="none"/>
          </w:rPr>
          <w:t>https://doi.org/10.20546/ijcmas.2020.912.274</w:t>
        </w:r>
      </w:hyperlink>
    </w:p>
    <w:p w14:paraId="328921D5" w14:textId="77777777" w:rsidR="006C65A4" w:rsidRPr="006C65A4" w:rsidRDefault="006C65A4" w:rsidP="006C65A4">
      <w:pPr>
        <w:spacing w:before="100" w:beforeAutospacing="1" w:after="100" w:afterAutospacing="1" w:line="240" w:lineRule="auto"/>
        <w:rPr>
          <w:rFonts w:ascii="Times New Roman" w:eastAsia="Times New Roman" w:hAnsi="Times New Roman" w:cs="Times New Roman"/>
          <w:kern w:val="0"/>
          <w:sz w:val="24"/>
          <w:szCs w:val="24"/>
          <w:lang w:val="en-US"/>
          <w14:ligatures w14:val="none"/>
        </w:rPr>
      </w:pPr>
      <w:r w:rsidRPr="006C65A4">
        <w:rPr>
          <w:rFonts w:ascii="Times New Roman" w:eastAsia="Times New Roman" w:hAnsi="Times New Roman" w:cs="Times New Roman"/>
          <w:kern w:val="0"/>
          <w:sz w:val="24"/>
          <w:szCs w:val="24"/>
          <w:lang w:val="en-US"/>
          <w14:ligatures w14:val="none"/>
        </w:rPr>
        <w:t xml:space="preserve">Watson, D. J. (1947). Comparative physiological studies on the growth of field crops: I. Variation in net assimilation rate and leaf area between species and varieties, and within and between years. </w:t>
      </w:r>
      <w:r w:rsidRPr="006C65A4">
        <w:rPr>
          <w:rFonts w:ascii="Times New Roman" w:eastAsia="Times New Roman" w:hAnsi="Times New Roman" w:cs="Times New Roman"/>
          <w:i/>
          <w:iCs/>
          <w:kern w:val="0"/>
          <w:sz w:val="24"/>
          <w:szCs w:val="24"/>
          <w:lang w:val="en-US"/>
          <w14:ligatures w14:val="none"/>
        </w:rPr>
        <w:t>Annals of Botany, 11</w:t>
      </w:r>
      <w:r w:rsidRPr="006C65A4">
        <w:rPr>
          <w:rFonts w:ascii="Times New Roman" w:eastAsia="Times New Roman" w:hAnsi="Times New Roman" w:cs="Times New Roman"/>
          <w:kern w:val="0"/>
          <w:sz w:val="24"/>
          <w:szCs w:val="24"/>
          <w:lang w:val="en-US"/>
          <w14:ligatures w14:val="none"/>
        </w:rPr>
        <w:t xml:space="preserve">(1), 41–76. </w:t>
      </w:r>
      <w:hyperlink r:id="rId43" w:history="1">
        <w:r w:rsidRPr="006C65A4">
          <w:rPr>
            <w:rFonts w:ascii="Times New Roman" w:eastAsia="Times New Roman" w:hAnsi="Times New Roman" w:cs="Times New Roman"/>
            <w:color w:val="0000FF"/>
            <w:kern w:val="0"/>
            <w:sz w:val="24"/>
            <w:szCs w:val="24"/>
            <w:u w:val="single"/>
            <w:lang w:val="en-US"/>
            <w14:ligatures w14:val="none"/>
          </w:rPr>
          <w:t>https://doi.org/10.1093/oxfordjournals.aob.a083148</w:t>
        </w:r>
      </w:hyperlink>
    </w:p>
    <w:p w14:paraId="51E3BFD2" w14:textId="77777777" w:rsidR="006C65A4" w:rsidRPr="006C65A4" w:rsidRDefault="006C65A4" w:rsidP="006C65A4">
      <w:pPr>
        <w:spacing w:before="100" w:beforeAutospacing="1" w:after="100" w:afterAutospacing="1" w:line="240" w:lineRule="auto"/>
        <w:rPr>
          <w:rFonts w:ascii="Times New Roman" w:eastAsia="Times New Roman" w:hAnsi="Times New Roman" w:cs="Times New Roman"/>
          <w:kern w:val="0"/>
          <w:sz w:val="24"/>
          <w:szCs w:val="24"/>
          <w:lang w:val="en-US"/>
          <w14:ligatures w14:val="none"/>
        </w:rPr>
      </w:pPr>
      <w:r w:rsidRPr="006C65A4">
        <w:rPr>
          <w:rFonts w:ascii="Times New Roman" w:eastAsia="Times New Roman" w:hAnsi="Times New Roman" w:cs="Times New Roman"/>
          <w:kern w:val="0"/>
          <w:sz w:val="24"/>
          <w:szCs w:val="24"/>
          <w:lang w:val="en-US"/>
          <w14:ligatures w14:val="none"/>
        </w:rPr>
        <w:t xml:space="preserve">Xue, Y.-F., Li, X.-J., Yan, W., Miao, Q., Zhang, C.-Y., Huang, M., Sun, J.-B., Qi, S.-J., Ding, Z.-H., &amp; Cui, Z.-L. (2023). Biofortification of different maize cultivars with zinc, iron and selenium by foliar fertilizer applications. </w:t>
      </w:r>
      <w:r w:rsidRPr="006C65A4">
        <w:rPr>
          <w:rFonts w:ascii="Times New Roman" w:eastAsia="Times New Roman" w:hAnsi="Times New Roman" w:cs="Times New Roman"/>
          <w:i/>
          <w:iCs/>
          <w:kern w:val="0"/>
          <w:sz w:val="24"/>
          <w:szCs w:val="24"/>
          <w:lang w:val="en-US"/>
          <w14:ligatures w14:val="none"/>
        </w:rPr>
        <w:t>Frontiers in Plant Science, 14</w:t>
      </w:r>
      <w:r w:rsidRPr="006C65A4">
        <w:rPr>
          <w:rFonts w:ascii="Times New Roman" w:eastAsia="Times New Roman" w:hAnsi="Times New Roman" w:cs="Times New Roman"/>
          <w:kern w:val="0"/>
          <w:sz w:val="24"/>
          <w:szCs w:val="24"/>
          <w:lang w:val="en-US"/>
          <w14:ligatures w14:val="none"/>
        </w:rPr>
        <w:t xml:space="preserve">, 1144514. </w:t>
      </w:r>
      <w:hyperlink r:id="rId44" w:history="1">
        <w:r w:rsidRPr="006C65A4">
          <w:rPr>
            <w:rFonts w:ascii="Times New Roman" w:eastAsia="Times New Roman" w:hAnsi="Times New Roman" w:cs="Times New Roman"/>
            <w:color w:val="0000FF"/>
            <w:kern w:val="0"/>
            <w:sz w:val="24"/>
            <w:szCs w:val="24"/>
            <w:u w:val="single"/>
            <w:lang w:val="en-US"/>
            <w14:ligatures w14:val="none"/>
          </w:rPr>
          <w:t>https://doi.org/10.3389/fpls.2023.1144514</w:t>
        </w:r>
      </w:hyperlink>
    </w:p>
    <w:p w14:paraId="2942B428" w14:textId="77777777" w:rsidR="006C65A4" w:rsidRPr="006C65A4" w:rsidRDefault="006C65A4" w:rsidP="006C65A4">
      <w:pPr>
        <w:spacing w:before="100" w:beforeAutospacing="1" w:after="100" w:afterAutospacing="1" w:line="240" w:lineRule="auto"/>
        <w:rPr>
          <w:rFonts w:ascii="Times New Roman" w:eastAsia="Times New Roman" w:hAnsi="Times New Roman" w:cs="Times New Roman"/>
          <w:kern w:val="0"/>
          <w:sz w:val="24"/>
          <w:szCs w:val="24"/>
          <w:lang w:val="en-US"/>
          <w14:ligatures w14:val="none"/>
        </w:rPr>
      </w:pPr>
      <w:r w:rsidRPr="006C65A4">
        <w:rPr>
          <w:rFonts w:ascii="Times New Roman" w:eastAsia="Times New Roman" w:hAnsi="Times New Roman" w:cs="Times New Roman"/>
          <w:kern w:val="0"/>
          <w:sz w:val="24"/>
          <w:szCs w:val="24"/>
          <w:lang w:val="en-US"/>
          <w14:ligatures w14:val="none"/>
        </w:rPr>
        <w:t xml:space="preserve">Yang, J., &amp; Zhang, J. (2006). Grain filling of cereals under soil drying. </w:t>
      </w:r>
      <w:r w:rsidRPr="006C65A4">
        <w:rPr>
          <w:rFonts w:ascii="Times New Roman" w:eastAsia="Times New Roman" w:hAnsi="Times New Roman" w:cs="Times New Roman"/>
          <w:i/>
          <w:iCs/>
          <w:kern w:val="0"/>
          <w:sz w:val="24"/>
          <w:szCs w:val="24"/>
          <w:lang w:val="en-US"/>
          <w14:ligatures w14:val="none"/>
        </w:rPr>
        <w:t>New Phytologist, 169</w:t>
      </w:r>
      <w:r w:rsidRPr="006C65A4">
        <w:rPr>
          <w:rFonts w:ascii="Times New Roman" w:eastAsia="Times New Roman" w:hAnsi="Times New Roman" w:cs="Times New Roman"/>
          <w:kern w:val="0"/>
          <w:sz w:val="24"/>
          <w:szCs w:val="24"/>
          <w:lang w:val="en-US"/>
          <w14:ligatures w14:val="none"/>
        </w:rPr>
        <w:t xml:space="preserve">(2), 223–236. </w:t>
      </w:r>
      <w:hyperlink r:id="rId45" w:history="1">
        <w:r w:rsidRPr="006C65A4">
          <w:rPr>
            <w:rFonts w:ascii="Times New Roman" w:eastAsia="Times New Roman" w:hAnsi="Times New Roman" w:cs="Times New Roman"/>
            <w:color w:val="0000FF"/>
            <w:kern w:val="0"/>
            <w:sz w:val="24"/>
            <w:szCs w:val="24"/>
            <w:u w:val="single"/>
            <w:lang w:val="en-US"/>
            <w14:ligatures w14:val="none"/>
          </w:rPr>
          <w:t>https://doi.org/10.1111/j.1469-8137.2005.01597.x</w:t>
        </w:r>
      </w:hyperlink>
    </w:p>
    <w:p w14:paraId="2907F5AA" w14:textId="77777777" w:rsidR="006C65A4" w:rsidRPr="00AF18A3" w:rsidRDefault="006C65A4" w:rsidP="00D1336B">
      <w:pPr>
        <w:spacing w:after="0" w:line="276" w:lineRule="auto"/>
        <w:ind w:left="720" w:hanging="720"/>
        <w:jc w:val="both"/>
        <w:rPr>
          <w:rFonts w:ascii="Times New Roman" w:hAnsi="Times New Roman" w:cs="Times New Roman"/>
          <w:b/>
          <w:bCs/>
          <w:sz w:val="20"/>
          <w:szCs w:val="20"/>
        </w:rPr>
      </w:pPr>
    </w:p>
    <w:sectPr w:rsidR="006C65A4" w:rsidRPr="00AF18A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EC39BA" w14:textId="77777777" w:rsidR="00B45677" w:rsidRDefault="00B45677" w:rsidP="007E0A41">
      <w:pPr>
        <w:spacing w:after="0" w:line="240" w:lineRule="auto"/>
      </w:pPr>
      <w:r>
        <w:separator/>
      </w:r>
    </w:p>
  </w:endnote>
  <w:endnote w:type="continuationSeparator" w:id="0">
    <w:p w14:paraId="68BB288B" w14:textId="77777777" w:rsidR="00B45677" w:rsidRDefault="00B45677" w:rsidP="007E0A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6AAA84" w14:textId="77777777" w:rsidR="00F65220" w:rsidRDefault="00F6522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71AEF0" w14:textId="77777777" w:rsidR="00F65220" w:rsidRDefault="00F6522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672873" w14:textId="77777777" w:rsidR="00F65220" w:rsidRDefault="00F6522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D40F24" w14:textId="77777777" w:rsidR="00B45677" w:rsidRDefault="00B45677" w:rsidP="007E0A41">
      <w:pPr>
        <w:spacing w:after="0" w:line="240" w:lineRule="auto"/>
      </w:pPr>
      <w:r>
        <w:separator/>
      </w:r>
    </w:p>
  </w:footnote>
  <w:footnote w:type="continuationSeparator" w:id="0">
    <w:p w14:paraId="5C836275" w14:textId="77777777" w:rsidR="00B45677" w:rsidRDefault="00B45677" w:rsidP="007E0A4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B8C97C" w14:textId="77777777" w:rsidR="00F65220" w:rsidRDefault="00000000">
    <w:pPr>
      <w:pStyle w:val="Header"/>
    </w:pPr>
    <w:r>
      <w:rPr>
        <w:noProof/>
      </w:rPr>
      <w:pict w14:anchorId="60F7E24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5023610" o:spid="_x0000_s1026" type="#_x0000_t136" style="position:absolute;margin-left:0;margin-top:0;width:535.8pt;height:100.4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5FA681" w14:textId="77777777" w:rsidR="00F65220" w:rsidRDefault="00000000">
    <w:pPr>
      <w:pStyle w:val="Header"/>
    </w:pPr>
    <w:r>
      <w:rPr>
        <w:noProof/>
      </w:rPr>
      <w:pict w14:anchorId="063289E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5023611" o:spid="_x0000_s1027" type="#_x0000_t136" style="position:absolute;margin-left:0;margin-top:0;width:535.8pt;height:100.4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4EC559" w14:textId="77777777" w:rsidR="00F65220" w:rsidRDefault="00000000">
    <w:pPr>
      <w:pStyle w:val="Header"/>
    </w:pPr>
    <w:r>
      <w:rPr>
        <w:noProof/>
      </w:rPr>
      <w:pict w14:anchorId="383AF59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5023609" o:spid="_x0000_s1025" type="#_x0000_t136" style="position:absolute;margin-left:0;margin-top:0;width:535.8pt;height:100.4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0A41"/>
    <w:rsid w:val="000125F9"/>
    <w:rsid w:val="00016D1D"/>
    <w:rsid w:val="000454C4"/>
    <w:rsid w:val="00065665"/>
    <w:rsid w:val="000C4317"/>
    <w:rsid w:val="0023441B"/>
    <w:rsid w:val="00262367"/>
    <w:rsid w:val="00274801"/>
    <w:rsid w:val="002B26E2"/>
    <w:rsid w:val="002E637A"/>
    <w:rsid w:val="003C5361"/>
    <w:rsid w:val="00403D13"/>
    <w:rsid w:val="00412F75"/>
    <w:rsid w:val="0046655B"/>
    <w:rsid w:val="0048609B"/>
    <w:rsid w:val="00572B6D"/>
    <w:rsid w:val="00597FCD"/>
    <w:rsid w:val="005C28D0"/>
    <w:rsid w:val="005E25FE"/>
    <w:rsid w:val="00630CA7"/>
    <w:rsid w:val="006A4FE8"/>
    <w:rsid w:val="006C65A4"/>
    <w:rsid w:val="00701562"/>
    <w:rsid w:val="00704BE9"/>
    <w:rsid w:val="00711478"/>
    <w:rsid w:val="007C5373"/>
    <w:rsid w:val="007E0A41"/>
    <w:rsid w:val="00806FD9"/>
    <w:rsid w:val="0082201E"/>
    <w:rsid w:val="00913B30"/>
    <w:rsid w:val="00963889"/>
    <w:rsid w:val="00965878"/>
    <w:rsid w:val="009A0D74"/>
    <w:rsid w:val="009D2880"/>
    <w:rsid w:val="00A2471D"/>
    <w:rsid w:val="00A62A73"/>
    <w:rsid w:val="00A64A69"/>
    <w:rsid w:val="00A93199"/>
    <w:rsid w:val="00AD59D9"/>
    <w:rsid w:val="00AE1180"/>
    <w:rsid w:val="00AF18A3"/>
    <w:rsid w:val="00B13D1B"/>
    <w:rsid w:val="00B318C6"/>
    <w:rsid w:val="00B45677"/>
    <w:rsid w:val="00BC109C"/>
    <w:rsid w:val="00BF0A9E"/>
    <w:rsid w:val="00BF18DA"/>
    <w:rsid w:val="00CF7FBD"/>
    <w:rsid w:val="00D1336B"/>
    <w:rsid w:val="00D345CB"/>
    <w:rsid w:val="00D565F6"/>
    <w:rsid w:val="00D97E5D"/>
    <w:rsid w:val="00E41FF0"/>
    <w:rsid w:val="00E72DA5"/>
    <w:rsid w:val="00E866CB"/>
    <w:rsid w:val="00EB197F"/>
    <w:rsid w:val="00EE0923"/>
    <w:rsid w:val="00F642E1"/>
    <w:rsid w:val="00F65220"/>
    <w:rsid w:val="00FB5AB7"/>
    <w:rsid w:val="00FB6638"/>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9FBA08"/>
  <w15:chartTrackingRefBased/>
  <w15:docId w15:val="{3E856B8E-2DB8-41D5-9DA8-6D4F841E5D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0A41"/>
  </w:style>
  <w:style w:type="paragraph" w:styleId="Heading1">
    <w:name w:val="heading 1"/>
    <w:basedOn w:val="Normal"/>
    <w:next w:val="Normal"/>
    <w:link w:val="Heading1Char"/>
    <w:uiPriority w:val="9"/>
    <w:qFormat/>
    <w:rsid w:val="007E0A4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7E0A4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E0A4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E0A4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E0A4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E0A4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E0A4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E0A4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E0A4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E0A4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E0A4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E0A4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E0A4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E0A4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E0A4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E0A4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E0A4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E0A41"/>
    <w:rPr>
      <w:rFonts w:eastAsiaTheme="majorEastAsia" w:cstheme="majorBidi"/>
      <w:color w:val="272727" w:themeColor="text1" w:themeTint="D8"/>
    </w:rPr>
  </w:style>
  <w:style w:type="paragraph" w:styleId="Title">
    <w:name w:val="Title"/>
    <w:basedOn w:val="Normal"/>
    <w:next w:val="Normal"/>
    <w:link w:val="TitleChar"/>
    <w:uiPriority w:val="10"/>
    <w:qFormat/>
    <w:rsid w:val="007E0A4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E0A4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E0A4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E0A4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E0A41"/>
    <w:pPr>
      <w:spacing w:before="160"/>
      <w:jc w:val="center"/>
    </w:pPr>
    <w:rPr>
      <w:i/>
      <w:iCs/>
      <w:color w:val="404040" w:themeColor="text1" w:themeTint="BF"/>
    </w:rPr>
  </w:style>
  <w:style w:type="character" w:customStyle="1" w:styleId="QuoteChar">
    <w:name w:val="Quote Char"/>
    <w:basedOn w:val="DefaultParagraphFont"/>
    <w:link w:val="Quote"/>
    <w:uiPriority w:val="29"/>
    <w:rsid w:val="007E0A41"/>
    <w:rPr>
      <w:i/>
      <w:iCs/>
      <w:color w:val="404040" w:themeColor="text1" w:themeTint="BF"/>
    </w:rPr>
  </w:style>
  <w:style w:type="paragraph" w:styleId="ListParagraph">
    <w:name w:val="List Paragraph"/>
    <w:basedOn w:val="Normal"/>
    <w:uiPriority w:val="34"/>
    <w:qFormat/>
    <w:rsid w:val="007E0A41"/>
    <w:pPr>
      <w:ind w:left="720"/>
      <w:contextualSpacing/>
    </w:pPr>
  </w:style>
  <w:style w:type="character" w:styleId="IntenseEmphasis">
    <w:name w:val="Intense Emphasis"/>
    <w:basedOn w:val="DefaultParagraphFont"/>
    <w:uiPriority w:val="21"/>
    <w:qFormat/>
    <w:rsid w:val="007E0A41"/>
    <w:rPr>
      <w:i/>
      <w:iCs/>
      <w:color w:val="2F5496" w:themeColor="accent1" w:themeShade="BF"/>
    </w:rPr>
  </w:style>
  <w:style w:type="paragraph" w:styleId="IntenseQuote">
    <w:name w:val="Intense Quote"/>
    <w:basedOn w:val="Normal"/>
    <w:next w:val="Normal"/>
    <w:link w:val="IntenseQuoteChar"/>
    <w:uiPriority w:val="30"/>
    <w:qFormat/>
    <w:rsid w:val="007E0A4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E0A41"/>
    <w:rPr>
      <w:i/>
      <w:iCs/>
      <w:color w:val="2F5496" w:themeColor="accent1" w:themeShade="BF"/>
    </w:rPr>
  </w:style>
  <w:style w:type="character" w:styleId="IntenseReference">
    <w:name w:val="Intense Reference"/>
    <w:basedOn w:val="DefaultParagraphFont"/>
    <w:uiPriority w:val="32"/>
    <w:qFormat/>
    <w:rsid w:val="007E0A41"/>
    <w:rPr>
      <w:b/>
      <w:bCs/>
      <w:smallCaps/>
      <w:color w:val="2F5496" w:themeColor="accent1" w:themeShade="BF"/>
      <w:spacing w:val="5"/>
    </w:rPr>
  </w:style>
  <w:style w:type="paragraph" w:styleId="Header">
    <w:name w:val="header"/>
    <w:basedOn w:val="Normal"/>
    <w:link w:val="HeaderChar"/>
    <w:uiPriority w:val="99"/>
    <w:unhideWhenUsed/>
    <w:rsid w:val="007E0A41"/>
    <w:pPr>
      <w:tabs>
        <w:tab w:val="center" w:pos="4513"/>
        <w:tab w:val="right" w:pos="9026"/>
      </w:tabs>
      <w:spacing w:after="0" w:line="240" w:lineRule="auto"/>
    </w:pPr>
  </w:style>
  <w:style w:type="character" w:customStyle="1" w:styleId="HeaderChar">
    <w:name w:val="Header Char"/>
    <w:basedOn w:val="DefaultParagraphFont"/>
    <w:link w:val="Header"/>
    <w:uiPriority w:val="99"/>
    <w:rsid w:val="007E0A41"/>
  </w:style>
  <w:style w:type="paragraph" w:styleId="Footer">
    <w:name w:val="footer"/>
    <w:basedOn w:val="Normal"/>
    <w:link w:val="FooterChar"/>
    <w:uiPriority w:val="99"/>
    <w:unhideWhenUsed/>
    <w:rsid w:val="007E0A41"/>
    <w:pPr>
      <w:tabs>
        <w:tab w:val="center" w:pos="4513"/>
        <w:tab w:val="right" w:pos="9026"/>
      </w:tabs>
      <w:spacing w:after="0" w:line="240" w:lineRule="auto"/>
    </w:pPr>
  </w:style>
  <w:style w:type="character" w:customStyle="1" w:styleId="FooterChar">
    <w:name w:val="Footer Char"/>
    <w:basedOn w:val="DefaultParagraphFont"/>
    <w:link w:val="Footer"/>
    <w:uiPriority w:val="99"/>
    <w:rsid w:val="007E0A41"/>
  </w:style>
  <w:style w:type="character" w:styleId="Hyperlink">
    <w:name w:val="Hyperlink"/>
    <w:basedOn w:val="DefaultParagraphFont"/>
    <w:uiPriority w:val="99"/>
    <w:unhideWhenUsed/>
    <w:rsid w:val="00AE1180"/>
    <w:rPr>
      <w:color w:val="0563C1" w:themeColor="hyperlink"/>
      <w:u w:val="single"/>
    </w:rPr>
  </w:style>
  <w:style w:type="character" w:customStyle="1" w:styleId="UnresolvedMention1">
    <w:name w:val="Unresolved Mention1"/>
    <w:basedOn w:val="DefaultParagraphFont"/>
    <w:uiPriority w:val="99"/>
    <w:semiHidden/>
    <w:unhideWhenUsed/>
    <w:rsid w:val="00AE1180"/>
    <w:rPr>
      <w:color w:val="605E5C"/>
      <w:shd w:val="clear" w:color="auto" w:fill="E1DFDD"/>
    </w:rPr>
  </w:style>
  <w:style w:type="character" w:customStyle="1" w:styleId="UnresolvedMention2">
    <w:name w:val="Unresolved Mention2"/>
    <w:basedOn w:val="DefaultParagraphFont"/>
    <w:uiPriority w:val="99"/>
    <w:semiHidden/>
    <w:unhideWhenUsed/>
    <w:rsid w:val="002E637A"/>
    <w:rPr>
      <w:color w:val="605E5C"/>
      <w:shd w:val="clear" w:color="auto" w:fill="E1DFDD"/>
    </w:rPr>
  </w:style>
  <w:style w:type="paragraph" w:styleId="NormalWeb">
    <w:name w:val="Normal (Web)"/>
    <w:basedOn w:val="Normal"/>
    <w:uiPriority w:val="99"/>
    <w:semiHidden/>
    <w:unhideWhenUsed/>
    <w:rsid w:val="00B318C6"/>
    <w:pPr>
      <w:spacing w:before="100" w:beforeAutospacing="1" w:after="100" w:afterAutospacing="1" w:line="240" w:lineRule="auto"/>
    </w:pPr>
    <w:rPr>
      <w:rFonts w:ascii="Times New Roman" w:eastAsia="Times New Roman" w:hAnsi="Times New Roman" w:cs="Times New Roman"/>
      <w:kern w:val="0"/>
      <w:sz w:val="24"/>
      <w:szCs w:val="24"/>
      <w:lang w:eastAsia="en-IN" w:bidi="hi-IN"/>
      <w14:ligatures w14:val="none"/>
    </w:rPr>
  </w:style>
  <w:style w:type="character" w:styleId="Strong">
    <w:name w:val="Strong"/>
    <w:basedOn w:val="DefaultParagraphFont"/>
    <w:uiPriority w:val="22"/>
    <w:qFormat/>
    <w:rsid w:val="00B318C6"/>
    <w:rPr>
      <w:b/>
      <w:bCs/>
    </w:rPr>
  </w:style>
  <w:style w:type="character" w:styleId="Emphasis">
    <w:name w:val="Emphasis"/>
    <w:basedOn w:val="DefaultParagraphFont"/>
    <w:uiPriority w:val="20"/>
    <w:qFormat/>
    <w:rsid w:val="00B318C6"/>
    <w:rPr>
      <w:i/>
      <w:iCs/>
    </w:rPr>
  </w:style>
  <w:style w:type="table" w:styleId="TableGrid">
    <w:name w:val="Table Grid"/>
    <w:basedOn w:val="TableNormal"/>
    <w:uiPriority w:val="39"/>
    <w:rsid w:val="004665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89679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chart" Target="charts/chart2.xml"/><Relationship Id="rId18" Type="http://schemas.openxmlformats.org/officeDocument/2006/relationships/hyperlink" Target="https://doi.org/10.1016/j.plaphy.2011.01.026" TargetMode="External"/><Relationship Id="rId26" Type="http://schemas.openxmlformats.org/officeDocument/2006/relationships/hyperlink" Target="https://doi.org/10.1007/978-94-010-9117-6" TargetMode="External"/><Relationship Id="rId39" Type="http://schemas.openxmlformats.org/officeDocument/2006/relationships/hyperlink" Target="https://doi.org/10.7831/ras.3.1" TargetMode="External"/><Relationship Id="rId21" Type="http://schemas.openxmlformats.org/officeDocument/2006/relationships/hyperlink" Target="https://doi.org/10.3390/agronomy11122436" TargetMode="External"/><Relationship Id="rId34" Type="http://schemas.openxmlformats.org/officeDocument/2006/relationships/hyperlink" Target="https://doi.org/10.1016/0378-4290(94)90027-2" TargetMode="External"/><Relationship Id="rId42" Type="http://schemas.openxmlformats.org/officeDocument/2006/relationships/hyperlink" Target="https://doi.org/10.20546/ijcmas.2020.912.274" TargetMode="External"/><Relationship Id="rId47" Type="http://schemas.openxmlformats.org/officeDocument/2006/relationships/theme" Target="theme/theme1.xml"/><Relationship Id="rId7" Type="http://schemas.openxmlformats.org/officeDocument/2006/relationships/header" Target="header2.xml"/><Relationship Id="rId2" Type="http://schemas.openxmlformats.org/officeDocument/2006/relationships/settings" Target="settings.xml"/><Relationship Id="rId16" Type="http://schemas.openxmlformats.org/officeDocument/2006/relationships/chart" Target="charts/chart5.xml"/><Relationship Id="rId29" Type="http://schemas.openxmlformats.org/officeDocument/2006/relationships/hyperlink" Target="https://www.phytojournal.com/archives/2018.v7.i4.5297/growth-yield-and-post-harvest-soil-available-nutrients-in-sweet-corn-ltemgtzea-mays-ltemgtl-as-influenced-by-zinc-and-iron-nutrition" TargetMode="Externa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24" Type="http://schemas.openxmlformats.org/officeDocument/2006/relationships/hyperlink" Target="https://searchworks.stanford.edu/view/1569749" TargetMode="External"/><Relationship Id="rId32" Type="http://schemas.openxmlformats.org/officeDocument/2006/relationships/hyperlink" Target="https://doi.org/10.9734/jeai/2022/v44i122090" TargetMode="External"/><Relationship Id="rId37" Type="http://schemas.openxmlformats.org/officeDocument/2006/relationships/hyperlink" Target="https://www.phytojournal.com/archives/2018.v7.i2.4100/morpho-physiological-and-biochemical-studies-on-foliar-application-of-zinc-iron-and-boron-in-maize-ltemgtzea-maysltemgt-l" TargetMode="External"/><Relationship Id="rId40" Type="http://schemas.openxmlformats.org/officeDocument/2006/relationships/hyperlink" Target="https://doi.org/10.56557/pcbmb/2025/v26i7-89395" TargetMode="External"/><Relationship Id="rId45" Type="http://schemas.openxmlformats.org/officeDocument/2006/relationships/hyperlink" Target="https://doi.org/10.1111/j.1469-8137.2005.01597.x" TargetMode="External"/><Relationship Id="rId5" Type="http://schemas.openxmlformats.org/officeDocument/2006/relationships/endnotes" Target="endnotes.xml"/><Relationship Id="rId15" Type="http://schemas.openxmlformats.org/officeDocument/2006/relationships/chart" Target="charts/chart4.xml"/><Relationship Id="rId23" Type="http://schemas.openxmlformats.org/officeDocument/2006/relationships/hyperlink" Target="https://agris.fao.org/search/en/providers/122535/records/65dde38bb766d82b18fac758" TargetMode="External"/><Relationship Id="rId28" Type="http://schemas.openxmlformats.org/officeDocument/2006/relationships/hyperlink" Target="https://www.researchtrend.net/bfij/effect-of-soil-and-foliar-application-of-zn-and-fe-on-soil-fertility-after-harvest-of-maize-3740" TargetMode="External"/><Relationship Id="rId36" Type="http://schemas.openxmlformats.org/officeDocument/2006/relationships/hyperlink" Target="https://doi.org/10.17221/95/2009-PSE" TargetMode="External"/><Relationship Id="rId10" Type="http://schemas.openxmlformats.org/officeDocument/2006/relationships/header" Target="header3.xml"/><Relationship Id="rId19" Type="http://schemas.openxmlformats.org/officeDocument/2006/relationships/hyperlink" Target="https://doi.org/10.1046/j.1469-8137.2000.00630.x" TargetMode="External"/><Relationship Id="rId31" Type="http://schemas.openxmlformats.org/officeDocument/2006/relationships/hyperlink" Target="https://doi.org/10.2134/agronj2005.0072" TargetMode="External"/><Relationship Id="rId44" Type="http://schemas.openxmlformats.org/officeDocument/2006/relationships/hyperlink" Target="https://doi.org/10.3389/fpls.2023.1144514" TargetMode="External"/><Relationship Id="rId4" Type="http://schemas.openxmlformats.org/officeDocument/2006/relationships/footnotes" Target="footnotes.xml"/><Relationship Id="rId9" Type="http://schemas.openxmlformats.org/officeDocument/2006/relationships/footer" Target="footer2.xml"/><Relationship Id="rId14" Type="http://schemas.openxmlformats.org/officeDocument/2006/relationships/chart" Target="charts/chart3.xml"/><Relationship Id="rId22" Type="http://schemas.openxmlformats.org/officeDocument/2006/relationships/hyperlink" Target="https://doi.org/10.1007/s12571-022-01288-7" TargetMode="External"/><Relationship Id="rId27" Type="http://schemas.openxmlformats.org/officeDocument/2006/relationships/hyperlink" Target="https://doi.org/10.1007/s42976-023-00395-1" TargetMode="External"/><Relationship Id="rId30" Type="http://schemas.openxmlformats.org/officeDocument/2006/relationships/hyperlink" Target="https://doi.org/10.1007/s12571-024-01478-5" TargetMode="External"/><Relationship Id="rId35" Type="http://schemas.openxmlformats.org/officeDocument/2006/relationships/hyperlink" Target="https://doi.org/10.9734/ijpss/2021/v33i430424" TargetMode="External"/><Relationship Id="rId43" Type="http://schemas.openxmlformats.org/officeDocument/2006/relationships/hyperlink" Target="https://doi.org/10.1093/oxfordjournals.aob.a083148" TargetMode="External"/><Relationship Id="rId8" Type="http://schemas.openxmlformats.org/officeDocument/2006/relationships/footer" Target="footer1.xml"/><Relationship Id="rId3" Type="http://schemas.openxmlformats.org/officeDocument/2006/relationships/webSettings" Target="webSettings.xml"/><Relationship Id="rId12" Type="http://schemas.openxmlformats.org/officeDocument/2006/relationships/chart" Target="charts/chart1.xml"/><Relationship Id="rId17" Type="http://schemas.openxmlformats.org/officeDocument/2006/relationships/chart" Target="charts/chart6.xml"/><Relationship Id="rId25" Type="http://schemas.openxmlformats.org/officeDocument/2006/relationships/hyperlink" Target="https://doi.org/10.2136/sssaj1984.03615995004800050048x" TargetMode="External"/><Relationship Id="rId33" Type="http://schemas.openxmlformats.org/officeDocument/2006/relationships/hyperlink" Target="https://doi.org/10.22214/ijraset.2025.73673" TargetMode="External"/><Relationship Id="rId38" Type="http://schemas.openxmlformats.org/officeDocument/2006/relationships/hyperlink" Target="https://gauravpublications.com/journal/crop-research/volume-45/issue-1to3-january-june/052" TargetMode="External"/><Relationship Id="rId46" Type="http://schemas.openxmlformats.org/officeDocument/2006/relationships/fontTable" Target="fontTable.xml"/><Relationship Id="rId20" Type="http://schemas.openxmlformats.org/officeDocument/2006/relationships/hyperlink" Target="https://doi.org/10.1038/s41598-025-18968-x" TargetMode="External"/><Relationship Id="rId41" Type="http://schemas.openxmlformats.org/officeDocument/2006/relationships/hyperlink" Target="https://doi.org/10.4236/ajps.2014.518279"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E:\new%20result%20EXCEL\graph%20new%20july.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E:\new%20result%20EXCEL\graph%20new%20july.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E:\new%20result%20EXCEL\graph%20new%20july.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E:\new%20result%20EXCEL\graph%20new%20july.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E:\new%20result%20EXCEL\graph%20new%20july.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file:///E:\new%20result%20EXCEL\graph%20new%20july.xlsx" TargetMode="External"/><Relationship Id="rId2" Type="http://schemas.microsoft.com/office/2011/relationships/chartColorStyle" Target="colors6.xml"/><Relationship Id="rId1" Type="http://schemas.microsoft.com/office/2011/relationships/chartStyle" Target="style6.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4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en-IN"/>
              <a:t>2024</a:t>
            </a:r>
          </a:p>
        </c:rich>
      </c:tx>
      <c:overlay val="0"/>
      <c:spPr>
        <a:noFill/>
        <a:ln>
          <a:noFill/>
        </a:ln>
        <a:effectLst/>
      </c:spPr>
      <c:txPr>
        <a:bodyPr rot="0" spcFirstLastPara="1" vertOverflow="ellipsis" vert="horz" wrap="square" anchor="ctr" anchorCtr="1"/>
        <a:lstStyle/>
        <a:p>
          <a:pPr>
            <a:defRPr sz="144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lineChart>
        <c:grouping val="standard"/>
        <c:varyColors val="0"/>
        <c:ser>
          <c:idx val="0"/>
          <c:order val="0"/>
          <c:tx>
            <c:strRef>
              <c:f>'obj1'!$B$73</c:f>
              <c:strCache>
                <c:ptCount val="1"/>
                <c:pt idx="0">
                  <c:v>T₁</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cat>
            <c:strRef>
              <c:f>'obj1'!$C$72:$E$72</c:f>
              <c:strCache>
                <c:ptCount val="3"/>
                <c:pt idx="0">
                  <c:v>0-30 DAT</c:v>
                </c:pt>
                <c:pt idx="1">
                  <c:v>30-60 DAT</c:v>
                </c:pt>
                <c:pt idx="2">
                  <c:v>60-90 DAT</c:v>
                </c:pt>
              </c:strCache>
            </c:strRef>
          </c:cat>
          <c:val>
            <c:numRef>
              <c:f>'obj1'!$C$73:$E$73</c:f>
              <c:numCache>
                <c:formatCode>General</c:formatCode>
                <c:ptCount val="3"/>
                <c:pt idx="0">
                  <c:v>1.9901555555555557</c:v>
                </c:pt>
                <c:pt idx="1">
                  <c:v>22.078000000000003</c:v>
                </c:pt>
                <c:pt idx="2">
                  <c:v>15.336555555555558</c:v>
                </c:pt>
              </c:numCache>
            </c:numRef>
          </c:val>
          <c:smooth val="0"/>
          <c:extLst>
            <c:ext xmlns:c16="http://schemas.microsoft.com/office/drawing/2014/chart" uri="{C3380CC4-5D6E-409C-BE32-E72D297353CC}">
              <c16:uniqueId val="{00000000-E5F0-43BF-8979-D6AEEA9500CD}"/>
            </c:ext>
          </c:extLst>
        </c:ser>
        <c:ser>
          <c:idx val="1"/>
          <c:order val="1"/>
          <c:tx>
            <c:strRef>
              <c:f>'obj1'!$B$74</c:f>
              <c:strCache>
                <c:ptCount val="1"/>
                <c:pt idx="0">
                  <c:v>T₂</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cat>
            <c:strRef>
              <c:f>'obj1'!$C$72:$E$72</c:f>
              <c:strCache>
                <c:ptCount val="3"/>
                <c:pt idx="0">
                  <c:v>0-30 DAT</c:v>
                </c:pt>
                <c:pt idx="1">
                  <c:v>30-60 DAT</c:v>
                </c:pt>
                <c:pt idx="2">
                  <c:v>60-90 DAT</c:v>
                </c:pt>
              </c:strCache>
            </c:strRef>
          </c:cat>
          <c:val>
            <c:numRef>
              <c:f>'obj1'!$C$74:$E$74</c:f>
              <c:numCache>
                <c:formatCode>General</c:formatCode>
                <c:ptCount val="3"/>
                <c:pt idx="0">
                  <c:v>2.0039888888888888</c:v>
                </c:pt>
                <c:pt idx="1">
                  <c:v>25.717088888888892</c:v>
                </c:pt>
                <c:pt idx="2">
                  <c:v>19.821322222222225</c:v>
                </c:pt>
              </c:numCache>
            </c:numRef>
          </c:val>
          <c:smooth val="0"/>
          <c:extLst>
            <c:ext xmlns:c16="http://schemas.microsoft.com/office/drawing/2014/chart" uri="{C3380CC4-5D6E-409C-BE32-E72D297353CC}">
              <c16:uniqueId val="{00000001-E5F0-43BF-8979-D6AEEA9500CD}"/>
            </c:ext>
          </c:extLst>
        </c:ser>
        <c:ser>
          <c:idx val="2"/>
          <c:order val="2"/>
          <c:tx>
            <c:strRef>
              <c:f>'obj1'!$B$75</c:f>
              <c:strCache>
                <c:ptCount val="1"/>
                <c:pt idx="0">
                  <c:v>T₃</c:v>
                </c:pt>
              </c:strCache>
            </c:strRef>
          </c:tx>
          <c:spPr>
            <a:ln w="28575" cap="rnd">
              <a:solidFill>
                <a:schemeClr val="accent3"/>
              </a:solidFill>
              <a:round/>
            </a:ln>
            <a:effectLst/>
          </c:spPr>
          <c:marker>
            <c:symbol val="circle"/>
            <c:size val="5"/>
            <c:spPr>
              <a:solidFill>
                <a:schemeClr val="accent3"/>
              </a:solidFill>
              <a:ln w="9525">
                <a:solidFill>
                  <a:schemeClr val="accent3"/>
                </a:solidFill>
              </a:ln>
              <a:effectLst/>
            </c:spPr>
          </c:marker>
          <c:cat>
            <c:strRef>
              <c:f>'obj1'!$C$72:$E$72</c:f>
              <c:strCache>
                <c:ptCount val="3"/>
                <c:pt idx="0">
                  <c:v>0-30 DAT</c:v>
                </c:pt>
                <c:pt idx="1">
                  <c:v>30-60 DAT</c:v>
                </c:pt>
                <c:pt idx="2">
                  <c:v>60-90 DAT</c:v>
                </c:pt>
              </c:strCache>
            </c:strRef>
          </c:cat>
          <c:val>
            <c:numRef>
              <c:f>'obj1'!$C$75:$E$75</c:f>
              <c:numCache>
                <c:formatCode>General</c:formatCode>
                <c:ptCount val="3"/>
                <c:pt idx="0">
                  <c:v>2.0021444444444447</c:v>
                </c:pt>
                <c:pt idx="1">
                  <c:v>27.883388888888891</c:v>
                </c:pt>
                <c:pt idx="2">
                  <c:v>18.342077777777778</c:v>
                </c:pt>
              </c:numCache>
            </c:numRef>
          </c:val>
          <c:smooth val="0"/>
          <c:extLst>
            <c:ext xmlns:c16="http://schemas.microsoft.com/office/drawing/2014/chart" uri="{C3380CC4-5D6E-409C-BE32-E72D297353CC}">
              <c16:uniqueId val="{00000002-E5F0-43BF-8979-D6AEEA9500CD}"/>
            </c:ext>
          </c:extLst>
        </c:ser>
        <c:ser>
          <c:idx val="3"/>
          <c:order val="3"/>
          <c:tx>
            <c:strRef>
              <c:f>'obj1'!$B$76</c:f>
              <c:strCache>
                <c:ptCount val="1"/>
                <c:pt idx="0">
                  <c:v>T₄</c:v>
                </c:pt>
              </c:strCache>
            </c:strRef>
          </c:tx>
          <c:spPr>
            <a:ln w="28575" cap="rnd">
              <a:solidFill>
                <a:schemeClr val="accent4"/>
              </a:solidFill>
              <a:round/>
            </a:ln>
            <a:effectLst/>
          </c:spPr>
          <c:marker>
            <c:symbol val="circle"/>
            <c:size val="5"/>
            <c:spPr>
              <a:solidFill>
                <a:schemeClr val="accent4"/>
              </a:solidFill>
              <a:ln w="9525">
                <a:solidFill>
                  <a:schemeClr val="accent4"/>
                </a:solidFill>
              </a:ln>
              <a:effectLst/>
            </c:spPr>
          </c:marker>
          <c:cat>
            <c:strRef>
              <c:f>'obj1'!$C$72:$E$72</c:f>
              <c:strCache>
                <c:ptCount val="3"/>
                <c:pt idx="0">
                  <c:v>0-30 DAT</c:v>
                </c:pt>
                <c:pt idx="1">
                  <c:v>30-60 DAT</c:v>
                </c:pt>
                <c:pt idx="2">
                  <c:v>60-90 DAT</c:v>
                </c:pt>
              </c:strCache>
            </c:strRef>
          </c:cat>
          <c:val>
            <c:numRef>
              <c:f>'obj1'!$C$76:$E$76</c:f>
              <c:numCache>
                <c:formatCode>General</c:formatCode>
                <c:ptCount val="3"/>
                <c:pt idx="0">
                  <c:v>2.0113666666666665</c:v>
                </c:pt>
                <c:pt idx="1">
                  <c:v>29.66235555555556</c:v>
                </c:pt>
                <c:pt idx="2">
                  <c:v>17.843155555555558</c:v>
                </c:pt>
              </c:numCache>
            </c:numRef>
          </c:val>
          <c:smooth val="0"/>
          <c:extLst>
            <c:ext xmlns:c16="http://schemas.microsoft.com/office/drawing/2014/chart" uri="{C3380CC4-5D6E-409C-BE32-E72D297353CC}">
              <c16:uniqueId val="{00000003-E5F0-43BF-8979-D6AEEA9500CD}"/>
            </c:ext>
          </c:extLst>
        </c:ser>
        <c:ser>
          <c:idx val="4"/>
          <c:order val="4"/>
          <c:tx>
            <c:strRef>
              <c:f>'obj1'!$B$77</c:f>
              <c:strCache>
                <c:ptCount val="1"/>
                <c:pt idx="0">
                  <c:v>T₅</c:v>
                </c:pt>
              </c:strCache>
            </c:strRef>
          </c:tx>
          <c:spPr>
            <a:ln w="28575" cap="rnd">
              <a:solidFill>
                <a:schemeClr val="accent5"/>
              </a:solidFill>
              <a:round/>
            </a:ln>
            <a:effectLst/>
          </c:spPr>
          <c:marker>
            <c:symbol val="circle"/>
            <c:size val="5"/>
            <c:spPr>
              <a:solidFill>
                <a:schemeClr val="accent5"/>
              </a:solidFill>
              <a:ln w="9525">
                <a:solidFill>
                  <a:schemeClr val="accent5"/>
                </a:solidFill>
              </a:ln>
              <a:effectLst/>
            </c:spPr>
          </c:marker>
          <c:cat>
            <c:strRef>
              <c:f>'obj1'!$C$72:$E$72</c:f>
              <c:strCache>
                <c:ptCount val="3"/>
                <c:pt idx="0">
                  <c:v>0-30 DAT</c:v>
                </c:pt>
                <c:pt idx="1">
                  <c:v>30-60 DAT</c:v>
                </c:pt>
                <c:pt idx="2">
                  <c:v>60-90 DAT</c:v>
                </c:pt>
              </c:strCache>
            </c:strRef>
          </c:cat>
          <c:val>
            <c:numRef>
              <c:f>'obj1'!$C$77:$E$77</c:f>
              <c:numCache>
                <c:formatCode>General</c:formatCode>
                <c:ptCount val="3"/>
                <c:pt idx="0">
                  <c:v>1.9975333333333334</c:v>
                </c:pt>
                <c:pt idx="1">
                  <c:v>26.214166666666667</c:v>
                </c:pt>
                <c:pt idx="2">
                  <c:v>17.947366666666667</c:v>
                </c:pt>
              </c:numCache>
            </c:numRef>
          </c:val>
          <c:smooth val="0"/>
          <c:extLst>
            <c:ext xmlns:c16="http://schemas.microsoft.com/office/drawing/2014/chart" uri="{C3380CC4-5D6E-409C-BE32-E72D297353CC}">
              <c16:uniqueId val="{00000004-E5F0-43BF-8979-D6AEEA9500CD}"/>
            </c:ext>
          </c:extLst>
        </c:ser>
        <c:ser>
          <c:idx val="5"/>
          <c:order val="5"/>
          <c:tx>
            <c:strRef>
              <c:f>'obj1'!$B$78</c:f>
              <c:strCache>
                <c:ptCount val="1"/>
                <c:pt idx="0">
                  <c:v>T₆</c:v>
                </c:pt>
              </c:strCache>
            </c:strRef>
          </c:tx>
          <c:spPr>
            <a:ln w="28575" cap="rnd">
              <a:solidFill>
                <a:schemeClr val="accent6"/>
              </a:solidFill>
              <a:round/>
            </a:ln>
            <a:effectLst/>
          </c:spPr>
          <c:marker>
            <c:symbol val="circle"/>
            <c:size val="5"/>
            <c:spPr>
              <a:solidFill>
                <a:schemeClr val="accent6"/>
              </a:solidFill>
              <a:ln w="9525">
                <a:solidFill>
                  <a:schemeClr val="accent6"/>
                </a:solidFill>
              </a:ln>
              <a:effectLst/>
            </c:spPr>
          </c:marker>
          <c:cat>
            <c:strRef>
              <c:f>'obj1'!$C$72:$E$72</c:f>
              <c:strCache>
                <c:ptCount val="3"/>
                <c:pt idx="0">
                  <c:v>0-30 DAT</c:v>
                </c:pt>
                <c:pt idx="1">
                  <c:v>30-60 DAT</c:v>
                </c:pt>
                <c:pt idx="2">
                  <c:v>60-90 DAT</c:v>
                </c:pt>
              </c:strCache>
            </c:strRef>
          </c:cat>
          <c:val>
            <c:numRef>
              <c:f>'obj1'!$C$78:$E$78</c:f>
              <c:numCache>
                <c:formatCode>General</c:formatCode>
                <c:ptCount val="3"/>
                <c:pt idx="0">
                  <c:v>2.0132111111111111</c:v>
                </c:pt>
                <c:pt idx="1">
                  <c:v>27.492366666666666</c:v>
                </c:pt>
                <c:pt idx="2">
                  <c:v>17.36267777777778</c:v>
                </c:pt>
              </c:numCache>
            </c:numRef>
          </c:val>
          <c:smooth val="0"/>
          <c:extLst>
            <c:ext xmlns:c16="http://schemas.microsoft.com/office/drawing/2014/chart" uri="{C3380CC4-5D6E-409C-BE32-E72D297353CC}">
              <c16:uniqueId val="{00000005-E5F0-43BF-8979-D6AEEA9500CD}"/>
            </c:ext>
          </c:extLst>
        </c:ser>
        <c:ser>
          <c:idx val="6"/>
          <c:order val="6"/>
          <c:tx>
            <c:strRef>
              <c:f>'obj1'!$B$79</c:f>
              <c:strCache>
                <c:ptCount val="1"/>
                <c:pt idx="0">
                  <c:v>T₇</c:v>
                </c:pt>
              </c:strCache>
            </c:strRef>
          </c:tx>
          <c:spPr>
            <a:ln w="28575" cap="rnd">
              <a:solidFill>
                <a:srgbClr val="8BF22E"/>
              </a:solidFill>
              <a:round/>
            </a:ln>
            <a:effectLst/>
          </c:spPr>
          <c:marker>
            <c:symbol val="circle"/>
            <c:size val="5"/>
            <c:spPr>
              <a:solidFill>
                <a:srgbClr val="8BF22E"/>
              </a:solidFill>
              <a:ln w="9525">
                <a:solidFill>
                  <a:srgbClr val="8BF22E"/>
                </a:solidFill>
              </a:ln>
              <a:effectLst/>
            </c:spPr>
          </c:marker>
          <c:cat>
            <c:strRef>
              <c:f>'obj1'!$C$72:$E$72</c:f>
              <c:strCache>
                <c:ptCount val="3"/>
                <c:pt idx="0">
                  <c:v>0-30 DAT</c:v>
                </c:pt>
                <c:pt idx="1">
                  <c:v>30-60 DAT</c:v>
                </c:pt>
                <c:pt idx="2">
                  <c:v>60-90 DAT</c:v>
                </c:pt>
              </c:strCache>
            </c:strRef>
          </c:cat>
          <c:val>
            <c:numRef>
              <c:f>'obj1'!$C$79:$E$79</c:f>
              <c:numCache>
                <c:formatCode>General</c:formatCode>
                <c:ptCount val="3"/>
                <c:pt idx="0">
                  <c:v>2.009522222222222</c:v>
                </c:pt>
                <c:pt idx="1">
                  <c:v>28.23844444444445</c:v>
                </c:pt>
                <c:pt idx="2">
                  <c:v>18.848377777777785</c:v>
                </c:pt>
              </c:numCache>
            </c:numRef>
          </c:val>
          <c:smooth val="0"/>
          <c:extLst>
            <c:ext xmlns:c16="http://schemas.microsoft.com/office/drawing/2014/chart" uri="{C3380CC4-5D6E-409C-BE32-E72D297353CC}">
              <c16:uniqueId val="{00000006-E5F0-43BF-8979-D6AEEA9500CD}"/>
            </c:ext>
          </c:extLst>
        </c:ser>
        <c:ser>
          <c:idx val="7"/>
          <c:order val="7"/>
          <c:tx>
            <c:strRef>
              <c:f>'obj1'!$B$80</c:f>
              <c:strCache>
                <c:ptCount val="1"/>
                <c:pt idx="0">
                  <c:v>T₈</c:v>
                </c:pt>
              </c:strCache>
            </c:strRef>
          </c:tx>
          <c:spPr>
            <a:ln w="28575" cap="rnd">
              <a:solidFill>
                <a:schemeClr val="accent2">
                  <a:lumMod val="60000"/>
                </a:schemeClr>
              </a:solidFill>
              <a:round/>
            </a:ln>
            <a:effectLst/>
          </c:spPr>
          <c:marker>
            <c:symbol val="circle"/>
            <c:size val="5"/>
            <c:spPr>
              <a:solidFill>
                <a:schemeClr val="accent2">
                  <a:lumMod val="60000"/>
                </a:schemeClr>
              </a:solidFill>
              <a:ln w="9525">
                <a:solidFill>
                  <a:schemeClr val="accent2">
                    <a:lumMod val="60000"/>
                  </a:schemeClr>
                </a:solidFill>
              </a:ln>
              <a:effectLst/>
            </c:spPr>
          </c:marker>
          <c:cat>
            <c:strRef>
              <c:f>'obj1'!$C$72:$E$72</c:f>
              <c:strCache>
                <c:ptCount val="3"/>
                <c:pt idx="0">
                  <c:v>0-30 DAT</c:v>
                </c:pt>
                <c:pt idx="1">
                  <c:v>30-60 DAT</c:v>
                </c:pt>
                <c:pt idx="2">
                  <c:v>60-90 DAT</c:v>
                </c:pt>
              </c:strCache>
            </c:strRef>
          </c:cat>
          <c:val>
            <c:numRef>
              <c:f>'obj1'!$C$80:$E$80</c:f>
              <c:numCache>
                <c:formatCode>General</c:formatCode>
                <c:ptCount val="3"/>
                <c:pt idx="0">
                  <c:v>2.0169000000000001</c:v>
                </c:pt>
                <c:pt idx="1">
                  <c:v>30.142833333333339</c:v>
                </c:pt>
                <c:pt idx="2">
                  <c:v>19.415544444444446</c:v>
                </c:pt>
              </c:numCache>
            </c:numRef>
          </c:val>
          <c:smooth val="0"/>
          <c:extLst>
            <c:ext xmlns:c16="http://schemas.microsoft.com/office/drawing/2014/chart" uri="{C3380CC4-5D6E-409C-BE32-E72D297353CC}">
              <c16:uniqueId val="{00000007-E5F0-43BF-8979-D6AEEA9500CD}"/>
            </c:ext>
          </c:extLst>
        </c:ser>
        <c:ser>
          <c:idx val="8"/>
          <c:order val="8"/>
          <c:tx>
            <c:strRef>
              <c:f>'obj1'!$B$81</c:f>
              <c:strCache>
                <c:ptCount val="1"/>
                <c:pt idx="0">
                  <c:v>T₉</c:v>
                </c:pt>
              </c:strCache>
            </c:strRef>
          </c:tx>
          <c:spPr>
            <a:ln w="28575" cap="rnd">
              <a:solidFill>
                <a:srgbClr val="FFFF00"/>
              </a:solidFill>
              <a:round/>
            </a:ln>
            <a:effectLst/>
          </c:spPr>
          <c:marker>
            <c:symbol val="circle"/>
            <c:size val="5"/>
            <c:spPr>
              <a:solidFill>
                <a:srgbClr val="FFFF00"/>
              </a:solidFill>
              <a:ln w="9525">
                <a:solidFill>
                  <a:srgbClr val="FFFF00"/>
                </a:solidFill>
              </a:ln>
              <a:effectLst/>
            </c:spPr>
          </c:marker>
          <c:cat>
            <c:strRef>
              <c:f>'obj1'!$C$72:$E$72</c:f>
              <c:strCache>
                <c:ptCount val="3"/>
                <c:pt idx="0">
                  <c:v>0-30 DAT</c:v>
                </c:pt>
                <c:pt idx="1">
                  <c:v>30-60 DAT</c:v>
                </c:pt>
                <c:pt idx="2">
                  <c:v>60-90 DAT</c:v>
                </c:pt>
              </c:strCache>
            </c:strRef>
          </c:cat>
          <c:val>
            <c:numRef>
              <c:f>'obj1'!$C$81:$E$81</c:f>
              <c:numCache>
                <c:formatCode>General</c:formatCode>
                <c:ptCount val="3"/>
                <c:pt idx="0">
                  <c:v>2.0307333333333335</c:v>
                </c:pt>
                <c:pt idx="1">
                  <c:v>44.265744444444444</c:v>
                </c:pt>
                <c:pt idx="2">
                  <c:v>21.111511111111117</c:v>
                </c:pt>
              </c:numCache>
            </c:numRef>
          </c:val>
          <c:smooth val="0"/>
          <c:extLst>
            <c:ext xmlns:c16="http://schemas.microsoft.com/office/drawing/2014/chart" uri="{C3380CC4-5D6E-409C-BE32-E72D297353CC}">
              <c16:uniqueId val="{00000008-E5F0-43BF-8979-D6AEEA9500CD}"/>
            </c:ext>
          </c:extLst>
        </c:ser>
        <c:ser>
          <c:idx val="9"/>
          <c:order val="9"/>
          <c:tx>
            <c:strRef>
              <c:f>'obj1'!$B$82</c:f>
              <c:strCache>
                <c:ptCount val="1"/>
                <c:pt idx="0">
                  <c:v>T₁₀</c:v>
                </c:pt>
              </c:strCache>
            </c:strRef>
          </c:tx>
          <c:spPr>
            <a:ln w="28575" cap="rnd">
              <a:solidFill>
                <a:srgbClr val="FF0000"/>
              </a:solidFill>
              <a:round/>
            </a:ln>
            <a:effectLst/>
          </c:spPr>
          <c:marker>
            <c:symbol val="circle"/>
            <c:size val="5"/>
            <c:spPr>
              <a:solidFill>
                <a:srgbClr val="FF0000"/>
              </a:solidFill>
              <a:ln w="9525">
                <a:solidFill>
                  <a:srgbClr val="FF0000"/>
                </a:solidFill>
              </a:ln>
              <a:effectLst/>
            </c:spPr>
          </c:marker>
          <c:cat>
            <c:strRef>
              <c:f>'obj1'!$C$72:$E$72</c:f>
              <c:strCache>
                <c:ptCount val="3"/>
                <c:pt idx="0">
                  <c:v>0-30 DAT</c:v>
                </c:pt>
                <c:pt idx="1">
                  <c:v>30-60 DAT</c:v>
                </c:pt>
                <c:pt idx="2">
                  <c:v>60-90 DAT</c:v>
                </c:pt>
              </c:strCache>
            </c:strRef>
          </c:cat>
          <c:val>
            <c:numRef>
              <c:f>'obj1'!$C$82:$E$82</c:f>
              <c:numCache>
                <c:formatCode>General</c:formatCode>
                <c:ptCount val="3"/>
                <c:pt idx="0">
                  <c:v>2.0049111111111113</c:v>
                </c:pt>
                <c:pt idx="1">
                  <c:v>49.927266666666668</c:v>
                </c:pt>
                <c:pt idx="2">
                  <c:v>21.683288888888892</c:v>
                </c:pt>
              </c:numCache>
            </c:numRef>
          </c:val>
          <c:smooth val="0"/>
          <c:extLst>
            <c:ext xmlns:c16="http://schemas.microsoft.com/office/drawing/2014/chart" uri="{C3380CC4-5D6E-409C-BE32-E72D297353CC}">
              <c16:uniqueId val="{00000009-E5F0-43BF-8979-D6AEEA9500CD}"/>
            </c:ext>
          </c:extLst>
        </c:ser>
        <c:ser>
          <c:idx val="10"/>
          <c:order val="10"/>
          <c:tx>
            <c:strRef>
              <c:f>'obj1'!$B$83</c:f>
              <c:strCache>
                <c:ptCount val="1"/>
                <c:pt idx="0">
                  <c:v>T₁₁</c:v>
                </c:pt>
              </c:strCache>
            </c:strRef>
          </c:tx>
          <c:spPr>
            <a:ln w="28575" cap="rnd">
              <a:solidFill>
                <a:schemeClr val="accent5">
                  <a:lumMod val="60000"/>
                </a:schemeClr>
              </a:solidFill>
              <a:round/>
            </a:ln>
            <a:effectLst/>
          </c:spPr>
          <c:marker>
            <c:symbol val="circle"/>
            <c:size val="5"/>
            <c:spPr>
              <a:solidFill>
                <a:schemeClr val="accent5">
                  <a:lumMod val="60000"/>
                </a:schemeClr>
              </a:solidFill>
              <a:ln w="9525">
                <a:solidFill>
                  <a:schemeClr val="accent5">
                    <a:lumMod val="60000"/>
                  </a:schemeClr>
                </a:solidFill>
              </a:ln>
              <a:effectLst/>
            </c:spPr>
          </c:marker>
          <c:cat>
            <c:strRef>
              <c:f>'obj1'!$C$72:$E$72</c:f>
              <c:strCache>
                <c:ptCount val="3"/>
                <c:pt idx="0">
                  <c:v>0-30 DAT</c:v>
                </c:pt>
                <c:pt idx="1">
                  <c:v>30-60 DAT</c:v>
                </c:pt>
                <c:pt idx="2">
                  <c:v>60-90 DAT</c:v>
                </c:pt>
              </c:strCache>
            </c:strRef>
          </c:cat>
          <c:val>
            <c:numRef>
              <c:f>'obj1'!$C$83:$E$83</c:f>
              <c:numCache>
                <c:formatCode>General</c:formatCode>
                <c:ptCount val="3"/>
                <c:pt idx="0">
                  <c:v>2.0049111111111113</c:v>
                </c:pt>
                <c:pt idx="1">
                  <c:v>29.904900000000001</c:v>
                </c:pt>
                <c:pt idx="2">
                  <c:v>18.020222222222227</c:v>
                </c:pt>
              </c:numCache>
            </c:numRef>
          </c:val>
          <c:smooth val="0"/>
          <c:extLst>
            <c:ext xmlns:c16="http://schemas.microsoft.com/office/drawing/2014/chart" uri="{C3380CC4-5D6E-409C-BE32-E72D297353CC}">
              <c16:uniqueId val="{0000000A-E5F0-43BF-8979-D6AEEA9500CD}"/>
            </c:ext>
          </c:extLst>
        </c:ser>
        <c:ser>
          <c:idx val="11"/>
          <c:order val="11"/>
          <c:tx>
            <c:strRef>
              <c:f>'obj1'!$B$84</c:f>
              <c:strCache>
                <c:ptCount val="1"/>
                <c:pt idx="0">
                  <c:v>T₁₂</c:v>
                </c:pt>
              </c:strCache>
            </c:strRef>
          </c:tx>
          <c:spPr>
            <a:ln w="28575" cap="rnd">
              <a:solidFill>
                <a:srgbClr val="14F1FC"/>
              </a:solidFill>
              <a:round/>
            </a:ln>
            <a:effectLst/>
          </c:spPr>
          <c:marker>
            <c:symbol val="circle"/>
            <c:size val="5"/>
            <c:spPr>
              <a:solidFill>
                <a:srgbClr val="14F1FC"/>
              </a:solidFill>
              <a:ln w="9525">
                <a:solidFill>
                  <a:srgbClr val="14F1FC"/>
                </a:solidFill>
              </a:ln>
              <a:effectLst/>
            </c:spPr>
          </c:marker>
          <c:cat>
            <c:strRef>
              <c:f>'obj1'!$C$72:$E$72</c:f>
              <c:strCache>
                <c:ptCount val="3"/>
                <c:pt idx="0">
                  <c:v>0-30 DAT</c:v>
                </c:pt>
                <c:pt idx="1">
                  <c:v>30-60 DAT</c:v>
                </c:pt>
                <c:pt idx="2">
                  <c:v>60-90 DAT</c:v>
                </c:pt>
              </c:strCache>
            </c:strRef>
          </c:cat>
          <c:val>
            <c:numRef>
              <c:f>'obj1'!$C$84:$E$84</c:f>
              <c:numCache>
                <c:formatCode>General</c:formatCode>
                <c:ptCount val="3"/>
                <c:pt idx="0">
                  <c:v>2.0371888888888887</c:v>
                </c:pt>
                <c:pt idx="1">
                  <c:v>30.333733333333331</c:v>
                </c:pt>
                <c:pt idx="2">
                  <c:v>19.24677777777778</c:v>
                </c:pt>
              </c:numCache>
            </c:numRef>
          </c:val>
          <c:smooth val="0"/>
          <c:extLst>
            <c:ext xmlns:c16="http://schemas.microsoft.com/office/drawing/2014/chart" uri="{C3380CC4-5D6E-409C-BE32-E72D297353CC}">
              <c16:uniqueId val="{0000000B-E5F0-43BF-8979-D6AEEA9500CD}"/>
            </c:ext>
          </c:extLst>
        </c:ser>
        <c:ser>
          <c:idx val="12"/>
          <c:order val="12"/>
          <c:tx>
            <c:strRef>
              <c:f>'obj1'!$B$85</c:f>
              <c:strCache>
                <c:ptCount val="1"/>
                <c:pt idx="0">
                  <c:v>T₁₃</c:v>
                </c:pt>
              </c:strCache>
            </c:strRef>
          </c:tx>
          <c:spPr>
            <a:ln w="28575" cap="rnd">
              <a:solidFill>
                <a:schemeClr val="accent2">
                  <a:lumMod val="40000"/>
                  <a:lumOff val="60000"/>
                </a:schemeClr>
              </a:solidFill>
              <a:round/>
            </a:ln>
            <a:effectLst/>
          </c:spPr>
          <c:marker>
            <c:symbol val="circle"/>
            <c:size val="5"/>
            <c:spPr>
              <a:solidFill>
                <a:schemeClr val="accent2">
                  <a:lumMod val="40000"/>
                  <a:lumOff val="60000"/>
                </a:schemeClr>
              </a:solidFill>
              <a:ln w="9525">
                <a:solidFill>
                  <a:schemeClr val="accent2">
                    <a:lumMod val="40000"/>
                    <a:lumOff val="60000"/>
                  </a:schemeClr>
                </a:solidFill>
              </a:ln>
              <a:effectLst/>
            </c:spPr>
          </c:marker>
          <c:cat>
            <c:strRef>
              <c:f>'obj1'!$C$72:$E$72</c:f>
              <c:strCache>
                <c:ptCount val="3"/>
                <c:pt idx="0">
                  <c:v>0-30 DAT</c:v>
                </c:pt>
                <c:pt idx="1">
                  <c:v>30-60 DAT</c:v>
                </c:pt>
                <c:pt idx="2">
                  <c:v>60-90 DAT</c:v>
                </c:pt>
              </c:strCache>
            </c:strRef>
          </c:cat>
          <c:val>
            <c:numRef>
              <c:f>'obj1'!$C$85:$E$85</c:f>
              <c:numCache>
                <c:formatCode>General</c:formatCode>
                <c:ptCount val="3"/>
                <c:pt idx="0">
                  <c:v>2.0261222222222224</c:v>
                </c:pt>
                <c:pt idx="1">
                  <c:v>31.458844444444448</c:v>
                </c:pt>
                <c:pt idx="2">
                  <c:v>18.782899999999998</c:v>
                </c:pt>
              </c:numCache>
            </c:numRef>
          </c:val>
          <c:smooth val="0"/>
          <c:extLst>
            <c:ext xmlns:c16="http://schemas.microsoft.com/office/drawing/2014/chart" uri="{C3380CC4-5D6E-409C-BE32-E72D297353CC}">
              <c16:uniqueId val="{0000000C-E5F0-43BF-8979-D6AEEA9500CD}"/>
            </c:ext>
          </c:extLst>
        </c:ser>
        <c:dLbls>
          <c:showLegendKey val="0"/>
          <c:showVal val="0"/>
          <c:showCatName val="0"/>
          <c:showSerName val="0"/>
          <c:showPercent val="0"/>
          <c:showBubbleSize val="0"/>
        </c:dLbls>
        <c:marker val="1"/>
        <c:smooth val="0"/>
        <c:axId val="911733839"/>
        <c:axId val="911739119"/>
      </c:lineChart>
      <c:catAx>
        <c:axId val="911733839"/>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911739119"/>
        <c:crosses val="autoZero"/>
        <c:auto val="1"/>
        <c:lblAlgn val="ctr"/>
        <c:lblOffset val="100"/>
        <c:noMultiLvlLbl val="0"/>
      </c:catAx>
      <c:valAx>
        <c:axId val="911739119"/>
        <c:scaling>
          <c:orientation val="minMax"/>
        </c:scaling>
        <c:delete val="0"/>
        <c:axPos val="l"/>
        <c:majorGridlines>
          <c:spPr>
            <a:ln w="9525" cap="flat" cmpd="sng" algn="ctr">
              <a:solidFill>
                <a:schemeClr val="accent1">
                  <a:alpha val="0"/>
                </a:schemeClr>
              </a:solidFill>
              <a:round/>
            </a:ln>
            <a:effectLst/>
          </c:spPr>
        </c:majorGridlines>
        <c:title>
          <c:tx>
            <c:rich>
              <a:bodyPr rot="-5400000" spcFirstLastPara="1" vertOverflow="ellipsis" vert="horz" wrap="square" anchor="ctr" anchorCtr="1"/>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IN"/>
                  <a:t>CGR (g m</a:t>
                </a:r>
                <a:r>
                  <a:rPr lang="en-IN" baseline="30000"/>
                  <a:t>-2</a:t>
                </a:r>
                <a:r>
                  <a:rPr lang="en-IN"/>
                  <a:t> day</a:t>
                </a:r>
                <a:r>
                  <a:rPr lang="en-IN" baseline="30000"/>
                  <a:t>-1</a:t>
                </a:r>
                <a:r>
                  <a:rPr lang="en-IN"/>
                  <a:t>)</a:t>
                </a:r>
              </a:p>
            </c:rich>
          </c:tx>
          <c:overlay val="0"/>
          <c:spPr>
            <a:noFill/>
            <a:ln>
              <a:noFill/>
            </a:ln>
            <a:effectLst/>
          </c:spPr>
          <c:txPr>
            <a:bodyPr rot="-5400000" spcFirstLastPara="1" vertOverflow="ellipsis" vert="horz" wrap="square" anchor="ctr" anchorCtr="1"/>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911733839"/>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1200" b="1">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4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en-IN"/>
              <a:t>2025</a:t>
            </a:r>
          </a:p>
        </c:rich>
      </c:tx>
      <c:overlay val="0"/>
      <c:spPr>
        <a:noFill/>
        <a:ln>
          <a:noFill/>
        </a:ln>
        <a:effectLst/>
      </c:spPr>
      <c:txPr>
        <a:bodyPr rot="0" spcFirstLastPara="1" vertOverflow="ellipsis" vert="horz" wrap="square" anchor="ctr" anchorCtr="1"/>
        <a:lstStyle/>
        <a:p>
          <a:pPr>
            <a:defRPr sz="144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lineChart>
        <c:grouping val="standard"/>
        <c:varyColors val="0"/>
        <c:ser>
          <c:idx val="0"/>
          <c:order val="0"/>
          <c:tx>
            <c:strRef>
              <c:f>'obj1'!$P$74</c:f>
              <c:strCache>
                <c:ptCount val="1"/>
                <c:pt idx="0">
                  <c:v>T₁</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cat>
            <c:strRef>
              <c:f>'obj1'!$Q$73:$S$73</c:f>
              <c:strCache>
                <c:ptCount val="3"/>
                <c:pt idx="0">
                  <c:v>0-30 DAT</c:v>
                </c:pt>
                <c:pt idx="1">
                  <c:v>30-60 DAT</c:v>
                </c:pt>
                <c:pt idx="2">
                  <c:v>60-90 DAT</c:v>
                </c:pt>
              </c:strCache>
            </c:strRef>
          </c:cat>
          <c:val>
            <c:numRef>
              <c:f>'obj1'!$Q$74:$S$74</c:f>
              <c:numCache>
                <c:formatCode>General</c:formatCode>
                <c:ptCount val="3"/>
                <c:pt idx="0">
                  <c:v>1.9992000000000001</c:v>
                </c:pt>
                <c:pt idx="1">
                  <c:v>22.194822222222218</c:v>
                </c:pt>
                <c:pt idx="2">
                  <c:v>16.833078888888888</c:v>
                </c:pt>
              </c:numCache>
            </c:numRef>
          </c:val>
          <c:smooth val="0"/>
          <c:extLst>
            <c:ext xmlns:c16="http://schemas.microsoft.com/office/drawing/2014/chart" uri="{C3380CC4-5D6E-409C-BE32-E72D297353CC}">
              <c16:uniqueId val="{00000000-3DAE-4AF8-9B33-990BF70713EE}"/>
            </c:ext>
          </c:extLst>
        </c:ser>
        <c:ser>
          <c:idx val="1"/>
          <c:order val="1"/>
          <c:tx>
            <c:strRef>
              <c:f>'obj1'!$P$75</c:f>
              <c:strCache>
                <c:ptCount val="1"/>
                <c:pt idx="0">
                  <c:v>T₂</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cat>
            <c:strRef>
              <c:f>'obj1'!$Q$73:$S$73</c:f>
              <c:strCache>
                <c:ptCount val="3"/>
                <c:pt idx="0">
                  <c:v>0-30 DAT</c:v>
                </c:pt>
                <c:pt idx="1">
                  <c:v>30-60 DAT</c:v>
                </c:pt>
                <c:pt idx="2">
                  <c:v>60-90 DAT</c:v>
                </c:pt>
              </c:strCache>
            </c:strRef>
          </c:cat>
          <c:val>
            <c:numRef>
              <c:f>'obj1'!$Q$75:$S$75</c:f>
              <c:numCache>
                <c:formatCode>General</c:formatCode>
                <c:ptCount val="3"/>
                <c:pt idx="0">
                  <c:v>2.00753</c:v>
                </c:pt>
                <c:pt idx="1">
                  <c:v>25.425936666666669</c:v>
                </c:pt>
                <c:pt idx="2">
                  <c:v>20.193771111111108</c:v>
                </c:pt>
              </c:numCache>
            </c:numRef>
          </c:val>
          <c:smooth val="0"/>
          <c:extLst>
            <c:ext xmlns:c16="http://schemas.microsoft.com/office/drawing/2014/chart" uri="{C3380CC4-5D6E-409C-BE32-E72D297353CC}">
              <c16:uniqueId val="{00000001-3DAE-4AF8-9B33-990BF70713EE}"/>
            </c:ext>
          </c:extLst>
        </c:ser>
        <c:ser>
          <c:idx val="2"/>
          <c:order val="2"/>
          <c:tx>
            <c:strRef>
              <c:f>'obj1'!$P$76</c:f>
              <c:strCache>
                <c:ptCount val="1"/>
                <c:pt idx="0">
                  <c:v>T₃</c:v>
                </c:pt>
              </c:strCache>
            </c:strRef>
          </c:tx>
          <c:spPr>
            <a:ln w="28575" cap="rnd">
              <a:solidFill>
                <a:schemeClr val="accent3"/>
              </a:solidFill>
              <a:round/>
            </a:ln>
            <a:effectLst/>
          </c:spPr>
          <c:marker>
            <c:symbol val="circle"/>
            <c:size val="5"/>
            <c:spPr>
              <a:solidFill>
                <a:schemeClr val="accent3"/>
              </a:solidFill>
              <a:ln w="9525">
                <a:solidFill>
                  <a:schemeClr val="accent3"/>
                </a:solidFill>
              </a:ln>
              <a:effectLst/>
            </c:spPr>
          </c:marker>
          <c:cat>
            <c:strRef>
              <c:f>'obj1'!$Q$73:$S$73</c:f>
              <c:strCache>
                <c:ptCount val="3"/>
                <c:pt idx="0">
                  <c:v>0-30 DAT</c:v>
                </c:pt>
                <c:pt idx="1">
                  <c:v>30-60 DAT</c:v>
                </c:pt>
                <c:pt idx="2">
                  <c:v>60-90 DAT</c:v>
                </c:pt>
              </c:strCache>
            </c:strRef>
          </c:cat>
          <c:val>
            <c:numRef>
              <c:f>'obj1'!$Q$76:$S$76</c:f>
              <c:numCache>
                <c:formatCode>General</c:formatCode>
                <c:ptCount val="3"/>
                <c:pt idx="0">
                  <c:v>2.0103066666666667</c:v>
                </c:pt>
                <c:pt idx="1">
                  <c:v>27.903648888888885</c:v>
                </c:pt>
                <c:pt idx="2">
                  <c:v>18.403746666666667</c:v>
                </c:pt>
              </c:numCache>
            </c:numRef>
          </c:val>
          <c:smooth val="0"/>
          <c:extLst>
            <c:ext xmlns:c16="http://schemas.microsoft.com/office/drawing/2014/chart" uri="{C3380CC4-5D6E-409C-BE32-E72D297353CC}">
              <c16:uniqueId val="{00000002-3DAE-4AF8-9B33-990BF70713EE}"/>
            </c:ext>
          </c:extLst>
        </c:ser>
        <c:ser>
          <c:idx val="3"/>
          <c:order val="3"/>
          <c:tx>
            <c:strRef>
              <c:f>'obj1'!$P$77</c:f>
              <c:strCache>
                <c:ptCount val="1"/>
                <c:pt idx="0">
                  <c:v>T₄</c:v>
                </c:pt>
              </c:strCache>
            </c:strRef>
          </c:tx>
          <c:spPr>
            <a:ln w="28575" cap="rnd">
              <a:solidFill>
                <a:schemeClr val="accent4"/>
              </a:solidFill>
              <a:round/>
            </a:ln>
            <a:effectLst/>
          </c:spPr>
          <c:marker>
            <c:symbol val="circle"/>
            <c:size val="5"/>
            <c:spPr>
              <a:solidFill>
                <a:schemeClr val="accent4"/>
              </a:solidFill>
              <a:ln w="9525">
                <a:solidFill>
                  <a:schemeClr val="accent4"/>
                </a:solidFill>
              </a:ln>
              <a:effectLst/>
            </c:spPr>
          </c:marker>
          <c:cat>
            <c:strRef>
              <c:f>'obj1'!$Q$73:$S$73</c:f>
              <c:strCache>
                <c:ptCount val="3"/>
                <c:pt idx="0">
                  <c:v>0-30 DAT</c:v>
                </c:pt>
                <c:pt idx="1">
                  <c:v>30-60 DAT</c:v>
                </c:pt>
                <c:pt idx="2">
                  <c:v>60-90 DAT</c:v>
                </c:pt>
              </c:strCache>
            </c:strRef>
          </c:cat>
          <c:val>
            <c:numRef>
              <c:f>'obj1'!$Q$77:$S$77</c:f>
              <c:numCache>
                <c:formatCode>General</c:formatCode>
                <c:ptCount val="3"/>
                <c:pt idx="0">
                  <c:v>2.0103066666666667</c:v>
                </c:pt>
                <c:pt idx="1">
                  <c:v>29.795484444444444</c:v>
                </c:pt>
                <c:pt idx="2">
                  <c:v>17.79288</c:v>
                </c:pt>
              </c:numCache>
            </c:numRef>
          </c:val>
          <c:smooth val="0"/>
          <c:extLst>
            <c:ext xmlns:c16="http://schemas.microsoft.com/office/drawing/2014/chart" uri="{C3380CC4-5D6E-409C-BE32-E72D297353CC}">
              <c16:uniqueId val="{00000003-3DAE-4AF8-9B33-990BF70713EE}"/>
            </c:ext>
          </c:extLst>
        </c:ser>
        <c:ser>
          <c:idx val="4"/>
          <c:order val="4"/>
          <c:tx>
            <c:strRef>
              <c:f>'obj1'!$P$78</c:f>
              <c:strCache>
                <c:ptCount val="1"/>
                <c:pt idx="0">
                  <c:v>T₅</c:v>
                </c:pt>
              </c:strCache>
            </c:strRef>
          </c:tx>
          <c:spPr>
            <a:ln w="28575" cap="rnd">
              <a:solidFill>
                <a:schemeClr val="accent5"/>
              </a:solidFill>
              <a:round/>
            </a:ln>
            <a:effectLst/>
          </c:spPr>
          <c:marker>
            <c:symbol val="circle"/>
            <c:size val="5"/>
            <c:spPr>
              <a:solidFill>
                <a:schemeClr val="accent5"/>
              </a:solidFill>
              <a:ln w="9525">
                <a:solidFill>
                  <a:schemeClr val="accent5"/>
                </a:solidFill>
              </a:ln>
              <a:effectLst/>
            </c:spPr>
          </c:marker>
          <c:cat>
            <c:strRef>
              <c:f>'obj1'!$Q$73:$S$73</c:f>
              <c:strCache>
                <c:ptCount val="3"/>
                <c:pt idx="0">
                  <c:v>0-30 DAT</c:v>
                </c:pt>
                <c:pt idx="1">
                  <c:v>30-60 DAT</c:v>
                </c:pt>
                <c:pt idx="2">
                  <c:v>60-90 DAT</c:v>
                </c:pt>
              </c:strCache>
            </c:strRef>
          </c:cat>
          <c:val>
            <c:numRef>
              <c:f>'obj1'!$Q$78:$S$78</c:f>
              <c:numCache>
                <c:formatCode>General</c:formatCode>
                <c:ptCount val="3"/>
                <c:pt idx="0">
                  <c:v>2.0047533333333334</c:v>
                </c:pt>
                <c:pt idx="1">
                  <c:v>26.02754777777778</c:v>
                </c:pt>
                <c:pt idx="2">
                  <c:v>18.140888888888885</c:v>
                </c:pt>
              </c:numCache>
            </c:numRef>
          </c:val>
          <c:smooth val="0"/>
          <c:extLst>
            <c:ext xmlns:c16="http://schemas.microsoft.com/office/drawing/2014/chart" uri="{C3380CC4-5D6E-409C-BE32-E72D297353CC}">
              <c16:uniqueId val="{00000004-3DAE-4AF8-9B33-990BF70713EE}"/>
            </c:ext>
          </c:extLst>
        </c:ser>
        <c:ser>
          <c:idx val="5"/>
          <c:order val="5"/>
          <c:tx>
            <c:strRef>
              <c:f>'obj1'!$P$79</c:f>
              <c:strCache>
                <c:ptCount val="1"/>
                <c:pt idx="0">
                  <c:v>T₆</c:v>
                </c:pt>
              </c:strCache>
            </c:strRef>
          </c:tx>
          <c:spPr>
            <a:ln w="28575" cap="rnd">
              <a:solidFill>
                <a:schemeClr val="accent6"/>
              </a:solidFill>
              <a:round/>
            </a:ln>
            <a:effectLst/>
          </c:spPr>
          <c:marker>
            <c:symbol val="circle"/>
            <c:size val="5"/>
            <c:spPr>
              <a:solidFill>
                <a:schemeClr val="accent6"/>
              </a:solidFill>
              <a:ln w="9525">
                <a:solidFill>
                  <a:schemeClr val="accent6"/>
                </a:solidFill>
              </a:ln>
              <a:effectLst/>
            </c:spPr>
          </c:marker>
          <c:cat>
            <c:strRef>
              <c:f>'obj1'!$Q$73:$S$73</c:f>
              <c:strCache>
                <c:ptCount val="3"/>
                <c:pt idx="0">
                  <c:v>0-30 DAT</c:v>
                </c:pt>
                <c:pt idx="1">
                  <c:v>30-60 DAT</c:v>
                </c:pt>
                <c:pt idx="2">
                  <c:v>60-90 DAT</c:v>
                </c:pt>
              </c:strCache>
            </c:strRef>
          </c:cat>
          <c:val>
            <c:numRef>
              <c:f>'obj1'!$Q$79:$S$79</c:f>
              <c:numCache>
                <c:formatCode>General</c:formatCode>
                <c:ptCount val="3"/>
                <c:pt idx="0">
                  <c:v>2.0177111111111112</c:v>
                </c:pt>
                <c:pt idx="1">
                  <c:v>27.489925555555558</c:v>
                </c:pt>
                <c:pt idx="2">
                  <c:v>18.177911111111111</c:v>
                </c:pt>
              </c:numCache>
            </c:numRef>
          </c:val>
          <c:smooth val="0"/>
          <c:extLst>
            <c:ext xmlns:c16="http://schemas.microsoft.com/office/drawing/2014/chart" uri="{C3380CC4-5D6E-409C-BE32-E72D297353CC}">
              <c16:uniqueId val="{00000005-3DAE-4AF8-9B33-990BF70713EE}"/>
            </c:ext>
          </c:extLst>
        </c:ser>
        <c:ser>
          <c:idx val="6"/>
          <c:order val="6"/>
          <c:tx>
            <c:strRef>
              <c:f>'obj1'!$P$80</c:f>
              <c:strCache>
                <c:ptCount val="1"/>
                <c:pt idx="0">
                  <c:v>T₇</c:v>
                </c:pt>
              </c:strCache>
            </c:strRef>
          </c:tx>
          <c:spPr>
            <a:ln w="28575" cap="rnd">
              <a:solidFill>
                <a:srgbClr val="8BF22E"/>
              </a:solidFill>
              <a:round/>
            </a:ln>
            <a:effectLst/>
          </c:spPr>
          <c:marker>
            <c:symbol val="circle"/>
            <c:size val="5"/>
            <c:spPr>
              <a:solidFill>
                <a:srgbClr val="8BF22E"/>
              </a:solidFill>
              <a:ln w="9525">
                <a:solidFill>
                  <a:srgbClr val="8BF22E"/>
                </a:solidFill>
              </a:ln>
              <a:effectLst/>
            </c:spPr>
          </c:marker>
          <c:cat>
            <c:strRef>
              <c:f>'obj1'!$Q$73:$S$73</c:f>
              <c:strCache>
                <c:ptCount val="3"/>
                <c:pt idx="0">
                  <c:v>0-30 DAT</c:v>
                </c:pt>
                <c:pt idx="1">
                  <c:v>30-60 DAT</c:v>
                </c:pt>
                <c:pt idx="2">
                  <c:v>60-90 DAT</c:v>
                </c:pt>
              </c:strCache>
            </c:strRef>
          </c:cat>
          <c:val>
            <c:numRef>
              <c:f>'obj1'!$Q$80:$S$80</c:f>
              <c:numCache>
                <c:formatCode>General</c:formatCode>
                <c:ptCount val="3"/>
                <c:pt idx="0">
                  <c:v>2.0121577777777779</c:v>
                </c:pt>
                <c:pt idx="1">
                  <c:v>28.056365555555558</c:v>
                </c:pt>
                <c:pt idx="2">
                  <c:v>18.929462222222227</c:v>
                </c:pt>
              </c:numCache>
            </c:numRef>
          </c:val>
          <c:smooth val="0"/>
          <c:extLst>
            <c:ext xmlns:c16="http://schemas.microsoft.com/office/drawing/2014/chart" uri="{C3380CC4-5D6E-409C-BE32-E72D297353CC}">
              <c16:uniqueId val="{00000006-3DAE-4AF8-9B33-990BF70713EE}"/>
            </c:ext>
          </c:extLst>
        </c:ser>
        <c:ser>
          <c:idx val="7"/>
          <c:order val="7"/>
          <c:tx>
            <c:strRef>
              <c:f>'obj1'!$P$81</c:f>
              <c:strCache>
                <c:ptCount val="1"/>
                <c:pt idx="0">
                  <c:v>T₈</c:v>
                </c:pt>
              </c:strCache>
            </c:strRef>
          </c:tx>
          <c:spPr>
            <a:ln w="28575" cap="rnd">
              <a:solidFill>
                <a:schemeClr val="accent2">
                  <a:lumMod val="60000"/>
                </a:schemeClr>
              </a:solidFill>
              <a:round/>
            </a:ln>
            <a:effectLst/>
          </c:spPr>
          <c:marker>
            <c:symbol val="circle"/>
            <c:size val="5"/>
            <c:spPr>
              <a:solidFill>
                <a:schemeClr val="accent2">
                  <a:lumMod val="60000"/>
                </a:schemeClr>
              </a:solidFill>
              <a:ln w="9525">
                <a:solidFill>
                  <a:schemeClr val="accent2">
                    <a:lumMod val="60000"/>
                  </a:schemeClr>
                </a:solidFill>
              </a:ln>
              <a:effectLst/>
            </c:spPr>
          </c:marker>
          <c:cat>
            <c:strRef>
              <c:f>'obj1'!$Q$73:$S$73</c:f>
              <c:strCache>
                <c:ptCount val="3"/>
                <c:pt idx="0">
                  <c:v>0-30 DAT</c:v>
                </c:pt>
                <c:pt idx="1">
                  <c:v>30-60 DAT</c:v>
                </c:pt>
                <c:pt idx="2">
                  <c:v>60-90 DAT</c:v>
                </c:pt>
              </c:strCache>
            </c:strRef>
          </c:cat>
          <c:val>
            <c:numRef>
              <c:f>'obj1'!$Q$81:$S$81</c:f>
              <c:numCache>
                <c:formatCode>General</c:formatCode>
                <c:ptCount val="3"/>
                <c:pt idx="0">
                  <c:v>2.0186366666666666</c:v>
                </c:pt>
                <c:pt idx="1">
                  <c:v>30.047235555555556</c:v>
                </c:pt>
                <c:pt idx="2">
                  <c:v>19.173808888888889</c:v>
                </c:pt>
              </c:numCache>
            </c:numRef>
          </c:val>
          <c:smooth val="0"/>
          <c:extLst>
            <c:ext xmlns:c16="http://schemas.microsoft.com/office/drawing/2014/chart" uri="{C3380CC4-5D6E-409C-BE32-E72D297353CC}">
              <c16:uniqueId val="{00000007-3DAE-4AF8-9B33-990BF70713EE}"/>
            </c:ext>
          </c:extLst>
        </c:ser>
        <c:ser>
          <c:idx val="8"/>
          <c:order val="8"/>
          <c:tx>
            <c:strRef>
              <c:f>'obj1'!$P$82</c:f>
              <c:strCache>
                <c:ptCount val="1"/>
                <c:pt idx="0">
                  <c:v>T₉</c:v>
                </c:pt>
              </c:strCache>
            </c:strRef>
          </c:tx>
          <c:spPr>
            <a:ln w="28575" cap="rnd">
              <a:solidFill>
                <a:srgbClr val="FFFF00"/>
              </a:solidFill>
              <a:round/>
            </a:ln>
            <a:effectLst/>
          </c:spPr>
          <c:marker>
            <c:symbol val="circle"/>
            <c:size val="5"/>
            <c:spPr>
              <a:solidFill>
                <a:srgbClr val="FFFF00"/>
              </a:solidFill>
              <a:ln w="9525">
                <a:solidFill>
                  <a:srgbClr val="FFFF00"/>
                </a:solidFill>
              </a:ln>
              <a:effectLst/>
            </c:spPr>
          </c:marker>
          <c:cat>
            <c:strRef>
              <c:f>'obj1'!$Q$73:$S$73</c:f>
              <c:strCache>
                <c:ptCount val="3"/>
                <c:pt idx="0">
                  <c:v>0-30 DAT</c:v>
                </c:pt>
                <c:pt idx="1">
                  <c:v>30-60 DAT</c:v>
                </c:pt>
                <c:pt idx="2">
                  <c:v>60-90 DAT</c:v>
                </c:pt>
              </c:strCache>
            </c:strRef>
          </c:cat>
          <c:val>
            <c:numRef>
              <c:f>'obj1'!$Q$82:$S$82</c:f>
              <c:numCache>
                <c:formatCode>General</c:formatCode>
                <c:ptCount val="3"/>
                <c:pt idx="0">
                  <c:v>2.0408499999999998</c:v>
                </c:pt>
                <c:pt idx="1">
                  <c:v>44.456284444444442</c:v>
                </c:pt>
                <c:pt idx="2">
                  <c:v>21.53027333333333</c:v>
                </c:pt>
              </c:numCache>
            </c:numRef>
          </c:val>
          <c:smooth val="0"/>
          <c:extLst>
            <c:ext xmlns:c16="http://schemas.microsoft.com/office/drawing/2014/chart" uri="{C3380CC4-5D6E-409C-BE32-E72D297353CC}">
              <c16:uniqueId val="{00000008-3DAE-4AF8-9B33-990BF70713EE}"/>
            </c:ext>
          </c:extLst>
        </c:ser>
        <c:ser>
          <c:idx val="9"/>
          <c:order val="9"/>
          <c:tx>
            <c:strRef>
              <c:f>'obj1'!$P$83</c:f>
              <c:strCache>
                <c:ptCount val="1"/>
                <c:pt idx="0">
                  <c:v>T₁₀</c:v>
                </c:pt>
              </c:strCache>
            </c:strRef>
          </c:tx>
          <c:spPr>
            <a:ln w="28575" cap="rnd">
              <a:solidFill>
                <a:srgbClr val="FF0000"/>
              </a:solidFill>
              <a:round/>
            </a:ln>
            <a:effectLst/>
          </c:spPr>
          <c:marker>
            <c:symbol val="circle"/>
            <c:size val="5"/>
            <c:spPr>
              <a:solidFill>
                <a:srgbClr val="FF0000"/>
              </a:solidFill>
              <a:ln w="9525">
                <a:solidFill>
                  <a:srgbClr val="FF0000"/>
                </a:solidFill>
              </a:ln>
              <a:effectLst/>
            </c:spPr>
          </c:marker>
          <c:cat>
            <c:strRef>
              <c:f>'obj1'!$Q$73:$S$73</c:f>
              <c:strCache>
                <c:ptCount val="3"/>
                <c:pt idx="0">
                  <c:v>0-30 DAT</c:v>
                </c:pt>
                <c:pt idx="1">
                  <c:v>30-60 DAT</c:v>
                </c:pt>
                <c:pt idx="2">
                  <c:v>60-90 DAT</c:v>
                </c:pt>
              </c:strCache>
            </c:strRef>
          </c:cat>
          <c:val>
            <c:numRef>
              <c:f>'obj1'!$Q$83:$S$83</c:f>
              <c:numCache>
                <c:formatCode>General</c:formatCode>
                <c:ptCount val="3"/>
                <c:pt idx="0">
                  <c:v>2.0121577777777779</c:v>
                </c:pt>
                <c:pt idx="1">
                  <c:v>50.060523333333343</c:v>
                </c:pt>
                <c:pt idx="2">
                  <c:v>22.27534555555556</c:v>
                </c:pt>
              </c:numCache>
            </c:numRef>
          </c:val>
          <c:smooth val="0"/>
          <c:extLst>
            <c:ext xmlns:c16="http://schemas.microsoft.com/office/drawing/2014/chart" uri="{C3380CC4-5D6E-409C-BE32-E72D297353CC}">
              <c16:uniqueId val="{00000009-3DAE-4AF8-9B33-990BF70713EE}"/>
            </c:ext>
          </c:extLst>
        </c:ser>
        <c:ser>
          <c:idx val="10"/>
          <c:order val="10"/>
          <c:tx>
            <c:strRef>
              <c:f>'obj1'!$P$84</c:f>
              <c:strCache>
                <c:ptCount val="1"/>
                <c:pt idx="0">
                  <c:v>T₁₁</c:v>
                </c:pt>
              </c:strCache>
            </c:strRef>
          </c:tx>
          <c:spPr>
            <a:ln w="28575" cap="rnd">
              <a:solidFill>
                <a:schemeClr val="accent5">
                  <a:lumMod val="60000"/>
                </a:schemeClr>
              </a:solidFill>
              <a:round/>
            </a:ln>
            <a:effectLst/>
          </c:spPr>
          <c:marker>
            <c:symbol val="circle"/>
            <c:size val="5"/>
            <c:spPr>
              <a:solidFill>
                <a:schemeClr val="accent5">
                  <a:lumMod val="60000"/>
                </a:schemeClr>
              </a:solidFill>
              <a:ln w="9525">
                <a:solidFill>
                  <a:schemeClr val="accent5">
                    <a:lumMod val="60000"/>
                  </a:schemeClr>
                </a:solidFill>
              </a:ln>
              <a:effectLst/>
            </c:spPr>
          </c:marker>
          <c:cat>
            <c:strRef>
              <c:f>'obj1'!$Q$73:$S$73</c:f>
              <c:strCache>
                <c:ptCount val="3"/>
                <c:pt idx="0">
                  <c:v>0-30 DAT</c:v>
                </c:pt>
                <c:pt idx="1">
                  <c:v>30-60 DAT</c:v>
                </c:pt>
                <c:pt idx="2">
                  <c:v>60-90 DAT</c:v>
                </c:pt>
              </c:strCache>
            </c:strRef>
          </c:cat>
          <c:val>
            <c:numRef>
              <c:f>'obj1'!$Q$84:$S$84</c:f>
              <c:numCache>
                <c:formatCode>General</c:formatCode>
                <c:ptCount val="3"/>
                <c:pt idx="0">
                  <c:v>2.0121577777777779</c:v>
                </c:pt>
                <c:pt idx="1">
                  <c:v>29.85472</c:v>
                </c:pt>
                <c:pt idx="2">
                  <c:v>17.879882222222218</c:v>
                </c:pt>
              </c:numCache>
            </c:numRef>
          </c:val>
          <c:smooth val="0"/>
          <c:extLst>
            <c:ext xmlns:c16="http://schemas.microsoft.com/office/drawing/2014/chart" uri="{C3380CC4-5D6E-409C-BE32-E72D297353CC}">
              <c16:uniqueId val="{0000000A-3DAE-4AF8-9B33-990BF70713EE}"/>
            </c:ext>
          </c:extLst>
        </c:ser>
        <c:ser>
          <c:idx val="11"/>
          <c:order val="11"/>
          <c:tx>
            <c:strRef>
              <c:f>'obj1'!$P$85</c:f>
              <c:strCache>
                <c:ptCount val="1"/>
                <c:pt idx="0">
                  <c:v>T₁₂</c:v>
                </c:pt>
              </c:strCache>
            </c:strRef>
          </c:tx>
          <c:spPr>
            <a:ln w="28575" cap="rnd">
              <a:solidFill>
                <a:srgbClr val="14F1FC"/>
              </a:solidFill>
              <a:round/>
            </a:ln>
            <a:effectLst/>
          </c:spPr>
          <c:marker>
            <c:symbol val="circle"/>
            <c:size val="5"/>
            <c:spPr>
              <a:solidFill>
                <a:srgbClr val="14F1FC"/>
              </a:solidFill>
              <a:ln w="9525">
                <a:solidFill>
                  <a:srgbClr val="14F1FC"/>
                </a:solidFill>
              </a:ln>
              <a:effectLst/>
            </c:spPr>
          </c:marker>
          <c:cat>
            <c:strRef>
              <c:f>'obj1'!$Q$73:$S$73</c:f>
              <c:strCache>
                <c:ptCount val="3"/>
                <c:pt idx="0">
                  <c:v>0-30 DAT</c:v>
                </c:pt>
                <c:pt idx="1">
                  <c:v>30-60 DAT</c:v>
                </c:pt>
                <c:pt idx="2">
                  <c:v>60-90 DAT</c:v>
                </c:pt>
              </c:strCache>
            </c:strRef>
          </c:cat>
          <c:val>
            <c:numRef>
              <c:f>'obj1'!$Q$85:$S$85</c:f>
              <c:numCache>
                <c:formatCode>General</c:formatCode>
                <c:ptCount val="3"/>
                <c:pt idx="0">
                  <c:v>2.0380733333333332</c:v>
                </c:pt>
                <c:pt idx="1">
                  <c:v>29.98152111111111</c:v>
                </c:pt>
                <c:pt idx="2">
                  <c:v>19.979042222222219</c:v>
                </c:pt>
              </c:numCache>
            </c:numRef>
          </c:val>
          <c:smooth val="0"/>
          <c:extLst>
            <c:ext xmlns:c16="http://schemas.microsoft.com/office/drawing/2014/chart" uri="{C3380CC4-5D6E-409C-BE32-E72D297353CC}">
              <c16:uniqueId val="{0000000B-3DAE-4AF8-9B33-990BF70713EE}"/>
            </c:ext>
          </c:extLst>
        </c:ser>
        <c:ser>
          <c:idx val="12"/>
          <c:order val="12"/>
          <c:tx>
            <c:strRef>
              <c:f>'obj1'!$P$86</c:f>
              <c:strCache>
                <c:ptCount val="1"/>
                <c:pt idx="0">
                  <c:v>T₁₃</c:v>
                </c:pt>
              </c:strCache>
            </c:strRef>
          </c:tx>
          <c:spPr>
            <a:ln w="28575" cap="rnd">
              <a:solidFill>
                <a:schemeClr val="accent2">
                  <a:lumMod val="40000"/>
                  <a:lumOff val="60000"/>
                </a:schemeClr>
              </a:solidFill>
              <a:round/>
            </a:ln>
            <a:effectLst/>
          </c:spPr>
          <c:marker>
            <c:symbol val="circle"/>
            <c:size val="5"/>
            <c:spPr>
              <a:solidFill>
                <a:schemeClr val="accent2">
                  <a:lumMod val="40000"/>
                  <a:lumOff val="60000"/>
                </a:schemeClr>
              </a:solidFill>
              <a:ln w="9525">
                <a:solidFill>
                  <a:schemeClr val="accent2">
                    <a:lumMod val="40000"/>
                    <a:lumOff val="60000"/>
                  </a:schemeClr>
                </a:solidFill>
              </a:ln>
              <a:effectLst/>
            </c:spPr>
          </c:marker>
          <c:cat>
            <c:strRef>
              <c:f>'obj1'!$Q$73:$S$73</c:f>
              <c:strCache>
                <c:ptCount val="3"/>
                <c:pt idx="0">
                  <c:v>0-30 DAT</c:v>
                </c:pt>
                <c:pt idx="1">
                  <c:v>30-60 DAT</c:v>
                </c:pt>
                <c:pt idx="2">
                  <c:v>60-90 DAT</c:v>
                </c:pt>
              </c:strCache>
            </c:strRef>
          </c:cat>
          <c:val>
            <c:numRef>
              <c:f>'obj1'!$Q$86:$S$86</c:f>
              <c:numCache>
                <c:formatCode>General</c:formatCode>
                <c:ptCount val="3"/>
                <c:pt idx="0">
                  <c:v>2.0491800000000002</c:v>
                </c:pt>
                <c:pt idx="1">
                  <c:v>31.449452222222224</c:v>
                </c:pt>
                <c:pt idx="2">
                  <c:v>19.082178888888887</c:v>
                </c:pt>
              </c:numCache>
            </c:numRef>
          </c:val>
          <c:smooth val="0"/>
          <c:extLst>
            <c:ext xmlns:c16="http://schemas.microsoft.com/office/drawing/2014/chart" uri="{C3380CC4-5D6E-409C-BE32-E72D297353CC}">
              <c16:uniqueId val="{0000000C-3DAE-4AF8-9B33-990BF70713EE}"/>
            </c:ext>
          </c:extLst>
        </c:ser>
        <c:dLbls>
          <c:showLegendKey val="0"/>
          <c:showVal val="0"/>
          <c:showCatName val="0"/>
          <c:showSerName val="0"/>
          <c:showPercent val="0"/>
          <c:showBubbleSize val="0"/>
        </c:dLbls>
        <c:marker val="1"/>
        <c:smooth val="0"/>
        <c:axId val="911782319"/>
        <c:axId val="911802479"/>
      </c:lineChart>
      <c:catAx>
        <c:axId val="911782319"/>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911802479"/>
        <c:crosses val="autoZero"/>
        <c:auto val="1"/>
        <c:lblAlgn val="ctr"/>
        <c:lblOffset val="100"/>
        <c:noMultiLvlLbl val="0"/>
      </c:catAx>
      <c:valAx>
        <c:axId val="911802479"/>
        <c:scaling>
          <c:orientation val="minMax"/>
        </c:scaling>
        <c:delete val="0"/>
        <c:axPos val="l"/>
        <c:majorGridlines>
          <c:spPr>
            <a:ln w="9525" cap="flat" cmpd="sng" algn="ctr">
              <a:solidFill>
                <a:schemeClr val="accent1">
                  <a:alpha val="0"/>
                </a:schemeClr>
              </a:solidFill>
              <a:round/>
            </a:ln>
            <a:effectLst/>
          </c:spPr>
        </c:majorGridlines>
        <c:title>
          <c:tx>
            <c:rich>
              <a:bodyPr rot="-5400000" spcFirstLastPara="1" vertOverflow="ellipsis" vert="horz" wrap="square" anchor="ctr" anchorCtr="1"/>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IN"/>
                  <a:t>CGR (</a:t>
                </a:r>
                <a:r>
                  <a:rPr lang="en-IN" sz="1000" b="1" i="0" u="none" strike="noStrike" kern="1200" baseline="0">
                    <a:solidFill>
                      <a:sysClr val="windowText" lastClr="000000"/>
                    </a:solidFill>
                    <a:latin typeface="Times New Roman" panose="02020603050405020304" pitchFamily="18" charset="0"/>
                    <a:cs typeface="Times New Roman" panose="02020603050405020304" pitchFamily="18" charset="0"/>
                  </a:rPr>
                  <a:t>g m</a:t>
                </a:r>
                <a:r>
                  <a:rPr lang="en-IN" sz="1000" b="1" i="0" u="none" strike="noStrike" kern="1200" baseline="30000">
                    <a:solidFill>
                      <a:sysClr val="windowText" lastClr="000000"/>
                    </a:solidFill>
                    <a:latin typeface="Times New Roman" panose="02020603050405020304" pitchFamily="18" charset="0"/>
                    <a:cs typeface="Times New Roman" panose="02020603050405020304" pitchFamily="18" charset="0"/>
                  </a:rPr>
                  <a:t>-2</a:t>
                </a:r>
                <a:r>
                  <a:rPr lang="en-IN" sz="1000" b="1" i="0" u="none" strike="noStrike" kern="1200" baseline="0">
                    <a:solidFill>
                      <a:sysClr val="windowText" lastClr="000000"/>
                    </a:solidFill>
                    <a:latin typeface="Times New Roman" panose="02020603050405020304" pitchFamily="18" charset="0"/>
                    <a:cs typeface="Times New Roman" panose="02020603050405020304" pitchFamily="18" charset="0"/>
                  </a:rPr>
                  <a:t> day</a:t>
                </a:r>
                <a:r>
                  <a:rPr lang="en-IN" sz="1000" b="1" i="0" u="none" strike="noStrike" kern="1200" baseline="30000">
                    <a:solidFill>
                      <a:sysClr val="windowText" lastClr="000000"/>
                    </a:solidFill>
                    <a:latin typeface="Times New Roman" panose="02020603050405020304" pitchFamily="18" charset="0"/>
                    <a:cs typeface="Times New Roman" panose="02020603050405020304" pitchFamily="18" charset="0"/>
                  </a:rPr>
                  <a:t>-1</a:t>
                </a:r>
                <a:r>
                  <a:rPr lang="en-IN" sz="1000" b="1" i="0" u="none" strike="noStrike" kern="1200" baseline="0">
                    <a:solidFill>
                      <a:sysClr val="windowText" lastClr="000000"/>
                    </a:solidFill>
                    <a:latin typeface="Times New Roman" panose="02020603050405020304" pitchFamily="18" charset="0"/>
                    <a:cs typeface="Times New Roman" panose="02020603050405020304" pitchFamily="18" charset="0"/>
                  </a:rPr>
                  <a:t>)</a:t>
                </a:r>
                <a:endParaRPr lang="en-IN"/>
              </a:p>
            </c:rich>
          </c:tx>
          <c:overlay val="0"/>
          <c:spPr>
            <a:noFill/>
            <a:ln>
              <a:noFill/>
            </a:ln>
            <a:effectLst/>
          </c:spPr>
          <c:txPr>
            <a:bodyPr rot="-5400000" spcFirstLastPara="1" vertOverflow="ellipsis" vert="horz" wrap="square" anchor="ctr" anchorCtr="1"/>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IN"/>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911782319"/>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1200" b="1">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IN"/>
              <a:t>2024</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tx>
            <c:strRef>
              <c:f>'obj1'!$B$267</c:f>
              <c:strCache>
                <c:ptCount val="1"/>
                <c:pt idx="0">
                  <c:v>T1 </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cat>
            <c:strRef>
              <c:f>'obj1'!$C$266:$D$266</c:f>
              <c:strCache>
                <c:ptCount val="2"/>
                <c:pt idx="0">
                  <c:v>30-60 DAT</c:v>
                </c:pt>
                <c:pt idx="1">
                  <c:v>60-90 DAT</c:v>
                </c:pt>
              </c:strCache>
            </c:strRef>
          </c:cat>
          <c:val>
            <c:numRef>
              <c:f>'obj1'!$C$267:$D$267</c:f>
              <c:numCache>
                <c:formatCode>0.0000</c:formatCode>
                <c:ptCount val="2"/>
                <c:pt idx="0">
                  <c:v>8.3062943741045961E-2</c:v>
                </c:pt>
                <c:pt idx="1">
                  <c:v>1.6388171122371235E-2</c:v>
                </c:pt>
              </c:numCache>
            </c:numRef>
          </c:val>
          <c:smooth val="0"/>
          <c:extLst>
            <c:ext xmlns:c16="http://schemas.microsoft.com/office/drawing/2014/chart" uri="{C3380CC4-5D6E-409C-BE32-E72D297353CC}">
              <c16:uniqueId val="{00000000-ED79-4039-B652-C1DB598BA61C}"/>
            </c:ext>
          </c:extLst>
        </c:ser>
        <c:ser>
          <c:idx val="1"/>
          <c:order val="1"/>
          <c:tx>
            <c:strRef>
              <c:f>'obj1'!$B$268</c:f>
              <c:strCache>
                <c:ptCount val="1"/>
                <c:pt idx="0">
                  <c:v>T2 </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cat>
            <c:strRef>
              <c:f>'obj1'!$C$266:$D$266</c:f>
              <c:strCache>
                <c:ptCount val="2"/>
                <c:pt idx="0">
                  <c:v>30-60 DAT</c:v>
                </c:pt>
                <c:pt idx="1">
                  <c:v>60-90 DAT</c:v>
                </c:pt>
              </c:strCache>
            </c:strRef>
          </c:cat>
          <c:val>
            <c:numRef>
              <c:f>'obj1'!$C$268:$D$268</c:f>
              <c:numCache>
                <c:formatCode>0.0000</c:formatCode>
                <c:ptCount val="2"/>
                <c:pt idx="0">
                  <c:v>8.7501687178297968E-2</c:v>
                </c:pt>
                <c:pt idx="1">
                  <c:v>1.8041616019074721E-2</c:v>
                </c:pt>
              </c:numCache>
            </c:numRef>
          </c:val>
          <c:smooth val="0"/>
          <c:extLst>
            <c:ext xmlns:c16="http://schemas.microsoft.com/office/drawing/2014/chart" uri="{C3380CC4-5D6E-409C-BE32-E72D297353CC}">
              <c16:uniqueId val="{00000001-ED79-4039-B652-C1DB598BA61C}"/>
            </c:ext>
          </c:extLst>
        </c:ser>
        <c:ser>
          <c:idx val="2"/>
          <c:order val="2"/>
          <c:tx>
            <c:strRef>
              <c:f>'obj1'!$B$269</c:f>
              <c:strCache>
                <c:ptCount val="1"/>
                <c:pt idx="0">
                  <c:v>T3</c:v>
                </c:pt>
              </c:strCache>
            </c:strRef>
          </c:tx>
          <c:spPr>
            <a:ln w="28575" cap="rnd">
              <a:solidFill>
                <a:schemeClr val="accent3"/>
              </a:solidFill>
              <a:round/>
            </a:ln>
            <a:effectLst/>
          </c:spPr>
          <c:marker>
            <c:symbol val="circle"/>
            <c:size val="5"/>
            <c:spPr>
              <a:solidFill>
                <a:schemeClr val="accent3"/>
              </a:solidFill>
              <a:ln w="9525">
                <a:solidFill>
                  <a:schemeClr val="accent3"/>
                </a:solidFill>
              </a:ln>
              <a:effectLst/>
            </c:spPr>
          </c:marker>
          <c:cat>
            <c:strRef>
              <c:f>'obj1'!$C$266:$D$266</c:f>
              <c:strCache>
                <c:ptCount val="2"/>
                <c:pt idx="0">
                  <c:v>30-60 DAT</c:v>
                </c:pt>
                <c:pt idx="1">
                  <c:v>60-90 DAT</c:v>
                </c:pt>
              </c:strCache>
            </c:strRef>
          </c:cat>
          <c:val>
            <c:numRef>
              <c:f>'obj1'!$C$269:$D$269</c:f>
              <c:numCache>
                <c:formatCode>0.0000</c:formatCode>
                <c:ptCount val="2"/>
                <c:pt idx="0">
                  <c:v>9.0065512558866287E-2</c:v>
                </c:pt>
                <c:pt idx="1">
                  <c:v>1.5991023317449522E-2</c:v>
                </c:pt>
              </c:numCache>
            </c:numRef>
          </c:val>
          <c:smooth val="0"/>
          <c:extLst>
            <c:ext xmlns:c16="http://schemas.microsoft.com/office/drawing/2014/chart" uri="{C3380CC4-5D6E-409C-BE32-E72D297353CC}">
              <c16:uniqueId val="{00000002-ED79-4039-B652-C1DB598BA61C}"/>
            </c:ext>
          </c:extLst>
        </c:ser>
        <c:ser>
          <c:idx val="3"/>
          <c:order val="3"/>
          <c:tx>
            <c:strRef>
              <c:f>'obj1'!$B$270</c:f>
              <c:strCache>
                <c:ptCount val="1"/>
                <c:pt idx="0">
                  <c:v>T4</c:v>
                </c:pt>
              </c:strCache>
            </c:strRef>
          </c:tx>
          <c:spPr>
            <a:ln w="28575" cap="rnd">
              <a:solidFill>
                <a:schemeClr val="accent4"/>
              </a:solidFill>
              <a:round/>
            </a:ln>
            <a:effectLst/>
          </c:spPr>
          <c:marker>
            <c:symbol val="circle"/>
            <c:size val="5"/>
            <c:spPr>
              <a:solidFill>
                <a:schemeClr val="accent4"/>
              </a:solidFill>
              <a:ln w="9525">
                <a:solidFill>
                  <a:schemeClr val="accent4"/>
                </a:solidFill>
              </a:ln>
              <a:effectLst/>
            </c:spPr>
          </c:marker>
          <c:cat>
            <c:strRef>
              <c:f>'obj1'!$C$266:$D$266</c:f>
              <c:strCache>
                <c:ptCount val="2"/>
                <c:pt idx="0">
                  <c:v>30-60 DAT</c:v>
                </c:pt>
                <c:pt idx="1">
                  <c:v>60-90 DAT</c:v>
                </c:pt>
              </c:strCache>
            </c:strRef>
          </c:cat>
          <c:val>
            <c:numRef>
              <c:f>'obj1'!$C$270:$D$270</c:f>
              <c:numCache>
                <c:formatCode>0.0000</c:formatCode>
                <c:ptCount val="2"/>
                <c:pt idx="0">
                  <c:v>9.1883707125172756E-2</c:v>
                </c:pt>
                <c:pt idx="1">
                  <c:v>1.4891921942482414E-2</c:v>
                </c:pt>
              </c:numCache>
            </c:numRef>
          </c:val>
          <c:smooth val="0"/>
          <c:extLst>
            <c:ext xmlns:c16="http://schemas.microsoft.com/office/drawing/2014/chart" uri="{C3380CC4-5D6E-409C-BE32-E72D297353CC}">
              <c16:uniqueId val="{00000003-ED79-4039-B652-C1DB598BA61C}"/>
            </c:ext>
          </c:extLst>
        </c:ser>
        <c:ser>
          <c:idx val="4"/>
          <c:order val="4"/>
          <c:tx>
            <c:strRef>
              <c:f>'obj1'!$B$271</c:f>
              <c:strCache>
                <c:ptCount val="1"/>
                <c:pt idx="0">
                  <c:v>T5 </c:v>
                </c:pt>
              </c:strCache>
            </c:strRef>
          </c:tx>
          <c:spPr>
            <a:ln w="28575" cap="rnd">
              <a:solidFill>
                <a:schemeClr val="accent5"/>
              </a:solidFill>
              <a:round/>
            </a:ln>
            <a:effectLst/>
          </c:spPr>
          <c:marker>
            <c:symbol val="circle"/>
            <c:size val="5"/>
            <c:spPr>
              <a:solidFill>
                <a:schemeClr val="accent5"/>
              </a:solidFill>
              <a:ln w="9525">
                <a:solidFill>
                  <a:schemeClr val="accent5"/>
                </a:solidFill>
              </a:ln>
              <a:effectLst/>
            </c:spPr>
          </c:marker>
          <c:cat>
            <c:strRef>
              <c:f>'obj1'!$C$266:$D$266</c:f>
              <c:strCache>
                <c:ptCount val="2"/>
                <c:pt idx="0">
                  <c:v>30-60 DAT</c:v>
                </c:pt>
                <c:pt idx="1">
                  <c:v>60-90 DAT</c:v>
                </c:pt>
              </c:strCache>
            </c:strRef>
          </c:cat>
          <c:val>
            <c:numRef>
              <c:f>'obj1'!$C$271:$D$271</c:f>
              <c:numCache>
                <c:formatCode>0.0000</c:formatCode>
                <c:ptCount val="2"/>
                <c:pt idx="0">
                  <c:v>8.8208442026425846E-2</c:v>
                </c:pt>
                <c:pt idx="1">
                  <c:v>1.6462185092460727E-2</c:v>
                </c:pt>
              </c:numCache>
            </c:numRef>
          </c:val>
          <c:smooth val="0"/>
          <c:extLst>
            <c:ext xmlns:c16="http://schemas.microsoft.com/office/drawing/2014/chart" uri="{C3380CC4-5D6E-409C-BE32-E72D297353CC}">
              <c16:uniqueId val="{00000004-ED79-4039-B652-C1DB598BA61C}"/>
            </c:ext>
          </c:extLst>
        </c:ser>
        <c:ser>
          <c:idx val="5"/>
          <c:order val="5"/>
          <c:tx>
            <c:strRef>
              <c:f>'obj1'!$B$272</c:f>
              <c:strCache>
                <c:ptCount val="1"/>
                <c:pt idx="0">
                  <c:v>T6</c:v>
                </c:pt>
              </c:strCache>
            </c:strRef>
          </c:tx>
          <c:spPr>
            <a:ln w="28575" cap="rnd">
              <a:solidFill>
                <a:schemeClr val="accent6"/>
              </a:solidFill>
              <a:round/>
            </a:ln>
            <a:effectLst/>
          </c:spPr>
          <c:marker>
            <c:symbol val="circle"/>
            <c:size val="5"/>
            <c:spPr>
              <a:solidFill>
                <a:schemeClr val="accent6"/>
              </a:solidFill>
              <a:ln w="9525">
                <a:solidFill>
                  <a:schemeClr val="accent6"/>
                </a:solidFill>
              </a:ln>
              <a:effectLst/>
            </c:spPr>
          </c:marker>
          <c:cat>
            <c:strRef>
              <c:f>'obj1'!$C$266:$D$266</c:f>
              <c:strCache>
                <c:ptCount val="2"/>
                <c:pt idx="0">
                  <c:v>30-60 DAT</c:v>
                </c:pt>
                <c:pt idx="1">
                  <c:v>60-90 DAT</c:v>
                </c:pt>
              </c:strCache>
            </c:strRef>
          </c:cat>
          <c:val>
            <c:numRef>
              <c:f>'obj1'!$C$272:$D$272</c:f>
              <c:numCache>
                <c:formatCode>0.0000</c:formatCode>
                <c:ptCount val="2"/>
                <c:pt idx="0">
                  <c:v>8.9462696677385142E-2</c:v>
                </c:pt>
                <c:pt idx="1">
                  <c:v>1.5430944522462978E-2</c:v>
                </c:pt>
              </c:numCache>
            </c:numRef>
          </c:val>
          <c:smooth val="0"/>
          <c:extLst>
            <c:ext xmlns:c16="http://schemas.microsoft.com/office/drawing/2014/chart" uri="{C3380CC4-5D6E-409C-BE32-E72D297353CC}">
              <c16:uniqueId val="{00000005-ED79-4039-B652-C1DB598BA61C}"/>
            </c:ext>
          </c:extLst>
        </c:ser>
        <c:ser>
          <c:idx val="6"/>
          <c:order val="6"/>
          <c:tx>
            <c:strRef>
              <c:f>'obj1'!$B$273</c:f>
              <c:strCache>
                <c:ptCount val="1"/>
                <c:pt idx="0">
                  <c:v>T7</c:v>
                </c:pt>
              </c:strCache>
            </c:strRef>
          </c:tx>
          <c:spPr>
            <a:ln w="28575" cap="rnd">
              <a:solidFill>
                <a:schemeClr val="accent1">
                  <a:lumMod val="60000"/>
                </a:schemeClr>
              </a:solidFill>
              <a:round/>
            </a:ln>
            <a:effectLst/>
          </c:spPr>
          <c:marker>
            <c:symbol val="circle"/>
            <c:size val="5"/>
            <c:spPr>
              <a:solidFill>
                <a:schemeClr val="accent1">
                  <a:lumMod val="60000"/>
                </a:schemeClr>
              </a:solidFill>
              <a:ln w="9525">
                <a:solidFill>
                  <a:schemeClr val="accent1">
                    <a:lumMod val="60000"/>
                  </a:schemeClr>
                </a:solidFill>
              </a:ln>
              <a:effectLst/>
            </c:spPr>
          </c:marker>
          <c:cat>
            <c:strRef>
              <c:f>'obj1'!$C$266:$D$266</c:f>
              <c:strCache>
                <c:ptCount val="2"/>
                <c:pt idx="0">
                  <c:v>30-60 DAT</c:v>
                </c:pt>
                <c:pt idx="1">
                  <c:v>60-90 DAT</c:v>
                </c:pt>
              </c:strCache>
            </c:strRef>
          </c:cat>
          <c:val>
            <c:numRef>
              <c:f>'obj1'!$C$273:$D$273</c:f>
              <c:numCache>
                <c:formatCode>0.0000</c:formatCode>
                <c:ptCount val="2"/>
                <c:pt idx="0">
                  <c:v>9.0278222670955879E-2</c:v>
                </c:pt>
                <c:pt idx="1">
                  <c:v>1.6232539287875863E-2</c:v>
                </c:pt>
              </c:numCache>
            </c:numRef>
          </c:val>
          <c:smooth val="0"/>
          <c:extLst>
            <c:ext xmlns:c16="http://schemas.microsoft.com/office/drawing/2014/chart" uri="{C3380CC4-5D6E-409C-BE32-E72D297353CC}">
              <c16:uniqueId val="{00000006-ED79-4039-B652-C1DB598BA61C}"/>
            </c:ext>
          </c:extLst>
        </c:ser>
        <c:ser>
          <c:idx val="7"/>
          <c:order val="7"/>
          <c:tx>
            <c:strRef>
              <c:f>'obj1'!$B$274</c:f>
              <c:strCache>
                <c:ptCount val="1"/>
                <c:pt idx="0">
                  <c:v>T8</c:v>
                </c:pt>
              </c:strCache>
            </c:strRef>
          </c:tx>
          <c:spPr>
            <a:ln w="28575" cap="rnd">
              <a:solidFill>
                <a:schemeClr val="accent2">
                  <a:lumMod val="60000"/>
                </a:schemeClr>
              </a:solidFill>
              <a:round/>
            </a:ln>
            <a:effectLst/>
          </c:spPr>
          <c:marker>
            <c:symbol val="circle"/>
            <c:size val="5"/>
            <c:spPr>
              <a:solidFill>
                <a:schemeClr val="accent2">
                  <a:lumMod val="60000"/>
                </a:schemeClr>
              </a:solidFill>
              <a:ln w="9525">
                <a:solidFill>
                  <a:schemeClr val="accent2">
                    <a:lumMod val="60000"/>
                  </a:schemeClr>
                </a:solidFill>
              </a:ln>
              <a:effectLst/>
            </c:spPr>
          </c:marker>
          <c:cat>
            <c:strRef>
              <c:f>'obj1'!$C$266:$D$266</c:f>
              <c:strCache>
                <c:ptCount val="2"/>
                <c:pt idx="0">
                  <c:v>30-60 DAT</c:v>
                </c:pt>
                <c:pt idx="1">
                  <c:v>60-90 DAT</c:v>
                </c:pt>
              </c:strCache>
            </c:strRef>
          </c:cat>
          <c:val>
            <c:numRef>
              <c:f>'obj1'!$C$274:$D$274</c:f>
              <c:numCache>
                <c:formatCode>0.0000</c:formatCode>
                <c:ptCount val="2"/>
                <c:pt idx="0">
                  <c:v>9.2295466477295376E-2</c:v>
                </c:pt>
                <c:pt idx="1">
                  <c:v>1.5749847727873651E-2</c:v>
                </c:pt>
              </c:numCache>
            </c:numRef>
          </c:val>
          <c:smooth val="0"/>
          <c:extLst>
            <c:ext xmlns:c16="http://schemas.microsoft.com/office/drawing/2014/chart" uri="{C3380CC4-5D6E-409C-BE32-E72D297353CC}">
              <c16:uniqueId val="{00000007-ED79-4039-B652-C1DB598BA61C}"/>
            </c:ext>
          </c:extLst>
        </c:ser>
        <c:ser>
          <c:idx val="8"/>
          <c:order val="8"/>
          <c:tx>
            <c:strRef>
              <c:f>'obj1'!$B$275</c:f>
              <c:strCache>
                <c:ptCount val="1"/>
                <c:pt idx="0">
                  <c:v>T9</c:v>
                </c:pt>
              </c:strCache>
            </c:strRef>
          </c:tx>
          <c:spPr>
            <a:ln w="28575" cap="rnd">
              <a:solidFill>
                <a:schemeClr val="accent3">
                  <a:lumMod val="60000"/>
                </a:schemeClr>
              </a:solidFill>
              <a:round/>
            </a:ln>
            <a:effectLst/>
          </c:spPr>
          <c:marker>
            <c:symbol val="circle"/>
            <c:size val="5"/>
            <c:spPr>
              <a:solidFill>
                <a:schemeClr val="accent3">
                  <a:lumMod val="60000"/>
                </a:schemeClr>
              </a:solidFill>
              <a:ln w="9525">
                <a:solidFill>
                  <a:schemeClr val="accent3">
                    <a:lumMod val="60000"/>
                  </a:schemeClr>
                </a:solidFill>
              </a:ln>
              <a:effectLst/>
            </c:spPr>
          </c:marker>
          <c:cat>
            <c:strRef>
              <c:f>'obj1'!$C$266:$D$266</c:f>
              <c:strCache>
                <c:ptCount val="2"/>
                <c:pt idx="0">
                  <c:v>30-60 DAT</c:v>
                </c:pt>
                <c:pt idx="1">
                  <c:v>60-90 DAT</c:v>
                </c:pt>
              </c:strCache>
            </c:strRef>
          </c:cat>
          <c:val>
            <c:numRef>
              <c:f>'obj1'!$C$275:$D$275</c:f>
              <c:numCache>
                <c:formatCode>0.0000</c:formatCode>
                <c:ptCount val="2"/>
                <c:pt idx="0">
                  <c:v>0.10420854755869206</c:v>
                </c:pt>
                <c:pt idx="1">
                  <c:v>1.2508822174794876E-2</c:v>
                </c:pt>
              </c:numCache>
            </c:numRef>
          </c:val>
          <c:smooth val="0"/>
          <c:extLst>
            <c:ext xmlns:c16="http://schemas.microsoft.com/office/drawing/2014/chart" uri="{C3380CC4-5D6E-409C-BE32-E72D297353CC}">
              <c16:uniqueId val="{00000008-ED79-4039-B652-C1DB598BA61C}"/>
            </c:ext>
          </c:extLst>
        </c:ser>
        <c:ser>
          <c:idx val="9"/>
          <c:order val="9"/>
          <c:tx>
            <c:strRef>
              <c:f>'obj1'!$B$276</c:f>
              <c:strCache>
                <c:ptCount val="1"/>
                <c:pt idx="0">
                  <c:v>T10</c:v>
                </c:pt>
              </c:strCache>
            </c:strRef>
          </c:tx>
          <c:spPr>
            <a:ln w="28575" cap="rnd">
              <a:solidFill>
                <a:schemeClr val="accent4">
                  <a:lumMod val="60000"/>
                </a:schemeClr>
              </a:solidFill>
              <a:round/>
            </a:ln>
            <a:effectLst/>
          </c:spPr>
          <c:marker>
            <c:symbol val="circle"/>
            <c:size val="5"/>
            <c:spPr>
              <a:solidFill>
                <a:schemeClr val="accent4">
                  <a:lumMod val="60000"/>
                </a:schemeClr>
              </a:solidFill>
              <a:ln w="9525">
                <a:solidFill>
                  <a:schemeClr val="accent4">
                    <a:lumMod val="60000"/>
                  </a:schemeClr>
                </a:solidFill>
              </a:ln>
              <a:effectLst/>
            </c:spPr>
          </c:marker>
          <c:cat>
            <c:strRef>
              <c:f>'obj1'!$C$266:$D$266</c:f>
              <c:strCache>
                <c:ptCount val="2"/>
                <c:pt idx="0">
                  <c:v>30-60 DAT</c:v>
                </c:pt>
                <c:pt idx="1">
                  <c:v>60-90 DAT</c:v>
                </c:pt>
              </c:strCache>
            </c:strRef>
          </c:cat>
          <c:val>
            <c:numRef>
              <c:f>'obj1'!$C$276:$D$276</c:f>
              <c:numCache>
                <c:formatCode>0.0000</c:formatCode>
                <c:ptCount val="2"/>
                <c:pt idx="0">
                  <c:v>0.10844298662288732</c:v>
                </c:pt>
                <c:pt idx="1">
                  <c:v>1.1663180689725878E-2</c:v>
                </c:pt>
              </c:numCache>
            </c:numRef>
          </c:val>
          <c:smooth val="0"/>
          <c:extLst>
            <c:ext xmlns:c16="http://schemas.microsoft.com/office/drawing/2014/chart" uri="{C3380CC4-5D6E-409C-BE32-E72D297353CC}">
              <c16:uniqueId val="{00000009-ED79-4039-B652-C1DB598BA61C}"/>
            </c:ext>
          </c:extLst>
        </c:ser>
        <c:ser>
          <c:idx val="10"/>
          <c:order val="10"/>
          <c:tx>
            <c:strRef>
              <c:f>'obj1'!$B$277</c:f>
              <c:strCache>
                <c:ptCount val="1"/>
                <c:pt idx="0">
                  <c:v>T11</c:v>
                </c:pt>
              </c:strCache>
            </c:strRef>
          </c:tx>
          <c:spPr>
            <a:ln w="28575" cap="rnd">
              <a:solidFill>
                <a:schemeClr val="accent5">
                  <a:lumMod val="60000"/>
                </a:schemeClr>
              </a:solidFill>
              <a:round/>
            </a:ln>
            <a:effectLst/>
          </c:spPr>
          <c:marker>
            <c:symbol val="circle"/>
            <c:size val="5"/>
            <c:spPr>
              <a:solidFill>
                <a:schemeClr val="accent5">
                  <a:lumMod val="60000"/>
                </a:schemeClr>
              </a:solidFill>
              <a:ln w="9525">
                <a:solidFill>
                  <a:schemeClr val="accent5">
                    <a:lumMod val="60000"/>
                  </a:schemeClr>
                </a:solidFill>
              </a:ln>
              <a:effectLst/>
            </c:spPr>
          </c:marker>
          <c:cat>
            <c:strRef>
              <c:f>'obj1'!$C$266:$D$266</c:f>
              <c:strCache>
                <c:ptCount val="2"/>
                <c:pt idx="0">
                  <c:v>30-60 DAT</c:v>
                </c:pt>
                <c:pt idx="1">
                  <c:v>60-90 DAT</c:v>
                </c:pt>
              </c:strCache>
            </c:strRef>
          </c:cat>
          <c:val>
            <c:numRef>
              <c:f>'obj1'!$C$277:$D$277</c:f>
              <c:numCache>
                <c:formatCode>0.0000</c:formatCode>
                <c:ptCount val="2"/>
                <c:pt idx="0">
                  <c:v>9.2226493959358682E-2</c:v>
                </c:pt>
                <c:pt idx="1">
                  <c:v>1.4937055235144906E-2</c:v>
                </c:pt>
              </c:numCache>
            </c:numRef>
          </c:val>
          <c:smooth val="0"/>
          <c:extLst>
            <c:ext xmlns:c16="http://schemas.microsoft.com/office/drawing/2014/chart" uri="{C3380CC4-5D6E-409C-BE32-E72D297353CC}">
              <c16:uniqueId val="{0000000A-ED79-4039-B652-C1DB598BA61C}"/>
            </c:ext>
          </c:extLst>
        </c:ser>
        <c:ser>
          <c:idx val="11"/>
          <c:order val="11"/>
          <c:tx>
            <c:strRef>
              <c:f>'obj1'!$B$278</c:f>
              <c:strCache>
                <c:ptCount val="1"/>
                <c:pt idx="0">
                  <c:v>T12</c:v>
                </c:pt>
              </c:strCache>
            </c:strRef>
          </c:tx>
          <c:spPr>
            <a:ln w="28575" cap="rnd">
              <a:solidFill>
                <a:schemeClr val="accent6">
                  <a:lumMod val="60000"/>
                </a:schemeClr>
              </a:solidFill>
              <a:round/>
            </a:ln>
            <a:effectLst/>
          </c:spPr>
          <c:marker>
            <c:symbol val="circle"/>
            <c:size val="5"/>
            <c:spPr>
              <a:solidFill>
                <a:schemeClr val="accent6">
                  <a:lumMod val="60000"/>
                </a:schemeClr>
              </a:solidFill>
              <a:ln w="9525">
                <a:solidFill>
                  <a:schemeClr val="accent6">
                    <a:lumMod val="60000"/>
                  </a:schemeClr>
                </a:solidFill>
              </a:ln>
              <a:effectLst/>
            </c:spPr>
          </c:marker>
          <c:cat>
            <c:strRef>
              <c:f>'obj1'!$C$266:$D$266</c:f>
              <c:strCache>
                <c:ptCount val="2"/>
                <c:pt idx="0">
                  <c:v>30-60 DAT</c:v>
                </c:pt>
                <c:pt idx="1">
                  <c:v>60-90 DAT</c:v>
                </c:pt>
              </c:strCache>
            </c:strRef>
          </c:cat>
          <c:val>
            <c:numRef>
              <c:f>'obj1'!$C$278:$D$278</c:f>
              <c:numCache>
                <c:formatCode>0.0000</c:formatCode>
                <c:ptCount val="2"/>
                <c:pt idx="0">
                  <c:v>9.2182571300652674E-2</c:v>
                </c:pt>
                <c:pt idx="1">
                  <c:v>1.5559758894161441E-2</c:v>
                </c:pt>
              </c:numCache>
            </c:numRef>
          </c:val>
          <c:smooth val="0"/>
          <c:extLst>
            <c:ext xmlns:c16="http://schemas.microsoft.com/office/drawing/2014/chart" uri="{C3380CC4-5D6E-409C-BE32-E72D297353CC}">
              <c16:uniqueId val="{0000000B-ED79-4039-B652-C1DB598BA61C}"/>
            </c:ext>
          </c:extLst>
        </c:ser>
        <c:ser>
          <c:idx val="12"/>
          <c:order val="12"/>
          <c:tx>
            <c:strRef>
              <c:f>'obj1'!$B$279</c:f>
              <c:strCache>
                <c:ptCount val="1"/>
                <c:pt idx="0">
                  <c:v>T13</c:v>
                </c:pt>
              </c:strCache>
            </c:strRef>
          </c:tx>
          <c:spPr>
            <a:ln w="28575" cap="rnd">
              <a:solidFill>
                <a:schemeClr val="accent1">
                  <a:lumMod val="80000"/>
                  <a:lumOff val="20000"/>
                </a:schemeClr>
              </a:solidFill>
              <a:round/>
            </a:ln>
            <a:effectLst/>
          </c:spPr>
          <c:marker>
            <c:symbol val="circle"/>
            <c:size val="5"/>
            <c:spPr>
              <a:solidFill>
                <a:schemeClr val="accent1">
                  <a:lumMod val="80000"/>
                  <a:lumOff val="20000"/>
                </a:schemeClr>
              </a:solidFill>
              <a:ln w="9525">
                <a:solidFill>
                  <a:schemeClr val="accent1">
                    <a:lumMod val="80000"/>
                    <a:lumOff val="20000"/>
                  </a:schemeClr>
                </a:solidFill>
              </a:ln>
              <a:effectLst/>
            </c:spPr>
          </c:marker>
          <c:cat>
            <c:strRef>
              <c:f>'obj1'!$C$266:$D$266</c:f>
              <c:strCache>
                <c:ptCount val="2"/>
                <c:pt idx="0">
                  <c:v>30-60 DAT</c:v>
                </c:pt>
                <c:pt idx="1">
                  <c:v>60-90 DAT</c:v>
                </c:pt>
              </c:strCache>
            </c:strRef>
          </c:cat>
          <c:val>
            <c:numRef>
              <c:f>'obj1'!$C$279:$D$279</c:f>
              <c:numCache>
                <c:formatCode>0.0000</c:formatCode>
                <c:ptCount val="2"/>
                <c:pt idx="0">
                  <c:v>9.3508406732487073E-2</c:v>
                </c:pt>
                <c:pt idx="1">
                  <c:v>1.4844553277517915E-2</c:v>
                </c:pt>
              </c:numCache>
            </c:numRef>
          </c:val>
          <c:smooth val="0"/>
          <c:extLst>
            <c:ext xmlns:c16="http://schemas.microsoft.com/office/drawing/2014/chart" uri="{C3380CC4-5D6E-409C-BE32-E72D297353CC}">
              <c16:uniqueId val="{0000000C-ED79-4039-B652-C1DB598BA61C}"/>
            </c:ext>
          </c:extLst>
        </c:ser>
        <c:dLbls>
          <c:showLegendKey val="0"/>
          <c:showVal val="0"/>
          <c:showCatName val="0"/>
          <c:showSerName val="0"/>
          <c:showPercent val="0"/>
          <c:showBubbleSize val="0"/>
        </c:dLbls>
        <c:marker val="1"/>
        <c:smooth val="0"/>
        <c:axId val="22491967"/>
        <c:axId val="1979451023"/>
      </c:lineChart>
      <c:catAx>
        <c:axId val="2249196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79451023"/>
        <c:crosses val="autoZero"/>
        <c:auto val="1"/>
        <c:lblAlgn val="ctr"/>
        <c:lblOffset val="100"/>
        <c:noMultiLvlLbl val="0"/>
      </c:catAx>
      <c:valAx>
        <c:axId val="1979451023"/>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IN"/>
                  <a:t>RGR</a:t>
                </a:r>
                <a:r>
                  <a:rPr lang="en-IN" baseline="0"/>
                  <a:t> (g g</a:t>
                </a:r>
                <a:r>
                  <a:rPr lang="en-IN" baseline="30000"/>
                  <a:t>-1</a:t>
                </a:r>
                <a:r>
                  <a:rPr lang="en-IN" baseline="0"/>
                  <a:t> day</a:t>
                </a:r>
                <a:r>
                  <a:rPr lang="en-IN" baseline="30000"/>
                  <a:t>-1</a:t>
                </a:r>
                <a:r>
                  <a:rPr lang="en-IN" baseline="0"/>
                  <a:t>)</a:t>
                </a:r>
                <a:endParaRPr lang="en-IN"/>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IN"/>
            </a:p>
          </c:txPr>
        </c:title>
        <c:numFmt formatCode="0.0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2491967"/>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IN"/>
              <a:t>2025</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tx>
            <c:strRef>
              <c:f>'obj1'!$P$268</c:f>
              <c:strCache>
                <c:ptCount val="1"/>
                <c:pt idx="0">
                  <c:v>T1 </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cat>
            <c:strRef>
              <c:f>'obj1'!$Q$267:$R$267</c:f>
              <c:strCache>
                <c:ptCount val="2"/>
                <c:pt idx="0">
                  <c:v>30-60 DAT</c:v>
                </c:pt>
                <c:pt idx="1">
                  <c:v>60-90 DAT</c:v>
                </c:pt>
              </c:strCache>
            </c:strRef>
          </c:cat>
          <c:val>
            <c:numRef>
              <c:f>'obj1'!$Q$268:$R$268</c:f>
              <c:numCache>
                <c:formatCode>0.0000</c:formatCode>
                <c:ptCount val="2"/>
                <c:pt idx="0">
                  <c:v>8.3055022027285E-2</c:v>
                </c:pt>
                <c:pt idx="1">
                  <c:v>1.7659324039484069E-2</c:v>
                </c:pt>
              </c:numCache>
            </c:numRef>
          </c:val>
          <c:smooth val="0"/>
          <c:extLst>
            <c:ext xmlns:c16="http://schemas.microsoft.com/office/drawing/2014/chart" uri="{C3380CC4-5D6E-409C-BE32-E72D297353CC}">
              <c16:uniqueId val="{00000000-873C-4DD9-8B9B-E855009A95B2}"/>
            </c:ext>
          </c:extLst>
        </c:ser>
        <c:ser>
          <c:idx val="1"/>
          <c:order val="1"/>
          <c:tx>
            <c:strRef>
              <c:f>'obj1'!$P$269</c:f>
              <c:strCache>
                <c:ptCount val="1"/>
                <c:pt idx="0">
                  <c:v>T2 </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cat>
            <c:strRef>
              <c:f>'obj1'!$Q$267:$R$267</c:f>
              <c:strCache>
                <c:ptCount val="2"/>
                <c:pt idx="0">
                  <c:v>30-60 DAT</c:v>
                </c:pt>
                <c:pt idx="1">
                  <c:v>60-90 DAT</c:v>
                </c:pt>
              </c:strCache>
            </c:strRef>
          </c:cat>
          <c:val>
            <c:numRef>
              <c:f>'obj1'!$Q$269:$R$269</c:f>
              <c:numCache>
                <c:formatCode>0.0000</c:formatCode>
                <c:ptCount val="2"/>
                <c:pt idx="0">
                  <c:v>8.7107512484181457E-2</c:v>
                </c:pt>
                <c:pt idx="1">
                  <c:v>1.8434810918445295E-2</c:v>
                </c:pt>
              </c:numCache>
            </c:numRef>
          </c:val>
          <c:smooth val="0"/>
          <c:extLst>
            <c:ext xmlns:c16="http://schemas.microsoft.com/office/drawing/2014/chart" uri="{C3380CC4-5D6E-409C-BE32-E72D297353CC}">
              <c16:uniqueId val="{00000001-873C-4DD9-8B9B-E855009A95B2}"/>
            </c:ext>
          </c:extLst>
        </c:ser>
        <c:ser>
          <c:idx val="2"/>
          <c:order val="2"/>
          <c:tx>
            <c:strRef>
              <c:f>'obj1'!$P$270</c:f>
              <c:strCache>
                <c:ptCount val="1"/>
                <c:pt idx="0">
                  <c:v>T3</c:v>
                </c:pt>
              </c:strCache>
            </c:strRef>
          </c:tx>
          <c:spPr>
            <a:ln w="28575" cap="rnd">
              <a:solidFill>
                <a:schemeClr val="accent3"/>
              </a:solidFill>
              <a:round/>
            </a:ln>
            <a:effectLst/>
          </c:spPr>
          <c:marker>
            <c:symbol val="circle"/>
            <c:size val="5"/>
            <c:spPr>
              <a:solidFill>
                <a:schemeClr val="accent3"/>
              </a:solidFill>
              <a:ln w="9525">
                <a:solidFill>
                  <a:schemeClr val="accent3"/>
                </a:solidFill>
              </a:ln>
              <a:effectLst/>
            </c:spPr>
          </c:marker>
          <c:cat>
            <c:strRef>
              <c:f>'obj1'!$Q$267:$R$267</c:f>
              <c:strCache>
                <c:ptCount val="2"/>
                <c:pt idx="0">
                  <c:v>30-60 DAT</c:v>
                </c:pt>
                <c:pt idx="1">
                  <c:v>60-90 DAT</c:v>
                </c:pt>
              </c:strCache>
            </c:strRef>
          </c:cat>
          <c:val>
            <c:numRef>
              <c:f>'obj1'!$Q$270:$R$270</c:f>
              <c:numCache>
                <c:formatCode>0.0000</c:formatCode>
                <c:ptCount val="2"/>
                <c:pt idx="0">
                  <c:v>8.9969133397797899E-2</c:v>
                </c:pt>
                <c:pt idx="1">
                  <c:v>1.6012666311170626E-2</c:v>
                </c:pt>
              </c:numCache>
            </c:numRef>
          </c:val>
          <c:smooth val="0"/>
          <c:extLst>
            <c:ext xmlns:c16="http://schemas.microsoft.com/office/drawing/2014/chart" uri="{C3380CC4-5D6E-409C-BE32-E72D297353CC}">
              <c16:uniqueId val="{00000002-873C-4DD9-8B9B-E855009A95B2}"/>
            </c:ext>
          </c:extLst>
        </c:ser>
        <c:ser>
          <c:idx val="3"/>
          <c:order val="3"/>
          <c:tx>
            <c:strRef>
              <c:f>'obj1'!$P$271</c:f>
              <c:strCache>
                <c:ptCount val="1"/>
                <c:pt idx="0">
                  <c:v>T4</c:v>
                </c:pt>
              </c:strCache>
            </c:strRef>
          </c:tx>
          <c:spPr>
            <a:ln w="28575" cap="rnd">
              <a:solidFill>
                <a:schemeClr val="accent4"/>
              </a:solidFill>
              <a:round/>
            </a:ln>
            <a:effectLst/>
          </c:spPr>
          <c:marker>
            <c:symbol val="circle"/>
            <c:size val="5"/>
            <c:spPr>
              <a:solidFill>
                <a:schemeClr val="accent4"/>
              </a:solidFill>
              <a:ln w="9525">
                <a:solidFill>
                  <a:schemeClr val="accent4"/>
                </a:solidFill>
              </a:ln>
              <a:effectLst/>
            </c:spPr>
          </c:marker>
          <c:cat>
            <c:strRef>
              <c:f>'obj1'!$Q$267:$R$267</c:f>
              <c:strCache>
                <c:ptCount val="2"/>
                <c:pt idx="0">
                  <c:v>30-60 DAT</c:v>
                </c:pt>
                <c:pt idx="1">
                  <c:v>60-90 DAT</c:v>
                </c:pt>
              </c:strCache>
            </c:strRef>
          </c:cat>
          <c:val>
            <c:numRef>
              <c:f>'obj1'!$Q$271:$R$271</c:f>
              <c:numCache>
                <c:formatCode>0.0000</c:formatCode>
                <c:ptCount val="2"/>
                <c:pt idx="0">
                  <c:v>9.2043312824156231E-2</c:v>
                </c:pt>
                <c:pt idx="1">
                  <c:v>1.4807980998784298E-2</c:v>
                </c:pt>
              </c:numCache>
            </c:numRef>
          </c:val>
          <c:smooth val="0"/>
          <c:extLst>
            <c:ext xmlns:c16="http://schemas.microsoft.com/office/drawing/2014/chart" uri="{C3380CC4-5D6E-409C-BE32-E72D297353CC}">
              <c16:uniqueId val="{00000003-873C-4DD9-8B9B-E855009A95B2}"/>
            </c:ext>
          </c:extLst>
        </c:ser>
        <c:ser>
          <c:idx val="4"/>
          <c:order val="4"/>
          <c:tx>
            <c:strRef>
              <c:f>'obj1'!$P$272</c:f>
              <c:strCache>
                <c:ptCount val="1"/>
                <c:pt idx="0">
                  <c:v>T5 </c:v>
                </c:pt>
              </c:strCache>
            </c:strRef>
          </c:tx>
          <c:spPr>
            <a:ln w="28575" cap="rnd">
              <a:solidFill>
                <a:schemeClr val="accent5"/>
              </a:solidFill>
              <a:round/>
            </a:ln>
            <a:effectLst/>
          </c:spPr>
          <c:marker>
            <c:symbol val="circle"/>
            <c:size val="5"/>
            <c:spPr>
              <a:solidFill>
                <a:schemeClr val="accent5"/>
              </a:solidFill>
              <a:ln w="9525">
                <a:solidFill>
                  <a:schemeClr val="accent5"/>
                </a:solidFill>
              </a:ln>
              <a:effectLst/>
            </c:spPr>
          </c:marker>
          <c:cat>
            <c:strRef>
              <c:f>'obj1'!$Q$267:$R$267</c:f>
              <c:strCache>
                <c:ptCount val="2"/>
                <c:pt idx="0">
                  <c:v>30-60 DAT</c:v>
                </c:pt>
                <c:pt idx="1">
                  <c:v>60-90 DAT</c:v>
                </c:pt>
              </c:strCache>
            </c:strRef>
          </c:cat>
          <c:val>
            <c:numRef>
              <c:f>'obj1'!$Q$272:$R$272</c:f>
              <c:numCache>
                <c:formatCode>0.0000</c:formatCode>
                <c:ptCount val="2"/>
                <c:pt idx="0">
                  <c:v>8.7874377872949272E-2</c:v>
                </c:pt>
                <c:pt idx="1">
                  <c:v>1.6684225112969436E-2</c:v>
                </c:pt>
              </c:numCache>
            </c:numRef>
          </c:val>
          <c:smooth val="0"/>
          <c:extLst>
            <c:ext xmlns:c16="http://schemas.microsoft.com/office/drawing/2014/chart" uri="{C3380CC4-5D6E-409C-BE32-E72D297353CC}">
              <c16:uniqueId val="{00000004-873C-4DD9-8B9B-E855009A95B2}"/>
            </c:ext>
          </c:extLst>
        </c:ser>
        <c:ser>
          <c:idx val="5"/>
          <c:order val="5"/>
          <c:tx>
            <c:strRef>
              <c:f>'obj1'!$P$273</c:f>
              <c:strCache>
                <c:ptCount val="1"/>
                <c:pt idx="0">
                  <c:v>T6</c:v>
                </c:pt>
              </c:strCache>
            </c:strRef>
          </c:tx>
          <c:spPr>
            <a:ln w="28575" cap="rnd">
              <a:solidFill>
                <a:schemeClr val="accent6"/>
              </a:solidFill>
              <a:round/>
            </a:ln>
            <a:effectLst/>
          </c:spPr>
          <c:marker>
            <c:symbol val="circle"/>
            <c:size val="5"/>
            <c:spPr>
              <a:solidFill>
                <a:schemeClr val="accent6"/>
              </a:solidFill>
              <a:ln w="9525">
                <a:solidFill>
                  <a:schemeClr val="accent6"/>
                </a:solidFill>
              </a:ln>
              <a:effectLst/>
            </c:spPr>
          </c:marker>
          <c:cat>
            <c:strRef>
              <c:f>'obj1'!$Q$267:$R$267</c:f>
              <c:strCache>
                <c:ptCount val="2"/>
                <c:pt idx="0">
                  <c:v>30-60 DAT</c:v>
                </c:pt>
                <c:pt idx="1">
                  <c:v>60-90 DAT</c:v>
                </c:pt>
              </c:strCache>
            </c:strRef>
          </c:cat>
          <c:val>
            <c:numRef>
              <c:f>'obj1'!$Q$273:$R$273</c:f>
              <c:numCache>
                <c:formatCode>0.0000</c:formatCode>
                <c:ptCount val="2"/>
                <c:pt idx="0">
                  <c:v>8.9398349474019131E-2</c:v>
                </c:pt>
                <c:pt idx="1">
                  <c:v>1.5946346054889676E-2</c:v>
                </c:pt>
              </c:numCache>
            </c:numRef>
          </c:val>
          <c:smooth val="0"/>
          <c:extLst>
            <c:ext xmlns:c16="http://schemas.microsoft.com/office/drawing/2014/chart" uri="{C3380CC4-5D6E-409C-BE32-E72D297353CC}">
              <c16:uniqueId val="{00000005-873C-4DD9-8B9B-E855009A95B2}"/>
            </c:ext>
          </c:extLst>
        </c:ser>
        <c:ser>
          <c:idx val="6"/>
          <c:order val="6"/>
          <c:tx>
            <c:strRef>
              <c:f>'obj1'!$P$274</c:f>
              <c:strCache>
                <c:ptCount val="1"/>
                <c:pt idx="0">
                  <c:v>T7</c:v>
                </c:pt>
              </c:strCache>
            </c:strRef>
          </c:tx>
          <c:spPr>
            <a:ln w="28575" cap="rnd">
              <a:solidFill>
                <a:schemeClr val="accent1">
                  <a:lumMod val="60000"/>
                </a:schemeClr>
              </a:solidFill>
              <a:round/>
            </a:ln>
            <a:effectLst/>
          </c:spPr>
          <c:marker>
            <c:symbol val="circle"/>
            <c:size val="5"/>
            <c:spPr>
              <a:solidFill>
                <a:schemeClr val="accent1">
                  <a:lumMod val="60000"/>
                </a:schemeClr>
              </a:solidFill>
              <a:ln w="9525">
                <a:solidFill>
                  <a:schemeClr val="accent1">
                    <a:lumMod val="60000"/>
                  </a:schemeClr>
                </a:solidFill>
              </a:ln>
              <a:effectLst/>
            </c:spPr>
          </c:marker>
          <c:cat>
            <c:strRef>
              <c:f>'obj1'!$Q$267:$R$267</c:f>
              <c:strCache>
                <c:ptCount val="2"/>
                <c:pt idx="0">
                  <c:v>30-60 DAT</c:v>
                </c:pt>
                <c:pt idx="1">
                  <c:v>60-90 DAT</c:v>
                </c:pt>
              </c:strCache>
            </c:strRef>
          </c:cat>
          <c:val>
            <c:numRef>
              <c:f>'obj1'!$Q$274:$R$274</c:f>
              <c:numCache>
                <c:formatCode>0.0000</c:formatCode>
                <c:ptCount val="2"/>
                <c:pt idx="0">
                  <c:v>9.0027841538579442E-2</c:v>
                </c:pt>
                <c:pt idx="1">
                  <c:v>1.6366119688786037E-2</c:v>
                </c:pt>
              </c:numCache>
            </c:numRef>
          </c:val>
          <c:smooth val="0"/>
          <c:extLst>
            <c:ext xmlns:c16="http://schemas.microsoft.com/office/drawing/2014/chart" uri="{C3380CC4-5D6E-409C-BE32-E72D297353CC}">
              <c16:uniqueId val="{00000006-873C-4DD9-8B9B-E855009A95B2}"/>
            </c:ext>
          </c:extLst>
        </c:ser>
        <c:ser>
          <c:idx val="7"/>
          <c:order val="7"/>
          <c:tx>
            <c:strRef>
              <c:f>'obj1'!$P$275</c:f>
              <c:strCache>
                <c:ptCount val="1"/>
                <c:pt idx="0">
                  <c:v>T8</c:v>
                </c:pt>
              </c:strCache>
            </c:strRef>
          </c:tx>
          <c:spPr>
            <a:ln w="28575" cap="rnd">
              <a:solidFill>
                <a:schemeClr val="accent2">
                  <a:lumMod val="60000"/>
                </a:schemeClr>
              </a:solidFill>
              <a:round/>
            </a:ln>
            <a:effectLst/>
          </c:spPr>
          <c:marker>
            <c:symbol val="circle"/>
            <c:size val="5"/>
            <c:spPr>
              <a:solidFill>
                <a:schemeClr val="accent2">
                  <a:lumMod val="60000"/>
                </a:schemeClr>
              </a:solidFill>
              <a:ln w="9525">
                <a:solidFill>
                  <a:schemeClr val="accent2">
                    <a:lumMod val="60000"/>
                  </a:schemeClr>
                </a:solidFill>
              </a:ln>
              <a:effectLst/>
            </c:spPr>
          </c:marker>
          <c:cat>
            <c:strRef>
              <c:f>'obj1'!$Q$267:$R$267</c:f>
              <c:strCache>
                <c:ptCount val="2"/>
                <c:pt idx="0">
                  <c:v>30-60 DAT</c:v>
                </c:pt>
                <c:pt idx="1">
                  <c:v>60-90 DAT</c:v>
                </c:pt>
              </c:strCache>
            </c:strRef>
          </c:cat>
          <c:val>
            <c:numRef>
              <c:f>'obj1'!$Q$275:$R$275</c:f>
              <c:numCache>
                <c:formatCode>0.0000</c:formatCode>
                <c:ptCount val="2"/>
                <c:pt idx="0">
                  <c:v>9.2170273733170313E-2</c:v>
                </c:pt>
                <c:pt idx="1">
                  <c:v>1.5631390837195287E-2</c:v>
                </c:pt>
              </c:numCache>
            </c:numRef>
          </c:val>
          <c:smooth val="0"/>
          <c:extLst>
            <c:ext xmlns:c16="http://schemas.microsoft.com/office/drawing/2014/chart" uri="{C3380CC4-5D6E-409C-BE32-E72D297353CC}">
              <c16:uniqueId val="{00000007-873C-4DD9-8B9B-E855009A95B2}"/>
            </c:ext>
          </c:extLst>
        </c:ser>
        <c:ser>
          <c:idx val="8"/>
          <c:order val="8"/>
          <c:tx>
            <c:strRef>
              <c:f>'obj1'!$P$276</c:f>
              <c:strCache>
                <c:ptCount val="1"/>
                <c:pt idx="0">
                  <c:v>T9</c:v>
                </c:pt>
              </c:strCache>
            </c:strRef>
          </c:tx>
          <c:spPr>
            <a:ln w="28575" cap="rnd">
              <a:solidFill>
                <a:schemeClr val="accent3">
                  <a:lumMod val="60000"/>
                </a:schemeClr>
              </a:solidFill>
              <a:round/>
            </a:ln>
            <a:effectLst/>
          </c:spPr>
          <c:marker>
            <c:symbol val="circle"/>
            <c:size val="5"/>
            <c:spPr>
              <a:solidFill>
                <a:schemeClr val="accent3">
                  <a:lumMod val="60000"/>
                </a:schemeClr>
              </a:solidFill>
              <a:ln w="9525">
                <a:solidFill>
                  <a:schemeClr val="accent3">
                    <a:lumMod val="60000"/>
                  </a:schemeClr>
                </a:solidFill>
              </a:ln>
              <a:effectLst/>
            </c:spPr>
          </c:marker>
          <c:cat>
            <c:strRef>
              <c:f>'obj1'!$Q$267:$R$267</c:f>
              <c:strCache>
                <c:ptCount val="2"/>
                <c:pt idx="0">
                  <c:v>30-60 DAT</c:v>
                </c:pt>
                <c:pt idx="1">
                  <c:v>60-90 DAT</c:v>
                </c:pt>
              </c:strCache>
            </c:strRef>
          </c:cat>
          <c:val>
            <c:numRef>
              <c:f>'obj1'!$Q$276:$R$276</c:f>
              <c:numCache>
                <c:formatCode>0.0000</c:formatCode>
                <c:ptCount val="2"/>
                <c:pt idx="0">
                  <c:v>0.10418037364934979</c:v>
                </c:pt>
                <c:pt idx="1">
                  <c:v>1.2680635153790495E-2</c:v>
                </c:pt>
              </c:numCache>
            </c:numRef>
          </c:val>
          <c:smooth val="0"/>
          <c:extLst>
            <c:ext xmlns:c16="http://schemas.microsoft.com/office/drawing/2014/chart" uri="{C3380CC4-5D6E-409C-BE32-E72D297353CC}">
              <c16:uniqueId val="{00000008-873C-4DD9-8B9B-E855009A95B2}"/>
            </c:ext>
          </c:extLst>
        </c:ser>
        <c:ser>
          <c:idx val="9"/>
          <c:order val="9"/>
          <c:tx>
            <c:strRef>
              <c:f>'obj1'!$P$277</c:f>
              <c:strCache>
                <c:ptCount val="1"/>
                <c:pt idx="0">
                  <c:v>T10</c:v>
                </c:pt>
              </c:strCache>
            </c:strRef>
          </c:tx>
          <c:spPr>
            <a:ln w="28575" cap="rnd">
              <a:solidFill>
                <a:schemeClr val="accent4">
                  <a:lumMod val="60000"/>
                </a:schemeClr>
              </a:solidFill>
              <a:round/>
            </a:ln>
            <a:effectLst/>
          </c:spPr>
          <c:marker>
            <c:symbol val="circle"/>
            <c:size val="5"/>
            <c:spPr>
              <a:solidFill>
                <a:schemeClr val="accent4">
                  <a:lumMod val="60000"/>
                </a:schemeClr>
              </a:solidFill>
              <a:ln w="9525">
                <a:solidFill>
                  <a:schemeClr val="accent4">
                    <a:lumMod val="60000"/>
                  </a:schemeClr>
                </a:solidFill>
              </a:ln>
              <a:effectLst/>
            </c:spPr>
          </c:marker>
          <c:cat>
            <c:strRef>
              <c:f>'obj1'!$Q$267:$R$267</c:f>
              <c:strCache>
                <c:ptCount val="2"/>
                <c:pt idx="0">
                  <c:v>30-60 DAT</c:v>
                </c:pt>
                <c:pt idx="1">
                  <c:v>60-90 DAT</c:v>
                </c:pt>
              </c:strCache>
            </c:strRef>
          </c:cat>
          <c:val>
            <c:numRef>
              <c:f>'obj1'!$Q$277:$R$277</c:f>
              <c:numCache>
                <c:formatCode>0.0000</c:formatCode>
                <c:ptCount val="2"/>
                <c:pt idx="0">
                  <c:v>0.10841217953707133</c:v>
                </c:pt>
                <c:pt idx="1">
                  <c:v>1.1904851774279655E-2</c:v>
                </c:pt>
              </c:numCache>
            </c:numRef>
          </c:val>
          <c:smooth val="0"/>
          <c:extLst>
            <c:ext xmlns:c16="http://schemas.microsoft.com/office/drawing/2014/chart" uri="{C3380CC4-5D6E-409C-BE32-E72D297353CC}">
              <c16:uniqueId val="{00000009-873C-4DD9-8B9B-E855009A95B2}"/>
            </c:ext>
          </c:extLst>
        </c:ser>
        <c:ser>
          <c:idx val="10"/>
          <c:order val="10"/>
          <c:tx>
            <c:strRef>
              <c:f>'obj1'!$P$278</c:f>
              <c:strCache>
                <c:ptCount val="1"/>
                <c:pt idx="0">
                  <c:v>T11</c:v>
                </c:pt>
              </c:strCache>
            </c:strRef>
          </c:tx>
          <c:spPr>
            <a:ln w="28575" cap="rnd">
              <a:solidFill>
                <a:schemeClr val="accent5">
                  <a:lumMod val="60000"/>
                </a:schemeClr>
              </a:solidFill>
              <a:round/>
            </a:ln>
            <a:effectLst/>
          </c:spPr>
          <c:marker>
            <c:symbol val="circle"/>
            <c:size val="5"/>
            <c:spPr>
              <a:solidFill>
                <a:schemeClr val="accent5">
                  <a:lumMod val="60000"/>
                </a:schemeClr>
              </a:solidFill>
              <a:ln w="9525">
                <a:solidFill>
                  <a:schemeClr val="accent5">
                    <a:lumMod val="60000"/>
                  </a:schemeClr>
                </a:solidFill>
              </a:ln>
              <a:effectLst/>
            </c:spPr>
          </c:marker>
          <c:cat>
            <c:strRef>
              <c:f>'obj1'!$Q$267:$R$267</c:f>
              <c:strCache>
                <c:ptCount val="2"/>
                <c:pt idx="0">
                  <c:v>30-60 DAT</c:v>
                </c:pt>
                <c:pt idx="1">
                  <c:v>60-90 DAT</c:v>
                </c:pt>
              </c:strCache>
            </c:strRef>
          </c:cat>
          <c:val>
            <c:numRef>
              <c:f>'obj1'!$Q$278:$R$278</c:f>
              <c:numCache>
                <c:formatCode>0.0000</c:formatCode>
                <c:ptCount val="2"/>
                <c:pt idx="0">
                  <c:v>9.2069161844860206E-2</c:v>
                </c:pt>
                <c:pt idx="1">
                  <c:v>1.4854631564727624E-2</c:v>
                </c:pt>
              </c:numCache>
            </c:numRef>
          </c:val>
          <c:smooth val="0"/>
          <c:extLst>
            <c:ext xmlns:c16="http://schemas.microsoft.com/office/drawing/2014/chart" uri="{C3380CC4-5D6E-409C-BE32-E72D297353CC}">
              <c16:uniqueId val="{0000000A-873C-4DD9-8B9B-E855009A95B2}"/>
            </c:ext>
          </c:extLst>
        </c:ser>
        <c:ser>
          <c:idx val="11"/>
          <c:order val="11"/>
          <c:tx>
            <c:strRef>
              <c:f>'obj1'!$P$279</c:f>
              <c:strCache>
                <c:ptCount val="1"/>
                <c:pt idx="0">
                  <c:v>T12</c:v>
                </c:pt>
              </c:strCache>
            </c:strRef>
          </c:tx>
          <c:spPr>
            <a:ln w="28575" cap="rnd">
              <a:solidFill>
                <a:schemeClr val="accent6">
                  <a:lumMod val="60000"/>
                </a:schemeClr>
              </a:solidFill>
              <a:round/>
            </a:ln>
            <a:effectLst/>
          </c:spPr>
          <c:marker>
            <c:symbol val="circle"/>
            <c:size val="5"/>
            <c:spPr>
              <a:solidFill>
                <a:schemeClr val="accent6">
                  <a:lumMod val="60000"/>
                </a:schemeClr>
              </a:solidFill>
              <a:ln w="9525">
                <a:solidFill>
                  <a:schemeClr val="accent6">
                    <a:lumMod val="60000"/>
                  </a:schemeClr>
                </a:solidFill>
              </a:ln>
              <a:effectLst/>
            </c:spPr>
          </c:marker>
          <c:cat>
            <c:strRef>
              <c:f>'obj1'!$Q$267:$R$267</c:f>
              <c:strCache>
                <c:ptCount val="2"/>
                <c:pt idx="0">
                  <c:v>30-60 DAT</c:v>
                </c:pt>
                <c:pt idx="1">
                  <c:v>60-90 DAT</c:v>
                </c:pt>
              </c:strCache>
            </c:strRef>
          </c:cat>
          <c:val>
            <c:numRef>
              <c:f>'obj1'!$Q$279:$R$279</c:f>
              <c:numCache>
                <c:formatCode>0.0000</c:formatCode>
                <c:ptCount val="2"/>
                <c:pt idx="0">
                  <c:v>9.1807693966234019E-2</c:v>
                </c:pt>
                <c:pt idx="1">
                  <c:v>1.6164461411935841E-2</c:v>
                </c:pt>
              </c:numCache>
            </c:numRef>
          </c:val>
          <c:smooth val="0"/>
          <c:extLst>
            <c:ext xmlns:c16="http://schemas.microsoft.com/office/drawing/2014/chart" uri="{C3380CC4-5D6E-409C-BE32-E72D297353CC}">
              <c16:uniqueId val="{0000000B-873C-4DD9-8B9B-E855009A95B2}"/>
            </c:ext>
          </c:extLst>
        </c:ser>
        <c:ser>
          <c:idx val="12"/>
          <c:order val="12"/>
          <c:tx>
            <c:strRef>
              <c:f>'obj1'!$P$280</c:f>
              <c:strCache>
                <c:ptCount val="1"/>
                <c:pt idx="0">
                  <c:v>T13</c:v>
                </c:pt>
              </c:strCache>
            </c:strRef>
          </c:tx>
          <c:spPr>
            <a:ln w="28575" cap="rnd">
              <a:solidFill>
                <a:schemeClr val="accent1">
                  <a:lumMod val="80000"/>
                  <a:lumOff val="20000"/>
                </a:schemeClr>
              </a:solidFill>
              <a:round/>
            </a:ln>
            <a:effectLst/>
          </c:spPr>
          <c:marker>
            <c:symbol val="circle"/>
            <c:size val="5"/>
            <c:spPr>
              <a:solidFill>
                <a:schemeClr val="accent1">
                  <a:lumMod val="80000"/>
                  <a:lumOff val="20000"/>
                </a:schemeClr>
              </a:solidFill>
              <a:ln w="9525">
                <a:solidFill>
                  <a:schemeClr val="accent1">
                    <a:lumMod val="80000"/>
                    <a:lumOff val="20000"/>
                  </a:schemeClr>
                </a:solidFill>
              </a:ln>
              <a:effectLst/>
            </c:spPr>
          </c:marker>
          <c:cat>
            <c:strRef>
              <c:f>'obj1'!$Q$267:$R$267</c:f>
              <c:strCache>
                <c:ptCount val="2"/>
                <c:pt idx="0">
                  <c:v>30-60 DAT</c:v>
                </c:pt>
                <c:pt idx="1">
                  <c:v>60-90 DAT</c:v>
                </c:pt>
              </c:strCache>
            </c:strRef>
          </c:cat>
          <c:val>
            <c:numRef>
              <c:f>'obj1'!$Q$280:$R$280</c:f>
              <c:numCache>
                <c:formatCode>0.0000</c:formatCode>
                <c:ptCount val="2"/>
                <c:pt idx="0">
                  <c:v>9.313665999536673E-2</c:v>
                </c:pt>
                <c:pt idx="1">
                  <c:v>1.5032072184955602E-2</c:v>
                </c:pt>
              </c:numCache>
            </c:numRef>
          </c:val>
          <c:smooth val="0"/>
          <c:extLst>
            <c:ext xmlns:c16="http://schemas.microsoft.com/office/drawing/2014/chart" uri="{C3380CC4-5D6E-409C-BE32-E72D297353CC}">
              <c16:uniqueId val="{0000000C-873C-4DD9-8B9B-E855009A95B2}"/>
            </c:ext>
          </c:extLst>
        </c:ser>
        <c:dLbls>
          <c:showLegendKey val="0"/>
          <c:showVal val="0"/>
          <c:showCatName val="0"/>
          <c:showSerName val="0"/>
          <c:showPercent val="0"/>
          <c:showBubbleSize val="0"/>
        </c:dLbls>
        <c:marker val="1"/>
        <c:smooth val="0"/>
        <c:axId val="29803775"/>
        <c:axId val="1979452943"/>
      </c:lineChart>
      <c:catAx>
        <c:axId val="29803775"/>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79452943"/>
        <c:crosses val="autoZero"/>
        <c:auto val="1"/>
        <c:lblAlgn val="ctr"/>
        <c:lblOffset val="100"/>
        <c:noMultiLvlLbl val="0"/>
      </c:catAx>
      <c:valAx>
        <c:axId val="1979452943"/>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IN"/>
                  <a:t>RGR</a:t>
                </a:r>
                <a:r>
                  <a:rPr lang="en-IN" baseline="0"/>
                  <a:t> (g g</a:t>
                </a:r>
                <a:r>
                  <a:rPr lang="en-IN" baseline="30000"/>
                  <a:t>-1</a:t>
                </a:r>
                <a:r>
                  <a:rPr lang="en-IN" baseline="0"/>
                  <a:t>day</a:t>
                </a:r>
                <a:r>
                  <a:rPr lang="en-IN" baseline="30000"/>
                  <a:t>-1</a:t>
                </a:r>
                <a:r>
                  <a:rPr lang="en-IN" baseline="0"/>
                  <a:t>)</a:t>
                </a:r>
                <a:endParaRPr lang="en-IN"/>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IN"/>
            </a:p>
          </c:txPr>
        </c:title>
        <c:numFmt formatCode="0.0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9803775"/>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IN"/>
              <a:t>2024</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tx>
            <c:strRef>
              <c:f>'obj1'!$B$285</c:f>
              <c:strCache>
                <c:ptCount val="1"/>
                <c:pt idx="0">
                  <c:v>T1 </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cat>
            <c:strRef>
              <c:f>'obj1'!$C$284:$D$284</c:f>
              <c:strCache>
                <c:ptCount val="2"/>
                <c:pt idx="0">
                  <c:v>30-60 DAT</c:v>
                </c:pt>
                <c:pt idx="1">
                  <c:v>60-90 DAT</c:v>
                </c:pt>
              </c:strCache>
            </c:strRef>
          </c:cat>
          <c:val>
            <c:numRef>
              <c:f>'obj1'!$C$285:$D$285</c:f>
              <c:numCache>
                <c:formatCode>0.0000</c:formatCode>
                <c:ptCount val="2"/>
                <c:pt idx="0">
                  <c:v>0.36657280948025811</c:v>
                </c:pt>
                <c:pt idx="1">
                  <c:v>3.6033175880314902E-3</c:v>
                </c:pt>
              </c:numCache>
            </c:numRef>
          </c:val>
          <c:smooth val="0"/>
          <c:extLst>
            <c:ext xmlns:c16="http://schemas.microsoft.com/office/drawing/2014/chart" uri="{C3380CC4-5D6E-409C-BE32-E72D297353CC}">
              <c16:uniqueId val="{00000000-064B-46C2-B96C-8B6807697202}"/>
            </c:ext>
          </c:extLst>
        </c:ser>
        <c:ser>
          <c:idx val="1"/>
          <c:order val="1"/>
          <c:tx>
            <c:strRef>
              <c:f>'obj1'!$B$286</c:f>
              <c:strCache>
                <c:ptCount val="1"/>
                <c:pt idx="0">
                  <c:v>T2 </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cat>
            <c:strRef>
              <c:f>'obj1'!$C$284:$D$284</c:f>
              <c:strCache>
                <c:ptCount val="2"/>
                <c:pt idx="0">
                  <c:v>30-60 DAT</c:v>
                </c:pt>
                <c:pt idx="1">
                  <c:v>60-90 DAT</c:v>
                </c:pt>
              </c:strCache>
            </c:strRef>
          </c:cat>
          <c:val>
            <c:numRef>
              <c:f>'obj1'!$C$286:$D$286</c:f>
              <c:numCache>
                <c:formatCode>0.0000</c:formatCode>
                <c:ptCount val="2"/>
                <c:pt idx="0">
                  <c:v>0.78607084938998628</c:v>
                </c:pt>
                <c:pt idx="1">
                  <c:v>9.8504948243119516E-3</c:v>
                </c:pt>
              </c:numCache>
            </c:numRef>
          </c:val>
          <c:smooth val="0"/>
          <c:extLst>
            <c:ext xmlns:c16="http://schemas.microsoft.com/office/drawing/2014/chart" uri="{C3380CC4-5D6E-409C-BE32-E72D297353CC}">
              <c16:uniqueId val="{00000001-064B-46C2-B96C-8B6807697202}"/>
            </c:ext>
          </c:extLst>
        </c:ser>
        <c:ser>
          <c:idx val="2"/>
          <c:order val="2"/>
          <c:tx>
            <c:strRef>
              <c:f>'obj1'!$B$287</c:f>
              <c:strCache>
                <c:ptCount val="1"/>
                <c:pt idx="0">
                  <c:v>T3</c:v>
                </c:pt>
              </c:strCache>
            </c:strRef>
          </c:tx>
          <c:spPr>
            <a:ln w="28575" cap="rnd">
              <a:solidFill>
                <a:schemeClr val="accent3"/>
              </a:solidFill>
              <a:round/>
            </a:ln>
            <a:effectLst/>
          </c:spPr>
          <c:marker>
            <c:symbol val="circle"/>
            <c:size val="5"/>
            <c:spPr>
              <a:solidFill>
                <a:schemeClr val="accent3"/>
              </a:solidFill>
              <a:ln w="9525">
                <a:solidFill>
                  <a:schemeClr val="accent3"/>
                </a:solidFill>
              </a:ln>
              <a:effectLst/>
            </c:spPr>
          </c:marker>
          <c:cat>
            <c:strRef>
              <c:f>'obj1'!$C$284:$D$284</c:f>
              <c:strCache>
                <c:ptCount val="2"/>
                <c:pt idx="0">
                  <c:v>30-60 DAT</c:v>
                </c:pt>
                <c:pt idx="1">
                  <c:v>60-90 DAT</c:v>
                </c:pt>
              </c:strCache>
            </c:strRef>
          </c:cat>
          <c:val>
            <c:numRef>
              <c:f>'obj1'!$C$287:$D$287</c:f>
              <c:numCache>
                <c:formatCode>0.0000</c:formatCode>
                <c:ptCount val="2"/>
                <c:pt idx="0">
                  <c:v>0.86406133284549469</c:v>
                </c:pt>
                <c:pt idx="1">
                  <c:v>1.3477227964014812E-2</c:v>
                </c:pt>
              </c:numCache>
            </c:numRef>
          </c:val>
          <c:smooth val="0"/>
          <c:extLst>
            <c:ext xmlns:c16="http://schemas.microsoft.com/office/drawing/2014/chart" uri="{C3380CC4-5D6E-409C-BE32-E72D297353CC}">
              <c16:uniqueId val="{00000002-064B-46C2-B96C-8B6807697202}"/>
            </c:ext>
          </c:extLst>
        </c:ser>
        <c:ser>
          <c:idx val="3"/>
          <c:order val="3"/>
          <c:tx>
            <c:strRef>
              <c:f>'obj1'!$B$288</c:f>
              <c:strCache>
                <c:ptCount val="1"/>
                <c:pt idx="0">
                  <c:v>T4</c:v>
                </c:pt>
              </c:strCache>
            </c:strRef>
          </c:tx>
          <c:spPr>
            <a:ln w="28575" cap="rnd">
              <a:solidFill>
                <a:schemeClr val="accent4"/>
              </a:solidFill>
              <a:round/>
            </a:ln>
            <a:effectLst/>
          </c:spPr>
          <c:marker>
            <c:symbol val="circle"/>
            <c:size val="5"/>
            <c:spPr>
              <a:solidFill>
                <a:schemeClr val="accent4"/>
              </a:solidFill>
              <a:ln w="9525">
                <a:solidFill>
                  <a:schemeClr val="accent4"/>
                </a:solidFill>
              </a:ln>
              <a:effectLst/>
            </c:spPr>
          </c:marker>
          <c:cat>
            <c:strRef>
              <c:f>'obj1'!$C$284:$D$284</c:f>
              <c:strCache>
                <c:ptCount val="2"/>
                <c:pt idx="0">
                  <c:v>30-60 DAT</c:v>
                </c:pt>
                <c:pt idx="1">
                  <c:v>60-90 DAT</c:v>
                </c:pt>
              </c:strCache>
            </c:strRef>
          </c:cat>
          <c:val>
            <c:numRef>
              <c:f>'obj1'!$C$288:$D$288</c:f>
              <c:numCache>
                <c:formatCode>0.0000</c:formatCode>
                <c:ptCount val="2"/>
                <c:pt idx="0">
                  <c:v>1.0633975254406611</c:v>
                </c:pt>
                <c:pt idx="1">
                  <c:v>2.9793121429868008E-2</c:v>
                </c:pt>
              </c:numCache>
            </c:numRef>
          </c:val>
          <c:smooth val="0"/>
          <c:extLst>
            <c:ext xmlns:c16="http://schemas.microsoft.com/office/drawing/2014/chart" uri="{C3380CC4-5D6E-409C-BE32-E72D297353CC}">
              <c16:uniqueId val="{00000003-064B-46C2-B96C-8B6807697202}"/>
            </c:ext>
          </c:extLst>
        </c:ser>
        <c:ser>
          <c:idx val="4"/>
          <c:order val="4"/>
          <c:tx>
            <c:strRef>
              <c:f>'obj1'!$B$289</c:f>
              <c:strCache>
                <c:ptCount val="1"/>
                <c:pt idx="0">
                  <c:v>T5 </c:v>
                </c:pt>
              </c:strCache>
            </c:strRef>
          </c:tx>
          <c:spPr>
            <a:ln w="28575" cap="rnd">
              <a:solidFill>
                <a:schemeClr val="accent5"/>
              </a:solidFill>
              <a:round/>
            </a:ln>
            <a:effectLst/>
          </c:spPr>
          <c:marker>
            <c:symbol val="circle"/>
            <c:size val="5"/>
            <c:spPr>
              <a:solidFill>
                <a:schemeClr val="accent5"/>
              </a:solidFill>
              <a:ln w="9525">
                <a:solidFill>
                  <a:schemeClr val="accent5"/>
                </a:solidFill>
              </a:ln>
              <a:effectLst/>
            </c:spPr>
          </c:marker>
          <c:cat>
            <c:strRef>
              <c:f>'obj1'!$C$284:$D$284</c:f>
              <c:strCache>
                <c:ptCount val="2"/>
                <c:pt idx="0">
                  <c:v>30-60 DAT</c:v>
                </c:pt>
                <c:pt idx="1">
                  <c:v>60-90 DAT</c:v>
                </c:pt>
              </c:strCache>
            </c:strRef>
          </c:cat>
          <c:val>
            <c:numRef>
              <c:f>'obj1'!$C$289:$D$289</c:f>
              <c:numCache>
                <c:formatCode>0.0000</c:formatCode>
                <c:ptCount val="2"/>
                <c:pt idx="0">
                  <c:v>0.65580743836947075</c:v>
                </c:pt>
                <c:pt idx="1">
                  <c:v>3.7825101087585852E-3</c:v>
                </c:pt>
              </c:numCache>
            </c:numRef>
          </c:val>
          <c:smooth val="0"/>
          <c:extLst>
            <c:ext xmlns:c16="http://schemas.microsoft.com/office/drawing/2014/chart" uri="{C3380CC4-5D6E-409C-BE32-E72D297353CC}">
              <c16:uniqueId val="{00000004-064B-46C2-B96C-8B6807697202}"/>
            </c:ext>
          </c:extLst>
        </c:ser>
        <c:ser>
          <c:idx val="5"/>
          <c:order val="5"/>
          <c:tx>
            <c:strRef>
              <c:f>'obj1'!$B$290</c:f>
              <c:strCache>
                <c:ptCount val="1"/>
                <c:pt idx="0">
                  <c:v>T6</c:v>
                </c:pt>
              </c:strCache>
            </c:strRef>
          </c:tx>
          <c:spPr>
            <a:ln w="28575" cap="rnd">
              <a:solidFill>
                <a:schemeClr val="accent6"/>
              </a:solidFill>
              <a:round/>
            </a:ln>
            <a:effectLst/>
          </c:spPr>
          <c:marker>
            <c:symbol val="circle"/>
            <c:size val="5"/>
            <c:spPr>
              <a:solidFill>
                <a:schemeClr val="accent6"/>
              </a:solidFill>
              <a:ln w="9525">
                <a:solidFill>
                  <a:schemeClr val="accent6"/>
                </a:solidFill>
              </a:ln>
              <a:effectLst/>
            </c:spPr>
          </c:marker>
          <c:cat>
            <c:strRef>
              <c:f>'obj1'!$C$284:$D$284</c:f>
              <c:strCache>
                <c:ptCount val="2"/>
                <c:pt idx="0">
                  <c:v>30-60 DAT</c:v>
                </c:pt>
                <c:pt idx="1">
                  <c:v>60-90 DAT</c:v>
                </c:pt>
              </c:strCache>
            </c:strRef>
          </c:cat>
          <c:val>
            <c:numRef>
              <c:f>'obj1'!$C$290:$D$290</c:f>
              <c:numCache>
                <c:formatCode>0.0000</c:formatCode>
                <c:ptCount val="2"/>
                <c:pt idx="0">
                  <c:v>0.6810303325670789</c:v>
                </c:pt>
                <c:pt idx="1">
                  <c:v>4.9955751459446066E-3</c:v>
                </c:pt>
              </c:numCache>
            </c:numRef>
          </c:val>
          <c:smooth val="0"/>
          <c:extLst>
            <c:ext xmlns:c16="http://schemas.microsoft.com/office/drawing/2014/chart" uri="{C3380CC4-5D6E-409C-BE32-E72D297353CC}">
              <c16:uniqueId val="{00000005-064B-46C2-B96C-8B6807697202}"/>
            </c:ext>
          </c:extLst>
        </c:ser>
        <c:ser>
          <c:idx val="6"/>
          <c:order val="6"/>
          <c:tx>
            <c:strRef>
              <c:f>'obj1'!$B$291</c:f>
              <c:strCache>
                <c:ptCount val="1"/>
                <c:pt idx="0">
                  <c:v>T7</c:v>
                </c:pt>
              </c:strCache>
            </c:strRef>
          </c:tx>
          <c:spPr>
            <a:ln w="28575" cap="rnd">
              <a:solidFill>
                <a:schemeClr val="accent1">
                  <a:lumMod val="60000"/>
                </a:schemeClr>
              </a:solidFill>
              <a:round/>
            </a:ln>
            <a:effectLst/>
          </c:spPr>
          <c:marker>
            <c:symbol val="circle"/>
            <c:size val="5"/>
            <c:spPr>
              <a:solidFill>
                <a:schemeClr val="accent1">
                  <a:lumMod val="60000"/>
                </a:schemeClr>
              </a:solidFill>
              <a:ln w="9525">
                <a:solidFill>
                  <a:schemeClr val="accent1">
                    <a:lumMod val="60000"/>
                  </a:schemeClr>
                </a:solidFill>
              </a:ln>
              <a:effectLst/>
            </c:spPr>
          </c:marker>
          <c:cat>
            <c:strRef>
              <c:f>'obj1'!$C$284:$D$284</c:f>
              <c:strCache>
                <c:ptCount val="2"/>
                <c:pt idx="0">
                  <c:v>30-60 DAT</c:v>
                </c:pt>
                <c:pt idx="1">
                  <c:v>60-90 DAT</c:v>
                </c:pt>
              </c:strCache>
            </c:strRef>
          </c:cat>
          <c:val>
            <c:numRef>
              <c:f>'obj1'!$C$291:$D$291</c:f>
              <c:numCache>
                <c:formatCode>0.0000</c:formatCode>
                <c:ptCount val="2"/>
                <c:pt idx="0">
                  <c:v>0.76986123435755938</c:v>
                </c:pt>
                <c:pt idx="1">
                  <c:v>8.5434305840241444E-3</c:v>
                </c:pt>
              </c:numCache>
            </c:numRef>
          </c:val>
          <c:smooth val="0"/>
          <c:extLst>
            <c:ext xmlns:c16="http://schemas.microsoft.com/office/drawing/2014/chart" uri="{C3380CC4-5D6E-409C-BE32-E72D297353CC}">
              <c16:uniqueId val="{00000006-064B-46C2-B96C-8B6807697202}"/>
            </c:ext>
          </c:extLst>
        </c:ser>
        <c:ser>
          <c:idx val="7"/>
          <c:order val="7"/>
          <c:tx>
            <c:strRef>
              <c:f>'obj1'!$B$292</c:f>
              <c:strCache>
                <c:ptCount val="1"/>
                <c:pt idx="0">
                  <c:v>T8</c:v>
                </c:pt>
              </c:strCache>
            </c:strRef>
          </c:tx>
          <c:spPr>
            <a:ln w="28575" cap="rnd">
              <a:solidFill>
                <a:schemeClr val="accent2">
                  <a:lumMod val="60000"/>
                </a:schemeClr>
              </a:solidFill>
              <a:round/>
            </a:ln>
            <a:effectLst/>
          </c:spPr>
          <c:marker>
            <c:symbol val="circle"/>
            <c:size val="5"/>
            <c:spPr>
              <a:solidFill>
                <a:schemeClr val="accent2">
                  <a:lumMod val="60000"/>
                </a:schemeClr>
              </a:solidFill>
              <a:ln w="9525">
                <a:solidFill>
                  <a:schemeClr val="accent2">
                    <a:lumMod val="60000"/>
                  </a:schemeClr>
                </a:solidFill>
              </a:ln>
              <a:effectLst/>
            </c:spPr>
          </c:marker>
          <c:cat>
            <c:strRef>
              <c:f>'obj1'!$C$284:$D$284</c:f>
              <c:strCache>
                <c:ptCount val="2"/>
                <c:pt idx="0">
                  <c:v>30-60 DAT</c:v>
                </c:pt>
                <c:pt idx="1">
                  <c:v>60-90 DAT</c:v>
                </c:pt>
              </c:strCache>
            </c:strRef>
          </c:cat>
          <c:val>
            <c:numRef>
              <c:f>'obj1'!$C$292:$D$292</c:f>
              <c:numCache>
                <c:formatCode>0.0000</c:formatCode>
                <c:ptCount val="2"/>
                <c:pt idx="0">
                  <c:v>0.92396208004310809</c:v>
                </c:pt>
                <c:pt idx="1">
                  <c:v>1.6271652523164749E-2</c:v>
                </c:pt>
              </c:numCache>
            </c:numRef>
          </c:val>
          <c:smooth val="0"/>
          <c:extLst>
            <c:ext xmlns:c16="http://schemas.microsoft.com/office/drawing/2014/chart" uri="{C3380CC4-5D6E-409C-BE32-E72D297353CC}">
              <c16:uniqueId val="{00000007-064B-46C2-B96C-8B6807697202}"/>
            </c:ext>
          </c:extLst>
        </c:ser>
        <c:ser>
          <c:idx val="8"/>
          <c:order val="8"/>
          <c:tx>
            <c:strRef>
              <c:f>'obj1'!$B$293</c:f>
              <c:strCache>
                <c:ptCount val="1"/>
                <c:pt idx="0">
                  <c:v>T9</c:v>
                </c:pt>
              </c:strCache>
            </c:strRef>
          </c:tx>
          <c:spPr>
            <a:ln w="28575" cap="rnd">
              <a:solidFill>
                <a:schemeClr val="accent3">
                  <a:lumMod val="60000"/>
                </a:schemeClr>
              </a:solidFill>
              <a:round/>
            </a:ln>
            <a:effectLst/>
          </c:spPr>
          <c:marker>
            <c:symbol val="circle"/>
            <c:size val="5"/>
            <c:spPr>
              <a:solidFill>
                <a:schemeClr val="accent3">
                  <a:lumMod val="60000"/>
                </a:schemeClr>
              </a:solidFill>
              <a:ln w="9525">
                <a:solidFill>
                  <a:schemeClr val="accent3">
                    <a:lumMod val="60000"/>
                  </a:schemeClr>
                </a:solidFill>
              </a:ln>
              <a:effectLst/>
            </c:spPr>
          </c:marker>
          <c:cat>
            <c:strRef>
              <c:f>'obj1'!$C$284:$D$284</c:f>
              <c:strCache>
                <c:ptCount val="2"/>
                <c:pt idx="0">
                  <c:v>30-60 DAT</c:v>
                </c:pt>
                <c:pt idx="1">
                  <c:v>60-90 DAT</c:v>
                </c:pt>
              </c:strCache>
            </c:strRef>
          </c:cat>
          <c:val>
            <c:numRef>
              <c:f>'obj1'!$C$293:$D$293</c:f>
              <c:numCache>
                <c:formatCode>0.0000</c:formatCode>
                <c:ptCount val="2"/>
                <c:pt idx="0">
                  <c:v>2.0023885180069882</c:v>
                </c:pt>
                <c:pt idx="1">
                  <c:v>4.4313647024596892E-2</c:v>
                </c:pt>
              </c:numCache>
            </c:numRef>
          </c:val>
          <c:smooth val="0"/>
          <c:extLst>
            <c:ext xmlns:c16="http://schemas.microsoft.com/office/drawing/2014/chart" uri="{C3380CC4-5D6E-409C-BE32-E72D297353CC}">
              <c16:uniqueId val="{00000008-064B-46C2-B96C-8B6807697202}"/>
            </c:ext>
          </c:extLst>
        </c:ser>
        <c:ser>
          <c:idx val="9"/>
          <c:order val="9"/>
          <c:tx>
            <c:strRef>
              <c:f>'obj1'!$B$294</c:f>
              <c:strCache>
                <c:ptCount val="1"/>
                <c:pt idx="0">
                  <c:v>T10</c:v>
                </c:pt>
              </c:strCache>
            </c:strRef>
          </c:tx>
          <c:spPr>
            <a:ln w="28575" cap="rnd">
              <a:solidFill>
                <a:schemeClr val="accent4">
                  <a:lumMod val="60000"/>
                </a:schemeClr>
              </a:solidFill>
              <a:round/>
            </a:ln>
            <a:effectLst/>
          </c:spPr>
          <c:marker>
            <c:symbol val="circle"/>
            <c:size val="5"/>
            <c:spPr>
              <a:solidFill>
                <a:schemeClr val="accent4">
                  <a:lumMod val="60000"/>
                </a:schemeClr>
              </a:solidFill>
              <a:ln w="9525">
                <a:solidFill>
                  <a:schemeClr val="accent4">
                    <a:lumMod val="60000"/>
                  </a:schemeClr>
                </a:solidFill>
              </a:ln>
              <a:effectLst/>
            </c:spPr>
          </c:marker>
          <c:cat>
            <c:strRef>
              <c:f>'obj1'!$C$284:$D$284</c:f>
              <c:strCache>
                <c:ptCount val="2"/>
                <c:pt idx="0">
                  <c:v>30-60 DAT</c:v>
                </c:pt>
                <c:pt idx="1">
                  <c:v>60-90 DAT</c:v>
                </c:pt>
              </c:strCache>
            </c:strRef>
          </c:cat>
          <c:val>
            <c:numRef>
              <c:f>'obj1'!$C$294:$D$294</c:f>
              <c:numCache>
                <c:formatCode>0.0000</c:formatCode>
                <c:ptCount val="2"/>
                <c:pt idx="0">
                  <c:v>1.9847505116121933</c:v>
                </c:pt>
                <c:pt idx="1">
                  <c:v>3.2739153315206819E-2</c:v>
                </c:pt>
              </c:numCache>
            </c:numRef>
          </c:val>
          <c:smooth val="0"/>
          <c:extLst>
            <c:ext xmlns:c16="http://schemas.microsoft.com/office/drawing/2014/chart" uri="{C3380CC4-5D6E-409C-BE32-E72D297353CC}">
              <c16:uniqueId val="{00000009-064B-46C2-B96C-8B6807697202}"/>
            </c:ext>
          </c:extLst>
        </c:ser>
        <c:ser>
          <c:idx val="10"/>
          <c:order val="10"/>
          <c:tx>
            <c:strRef>
              <c:f>'obj1'!$B$295</c:f>
              <c:strCache>
                <c:ptCount val="1"/>
                <c:pt idx="0">
                  <c:v>T11</c:v>
                </c:pt>
              </c:strCache>
            </c:strRef>
          </c:tx>
          <c:spPr>
            <a:ln w="28575" cap="rnd">
              <a:solidFill>
                <a:schemeClr val="accent5">
                  <a:lumMod val="60000"/>
                </a:schemeClr>
              </a:solidFill>
              <a:round/>
            </a:ln>
            <a:effectLst/>
          </c:spPr>
          <c:marker>
            <c:symbol val="circle"/>
            <c:size val="5"/>
            <c:spPr>
              <a:solidFill>
                <a:schemeClr val="accent5">
                  <a:lumMod val="60000"/>
                </a:schemeClr>
              </a:solidFill>
              <a:ln w="9525">
                <a:solidFill>
                  <a:schemeClr val="accent5">
                    <a:lumMod val="60000"/>
                  </a:schemeClr>
                </a:solidFill>
              </a:ln>
              <a:effectLst/>
            </c:spPr>
          </c:marker>
          <c:cat>
            <c:strRef>
              <c:f>'obj1'!$C$284:$D$284</c:f>
              <c:strCache>
                <c:ptCount val="2"/>
                <c:pt idx="0">
                  <c:v>30-60 DAT</c:v>
                </c:pt>
                <c:pt idx="1">
                  <c:v>60-90 DAT</c:v>
                </c:pt>
              </c:strCache>
            </c:strRef>
          </c:cat>
          <c:val>
            <c:numRef>
              <c:f>'obj1'!$C$295:$D$295</c:f>
              <c:numCache>
                <c:formatCode>0.0000</c:formatCode>
                <c:ptCount val="2"/>
                <c:pt idx="0">
                  <c:v>0.86427961311144064</c:v>
                </c:pt>
                <c:pt idx="1">
                  <c:v>1.4863505981714745E-2</c:v>
                </c:pt>
              </c:numCache>
            </c:numRef>
          </c:val>
          <c:smooth val="0"/>
          <c:extLst>
            <c:ext xmlns:c16="http://schemas.microsoft.com/office/drawing/2014/chart" uri="{C3380CC4-5D6E-409C-BE32-E72D297353CC}">
              <c16:uniqueId val="{0000000A-064B-46C2-B96C-8B6807697202}"/>
            </c:ext>
          </c:extLst>
        </c:ser>
        <c:ser>
          <c:idx val="11"/>
          <c:order val="11"/>
          <c:tx>
            <c:strRef>
              <c:f>'obj1'!$B$296</c:f>
              <c:strCache>
                <c:ptCount val="1"/>
                <c:pt idx="0">
                  <c:v>T12</c:v>
                </c:pt>
              </c:strCache>
            </c:strRef>
          </c:tx>
          <c:spPr>
            <a:ln w="28575" cap="rnd">
              <a:solidFill>
                <a:schemeClr val="accent6">
                  <a:lumMod val="60000"/>
                </a:schemeClr>
              </a:solidFill>
              <a:round/>
            </a:ln>
            <a:effectLst/>
          </c:spPr>
          <c:marker>
            <c:symbol val="circle"/>
            <c:size val="5"/>
            <c:spPr>
              <a:solidFill>
                <a:schemeClr val="accent6">
                  <a:lumMod val="60000"/>
                </a:schemeClr>
              </a:solidFill>
              <a:ln w="9525">
                <a:solidFill>
                  <a:schemeClr val="accent6">
                    <a:lumMod val="60000"/>
                  </a:schemeClr>
                </a:solidFill>
              </a:ln>
              <a:effectLst/>
            </c:spPr>
          </c:marker>
          <c:cat>
            <c:strRef>
              <c:f>'obj1'!$C$284:$D$284</c:f>
              <c:strCache>
                <c:ptCount val="2"/>
                <c:pt idx="0">
                  <c:v>30-60 DAT</c:v>
                </c:pt>
                <c:pt idx="1">
                  <c:v>60-90 DAT</c:v>
                </c:pt>
              </c:strCache>
            </c:strRef>
          </c:cat>
          <c:val>
            <c:numRef>
              <c:f>'obj1'!$C$296:$D$296</c:f>
              <c:numCache>
                <c:formatCode>0.0000</c:formatCode>
                <c:ptCount val="2"/>
                <c:pt idx="0">
                  <c:v>0.92043087269045376</c:v>
                </c:pt>
                <c:pt idx="1">
                  <c:v>2.4943180757528913E-2</c:v>
                </c:pt>
              </c:numCache>
            </c:numRef>
          </c:val>
          <c:smooth val="0"/>
          <c:extLst>
            <c:ext xmlns:c16="http://schemas.microsoft.com/office/drawing/2014/chart" uri="{C3380CC4-5D6E-409C-BE32-E72D297353CC}">
              <c16:uniqueId val="{0000000B-064B-46C2-B96C-8B6807697202}"/>
            </c:ext>
          </c:extLst>
        </c:ser>
        <c:ser>
          <c:idx val="12"/>
          <c:order val="12"/>
          <c:tx>
            <c:strRef>
              <c:f>'obj1'!$B$297</c:f>
              <c:strCache>
                <c:ptCount val="1"/>
                <c:pt idx="0">
                  <c:v>T13</c:v>
                </c:pt>
              </c:strCache>
            </c:strRef>
          </c:tx>
          <c:spPr>
            <a:ln w="28575" cap="rnd">
              <a:solidFill>
                <a:schemeClr val="accent1">
                  <a:lumMod val="80000"/>
                  <a:lumOff val="20000"/>
                </a:schemeClr>
              </a:solidFill>
              <a:round/>
            </a:ln>
            <a:effectLst/>
          </c:spPr>
          <c:marker>
            <c:symbol val="circle"/>
            <c:size val="5"/>
            <c:spPr>
              <a:solidFill>
                <a:schemeClr val="accent1">
                  <a:lumMod val="80000"/>
                  <a:lumOff val="20000"/>
                </a:schemeClr>
              </a:solidFill>
              <a:ln w="9525">
                <a:solidFill>
                  <a:schemeClr val="accent1">
                    <a:lumMod val="80000"/>
                    <a:lumOff val="20000"/>
                  </a:schemeClr>
                </a:solidFill>
              </a:ln>
              <a:effectLst/>
            </c:spPr>
          </c:marker>
          <c:cat>
            <c:strRef>
              <c:f>'obj1'!$C$284:$D$284</c:f>
              <c:strCache>
                <c:ptCount val="2"/>
                <c:pt idx="0">
                  <c:v>30-60 DAT</c:v>
                </c:pt>
                <c:pt idx="1">
                  <c:v>60-90 DAT</c:v>
                </c:pt>
              </c:strCache>
            </c:strRef>
          </c:cat>
          <c:val>
            <c:numRef>
              <c:f>'obj1'!$C$297:$D$297</c:f>
              <c:numCache>
                <c:formatCode>0.0000</c:formatCode>
                <c:ptCount val="2"/>
                <c:pt idx="0">
                  <c:v>0.92094394266028556</c:v>
                </c:pt>
                <c:pt idx="1">
                  <c:v>1.9000523460928127E-2</c:v>
                </c:pt>
              </c:numCache>
            </c:numRef>
          </c:val>
          <c:smooth val="0"/>
          <c:extLst>
            <c:ext xmlns:c16="http://schemas.microsoft.com/office/drawing/2014/chart" uri="{C3380CC4-5D6E-409C-BE32-E72D297353CC}">
              <c16:uniqueId val="{0000000C-064B-46C2-B96C-8B6807697202}"/>
            </c:ext>
          </c:extLst>
        </c:ser>
        <c:dLbls>
          <c:showLegendKey val="0"/>
          <c:showVal val="0"/>
          <c:showCatName val="0"/>
          <c:showSerName val="0"/>
          <c:showPercent val="0"/>
          <c:showBubbleSize val="0"/>
        </c:dLbls>
        <c:marker val="1"/>
        <c:smooth val="0"/>
        <c:axId val="29976847"/>
        <c:axId val="1979491823"/>
      </c:lineChart>
      <c:catAx>
        <c:axId val="2997684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79491823"/>
        <c:crosses val="autoZero"/>
        <c:auto val="1"/>
        <c:lblAlgn val="ctr"/>
        <c:lblOffset val="100"/>
        <c:noMultiLvlLbl val="0"/>
      </c:catAx>
      <c:valAx>
        <c:axId val="1979491823"/>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IN"/>
                  <a:t>NAR (g</a:t>
                </a:r>
                <a:r>
                  <a:rPr lang="en-IN" baseline="0"/>
                  <a:t> m</a:t>
                </a:r>
                <a:r>
                  <a:rPr lang="en-IN" baseline="30000"/>
                  <a:t>-2</a:t>
                </a:r>
                <a:r>
                  <a:rPr lang="en-IN" baseline="0"/>
                  <a:t> day</a:t>
                </a:r>
                <a:r>
                  <a:rPr lang="en-IN" baseline="30000"/>
                  <a:t>-1</a:t>
                </a:r>
                <a:r>
                  <a:rPr lang="en-IN" baseline="0"/>
                  <a:t>)</a:t>
                </a:r>
                <a:endParaRPr lang="en-IN"/>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IN"/>
            </a:p>
          </c:txPr>
        </c:title>
        <c:numFmt formatCode="0.0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9976847"/>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IN"/>
              <a:t>2025</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tx>
            <c:strRef>
              <c:f>'obj1'!$P$286</c:f>
              <c:strCache>
                <c:ptCount val="1"/>
                <c:pt idx="0">
                  <c:v>T1 </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cat>
            <c:strRef>
              <c:f>'obj1'!$Q$285:$R$285</c:f>
              <c:strCache>
                <c:ptCount val="2"/>
                <c:pt idx="0">
                  <c:v>30-60 DAT</c:v>
                </c:pt>
                <c:pt idx="1">
                  <c:v>60-90 DAT</c:v>
                </c:pt>
              </c:strCache>
            </c:strRef>
          </c:cat>
          <c:val>
            <c:numRef>
              <c:f>'obj1'!$Q$286:$R$286</c:f>
              <c:numCache>
                <c:formatCode>0.0000</c:formatCode>
                <c:ptCount val="2"/>
                <c:pt idx="0">
                  <c:v>0.39263545783121945</c:v>
                </c:pt>
                <c:pt idx="1">
                  <c:v>4.4057051981625135E-3</c:v>
                </c:pt>
              </c:numCache>
            </c:numRef>
          </c:val>
          <c:smooth val="0"/>
          <c:extLst>
            <c:ext xmlns:c16="http://schemas.microsoft.com/office/drawing/2014/chart" uri="{C3380CC4-5D6E-409C-BE32-E72D297353CC}">
              <c16:uniqueId val="{00000000-E43C-4CC1-9790-E83B13B76898}"/>
            </c:ext>
          </c:extLst>
        </c:ser>
        <c:ser>
          <c:idx val="1"/>
          <c:order val="1"/>
          <c:tx>
            <c:strRef>
              <c:f>'obj1'!$P$287</c:f>
              <c:strCache>
                <c:ptCount val="1"/>
                <c:pt idx="0">
                  <c:v>T2 </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cat>
            <c:strRef>
              <c:f>'obj1'!$Q$285:$R$285</c:f>
              <c:strCache>
                <c:ptCount val="2"/>
                <c:pt idx="0">
                  <c:v>30-60 DAT</c:v>
                </c:pt>
                <c:pt idx="1">
                  <c:v>60-90 DAT</c:v>
                </c:pt>
              </c:strCache>
            </c:strRef>
          </c:cat>
          <c:val>
            <c:numRef>
              <c:f>'obj1'!$Q$287:$R$287</c:f>
              <c:numCache>
                <c:formatCode>0.0000</c:formatCode>
                <c:ptCount val="2"/>
                <c:pt idx="0">
                  <c:v>0.74256106342698092</c:v>
                </c:pt>
                <c:pt idx="1">
                  <c:v>9.5290979971509853E-3</c:v>
                </c:pt>
              </c:numCache>
            </c:numRef>
          </c:val>
          <c:smooth val="0"/>
          <c:extLst>
            <c:ext xmlns:c16="http://schemas.microsoft.com/office/drawing/2014/chart" uri="{C3380CC4-5D6E-409C-BE32-E72D297353CC}">
              <c16:uniqueId val="{00000001-E43C-4CC1-9790-E83B13B76898}"/>
            </c:ext>
          </c:extLst>
        </c:ser>
        <c:ser>
          <c:idx val="2"/>
          <c:order val="2"/>
          <c:tx>
            <c:strRef>
              <c:f>'obj1'!$P$288</c:f>
              <c:strCache>
                <c:ptCount val="1"/>
                <c:pt idx="0">
                  <c:v>T3</c:v>
                </c:pt>
              </c:strCache>
            </c:strRef>
          </c:tx>
          <c:spPr>
            <a:ln w="28575" cap="rnd">
              <a:solidFill>
                <a:schemeClr val="accent3"/>
              </a:solidFill>
              <a:round/>
            </a:ln>
            <a:effectLst/>
          </c:spPr>
          <c:marker>
            <c:symbol val="circle"/>
            <c:size val="5"/>
            <c:spPr>
              <a:solidFill>
                <a:schemeClr val="accent3"/>
              </a:solidFill>
              <a:ln w="9525">
                <a:solidFill>
                  <a:schemeClr val="accent3"/>
                </a:solidFill>
              </a:ln>
              <a:effectLst/>
            </c:spPr>
          </c:marker>
          <c:cat>
            <c:strRef>
              <c:f>'obj1'!$Q$285:$R$285</c:f>
              <c:strCache>
                <c:ptCount val="2"/>
                <c:pt idx="0">
                  <c:v>30-60 DAT</c:v>
                </c:pt>
                <c:pt idx="1">
                  <c:v>60-90 DAT</c:v>
                </c:pt>
              </c:strCache>
            </c:strRef>
          </c:cat>
          <c:val>
            <c:numRef>
              <c:f>'obj1'!$Q$288:$R$288</c:f>
              <c:numCache>
                <c:formatCode>0.0000</c:formatCode>
                <c:ptCount val="2"/>
                <c:pt idx="0">
                  <c:v>0.89538919341187573</c:v>
                </c:pt>
                <c:pt idx="1">
                  <c:v>1.7071485123766116E-2</c:v>
                </c:pt>
              </c:numCache>
            </c:numRef>
          </c:val>
          <c:smooth val="0"/>
          <c:extLst>
            <c:ext xmlns:c16="http://schemas.microsoft.com/office/drawing/2014/chart" uri="{C3380CC4-5D6E-409C-BE32-E72D297353CC}">
              <c16:uniqueId val="{00000002-E43C-4CC1-9790-E83B13B76898}"/>
            </c:ext>
          </c:extLst>
        </c:ser>
        <c:ser>
          <c:idx val="3"/>
          <c:order val="3"/>
          <c:tx>
            <c:strRef>
              <c:f>'obj1'!$P$289</c:f>
              <c:strCache>
                <c:ptCount val="1"/>
                <c:pt idx="0">
                  <c:v>T4</c:v>
                </c:pt>
              </c:strCache>
            </c:strRef>
          </c:tx>
          <c:spPr>
            <a:ln w="28575" cap="rnd">
              <a:solidFill>
                <a:schemeClr val="accent4"/>
              </a:solidFill>
              <a:round/>
            </a:ln>
            <a:effectLst/>
          </c:spPr>
          <c:marker>
            <c:symbol val="circle"/>
            <c:size val="5"/>
            <c:spPr>
              <a:solidFill>
                <a:schemeClr val="accent4"/>
              </a:solidFill>
              <a:ln w="9525">
                <a:solidFill>
                  <a:schemeClr val="accent4"/>
                </a:solidFill>
              </a:ln>
              <a:effectLst/>
            </c:spPr>
          </c:marker>
          <c:cat>
            <c:strRef>
              <c:f>'obj1'!$Q$285:$R$285</c:f>
              <c:strCache>
                <c:ptCount val="2"/>
                <c:pt idx="0">
                  <c:v>30-60 DAT</c:v>
                </c:pt>
                <c:pt idx="1">
                  <c:v>60-90 DAT</c:v>
                </c:pt>
              </c:strCache>
            </c:strRef>
          </c:cat>
          <c:val>
            <c:numRef>
              <c:f>'obj1'!$Q$289:$R$289</c:f>
              <c:numCache>
                <c:formatCode>0.0000</c:formatCode>
                <c:ptCount val="2"/>
                <c:pt idx="0">
                  <c:v>1.1603380512761212</c:v>
                </c:pt>
                <c:pt idx="1">
                  <c:v>2.4142203271706519E-2</c:v>
                </c:pt>
              </c:numCache>
            </c:numRef>
          </c:val>
          <c:smooth val="0"/>
          <c:extLst>
            <c:ext xmlns:c16="http://schemas.microsoft.com/office/drawing/2014/chart" uri="{C3380CC4-5D6E-409C-BE32-E72D297353CC}">
              <c16:uniqueId val="{00000003-E43C-4CC1-9790-E83B13B76898}"/>
            </c:ext>
          </c:extLst>
        </c:ser>
        <c:ser>
          <c:idx val="4"/>
          <c:order val="4"/>
          <c:tx>
            <c:strRef>
              <c:f>'obj1'!$P$290</c:f>
              <c:strCache>
                <c:ptCount val="1"/>
                <c:pt idx="0">
                  <c:v>T5 </c:v>
                </c:pt>
              </c:strCache>
            </c:strRef>
          </c:tx>
          <c:spPr>
            <a:ln w="28575" cap="rnd">
              <a:solidFill>
                <a:schemeClr val="accent5"/>
              </a:solidFill>
              <a:round/>
            </a:ln>
            <a:effectLst/>
          </c:spPr>
          <c:marker>
            <c:symbol val="circle"/>
            <c:size val="5"/>
            <c:spPr>
              <a:solidFill>
                <a:schemeClr val="accent5"/>
              </a:solidFill>
              <a:ln w="9525">
                <a:solidFill>
                  <a:schemeClr val="accent5"/>
                </a:solidFill>
              </a:ln>
              <a:effectLst/>
            </c:spPr>
          </c:marker>
          <c:cat>
            <c:strRef>
              <c:f>'obj1'!$Q$285:$R$285</c:f>
              <c:strCache>
                <c:ptCount val="2"/>
                <c:pt idx="0">
                  <c:v>30-60 DAT</c:v>
                </c:pt>
                <c:pt idx="1">
                  <c:v>60-90 DAT</c:v>
                </c:pt>
              </c:strCache>
            </c:strRef>
          </c:cat>
          <c:val>
            <c:numRef>
              <c:f>'obj1'!$Q$290:$R$290</c:f>
              <c:numCache>
                <c:formatCode>0.0000</c:formatCode>
                <c:ptCount val="2"/>
                <c:pt idx="0">
                  <c:v>0.60996822572649079</c:v>
                </c:pt>
                <c:pt idx="1">
                  <c:v>5.7115695436242798E-3</c:v>
                </c:pt>
              </c:numCache>
            </c:numRef>
          </c:val>
          <c:smooth val="0"/>
          <c:extLst>
            <c:ext xmlns:c16="http://schemas.microsoft.com/office/drawing/2014/chart" uri="{C3380CC4-5D6E-409C-BE32-E72D297353CC}">
              <c16:uniqueId val="{00000004-E43C-4CC1-9790-E83B13B76898}"/>
            </c:ext>
          </c:extLst>
        </c:ser>
        <c:ser>
          <c:idx val="5"/>
          <c:order val="5"/>
          <c:tx>
            <c:strRef>
              <c:f>'obj1'!$P$291</c:f>
              <c:strCache>
                <c:ptCount val="1"/>
                <c:pt idx="0">
                  <c:v>T6</c:v>
                </c:pt>
              </c:strCache>
            </c:strRef>
          </c:tx>
          <c:spPr>
            <a:ln w="28575" cap="rnd">
              <a:solidFill>
                <a:schemeClr val="accent6"/>
              </a:solidFill>
              <a:round/>
            </a:ln>
            <a:effectLst/>
          </c:spPr>
          <c:marker>
            <c:symbol val="circle"/>
            <c:size val="5"/>
            <c:spPr>
              <a:solidFill>
                <a:schemeClr val="accent6"/>
              </a:solidFill>
              <a:ln w="9525">
                <a:solidFill>
                  <a:schemeClr val="accent6"/>
                </a:solidFill>
              </a:ln>
              <a:effectLst/>
            </c:spPr>
          </c:marker>
          <c:cat>
            <c:strRef>
              <c:f>'obj1'!$Q$285:$R$285</c:f>
              <c:strCache>
                <c:ptCount val="2"/>
                <c:pt idx="0">
                  <c:v>30-60 DAT</c:v>
                </c:pt>
                <c:pt idx="1">
                  <c:v>60-90 DAT</c:v>
                </c:pt>
              </c:strCache>
            </c:strRef>
          </c:cat>
          <c:val>
            <c:numRef>
              <c:f>'obj1'!$Q$291:$R$291</c:f>
              <c:numCache>
                <c:formatCode>0.0000</c:formatCode>
                <c:ptCount val="2"/>
                <c:pt idx="0">
                  <c:v>0.57618550060939211</c:v>
                </c:pt>
                <c:pt idx="1">
                  <c:v>5.0125205533050193E-3</c:v>
                </c:pt>
              </c:numCache>
            </c:numRef>
          </c:val>
          <c:smooth val="0"/>
          <c:extLst>
            <c:ext xmlns:c16="http://schemas.microsoft.com/office/drawing/2014/chart" uri="{C3380CC4-5D6E-409C-BE32-E72D297353CC}">
              <c16:uniqueId val="{00000005-E43C-4CC1-9790-E83B13B76898}"/>
            </c:ext>
          </c:extLst>
        </c:ser>
        <c:ser>
          <c:idx val="6"/>
          <c:order val="6"/>
          <c:tx>
            <c:strRef>
              <c:f>'obj1'!$P$292</c:f>
              <c:strCache>
                <c:ptCount val="1"/>
                <c:pt idx="0">
                  <c:v>T7</c:v>
                </c:pt>
              </c:strCache>
            </c:strRef>
          </c:tx>
          <c:spPr>
            <a:ln w="28575" cap="rnd">
              <a:solidFill>
                <a:schemeClr val="accent1">
                  <a:lumMod val="60000"/>
                </a:schemeClr>
              </a:solidFill>
              <a:round/>
            </a:ln>
            <a:effectLst/>
          </c:spPr>
          <c:marker>
            <c:symbol val="circle"/>
            <c:size val="5"/>
            <c:spPr>
              <a:solidFill>
                <a:schemeClr val="accent1">
                  <a:lumMod val="60000"/>
                </a:schemeClr>
              </a:solidFill>
              <a:ln w="9525">
                <a:solidFill>
                  <a:schemeClr val="accent1">
                    <a:lumMod val="60000"/>
                  </a:schemeClr>
                </a:solidFill>
              </a:ln>
              <a:effectLst/>
            </c:spPr>
          </c:marker>
          <c:cat>
            <c:strRef>
              <c:f>'obj1'!$Q$285:$R$285</c:f>
              <c:strCache>
                <c:ptCount val="2"/>
                <c:pt idx="0">
                  <c:v>30-60 DAT</c:v>
                </c:pt>
                <c:pt idx="1">
                  <c:v>60-90 DAT</c:v>
                </c:pt>
              </c:strCache>
            </c:strRef>
          </c:cat>
          <c:val>
            <c:numRef>
              <c:f>'obj1'!$Q$292:$R$292</c:f>
              <c:numCache>
                <c:formatCode>0.0000</c:formatCode>
                <c:ptCount val="2"/>
                <c:pt idx="0">
                  <c:v>0.86201467932394227</c:v>
                </c:pt>
                <c:pt idx="1">
                  <c:v>6.7536020919606692E-3</c:v>
                </c:pt>
              </c:numCache>
            </c:numRef>
          </c:val>
          <c:smooth val="0"/>
          <c:extLst>
            <c:ext xmlns:c16="http://schemas.microsoft.com/office/drawing/2014/chart" uri="{C3380CC4-5D6E-409C-BE32-E72D297353CC}">
              <c16:uniqueId val="{00000006-E43C-4CC1-9790-E83B13B76898}"/>
            </c:ext>
          </c:extLst>
        </c:ser>
        <c:ser>
          <c:idx val="7"/>
          <c:order val="7"/>
          <c:tx>
            <c:strRef>
              <c:f>'obj1'!$P$293</c:f>
              <c:strCache>
                <c:ptCount val="1"/>
                <c:pt idx="0">
                  <c:v>T8</c:v>
                </c:pt>
              </c:strCache>
            </c:strRef>
          </c:tx>
          <c:spPr>
            <a:ln w="28575" cap="rnd">
              <a:solidFill>
                <a:schemeClr val="accent2">
                  <a:lumMod val="60000"/>
                </a:schemeClr>
              </a:solidFill>
              <a:round/>
            </a:ln>
            <a:effectLst/>
          </c:spPr>
          <c:marker>
            <c:symbol val="circle"/>
            <c:size val="5"/>
            <c:spPr>
              <a:solidFill>
                <a:schemeClr val="accent2">
                  <a:lumMod val="60000"/>
                </a:schemeClr>
              </a:solidFill>
              <a:ln w="9525">
                <a:solidFill>
                  <a:schemeClr val="accent2">
                    <a:lumMod val="60000"/>
                  </a:schemeClr>
                </a:solidFill>
              </a:ln>
              <a:effectLst/>
            </c:spPr>
          </c:marker>
          <c:cat>
            <c:strRef>
              <c:f>'obj1'!$Q$285:$R$285</c:f>
              <c:strCache>
                <c:ptCount val="2"/>
                <c:pt idx="0">
                  <c:v>30-60 DAT</c:v>
                </c:pt>
                <c:pt idx="1">
                  <c:v>60-90 DAT</c:v>
                </c:pt>
              </c:strCache>
            </c:strRef>
          </c:cat>
          <c:val>
            <c:numRef>
              <c:f>'obj1'!$Q$293:$R$293</c:f>
              <c:numCache>
                <c:formatCode>0.0000</c:formatCode>
                <c:ptCount val="2"/>
                <c:pt idx="0">
                  <c:v>0.87379185022409944</c:v>
                </c:pt>
                <c:pt idx="1">
                  <c:v>1.6050502790283024E-2</c:v>
                </c:pt>
              </c:numCache>
            </c:numRef>
          </c:val>
          <c:smooth val="0"/>
          <c:extLst>
            <c:ext xmlns:c16="http://schemas.microsoft.com/office/drawing/2014/chart" uri="{C3380CC4-5D6E-409C-BE32-E72D297353CC}">
              <c16:uniqueId val="{00000007-E43C-4CC1-9790-E83B13B76898}"/>
            </c:ext>
          </c:extLst>
        </c:ser>
        <c:ser>
          <c:idx val="8"/>
          <c:order val="8"/>
          <c:tx>
            <c:strRef>
              <c:f>'obj1'!$P$294</c:f>
              <c:strCache>
                <c:ptCount val="1"/>
                <c:pt idx="0">
                  <c:v>T9</c:v>
                </c:pt>
              </c:strCache>
            </c:strRef>
          </c:tx>
          <c:spPr>
            <a:ln w="28575" cap="rnd">
              <a:solidFill>
                <a:schemeClr val="accent3">
                  <a:lumMod val="60000"/>
                </a:schemeClr>
              </a:solidFill>
              <a:round/>
            </a:ln>
            <a:effectLst/>
          </c:spPr>
          <c:marker>
            <c:symbol val="circle"/>
            <c:size val="5"/>
            <c:spPr>
              <a:solidFill>
                <a:schemeClr val="accent3">
                  <a:lumMod val="60000"/>
                </a:schemeClr>
              </a:solidFill>
              <a:ln w="9525">
                <a:solidFill>
                  <a:schemeClr val="accent3">
                    <a:lumMod val="60000"/>
                  </a:schemeClr>
                </a:solidFill>
              </a:ln>
              <a:effectLst/>
            </c:spPr>
          </c:marker>
          <c:cat>
            <c:strRef>
              <c:f>'obj1'!$Q$285:$R$285</c:f>
              <c:strCache>
                <c:ptCount val="2"/>
                <c:pt idx="0">
                  <c:v>30-60 DAT</c:v>
                </c:pt>
                <c:pt idx="1">
                  <c:v>60-90 DAT</c:v>
                </c:pt>
              </c:strCache>
            </c:strRef>
          </c:cat>
          <c:val>
            <c:numRef>
              <c:f>'obj1'!$Q$294:$R$294</c:f>
              <c:numCache>
                <c:formatCode>0.0000</c:formatCode>
                <c:ptCount val="2"/>
                <c:pt idx="0">
                  <c:v>2.0831003203733478</c:v>
                </c:pt>
                <c:pt idx="1">
                  <c:v>4.18220790065938E-2</c:v>
                </c:pt>
              </c:numCache>
            </c:numRef>
          </c:val>
          <c:smooth val="0"/>
          <c:extLst>
            <c:ext xmlns:c16="http://schemas.microsoft.com/office/drawing/2014/chart" uri="{C3380CC4-5D6E-409C-BE32-E72D297353CC}">
              <c16:uniqueId val="{00000008-E43C-4CC1-9790-E83B13B76898}"/>
            </c:ext>
          </c:extLst>
        </c:ser>
        <c:ser>
          <c:idx val="9"/>
          <c:order val="9"/>
          <c:tx>
            <c:strRef>
              <c:f>'obj1'!$P$295</c:f>
              <c:strCache>
                <c:ptCount val="1"/>
                <c:pt idx="0">
                  <c:v>T10</c:v>
                </c:pt>
              </c:strCache>
            </c:strRef>
          </c:tx>
          <c:spPr>
            <a:ln w="28575" cap="rnd">
              <a:solidFill>
                <a:schemeClr val="accent4">
                  <a:lumMod val="60000"/>
                </a:schemeClr>
              </a:solidFill>
              <a:round/>
            </a:ln>
            <a:effectLst/>
          </c:spPr>
          <c:marker>
            <c:symbol val="circle"/>
            <c:size val="5"/>
            <c:spPr>
              <a:solidFill>
                <a:schemeClr val="accent4">
                  <a:lumMod val="60000"/>
                </a:schemeClr>
              </a:solidFill>
              <a:ln w="9525">
                <a:solidFill>
                  <a:schemeClr val="accent4">
                    <a:lumMod val="60000"/>
                  </a:schemeClr>
                </a:solidFill>
              </a:ln>
              <a:effectLst/>
            </c:spPr>
          </c:marker>
          <c:cat>
            <c:strRef>
              <c:f>'obj1'!$Q$285:$R$285</c:f>
              <c:strCache>
                <c:ptCount val="2"/>
                <c:pt idx="0">
                  <c:v>30-60 DAT</c:v>
                </c:pt>
                <c:pt idx="1">
                  <c:v>60-90 DAT</c:v>
                </c:pt>
              </c:strCache>
            </c:strRef>
          </c:cat>
          <c:val>
            <c:numRef>
              <c:f>'obj1'!$Q$295:$R$295</c:f>
              <c:numCache>
                <c:formatCode>0.0000</c:formatCode>
                <c:ptCount val="2"/>
                <c:pt idx="0">
                  <c:v>1.9527960640008188</c:v>
                </c:pt>
                <c:pt idx="1">
                  <c:v>3.3215075442572718E-2</c:v>
                </c:pt>
              </c:numCache>
            </c:numRef>
          </c:val>
          <c:smooth val="0"/>
          <c:extLst>
            <c:ext xmlns:c16="http://schemas.microsoft.com/office/drawing/2014/chart" uri="{C3380CC4-5D6E-409C-BE32-E72D297353CC}">
              <c16:uniqueId val="{00000009-E43C-4CC1-9790-E83B13B76898}"/>
            </c:ext>
          </c:extLst>
        </c:ser>
        <c:ser>
          <c:idx val="10"/>
          <c:order val="10"/>
          <c:tx>
            <c:strRef>
              <c:f>'obj1'!$P$296</c:f>
              <c:strCache>
                <c:ptCount val="1"/>
                <c:pt idx="0">
                  <c:v>T11</c:v>
                </c:pt>
              </c:strCache>
            </c:strRef>
          </c:tx>
          <c:spPr>
            <a:ln w="28575" cap="rnd">
              <a:solidFill>
                <a:schemeClr val="accent5">
                  <a:lumMod val="60000"/>
                </a:schemeClr>
              </a:solidFill>
              <a:round/>
            </a:ln>
            <a:effectLst/>
          </c:spPr>
          <c:marker>
            <c:symbol val="circle"/>
            <c:size val="5"/>
            <c:spPr>
              <a:solidFill>
                <a:schemeClr val="accent5">
                  <a:lumMod val="60000"/>
                </a:schemeClr>
              </a:solidFill>
              <a:ln w="9525">
                <a:solidFill>
                  <a:schemeClr val="accent5">
                    <a:lumMod val="60000"/>
                  </a:schemeClr>
                </a:solidFill>
              </a:ln>
              <a:effectLst/>
            </c:spPr>
          </c:marker>
          <c:cat>
            <c:strRef>
              <c:f>'obj1'!$Q$285:$R$285</c:f>
              <c:strCache>
                <c:ptCount val="2"/>
                <c:pt idx="0">
                  <c:v>30-60 DAT</c:v>
                </c:pt>
                <c:pt idx="1">
                  <c:v>60-90 DAT</c:v>
                </c:pt>
              </c:strCache>
            </c:strRef>
          </c:cat>
          <c:val>
            <c:numRef>
              <c:f>'obj1'!$Q$296:$R$296</c:f>
              <c:numCache>
                <c:formatCode>0.0000</c:formatCode>
                <c:ptCount val="2"/>
                <c:pt idx="0">
                  <c:v>0.95186496986207902</c:v>
                </c:pt>
                <c:pt idx="1">
                  <c:v>1.4851603954735296E-2</c:v>
                </c:pt>
              </c:numCache>
            </c:numRef>
          </c:val>
          <c:smooth val="0"/>
          <c:extLst>
            <c:ext xmlns:c16="http://schemas.microsoft.com/office/drawing/2014/chart" uri="{C3380CC4-5D6E-409C-BE32-E72D297353CC}">
              <c16:uniqueId val="{0000000A-E43C-4CC1-9790-E83B13B76898}"/>
            </c:ext>
          </c:extLst>
        </c:ser>
        <c:ser>
          <c:idx val="11"/>
          <c:order val="11"/>
          <c:tx>
            <c:strRef>
              <c:f>'obj1'!$P$297</c:f>
              <c:strCache>
                <c:ptCount val="1"/>
                <c:pt idx="0">
                  <c:v>T12</c:v>
                </c:pt>
              </c:strCache>
            </c:strRef>
          </c:tx>
          <c:spPr>
            <a:ln w="28575" cap="rnd">
              <a:solidFill>
                <a:schemeClr val="accent6">
                  <a:lumMod val="60000"/>
                </a:schemeClr>
              </a:solidFill>
              <a:round/>
            </a:ln>
            <a:effectLst/>
          </c:spPr>
          <c:marker>
            <c:symbol val="circle"/>
            <c:size val="5"/>
            <c:spPr>
              <a:solidFill>
                <a:schemeClr val="accent6">
                  <a:lumMod val="60000"/>
                </a:schemeClr>
              </a:solidFill>
              <a:ln w="9525">
                <a:solidFill>
                  <a:schemeClr val="accent6">
                    <a:lumMod val="60000"/>
                  </a:schemeClr>
                </a:solidFill>
              </a:ln>
              <a:effectLst/>
            </c:spPr>
          </c:marker>
          <c:cat>
            <c:strRef>
              <c:f>'obj1'!$Q$285:$R$285</c:f>
              <c:strCache>
                <c:ptCount val="2"/>
                <c:pt idx="0">
                  <c:v>30-60 DAT</c:v>
                </c:pt>
                <c:pt idx="1">
                  <c:v>60-90 DAT</c:v>
                </c:pt>
              </c:strCache>
            </c:strRef>
          </c:cat>
          <c:val>
            <c:numRef>
              <c:f>'obj1'!$Q$297:$R$297</c:f>
              <c:numCache>
                <c:formatCode>0.0000</c:formatCode>
                <c:ptCount val="2"/>
                <c:pt idx="0">
                  <c:v>0.9469840124654052</c:v>
                </c:pt>
                <c:pt idx="1">
                  <c:v>2.1888829120655009E-2</c:v>
                </c:pt>
              </c:numCache>
            </c:numRef>
          </c:val>
          <c:smooth val="0"/>
          <c:extLst>
            <c:ext xmlns:c16="http://schemas.microsoft.com/office/drawing/2014/chart" uri="{C3380CC4-5D6E-409C-BE32-E72D297353CC}">
              <c16:uniqueId val="{0000000B-E43C-4CC1-9790-E83B13B76898}"/>
            </c:ext>
          </c:extLst>
        </c:ser>
        <c:ser>
          <c:idx val="12"/>
          <c:order val="12"/>
          <c:tx>
            <c:strRef>
              <c:f>'obj1'!$P$298</c:f>
              <c:strCache>
                <c:ptCount val="1"/>
                <c:pt idx="0">
                  <c:v>T13</c:v>
                </c:pt>
              </c:strCache>
            </c:strRef>
          </c:tx>
          <c:spPr>
            <a:ln w="28575" cap="rnd">
              <a:solidFill>
                <a:schemeClr val="accent1">
                  <a:lumMod val="80000"/>
                  <a:lumOff val="20000"/>
                </a:schemeClr>
              </a:solidFill>
              <a:round/>
            </a:ln>
            <a:effectLst/>
          </c:spPr>
          <c:marker>
            <c:symbol val="circle"/>
            <c:size val="5"/>
            <c:spPr>
              <a:solidFill>
                <a:schemeClr val="accent1">
                  <a:lumMod val="80000"/>
                  <a:lumOff val="20000"/>
                </a:schemeClr>
              </a:solidFill>
              <a:ln w="9525">
                <a:solidFill>
                  <a:schemeClr val="accent1">
                    <a:lumMod val="80000"/>
                    <a:lumOff val="20000"/>
                  </a:schemeClr>
                </a:solidFill>
              </a:ln>
              <a:effectLst/>
            </c:spPr>
          </c:marker>
          <c:cat>
            <c:strRef>
              <c:f>'obj1'!$Q$285:$R$285</c:f>
              <c:strCache>
                <c:ptCount val="2"/>
                <c:pt idx="0">
                  <c:v>30-60 DAT</c:v>
                </c:pt>
                <c:pt idx="1">
                  <c:v>60-90 DAT</c:v>
                </c:pt>
              </c:strCache>
            </c:strRef>
          </c:cat>
          <c:val>
            <c:numRef>
              <c:f>'obj1'!$Q$298:$R$298</c:f>
              <c:numCache>
                <c:formatCode>0.0000</c:formatCode>
                <c:ptCount val="2"/>
                <c:pt idx="0">
                  <c:v>1.1324755403261999</c:v>
                </c:pt>
                <c:pt idx="1">
                  <c:v>1.8253821161106382E-2</c:v>
                </c:pt>
              </c:numCache>
            </c:numRef>
          </c:val>
          <c:smooth val="0"/>
          <c:extLst>
            <c:ext xmlns:c16="http://schemas.microsoft.com/office/drawing/2014/chart" uri="{C3380CC4-5D6E-409C-BE32-E72D297353CC}">
              <c16:uniqueId val="{0000000C-E43C-4CC1-9790-E83B13B76898}"/>
            </c:ext>
          </c:extLst>
        </c:ser>
        <c:dLbls>
          <c:showLegendKey val="0"/>
          <c:showVal val="0"/>
          <c:showCatName val="0"/>
          <c:showSerName val="0"/>
          <c:showPercent val="0"/>
          <c:showBubbleSize val="0"/>
        </c:dLbls>
        <c:marker val="1"/>
        <c:smooth val="0"/>
        <c:axId val="30005151"/>
        <c:axId val="1979523503"/>
      </c:lineChart>
      <c:catAx>
        <c:axId val="3000515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79523503"/>
        <c:crosses val="autoZero"/>
        <c:auto val="1"/>
        <c:lblAlgn val="ctr"/>
        <c:lblOffset val="100"/>
        <c:noMultiLvlLbl val="0"/>
      </c:catAx>
      <c:valAx>
        <c:axId val="1979523503"/>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IN"/>
                  <a:t>NAR (g m</a:t>
                </a:r>
                <a:r>
                  <a:rPr lang="en-IN" baseline="30000"/>
                  <a:t>-2</a:t>
                </a:r>
                <a:r>
                  <a:rPr lang="en-IN" baseline="0"/>
                  <a:t> day</a:t>
                </a:r>
                <a:r>
                  <a:rPr lang="en-IN" baseline="30000"/>
                  <a:t>-1</a:t>
                </a:r>
                <a:r>
                  <a:rPr lang="en-IN" baseline="0"/>
                  <a:t>)</a:t>
                </a:r>
                <a:endParaRPr lang="en-IN"/>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IN"/>
            </a:p>
          </c:txPr>
        </c:title>
        <c:numFmt formatCode="0.0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0005151"/>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91</TotalTime>
  <Pages>16</Pages>
  <Words>7047</Words>
  <Characters>40174</Characters>
  <Application>Microsoft Office Word</Application>
  <DocSecurity>0</DocSecurity>
  <Lines>334</Lines>
  <Paragraphs>94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Khwairakpam Kishwar Singh</dc:creator>
  <cp:keywords/>
  <dc:description/>
  <cp:lastModifiedBy>SDI 1158</cp:lastModifiedBy>
  <cp:revision>25</cp:revision>
  <dcterms:created xsi:type="dcterms:W3CDTF">2026-08-11T09:23:00Z</dcterms:created>
  <dcterms:modified xsi:type="dcterms:W3CDTF">2026-08-19T04:43:00Z</dcterms:modified>
</cp:coreProperties>
</file>