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5ABF" w14:textId="77777777" w:rsidR="00754C9A" w:rsidRDefault="00754C9A" w:rsidP="00441B6F">
      <w:pPr>
        <w:pStyle w:val="Title"/>
        <w:spacing w:after="0"/>
        <w:jc w:val="both"/>
        <w:rPr>
          <w:rFonts w:ascii="Arial" w:hAnsi="Arial" w:cs="Arial"/>
        </w:rPr>
      </w:pPr>
    </w:p>
    <w:p w14:paraId="30562ED3" w14:textId="77777777" w:rsidR="005C2E34" w:rsidRDefault="005C2E34" w:rsidP="005C2E34">
      <w:pPr>
        <w:pStyle w:val="Author"/>
        <w:rPr>
          <w:rFonts w:ascii="Arial" w:hAnsi="Arial" w:cs="Arial"/>
          <w:bCs/>
          <w:i/>
          <w:iCs/>
          <w:kern w:val="28"/>
          <w:sz w:val="36"/>
          <w:u w:val="single"/>
        </w:rPr>
      </w:pPr>
      <w:r w:rsidRPr="005C2E34">
        <w:rPr>
          <w:rFonts w:ascii="Arial" w:hAnsi="Arial" w:cs="Arial"/>
          <w:bCs/>
          <w:i/>
          <w:iCs/>
          <w:kern w:val="28"/>
          <w:sz w:val="36"/>
          <w:u w:val="single"/>
        </w:rPr>
        <w:t>Original Research Article</w:t>
      </w:r>
    </w:p>
    <w:p w14:paraId="754F1B88" w14:textId="77777777" w:rsidR="005C2E34" w:rsidRPr="005C2E34" w:rsidRDefault="005C2E34" w:rsidP="005C2E34">
      <w:pPr>
        <w:pStyle w:val="Author"/>
        <w:rPr>
          <w:rFonts w:ascii="Arial" w:hAnsi="Arial" w:cs="Arial"/>
          <w:bCs/>
          <w:i/>
          <w:iCs/>
          <w:kern w:val="28"/>
          <w:sz w:val="36"/>
          <w:u w:val="single"/>
        </w:rPr>
      </w:pPr>
    </w:p>
    <w:p w14:paraId="76E02A29" w14:textId="77777777" w:rsidR="00163BC4" w:rsidRPr="00163BC4" w:rsidRDefault="009B5508" w:rsidP="00441B6F">
      <w:pPr>
        <w:pStyle w:val="Author"/>
        <w:spacing w:line="240" w:lineRule="auto"/>
        <w:rPr>
          <w:rFonts w:ascii="Arial" w:hAnsi="Arial" w:cs="Arial"/>
          <w:bCs/>
          <w:iCs/>
          <w:kern w:val="28"/>
          <w:sz w:val="36"/>
        </w:rPr>
      </w:pPr>
      <w:r w:rsidRPr="009B5508">
        <w:rPr>
          <w:rFonts w:ascii="Arial" w:hAnsi="Arial" w:cs="Arial"/>
          <w:bCs/>
          <w:iCs/>
          <w:kern w:val="28"/>
          <w:sz w:val="36"/>
        </w:rPr>
        <w:t>Effects of the gradual incorporation of cashew apple bagasse (</w:t>
      </w:r>
      <w:r w:rsidRPr="009B5508">
        <w:rPr>
          <w:rFonts w:ascii="Arial" w:hAnsi="Arial" w:cs="Arial"/>
          <w:bCs/>
          <w:i/>
          <w:kern w:val="28"/>
          <w:sz w:val="36"/>
        </w:rPr>
        <w:t>Anacardium</w:t>
      </w:r>
      <w:r w:rsidRPr="009B5508">
        <w:rPr>
          <w:rFonts w:ascii="Arial" w:hAnsi="Arial" w:cs="Arial"/>
          <w:bCs/>
          <w:iCs/>
          <w:kern w:val="28"/>
          <w:sz w:val="36"/>
        </w:rPr>
        <w:t xml:space="preserve"> </w:t>
      </w:r>
      <w:r w:rsidRPr="009B5508">
        <w:rPr>
          <w:rFonts w:ascii="Arial" w:hAnsi="Arial" w:cs="Arial"/>
          <w:bCs/>
          <w:i/>
          <w:kern w:val="28"/>
          <w:sz w:val="36"/>
        </w:rPr>
        <w:t>occidentale</w:t>
      </w:r>
      <w:r w:rsidRPr="009B5508">
        <w:rPr>
          <w:rFonts w:ascii="Arial" w:hAnsi="Arial" w:cs="Arial"/>
          <w:bCs/>
          <w:iCs/>
          <w:kern w:val="28"/>
          <w:sz w:val="36"/>
        </w:rPr>
        <w:t xml:space="preserve"> L.) into the diet on feed conversion and weight parameters in meat quail (</w:t>
      </w:r>
      <w:r w:rsidRPr="00180B73">
        <w:rPr>
          <w:rFonts w:ascii="Arial" w:hAnsi="Arial" w:cs="Arial"/>
          <w:bCs/>
          <w:i/>
          <w:kern w:val="28"/>
          <w:sz w:val="36"/>
        </w:rPr>
        <w:t>Coturnix</w:t>
      </w:r>
      <w:r w:rsidRPr="009B5508">
        <w:rPr>
          <w:rFonts w:ascii="Arial" w:hAnsi="Arial" w:cs="Arial"/>
          <w:bCs/>
          <w:iCs/>
          <w:kern w:val="28"/>
          <w:sz w:val="36"/>
        </w:rPr>
        <w:t xml:space="preserve"> </w:t>
      </w:r>
      <w:r w:rsidRPr="00180B73">
        <w:rPr>
          <w:rFonts w:ascii="Arial" w:hAnsi="Arial" w:cs="Arial"/>
          <w:bCs/>
          <w:i/>
          <w:kern w:val="28"/>
          <w:sz w:val="36"/>
        </w:rPr>
        <w:t>japonica</w:t>
      </w:r>
      <w:r w:rsidRPr="009B5508">
        <w:rPr>
          <w:rFonts w:ascii="Arial" w:hAnsi="Arial" w:cs="Arial"/>
          <w:bCs/>
          <w:iCs/>
          <w:kern w:val="28"/>
          <w:sz w:val="36"/>
        </w:rPr>
        <w:t xml:space="preserve"> Temminck &amp; Schlegel, 1849)</w:t>
      </w:r>
      <w:r w:rsidR="00231920">
        <w:rPr>
          <w:rFonts w:ascii="Arial" w:hAnsi="Arial" w:cs="Arial"/>
          <w:bCs/>
          <w:iCs/>
          <w:kern w:val="28"/>
          <w:sz w:val="36"/>
        </w:rPr>
        <w:t xml:space="preserve"> </w:t>
      </w:r>
    </w:p>
    <w:p w14:paraId="10BE6D8B" w14:textId="77777777" w:rsidR="00A258C3" w:rsidRPr="00790ADA" w:rsidRDefault="00A258C3" w:rsidP="00441B6F">
      <w:pPr>
        <w:pStyle w:val="Author"/>
        <w:spacing w:line="240" w:lineRule="auto"/>
        <w:jc w:val="both"/>
        <w:rPr>
          <w:rFonts w:ascii="Arial" w:hAnsi="Arial" w:cs="Arial"/>
          <w:sz w:val="36"/>
        </w:rPr>
      </w:pPr>
    </w:p>
    <w:p w14:paraId="747D30B4" w14:textId="77777777" w:rsidR="002C57D2" w:rsidRPr="00FB3A86" w:rsidRDefault="002C57D2" w:rsidP="00441B6F">
      <w:pPr>
        <w:pStyle w:val="Affiliation"/>
        <w:spacing w:after="0" w:line="240" w:lineRule="auto"/>
        <w:jc w:val="both"/>
        <w:rPr>
          <w:rFonts w:ascii="Arial" w:hAnsi="Arial" w:cs="Arial"/>
        </w:rPr>
      </w:pPr>
    </w:p>
    <w:p w14:paraId="01C266F9" w14:textId="77777777" w:rsidR="00B01FCD" w:rsidRPr="00FB3A86" w:rsidRDefault="00000000" w:rsidP="00441B6F">
      <w:pPr>
        <w:pStyle w:val="Copyright"/>
        <w:spacing w:after="0" w:line="240" w:lineRule="auto"/>
        <w:jc w:val="both"/>
        <w:rPr>
          <w:rFonts w:ascii="Arial" w:hAnsi="Arial" w:cs="Arial"/>
        </w:rPr>
        <w:sectPr w:rsidR="00B01FCD" w:rsidRPr="00FB3A86" w:rsidSect="005C2E34">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72BC293">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19F5226B"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6C36330B"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3F7CCAE3" w14:textId="77777777" w:rsidTr="001E44FE">
        <w:tc>
          <w:tcPr>
            <w:tcW w:w="9576" w:type="dxa"/>
            <w:shd w:val="clear" w:color="auto" w:fill="F2F2F2"/>
          </w:tcPr>
          <w:p w14:paraId="76512B79" w14:textId="77777777" w:rsidR="009B5508" w:rsidRDefault="00BA1B01" w:rsidP="00441B6F">
            <w:pPr>
              <w:pStyle w:val="Body"/>
              <w:spacing w:after="0"/>
              <w:rPr>
                <w:rFonts w:ascii="Arial" w:eastAsia="Calibri" w:hAnsi="Arial" w:cs="Arial"/>
                <w:szCs w:val="22"/>
              </w:rPr>
            </w:pPr>
            <w:r>
              <w:rPr>
                <w:rFonts w:ascii="Arial" w:eastAsia="Calibri" w:hAnsi="Arial" w:cs="Arial"/>
                <w:b/>
                <w:szCs w:val="22"/>
              </w:rPr>
              <w:t xml:space="preserve">Aims: </w:t>
            </w:r>
            <w:r>
              <w:rPr>
                <w:rFonts w:ascii="Arial" w:eastAsia="Calibri" w:hAnsi="Arial" w:cs="Arial"/>
                <w:szCs w:val="22"/>
              </w:rPr>
              <w:t>This study a</w:t>
            </w:r>
            <w:r>
              <w:rPr>
                <w:rFonts w:ascii="Arial" w:eastAsia="Calibri" w:hAnsi="Arial" w:cs="Arial"/>
                <w:szCs w:val="22"/>
                <w:highlight w:val="yellow"/>
              </w:rPr>
              <w:t>imed</w:t>
            </w:r>
            <w:r>
              <w:rPr>
                <w:rFonts w:ascii="Arial" w:eastAsia="Calibri" w:hAnsi="Arial" w:cs="Arial"/>
                <w:szCs w:val="22"/>
              </w:rPr>
              <w:t xml:space="preserve"> to assess the effect of incorporating cashew apple bagasse into the diet on feed conversion and weight parameters in meat quails. </w:t>
            </w:r>
          </w:p>
          <w:p w14:paraId="22FDB22D" w14:textId="77777777" w:rsidR="00AD1CFF" w:rsidRDefault="00BA1B01" w:rsidP="00AD1CFF">
            <w:pPr>
              <w:pStyle w:val="Body"/>
              <w:rPr>
                <w:rFonts w:ascii="Arial" w:eastAsia="Calibri" w:hAnsi="Arial" w:cs="Arial"/>
                <w:szCs w:val="22"/>
              </w:rPr>
            </w:pPr>
            <w:r>
              <w:rPr>
                <w:rFonts w:ascii="Arial" w:eastAsia="Calibri" w:hAnsi="Arial" w:cs="Arial"/>
                <w:b/>
                <w:bCs/>
                <w:szCs w:val="22"/>
              </w:rPr>
              <w:t>Methodology:</w:t>
            </w:r>
            <w:r>
              <w:rPr>
                <w:rFonts w:ascii="Arial" w:eastAsia="Calibri" w:hAnsi="Arial" w:cs="Arial"/>
                <w:szCs w:val="22"/>
              </w:rPr>
              <w:t xml:space="preserve"> A </w:t>
            </w:r>
            <w:r>
              <w:rPr>
                <w:rFonts w:ascii="Arial" w:eastAsia="Calibri" w:hAnsi="Arial" w:cs="Arial"/>
                <w:szCs w:val="22"/>
                <w:highlight w:val="yellow"/>
              </w:rPr>
              <w:t>tot</w:t>
            </w:r>
            <w:r>
              <w:rPr>
                <w:rFonts w:ascii="Arial" w:eastAsia="Calibri" w:hAnsi="Arial" w:cs="Arial"/>
                <w:szCs w:val="22"/>
              </w:rPr>
              <w:t>al of 270 15-day-old quails, with an average live weight of 29.74 ± 0.66 g, w</w:t>
            </w:r>
            <w:r>
              <w:rPr>
                <w:rFonts w:ascii="Arial" w:eastAsia="Calibri" w:hAnsi="Arial" w:cs="Arial"/>
                <w:szCs w:val="22"/>
                <w:highlight w:val="yellow"/>
              </w:rPr>
              <w:t>ere</w:t>
            </w:r>
            <w:r>
              <w:rPr>
                <w:rFonts w:ascii="Arial" w:eastAsia="Calibri" w:hAnsi="Arial" w:cs="Arial"/>
                <w:szCs w:val="22"/>
              </w:rPr>
              <w:t xml:space="preserve"> randomly </w:t>
            </w:r>
            <w:r>
              <w:rPr>
                <w:rFonts w:ascii="Arial" w:eastAsia="Calibri" w:hAnsi="Arial" w:cs="Arial"/>
                <w:szCs w:val="22"/>
                <w:highlight w:val="yellow"/>
              </w:rPr>
              <w:t>allocat</w:t>
            </w:r>
            <w:r>
              <w:rPr>
                <w:rFonts w:ascii="Arial" w:eastAsia="Calibri" w:hAnsi="Arial" w:cs="Arial"/>
                <w:szCs w:val="22"/>
              </w:rPr>
              <w:t xml:space="preserve">ed to three </w:t>
            </w:r>
            <w:r>
              <w:rPr>
                <w:rFonts w:ascii="Arial" w:eastAsia="Calibri" w:hAnsi="Arial" w:cs="Arial"/>
                <w:szCs w:val="22"/>
                <w:highlight w:val="yellow"/>
              </w:rPr>
              <w:t xml:space="preserve">dietary </w:t>
            </w:r>
            <w:r>
              <w:rPr>
                <w:rFonts w:ascii="Arial" w:eastAsia="Calibri" w:hAnsi="Arial" w:cs="Arial"/>
                <w:szCs w:val="22"/>
              </w:rPr>
              <w:t>groups</w:t>
            </w:r>
            <w:r>
              <w:rPr>
                <w:rFonts w:ascii="Arial" w:eastAsia="Calibri" w:hAnsi="Arial" w:cs="Arial"/>
                <w:szCs w:val="22"/>
                <w:highlight w:val="yellow"/>
              </w:rPr>
              <w:t>,</w:t>
            </w:r>
            <w:r>
              <w:rPr>
                <w:rFonts w:ascii="Arial" w:eastAsia="Calibri" w:hAnsi="Arial" w:cs="Arial"/>
                <w:szCs w:val="22"/>
              </w:rPr>
              <w:t xml:space="preserve"> each </w:t>
            </w:r>
            <w:r>
              <w:rPr>
                <w:rFonts w:ascii="Arial" w:eastAsia="Calibri" w:hAnsi="Arial" w:cs="Arial"/>
                <w:szCs w:val="22"/>
                <w:highlight w:val="yellow"/>
              </w:rPr>
              <w:t>compr</w:t>
            </w:r>
            <w:r>
              <w:rPr>
                <w:rFonts w:ascii="Arial" w:eastAsia="Calibri" w:hAnsi="Arial" w:cs="Arial"/>
                <w:szCs w:val="22"/>
              </w:rPr>
              <w:t>i</w:t>
            </w:r>
            <w:r>
              <w:rPr>
                <w:rFonts w:ascii="Arial" w:eastAsia="Calibri" w:hAnsi="Arial" w:cs="Arial"/>
                <w:szCs w:val="22"/>
                <w:highlight w:val="yellow"/>
              </w:rPr>
              <w:t>sing</w:t>
            </w:r>
            <w:r>
              <w:rPr>
                <w:rFonts w:ascii="Arial" w:eastAsia="Calibri" w:hAnsi="Arial" w:cs="Arial"/>
                <w:szCs w:val="22"/>
              </w:rPr>
              <w:t xml:space="preserve"> three replicates </w:t>
            </w:r>
            <w:r>
              <w:rPr>
                <w:rFonts w:ascii="Arial" w:eastAsia="Calibri" w:hAnsi="Arial" w:cs="Arial"/>
                <w:szCs w:val="22"/>
                <w:highlight w:val="yellow"/>
              </w:rPr>
              <w:t>of</w:t>
            </w:r>
            <w:r>
              <w:rPr>
                <w:rFonts w:ascii="Arial" w:eastAsia="Calibri" w:hAnsi="Arial" w:cs="Arial"/>
                <w:szCs w:val="22"/>
              </w:rPr>
              <w:t xml:space="preserve"> </w:t>
            </w:r>
            <w:r>
              <w:rPr>
                <w:rFonts w:ascii="Arial" w:eastAsia="Calibri" w:hAnsi="Arial" w:cs="Arial"/>
                <w:szCs w:val="22"/>
                <w:highlight w:val="yellow"/>
              </w:rPr>
              <w:t>30 q</w:t>
            </w:r>
            <w:r>
              <w:rPr>
                <w:rFonts w:ascii="Arial" w:eastAsia="Calibri" w:hAnsi="Arial" w:cs="Arial"/>
                <w:szCs w:val="22"/>
              </w:rPr>
              <w:t>u</w:t>
            </w:r>
            <w:r>
              <w:rPr>
                <w:rFonts w:ascii="Arial" w:eastAsia="Calibri" w:hAnsi="Arial" w:cs="Arial"/>
                <w:szCs w:val="22"/>
                <w:highlight w:val="yellow"/>
              </w:rPr>
              <w:t>ails</w:t>
            </w:r>
            <w:r>
              <w:rPr>
                <w:rFonts w:ascii="Arial" w:eastAsia="Calibri" w:hAnsi="Arial" w:cs="Arial"/>
                <w:szCs w:val="22"/>
              </w:rPr>
              <w:t xml:space="preserve">. They were reared for 3 weeks. Each </w:t>
            </w:r>
            <w:r>
              <w:rPr>
                <w:rFonts w:ascii="Arial" w:eastAsia="Calibri" w:hAnsi="Arial" w:cs="Arial"/>
                <w:szCs w:val="22"/>
                <w:highlight w:val="yellow"/>
              </w:rPr>
              <w:t>group</w:t>
            </w:r>
            <w:r>
              <w:rPr>
                <w:rFonts w:ascii="Arial" w:eastAsia="Calibri" w:hAnsi="Arial" w:cs="Arial"/>
                <w:szCs w:val="22"/>
              </w:rPr>
              <w:t xml:space="preserve"> was fed a different </w:t>
            </w:r>
            <w:r>
              <w:rPr>
                <w:rFonts w:ascii="Arial" w:eastAsia="Calibri" w:hAnsi="Arial" w:cs="Arial"/>
                <w:szCs w:val="22"/>
                <w:highlight w:val="yellow"/>
              </w:rPr>
              <w:t>die</w:t>
            </w:r>
            <w:r>
              <w:rPr>
                <w:rFonts w:ascii="Arial" w:eastAsia="Calibri" w:hAnsi="Arial" w:cs="Arial"/>
                <w:szCs w:val="22"/>
              </w:rPr>
              <w:t>t: the control diet (At), with wheat bran as the fibre source; a diet with 25 per cent cashew apple bagasse (A25) incorporated in place of wheat bran; and a diet with 50 per cent cashew apple bagasse (A50) incorporated in place of wheat bran. The cashew apple bagasse was chemically analysed.</w:t>
            </w:r>
          </w:p>
          <w:p w14:paraId="79A92D81" w14:textId="77777777" w:rsidR="00B12AFE" w:rsidRDefault="00BA1B01" w:rsidP="00B12AFE">
            <w:pPr>
              <w:spacing w:after="240"/>
              <w:rPr>
                <w:rFonts w:ascii="Arial" w:eastAsia="Calibri" w:hAnsi="Arial" w:cs="Arial"/>
              </w:rPr>
            </w:pPr>
            <w:r>
              <w:rPr>
                <w:rFonts w:ascii="Arial" w:eastAsia="Calibri" w:hAnsi="Arial" w:cs="Arial"/>
                <w:b/>
                <w:bCs/>
                <w:szCs w:val="22"/>
              </w:rPr>
              <w:t>Results:</w:t>
            </w:r>
            <w:r>
              <w:rPr>
                <w:rFonts w:ascii="Arial" w:eastAsia="Calibri" w:hAnsi="Arial" w:cs="Arial"/>
                <w:szCs w:val="22"/>
              </w:rPr>
              <w:t xml:space="preserve"> Cashew apple bagasse was rich in fibre (117.0 ± 4.17 g/kg of dry matter) and total carbohydrates (709.2 ± 2.18 g/kg of dry matter).</w:t>
            </w:r>
            <w:r>
              <w:rPr>
                <w:rFonts w:ascii="Arial" w:eastAsia="Calibri" w:hAnsi="Arial" w:cs="Arial"/>
              </w:rPr>
              <w:t xml:space="preserve"> </w:t>
            </w:r>
            <w:r>
              <w:rPr>
                <w:rFonts w:ascii="Arial" w:eastAsia="Calibri" w:hAnsi="Arial" w:cs="Arial"/>
                <w:highlight w:val="yellow"/>
              </w:rPr>
              <w:t xml:space="preserve">Despite slightly lower values in the control group (19.32 ± 3.55 g/day) and the A50 group (19.07 ± 3.89 g/day) than in the A25 group (20.89 ± 2.98 g/day), average feed intake throughout the entire experimental phase did not differ significantly among the diets (Tukey’s test, </w:t>
            </w:r>
            <w:r>
              <w:rPr>
                <w:rFonts w:ascii="Arial" w:eastAsia="Calibri" w:hAnsi="Arial" w:cs="Arial"/>
                <w:i/>
                <w:iCs/>
                <w:highlight w:val="yellow"/>
              </w:rPr>
              <w:t>P</w:t>
            </w:r>
            <w:r>
              <w:rPr>
                <w:rFonts w:ascii="Arial" w:eastAsia="Calibri" w:hAnsi="Arial" w:cs="Arial"/>
                <w:highlight w:val="yellow"/>
              </w:rPr>
              <w:t xml:space="preserve"> = 0.79).</w:t>
            </w:r>
            <w:r>
              <w:rPr>
                <w:rFonts w:ascii="Arial" w:eastAsia="Calibri" w:hAnsi="Arial" w:cs="Arial"/>
              </w:rPr>
              <w:t xml:space="preserve"> </w:t>
            </w:r>
            <w:r>
              <w:rPr>
                <w:rFonts w:ascii="Arial" w:eastAsia="Calibri" w:hAnsi="Arial" w:cs="Arial"/>
                <w:szCs w:val="22"/>
              </w:rPr>
              <w:t>The feed conversion ratios in the At (2.88 ± 0.14) and A25 (3.94 ± 1.22) groups were statistically similar a</w:t>
            </w:r>
            <w:r>
              <w:rPr>
                <w:rFonts w:ascii="Arial" w:eastAsia="Calibri" w:hAnsi="Arial" w:cs="Arial"/>
                <w:szCs w:val="22"/>
                <w:highlight w:val="yellow"/>
              </w:rPr>
              <w:t>nd</w:t>
            </w:r>
            <w:r>
              <w:rPr>
                <w:rFonts w:ascii="Arial" w:eastAsia="Calibri" w:hAnsi="Arial" w:cs="Arial"/>
                <w:szCs w:val="22"/>
              </w:rPr>
              <w:t xml:space="preserve"> lower (</w:t>
            </w:r>
            <w:r>
              <w:rPr>
                <w:rFonts w:ascii="Arial" w:eastAsia="Calibri" w:hAnsi="Arial" w:cs="Arial"/>
                <w:i/>
                <w:iCs/>
                <w:szCs w:val="22"/>
                <w:highlight w:val="yellow"/>
              </w:rPr>
              <w:t>P</w:t>
            </w:r>
            <w:r>
              <w:rPr>
                <w:rFonts w:ascii="Arial" w:eastAsia="Calibri" w:hAnsi="Arial" w:cs="Arial"/>
                <w:szCs w:val="22"/>
                <w:highlight w:val="yellow"/>
              </w:rPr>
              <w:t xml:space="preserve"> = </w:t>
            </w:r>
            <w:r>
              <w:rPr>
                <w:rFonts w:ascii="Arial" w:hAnsi="Arial" w:cs="Arial"/>
                <w:color w:val="000000"/>
                <w:highlight w:val="yellow"/>
                <w:lang w:eastAsia="fr-FR"/>
              </w:rPr>
              <w:t>0.0</w:t>
            </w:r>
            <w:r>
              <w:rPr>
                <w:rFonts w:ascii="Arial" w:hAnsi="Arial" w:cs="Arial"/>
                <w:color w:val="000000"/>
                <w:lang w:eastAsia="fr-FR"/>
              </w:rPr>
              <w:t xml:space="preserve">5) </w:t>
            </w:r>
            <w:r>
              <w:rPr>
                <w:rFonts w:ascii="Arial" w:eastAsia="Calibri" w:hAnsi="Arial" w:cs="Arial"/>
                <w:szCs w:val="22"/>
              </w:rPr>
              <w:t xml:space="preserve">than that </w:t>
            </w:r>
            <w:r>
              <w:rPr>
                <w:rFonts w:ascii="Arial" w:eastAsia="Calibri" w:hAnsi="Arial" w:cs="Arial"/>
                <w:szCs w:val="22"/>
                <w:highlight w:val="yellow"/>
              </w:rPr>
              <w:t>in</w:t>
            </w:r>
            <w:r>
              <w:rPr>
                <w:rFonts w:ascii="Arial" w:eastAsia="Calibri" w:hAnsi="Arial" w:cs="Arial"/>
                <w:szCs w:val="22"/>
              </w:rPr>
              <w:t xml:space="preserve"> the A50 group (5.54 ± 1.71). In terms of body weight, the quails fed the control diet </w:t>
            </w:r>
            <w:r>
              <w:rPr>
                <w:rFonts w:ascii="Arial" w:eastAsia="Calibri" w:hAnsi="Arial" w:cs="Arial"/>
                <w:szCs w:val="22"/>
                <w:highlight w:val="yellow"/>
              </w:rPr>
              <w:t>ha</w:t>
            </w:r>
            <w:r>
              <w:rPr>
                <w:rFonts w:ascii="Arial" w:eastAsia="Calibri" w:hAnsi="Arial" w:cs="Arial"/>
                <w:szCs w:val="22"/>
              </w:rPr>
              <w:t>d a significantly (</w:t>
            </w:r>
            <w:r>
              <w:rPr>
                <w:rFonts w:ascii="Arial" w:eastAsia="Calibri" w:hAnsi="Arial" w:cs="Arial"/>
                <w:i/>
                <w:iCs/>
                <w:szCs w:val="22"/>
                <w:highlight w:val="yellow"/>
              </w:rPr>
              <w:t>P</w:t>
            </w:r>
            <w:r>
              <w:rPr>
                <w:rFonts w:ascii="Arial" w:eastAsia="Calibri" w:hAnsi="Arial" w:cs="Arial"/>
                <w:szCs w:val="22"/>
                <w:highlight w:val="yellow"/>
              </w:rPr>
              <w:t xml:space="preserve"> = </w:t>
            </w:r>
            <w:r>
              <w:rPr>
                <w:rFonts w:ascii="Arial" w:hAnsi="Arial" w:cs="Arial"/>
                <w:color w:val="000000"/>
                <w:highlight w:val="yellow"/>
                <w:lang w:eastAsia="fr-FR"/>
              </w:rPr>
              <w:t>0.001</w:t>
            </w:r>
            <w:r>
              <w:rPr>
                <w:rFonts w:ascii="Arial" w:eastAsia="Calibri" w:hAnsi="Arial" w:cs="Arial"/>
                <w:szCs w:val="22"/>
              </w:rPr>
              <w:t xml:space="preserve">) higher average live weight (214.56 g) than those </w:t>
            </w:r>
            <w:r>
              <w:rPr>
                <w:rFonts w:ascii="Arial" w:eastAsia="Calibri" w:hAnsi="Arial" w:cs="Arial"/>
                <w:szCs w:val="22"/>
                <w:highlight w:val="yellow"/>
              </w:rPr>
              <w:t>fed</w:t>
            </w:r>
            <w:r>
              <w:rPr>
                <w:rFonts w:ascii="Arial" w:eastAsia="Calibri" w:hAnsi="Arial" w:cs="Arial"/>
                <w:szCs w:val="22"/>
              </w:rPr>
              <w:t xml:space="preserve"> the other diets. </w:t>
            </w:r>
            <w:r>
              <w:rPr>
                <w:rFonts w:ascii="Arial" w:eastAsia="Calibri" w:hAnsi="Arial" w:cs="Arial"/>
                <w:szCs w:val="22"/>
                <w:highlight w:val="yellow"/>
              </w:rPr>
              <w:t>A</w:t>
            </w:r>
            <w:r>
              <w:rPr>
                <w:rFonts w:ascii="Arial" w:eastAsia="Calibri" w:hAnsi="Arial" w:cs="Arial"/>
                <w:szCs w:val="22"/>
              </w:rPr>
              <w:t>verage daily gain varied according to diet (</w:t>
            </w:r>
            <w:r>
              <w:rPr>
                <w:rFonts w:ascii="Arial" w:eastAsia="Calibri" w:hAnsi="Arial" w:cs="Arial"/>
                <w:i/>
                <w:iCs/>
                <w:szCs w:val="22"/>
                <w:highlight w:val="yellow"/>
              </w:rPr>
              <w:t>P</w:t>
            </w:r>
            <w:r>
              <w:rPr>
                <w:rFonts w:ascii="Arial" w:eastAsia="Calibri" w:hAnsi="Arial" w:cs="Arial"/>
                <w:szCs w:val="22"/>
                <w:highlight w:val="yellow"/>
              </w:rPr>
              <w:t xml:space="preserve"> = 0.</w:t>
            </w:r>
            <w:r>
              <w:rPr>
                <w:rFonts w:ascii="Arial" w:eastAsia="Calibri" w:hAnsi="Arial" w:cs="Arial"/>
              </w:rPr>
              <w:t>05</w:t>
            </w:r>
            <w:r>
              <w:rPr>
                <w:rFonts w:ascii="Arial" w:eastAsia="Calibri" w:hAnsi="Arial" w:cs="Arial"/>
                <w:szCs w:val="22"/>
              </w:rPr>
              <w:t>)</w:t>
            </w:r>
            <w:r>
              <w:rPr>
                <w:rFonts w:ascii="Arial" w:eastAsia="Calibri" w:hAnsi="Arial" w:cs="Arial"/>
                <w:szCs w:val="22"/>
                <w:highlight w:val="yellow"/>
              </w:rPr>
              <w:t>:</w:t>
            </w:r>
            <w:r>
              <w:rPr>
                <w:rFonts w:ascii="Arial" w:eastAsia="Calibri" w:hAnsi="Arial" w:cs="Arial"/>
                <w:szCs w:val="22"/>
              </w:rPr>
              <w:t xml:space="preserve"> </w:t>
            </w:r>
            <w:r>
              <w:rPr>
                <w:rFonts w:ascii="Arial" w:eastAsia="Calibri" w:hAnsi="Arial" w:cs="Arial"/>
                <w:szCs w:val="22"/>
                <w:highlight w:val="yellow"/>
              </w:rPr>
              <w:t>i</w:t>
            </w:r>
            <w:r>
              <w:rPr>
                <w:rFonts w:ascii="Arial" w:eastAsia="Calibri" w:hAnsi="Arial" w:cs="Arial"/>
                <w:szCs w:val="22"/>
              </w:rPr>
              <w:t>t was 6.75 ± 0.83 g/day for the control diet, 5.81 ± 1.85 g/day for the 25% diet and 3.86 ± 1.42 g/day for the 50% diet.</w:t>
            </w:r>
          </w:p>
          <w:p w14:paraId="6A43A0CD" w14:textId="77777777" w:rsidR="00505F06" w:rsidRPr="00BA1B01" w:rsidRDefault="00BA1B01" w:rsidP="00441B6F">
            <w:pPr>
              <w:pStyle w:val="Body"/>
              <w:spacing w:after="0"/>
              <w:rPr>
                <w:rFonts w:ascii="Arial" w:eastAsia="Calibri" w:hAnsi="Arial" w:cs="Arial"/>
                <w:szCs w:val="22"/>
              </w:rPr>
            </w:pPr>
            <w:r>
              <w:rPr>
                <w:rFonts w:ascii="Arial" w:eastAsia="Calibri" w:hAnsi="Arial" w:cs="Arial"/>
                <w:b/>
                <w:bCs/>
                <w:szCs w:val="22"/>
              </w:rPr>
              <w:t>Conclusion:</w:t>
            </w:r>
            <w:r>
              <w:rPr>
                <w:rFonts w:ascii="Arial" w:eastAsia="Calibri" w:hAnsi="Arial" w:cs="Arial"/>
                <w:szCs w:val="22"/>
              </w:rPr>
              <w:t xml:space="preserve"> </w:t>
            </w:r>
            <w:r>
              <w:rPr>
                <w:rFonts w:ascii="Arial" w:eastAsia="Calibri" w:hAnsi="Arial" w:cs="Arial"/>
                <w:szCs w:val="22"/>
                <w:highlight w:val="yellow"/>
              </w:rPr>
              <w:t>This study showed that cashew apple bagasse is rich in dietary fibre. The inclusion of 25% cashew apple bagasse in the quails’ diet resulted in a feed conversion ratio comparable to that of the control group. However, in terms of weight, the control diet proved superior, with quails having a live weight more than 25 g higher than those fed the test diets. The 25% and 50% inclusion levels had no positive effects on the birds. Further studies involving different levels of bagasse incorporation may help to determine the optimal inclusion level.</w:t>
            </w:r>
            <w:r>
              <w:rPr>
                <w:rFonts w:ascii="Arial" w:eastAsia="Calibri" w:hAnsi="Arial" w:cs="Arial"/>
                <w:szCs w:val="22"/>
              </w:rPr>
              <w:t xml:space="preserve"> </w:t>
            </w:r>
          </w:p>
        </w:tc>
      </w:tr>
    </w:tbl>
    <w:p w14:paraId="31804E51" w14:textId="77777777" w:rsidR="00636EB2" w:rsidRDefault="00636EB2" w:rsidP="00441B6F">
      <w:pPr>
        <w:pStyle w:val="Body"/>
        <w:spacing w:after="0"/>
        <w:rPr>
          <w:rFonts w:ascii="Arial" w:hAnsi="Arial" w:cs="Arial"/>
          <w:i/>
        </w:rPr>
      </w:pPr>
    </w:p>
    <w:p w14:paraId="224949D3" w14:textId="77777777" w:rsidR="00A24E7E" w:rsidRDefault="00A24E7E" w:rsidP="00441B6F">
      <w:pPr>
        <w:pStyle w:val="Body"/>
        <w:spacing w:after="0"/>
        <w:rPr>
          <w:rFonts w:ascii="Arial" w:hAnsi="Arial" w:cs="Arial"/>
          <w:i/>
        </w:rPr>
      </w:pPr>
      <w:r>
        <w:rPr>
          <w:rFonts w:ascii="Arial" w:hAnsi="Arial" w:cs="Arial"/>
          <w:i/>
        </w:rPr>
        <w:t xml:space="preserve">Keywords: </w:t>
      </w:r>
      <w:r w:rsidR="009B5508" w:rsidRPr="009B5508">
        <w:rPr>
          <w:rFonts w:ascii="Arial" w:hAnsi="Arial" w:cs="Arial"/>
          <w:i/>
        </w:rPr>
        <w:t>Cashew apple pomace, feed, growth, quail, feed conversion ratio</w:t>
      </w:r>
    </w:p>
    <w:p w14:paraId="70A1F9AB" w14:textId="77777777" w:rsidR="00505F06" w:rsidRPr="00A24E7E" w:rsidRDefault="00505F06" w:rsidP="00441B6F">
      <w:pPr>
        <w:pStyle w:val="Body"/>
        <w:spacing w:after="0"/>
        <w:rPr>
          <w:rFonts w:ascii="Arial" w:hAnsi="Arial" w:cs="Arial"/>
          <w:i/>
        </w:rPr>
      </w:pPr>
    </w:p>
    <w:p w14:paraId="10F4030B" w14:textId="77777777" w:rsidR="007F7B32" w:rsidRDefault="00902823" w:rsidP="00441B6F">
      <w:pPr>
        <w:pStyle w:val="AbstHead"/>
        <w:spacing w:after="0"/>
        <w:jc w:val="both"/>
        <w:rPr>
          <w:rFonts w:ascii="Arial" w:hAnsi="Arial" w:cs="Arial"/>
        </w:rPr>
      </w:pPr>
      <w:r>
        <w:rPr>
          <w:rFonts w:ascii="Arial" w:hAnsi="Arial" w:cs="Arial"/>
        </w:rPr>
        <w:lastRenderedPageBreak/>
        <w:t xml:space="preserve">1. </w:t>
      </w:r>
      <w:r w:rsidR="00B01FCD" w:rsidRPr="00FB3A86">
        <w:rPr>
          <w:rFonts w:ascii="Arial" w:hAnsi="Arial" w:cs="Arial"/>
        </w:rPr>
        <w:t>INTRODUCTION</w:t>
      </w:r>
      <w:r w:rsidR="007F7B32">
        <w:rPr>
          <w:rFonts w:ascii="Arial" w:hAnsi="Arial" w:cs="Arial"/>
        </w:rPr>
        <w:t xml:space="preserve"> </w:t>
      </w:r>
    </w:p>
    <w:p w14:paraId="7C258274" w14:textId="77777777" w:rsidR="00790ADA" w:rsidRPr="00FB3A86" w:rsidRDefault="00790ADA" w:rsidP="00441B6F">
      <w:pPr>
        <w:pStyle w:val="AbstHead"/>
        <w:spacing w:after="0"/>
        <w:jc w:val="both"/>
        <w:rPr>
          <w:rFonts w:ascii="Arial" w:hAnsi="Arial" w:cs="Arial"/>
        </w:rPr>
      </w:pPr>
    </w:p>
    <w:p w14:paraId="460A8497" w14:textId="77777777" w:rsidR="009B5508" w:rsidRPr="009B5508" w:rsidRDefault="009B5508" w:rsidP="009B5508">
      <w:pPr>
        <w:pStyle w:val="AbstHead"/>
        <w:jc w:val="both"/>
        <w:rPr>
          <w:rFonts w:ascii="Arial" w:hAnsi="Arial" w:cs="Arial"/>
          <w:b w:val="0"/>
          <w:caps w:val="0"/>
          <w:sz w:val="20"/>
        </w:rPr>
      </w:pPr>
      <w:r>
        <w:rPr>
          <w:rFonts w:ascii="Arial" w:hAnsi="Arial" w:cs="Arial"/>
          <w:b w:val="0"/>
          <w:caps w:val="0"/>
          <w:sz w:val="20"/>
        </w:rPr>
        <w:t xml:space="preserve">Among short-cycle livestock production sectors, poultry farming plays a leading role </w:t>
      </w:r>
      <w:r>
        <w:rPr>
          <w:rFonts w:ascii="Arial" w:hAnsi="Arial" w:cs="Arial"/>
          <w:b w:val="0"/>
          <w:caps w:val="0"/>
          <w:sz w:val="20"/>
          <w:highlight w:val="yellow"/>
        </w:rPr>
        <w:t>beca</w:t>
      </w:r>
      <w:r>
        <w:rPr>
          <w:rFonts w:ascii="Arial" w:hAnsi="Arial" w:cs="Arial"/>
          <w:b w:val="0"/>
          <w:caps w:val="0"/>
          <w:sz w:val="20"/>
        </w:rPr>
        <w:t>u</w:t>
      </w:r>
      <w:r>
        <w:rPr>
          <w:rFonts w:ascii="Arial" w:hAnsi="Arial" w:cs="Arial"/>
          <w:b w:val="0"/>
          <w:caps w:val="0"/>
          <w:sz w:val="20"/>
          <w:highlight w:val="yellow"/>
        </w:rPr>
        <w:t>s</w:t>
      </w:r>
      <w:r>
        <w:rPr>
          <w:rFonts w:ascii="Arial" w:hAnsi="Arial" w:cs="Arial"/>
          <w:b w:val="0"/>
          <w:caps w:val="0"/>
          <w:sz w:val="20"/>
        </w:rPr>
        <w:t>e o</w:t>
      </w:r>
      <w:r>
        <w:rPr>
          <w:rFonts w:ascii="Arial" w:hAnsi="Arial" w:cs="Arial"/>
          <w:b w:val="0"/>
          <w:caps w:val="0"/>
          <w:sz w:val="20"/>
          <w:highlight w:val="yellow"/>
        </w:rPr>
        <w:t>f</w:t>
      </w:r>
      <w:r>
        <w:rPr>
          <w:rFonts w:ascii="Arial" w:hAnsi="Arial" w:cs="Arial"/>
          <w:b w:val="0"/>
          <w:caps w:val="0"/>
          <w:sz w:val="20"/>
        </w:rPr>
        <w:t xml:space="preserve"> its growing contribution to food security and t</w:t>
      </w:r>
      <w:r>
        <w:rPr>
          <w:rFonts w:ascii="Arial" w:hAnsi="Arial" w:cs="Arial"/>
          <w:b w:val="0"/>
          <w:caps w:val="0"/>
          <w:sz w:val="20"/>
          <w:highlight w:val="yellow"/>
        </w:rPr>
        <w:t>he</w:t>
      </w:r>
      <w:r>
        <w:rPr>
          <w:rFonts w:ascii="Arial" w:hAnsi="Arial" w:cs="Arial"/>
          <w:b w:val="0"/>
          <w:caps w:val="0"/>
          <w:sz w:val="20"/>
        </w:rPr>
        <w:t xml:space="preserve"> supply o</w:t>
      </w:r>
      <w:r>
        <w:rPr>
          <w:rFonts w:ascii="Arial" w:hAnsi="Arial" w:cs="Arial"/>
          <w:b w:val="0"/>
          <w:caps w:val="0"/>
          <w:sz w:val="20"/>
          <w:highlight w:val="yellow"/>
        </w:rPr>
        <w:t>f</w:t>
      </w:r>
      <w:r>
        <w:rPr>
          <w:rFonts w:ascii="Arial" w:hAnsi="Arial" w:cs="Arial"/>
          <w:b w:val="0"/>
          <w:caps w:val="0"/>
          <w:sz w:val="20"/>
        </w:rPr>
        <w:t xml:space="preserve"> animal protein of high biological value. </w:t>
      </w:r>
      <w:r>
        <w:rPr>
          <w:rFonts w:ascii="Arial" w:hAnsi="Arial" w:cs="Arial"/>
          <w:b w:val="0"/>
          <w:caps w:val="0"/>
          <w:sz w:val="20"/>
          <w:highlight w:val="yellow"/>
        </w:rPr>
        <w:t>Globally, poultry production reached approximately 128 million tonnes of meat and 100 million tonnes of eggs for human consumption in 2024 (FAO, 2025).</w:t>
      </w:r>
      <w:r>
        <w:rPr>
          <w:rFonts w:ascii="Arial" w:hAnsi="Arial" w:cs="Arial"/>
          <w:b w:val="0"/>
          <w:caps w:val="0"/>
          <w:sz w:val="20"/>
        </w:rPr>
        <w:t xml:space="preserve"> Among the poultry species farmed, the Japanese quail (</w:t>
      </w:r>
      <w:r>
        <w:rPr>
          <w:rFonts w:ascii="Arial" w:hAnsi="Arial" w:cs="Arial"/>
          <w:b w:val="0"/>
          <w:i/>
          <w:iCs/>
          <w:caps w:val="0"/>
          <w:sz w:val="20"/>
        </w:rPr>
        <w:t>Coturnix</w:t>
      </w:r>
      <w:r>
        <w:rPr>
          <w:rFonts w:ascii="Arial" w:hAnsi="Arial" w:cs="Arial"/>
          <w:b w:val="0"/>
          <w:caps w:val="0"/>
          <w:sz w:val="20"/>
        </w:rPr>
        <w:t xml:space="preserve"> </w:t>
      </w:r>
      <w:r>
        <w:rPr>
          <w:rFonts w:ascii="Arial" w:hAnsi="Arial" w:cs="Arial"/>
          <w:b w:val="0"/>
          <w:i/>
          <w:iCs/>
          <w:caps w:val="0"/>
          <w:sz w:val="20"/>
        </w:rPr>
        <w:t>japonica</w:t>
      </w:r>
      <w:r>
        <w:rPr>
          <w:rFonts w:ascii="Arial" w:hAnsi="Arial" w:cs="Arial"/>
          <w:b w:val="0"/>
          <w:caps w:val="0"/>
          <w:sz w:val="20"/>
        </w:rPr>
        <w:t xml:space="preserve">) is of particular interest </w:t>
      </w:r>
      <w:r>
        <w:rPr>
          <w:rFonts w:ascii="Arial" w:hAnsi="Arial" w:cs="Arial"/>
          <w:b w:val="0"/>
          <w:caps w:val="0"/>
          <w:sz w:val="20"/>
          <w:highlight w:val="yellow"/>
        </w:rPr>
        <w:t>beca</w:t>
      </w:r>
      <w:r>
        <w:rPr>
          <w:rFonts w:ascii="Arial" w:hAnsi="Arial" w:cs="Arial"/>
          <w:b w:val="0"/>
          <w:caps w:val="0"/>
          <w:sz w:val="20"/>
        </w:rPr>
        <w:t>u</w:t>
      </w:r>
      <w:r>
        <w:rPr>
          <w:rFonts w:ascii="Arial" w:hAnsi="Arial" w:cs="Arial"/>
          <w:b w:val="0"/>
          <w:caps w:val="0"/>
          <w:sz w:val="20"/>
          <w:highlight w:val="yellow"/>
        </w:rPr>
        <w:t>s</w:t>
      </w:r>
      <w:r>
        <w:rPr>
          <w:rFonts w:ascii="Arial" w:hAnsi="Arial" w:cs="Arial"/>
          <w:b w:val="0"/>
          <w:caps w:val="0"/>
          <w:sz w:val="20"/>
        </w:rPr>
        <w:t>e o</w:t>
      </w:r>
      <w:r>
        <w:rPr>
          <w:rFonts w:ascii="Arial" w:hAnsi="Arial" w:cs="Arial"/>
          <w:b w:val="0"/>
          <w:caps w:val="0"/>
          <w:sz w:val="20"/>
          <w:highlight w:val="yellow"/>
        </w:rPr>
        <w:t>f</w:t>
      </w:r>
      <w:r>
        <w:rPr>
          <w:rFonts w:ascii="Arial" w:hAnsi="Arial" w:cs="Arial"/>
          <w:b w:val="0"/>
          <w:caps w:val="0"/>
          <w:sz w:val="20"/>
        </w:rPr>
        <w:t xml:space="preserve"> its nutritional and organoleptic qualities and the ease with which it can be reared. Its eggs are notably rich in protein, essential amino acids – particularly leucine – and vitamin E (</w:t>
      </w:r>
      <w:r>
        <w:rPr>
          <w:rFonts w:ascii="Arial" w:hAnsi="Arial" w:cs="Arial"/>
          <w:b w:val="0"/>
          <w:caps w:val="0"/>
          <w:sz w:val="20"/>
          <w:highlight w:val="yellow"/>
        </w:rPr>
        <w:t>Onyenweaku et al., 2022; Sonji &amp; Sonji, 2026</w:t>
      </w:r>
      <w:r>
        <w:rPr>
          <w:rFonts w:ascii="Arial" w:hAnsi="Arial" w:cs="Arial"/>
          <w:b w:val="0"/>
          <w:caps w:val="0"/>
          <w:sz w:val="20"/>
        </w:rPr>
        <w:t>). Furthermore, this species is characterised by its rapid growth (Carvalho et al., 2020) and relatively high resistance to several diseases affecting other poultry species (Fadhilah et al., 2020), making it an attractive alternative for the development of poultry farming.</w:t>
      </w:r>
    </w:p>
    <w:p w14:paraId="1C8D76CA" w14:textId="77777777" w:rsidR="009B5508" w:rsidRPr="00AC00EC" w:rsidRDefault="009B5508" w:rsidP="009B5508">
      <w:pPr>
        <w:pStyle w:val="AbstHead"/>
        <w:jc w:val="both"/>
        <w:rPr>
          <w:rFonts w:ascii="Arial" w:hAnsi="Arial" w:cs="Arial"/>
          <w:b w:val="0"/>
          <w:caps w:val="0"/>
          <w:sz w:val="20"/>
        </w:rPr>
      </w:pPr>
      <w:r>
        <w:rPr>
          <w:rFonts w:ascii="Arial" w:hAnsi="Arial" w:cs="Arial"/>
          <w:b w:val="0"/>
          <w:caps w:val="0"/>
          <w:sz w:val="20"/>
        </w:rPr>
        <w:t xml:space="preserve">However, the profitability of poultry production remains heavily dependent on feed, the quality and cost of which are key determinants of zootechnical performance. Indeed, feed accounts for around 70–80 per cent of production costs in the poultry sector (Katu et al., 2025). In Côte d’Ivoire, </w:t>
      </w:r>
      <w:r w:rsidRPr="00AC00EC">
        <w:rPr>
          <w:rFonts w:ascii="Arial" w:hAnsi="Arial" w:cs="Arial"/>
          <w:b w:val="0"/>
          <w:caps w:val="0"/>
          <w:sz w:val="20"/>
        </w:rPr>
        <w:t xml:space="preserve">feed formulation remains heavily reliant on imported raw materials, notably soya meal and wheat bran, whose fluctuating availability and prices drive up production costs. In response to this constraint, numerous studies have been undertaken to identify local feed resources capable of partially or fully replacing soya meal in poultry </w:t>
      </w:r>
      <w:r w:rsidRPr="00AC00EC">
        <w:rPr>
          <w:rFonts w:ascii="Arial" w:hAnsi="Arial" w:cs="Arial"/>
          <w:b w:val="0"/>
          <w:caps w:val="0"/>
          <w:sz w:val="20"/>
          <w:highlight w:val="yellow"/>
        </w:rPr>
        <w:t>di</w:t>
      </w:r>
      <w:r w:rsidRPr="00AC00EC">
        <w:rPr>
          <w:rFonts w:ascii="Arial" w:hAnsi="Arial" w:cs="Arial"/>
          <w:b w:val="0"/>
          <w:caps w:val="0"/>
          <w:sz w:val="20"/>
        </w:rPr>
        <w:t>e</w:t>
      </w:r>
      <w:r w:rsidRPr="00AC00EC">
        <w:rPr>
          <w:rFonts w:ascii="Arial" w:hAnsi="Arial" w:cs="Arial"/>
          <w:b w:val="0"/>
          <w:caps w:val="0"/>
          <w:sz w:val="20"/>
          <w:highlight w:val="yellow"/>
        </w:rPr>
        <w:t>ts</w:t>
      </w:r>
      <w:r w:rsidRPr="00AC00EC">
        <w:rPr>
          <w:rFonts w:ascii="Arial" w:hAnsi="Arial" w:cs="Arial"/>
          <w:b w:val="0"/>
          <w:caps w:val="0"/>
          <w:sz w:val="20"/>
        </w:rPr>
        <w:t>. In broiler chickens, several studies have thus assessed the potential of cashew nut cake as an alternative protein source (Diomand</w:t>
      </w:r>
      <w:r w:rsidRPr="00AC00EC">
        <w:rPr>
          <w:rFonts w:ascii="Arial" w:hAnsi="Arial" w:cs="Arial"/>
          <w:b w:val="0"/>
          <w:caps w:val="0"/>
          <w:sz w:val="20"/>
          <w:highlight w:val="yellow"/>
        </w:rPr>
        <w:t>e</w:t>
      </w:r>
      <w:r w:rsidRPr="00AC00EC">
        <w:rPr>
          <w:rFonts w:ascii="Arial" w:hAnsi="Arial" w:cs="Arial"/>
          <w:b w:val="0"/>
          <w:caps w:val="0"/>
          <w:sz w:val="20"/>
        </w:rPr>
        <w:t xml:space="preserve"> et al., 2023; Fofana et al., 2023; Zongo et al., 2026). Similarly, in quail</w:t>
      </w:r>
      <w:r w:rsidRPr="00AC00EC">
        <w:rPr>
          <w:rFonts w:ascii="Arial" w:hAnsi="Arial" w:cs="Arial"/>
          <w:b w:val="0"/>
          <w:caps w:val="0"/>
          <w:sz w:val="20"/>
          <w:highlight w:val="yellow"/>
        </w:rPr>
        <w:t>s</w:t>
      </w:r>
      <w:r w:rsidRPr="00AC00EC">
        <w:rPr>
          <w:rFonts w:ascii="Arial" w:hAnsi="Arial" w:cs="Arial"/>
          <w:b w:val="0"/>
          <w:caps w:val="0"/>
          <w:sz w:val="20"/>
        </w:rPr>
        <w:t>, various local resources have been tested as substitutes for soya meal to improve production performance whilst reducing feed costs (N’Guessan et al., 2020; Djinand</w:t>
      </w:r>
      <w:r w:rsidRPr="00AC00EC">
        <w:rPr>
          <w:rFonts w:ascii="Arial" w:hAnsi="Arial" w:cs="Arial"/>
          <w:b w:val="0"/>
          <w:caps w:val="0"/>
          <w:sz w:val="20"/>
          <w:highlight w:val="yellow"/>
        </w:rPr>
        <w:t>j</w:t>
      </w:r>
      <w:r w:rsidRPr="00AC00EC">
        <w:rPr>
          <w:rFonts w:ascii="Arial" w:hAnsi="Arial" w:cs="Arial"/>
          <w:b w:val="0"/>
          <w:caps w:val="0"/>
          <w:sz w:val="20"/>
        </w:rPr>
        <w:t>i et al., 2022; Dembélé et al., 2025; Fernandes et al., 2016).</w:t>
      </w:r>
      <w:r w:rsidRPr="00AC00EC">
        <w:rPr>
          <w:rFonts w:ascii="Arial" w:hAnsi="Arial"/>
          <w:b w:val="0"/>
          <w:caps w:val="0"/>
          <w:sz w:val="20"/>
          <w:highlight w:val="yellow"/>
        </w:rPr>
        <w:t xml:space="preserve"> Recent broiler studies also indicate that the feasibility of replacing conventional energy ingredients with agro-industrial residues is inclusion-level dependent, with higher substitution rates potentially constraining growth or feed efficiency (Qobolo &amp; Oluremi, 2026; Osei-Adjei et al., 2025).</w:t>
      </w:r>
    </w:p>
    <w:p w14:paraId="7A12E65E" w14:textId="77777777" w:rsidR="009B5508" w:rsidRPr="00AC00EC" w:rsidRDefault="009B5508" w:rsidP="009B5508">
      <w:pPr>
        <w:pStyle w:val="AbstHead"/>
        <w:jc w:val="both"/>
        <w:rPr>
          <w:rFonts w:ascii="Arial" w:hAnsi="Arial" w:cs="Arial"/>
          <w:b w:val="0"/>
          <w:caps w:val="0"/>
          <w:sz w:val="20"/>
        </w:rPr>
      </w:pPr>
      <w:r w:rsidRPr="00AC00EC">
        <w:rPr>
          <w:rFonts w:ascii="Arial" w:hAnsi="Arial" w:cs="Arial"/>
          <w:b w:val="0"/>
          <w:caps w:val="0"/>
          <w:sz w:val="20"/>
        </w:rPr>
        <w:t>At the same time, research is increasingly focusing on the utilisation of agro-industrial by-products in animal feed. With this in mind, several authors have investigated the inclusion of dried cashew apples as a source of dietary fibre in diets for broiler chickens (Venkatramana et al., 2020; Oyekola et al., 2024). At</w:t>
      </w:r>
      <w:r>
        <w:rPr>
          <w:rFonts w:ascii="Arial" w:hAnsi="Arial" w:cs="Arial"/>
          <w:b w:val="0"/>
          <w:caps w:val="0"/>
          <w:sz w:val="20"/>
        </w:rPr>
        <w:t xml:space="preserve"> low inclusion levels, dietary fibre has beneficial effects on the digestive physiology of poultry. In particular, it promotes the development of the gastrointestinal tract and improves digestion, fermentation and nutrient absorption (Jha &amp; Mishra, 2021), which can help to optimise feed conversion and growth performance. Among these co-products, cashew apple bagasse – the residue obtained after juice extraction – appears to be a </w:t>
      </w:r>
      <w:r w:rsidRPr="00AC00EC">
        <w:rPr>
          <w:rFonts w:ascii="Arial" w:hAnsi="Arial" w:cs="Arial"/>
          <w:b w:val="0"/>
          <w:caps w:val="0"/>
          <w:sz w:val="20"/>
        </w:rPr>
        <w:t>particularly promising resource. Indeed, it has a high dietary fibre content of up to 45 per cent of dry matter (Barroso et al., 2025; Osei et al., 2025). Despite this nutritional potential, its use in poultry feed, and more specifically in quail feed, remains poorly documented.</w:t>
      </w:r>
      <w:r w:rsidRPr="00AC00EC">
        <w:rPr>
          <w:rFonts w:ascii="Arial" w:hAnsi="Arial"/>
          <w:b w:val="0"/>
          <w:caps w:val="0"/>
          <w:sz w:val="20"/>
          <w:highlight w:val="yellow"/>
        </w:rPr>
        <w:t xml:space="preserve"> Evidence from controlled broiler experiments further suggests that responses to dietary fibre depend on both the fibre source and the inclusion level, with measurable effects on gastrointestinal development, nutrient utilisation and growth-related performance (Rybicka et al., 2024; Pawar et al., 2026).</w:t>
      </w:r>
    </w:p>
    <w:p w14:paraId="421C8CD3" w14:textId="77777777" w:rsidR="00FF1EBD" w:rsidRPr="00AC00EC" w:rsidRDefault="00000000">
      <w:pPr>
        <w:pStyle w:val="AbstHead"/>
        <w:jc w:val="both"/>
        <w:rPr>
          <w:b w:val="0"/>
        </w:rPr>
      </w:pPr>
      <w:r w:rsidRPr="00AC00EC">
        <w:rPr>
          <w:rFonts w:ascii="Arial" w:hAnsi="Arial"/>
          <w:b w:val="0"/>
          <w:caps w:val="0"/>
          <w:sz w:val="20"/>
          <w:highlight w:val="yellow"/>
        </w:rPr>
        <w:t>Nevertheless, the effects of graded replacement of wheat bran with cashew apple bagasse on feed conversion and weight responses in meat quails remain insufficiently characterised. This specific evidence gap provides the rationale for evaluating the inclusion levels examined in the present study.</w:t>
      </w:r>
    </w:p>
    <w:p w14:paraId="5C534B0D" w14:textId="77777777" w:rsidR="009B5508" w:rsidRPr="009B5508" w:rsidRDefault="009B5508" w:rsidP="009B5508">
      <w:pPr>
        <w:pStyle w:val="AbstHead"/>
        <w:jc w:val="both"/>
        <w:rPr>
          <w:rFonts w:ascii="Arial" w:hAnsi="Arial" w:cs="Arial"/>
          <w:b w:val="0"/>
          <w:caps w:val="0"/>
          <w:sz w:val="20"/>
        </w:rPr>
      </w:pPr>
      <w:r w:rsidRPr="00AC00EC">
        <w:rPr>
          <w:rFonts w:ascii="Arial" w:hAnsi="Arial" w:cs="Arial"/>
          <w:b w:val="0"/>
          <w:caps w:val="0"/>
          <w:sz w:val="20"/>
        </w:rPr>
        <w:t xml:space="preserve">In light of the above, the utilisation of cashew apple bagasse could constitute a viable strategy for reducing feed costs whilst maintaining, or even improving, the zootechnical </w:t>
      </w:r>
      <w:r w:rsidRPr="00AC00EC">
        <w:rPr>
          <w:rFonts w:ascii="Arial" w:hAnsi="Arial" w:cs="Arial"/>
          <w:b w:val="0"/>
          <w:caps w:val="0"/>
          <w:sz w:val="20"/>
        </w:rPr>
        <w:lastRenderedPageBreak/>
        <w:t xml:space="preserve">performance of meat quails. </w:t>
      </w:r>
      <w:r w:rsidRPr="00AC00EC">
        <w:rPr>
          <w:rFonts w:ascii="Arial" w:hAnsi="Arial" w:cs="Arial"/>
          <w:b w:val="0"/>
          <w:caps w:val="0"/>
          <w:sz w:val="20"/>
          <w:highlight w:val="yellow"/>
        </w:rPr>
        <w:t>A</w:t>
      </w:r>
      <w:r w:rsidRPr="00AC00EC">
        <w:rPr>
          <w:rFonts w:ascii="Arial" w:hAnsi="Arial" w:cs="Arial"/>
          <w:b w:val="0"/>
          <w:caps w:val="0"/>
          <w:sz w:val="20"/>
        </w:rPr>
        <w:t>gainst this backdrop</w:t>
      </w:r>
      <w:r w:rsidRPr="00AC00EC">
        <w:rPr>
          <w:rFonts w:ascii="Arial" w:hAnsi="Arial" w:cs="Arial"/>
          <w:b w:val="0"/>
          <w:caps w:val="0"/>
          <w:sz w:val="20"/>
          <w:highlight w:val="yellow"/>
        </w:rPr>
        <w:t>,</w:t>
      </w:r>
      <w:r w:rsidRPr="00AC00EC">
        <w:rPr>
          <w:rFonts w:ascii="Arial" w:hAnsi="Arial" w:cs="Arial"/>
          <w:b w:val="0"/>
          <w:caps w:val="0"/>
          <w:sz w:val="20"/>
        </w:rPr>
        <w:t xml:space="preserve"> the present study </w:t>
      </w:r>
      <w:r w:rsidRPr="00AC00EC">
        <w:rPr>
          <w:rFonts w:ascii="Arial" w:hAnsi="Arial" w:cs="Arial"/>
          <w:b w:val="0"/>
          <w:caps w:val="0"/>
          <w:sz w:val="20"/>
          <w:highlight w:val="yellow"/>
        </w:rPr>
        <w:t>wa</w:t>
      </w:r>
      <w:r w:rsidRPr="00AC00EC">
        <w:rPr>
          <w:rFonts w:ascii="Arial" w:hAnsi="Arial" w:cs="Arial"/>
          <w:b w:val="0"/>
          <w:caps w:val="0"/>
          <w:sz w:val="20"/>
        </w:rPr>
        <w:t>s conducted</w:t>
      </w:r>
      <w:r w:rsidRPr="00AC00EC">
        <w:rPr>
          <w:rFonts w:ascii="Arial" w:hAnsi="Arial" w:cs="Arial"/>
          <w:b w:val="0"/>
          <w:caps w:val="0"/>
          <w:sz w:val="20"/>
          <w:highlight w:val="yellow"/>
        </w:rPr>
        <w:t xml:space="preserve"> with</w:t>
      </w:r>
      <w:r w:rsidRPr="00AC00EC">
        <w:rPr>
          <w:rFonts w:ascii="Arial" w:hAnsi="Arial" w:cs="Arial"/>
          <w:b w:val="0"/>
          <w:caps w:val="0"/>
          <w:sz w:val="20"/>
        </w:rPr>
        <w:t xml:space="preserve"> the overall objective of utilis</w:t>
      </w:r>
      <w:r w:rsidRPr="00AC00EC">
        <w:rPr>
          <w:rFonts w:ascii="Arial" w:hAnsi="Arial" w:cs="Arial"/>
          <w:b w:val="0"/>
          <w:caps w:val="0"/>
          <w:sz w:val="20"/>
          <w:highlight w:val="yellow"/>
        </w:rPr>
        <w:t>ing</w:t>
      </w:r>
      <w:r w:rsidRPr="00AC00EC">
        <w:rPr>
          <w:rFonts w:ascii="Arial" w:hAnsi="Arial" w:cs="Arial"/>
          <w:b w:val="0"/>
          <w:caps w:val="0"/>
          <w:sz w:val="20"/>
        </w:rPr>
        <w:t xml:space="preserve"> cashew apple bagasse in the diet of the Japanese quail. More specifically, the aim </w:t>
      </w:r>
      <w:r w:rsidRPr="00AC00EC">
        <w:rPr>
          <w:rFonts w:ascii="Arial" w:hAnsi="Arial" w:cs="Arial"/>
          <w:b w:val="0"/>
          <w:caps w:val="0"/>
          <w:sz w:val="20"/>
          <w:highlight w:val="yellow"/>
        </w:rPr>
        <w:t>wa</w:t>
      </w:r>
      <w:r w:rsidRPr="00AC00EC">
        <w:rPr>
          <w:rFonts w:ascii="Arial" w:hAnsi="Arial" w:cs="Arial"/>
          <w:b w:val="0"/>
          <w:caps w:val="0"/>
          <w:sz w:val="20"/>
        </w:rPr>
        <w:t>s to evaluate the effects of gradually incorporating cashew apple bagasse (</w:t>
      </w:r>
      <w:r w:rsidRPr="00AC00EC">
        <w:rPr>
          <w:rFonts w:ascii="Arial" w:hAnsi="Arial" w:cs="Arial"/>
          <w:b w:val="0"/>
          <w:i/>
          <w:iCs/>
          <w:caps w:val="0"/>
          <w:sz w:val="20"/>
        </w:rPr>
        <w:t>Anacardium</w:t>
      </w:r>
      <w:r w:rsidRPr="00AC00EC">
        <w:rPr>
          <w:rFonts w:ascii="Arial" w:hAnsi="Arial" w:cs="Arial"/>
          <w:b w:val="0"/>
          <w:caps w:val="0"/>
          <w:sz w:val="20"/>
        </w:rPr>
        <w:t xml:space="preserve"> </w:t>
      </w:r>
      <w:r w:rsidRPr="00AC00EC">
        <w:rPr>
          <w:rFonts w:ascii="Arial" w:hAnsi="Arial" w:cs="Arial"/>
          <w:b w:val="0"/>
          <w:i/>
          <w:iCs/>
          <w:caps w:val="0"/>
          <w:sz w:val="20"/>
        </w:rPr>
        <w:t>occidentale</w:t>
      </w:r>
      <w:r w:rsidRPr="00AC00EC">
        <w:rPr>
          <w:rFonts w:ascii="Arial" w:hAnsi="Arial" w:cs="Arial"/>
          <w:b w:val="0"/>
          <w:caps w:val="0"/>
          <w:sz w:val="20"/>
        </w:rPr>
        <w:t xml:space="preserve"> L.) into the diet on feed conversion and weight parameters in meat quails (</w:t>
      </w:r>
      <w:r w:rsidRPr="00AC00EC">
        <w:rPr>
          <w:rFonts w:ascii="Arial" w:hAnsi="Arial" w:cs="Arial"/>
          <w:b w:val="0"/>
          <w:i/>
          <w:iCs/>
          <w:caps w:val="0"/>
          <w:sz w:val="20"/>
        </w:rPr>
        <w:t>Coturnix</w:t>
      </w:r>
      <w:r w:rsidRPr="00AC00EC">
        <w:rPr>
          <w:rFonts w:ascii="Arial" w:hAnsi="Arial" w:cs="Arial"/>
          <w:b w:val="0"/>
          <w:caps w:val="0"/>
          <w:sz w:val="20"/>
        </w:rPr>
        <w:t xml:space="preserve"> </w:t>
      </w:r>
      <w:r w:rsidRPr="00AC00EC">
        <w:rPr>
          <w:rFonts w:ascii="Arial" w:hAnsi="Arial" w:cs="Arial"/>
          <w:b w:val="0"/>
          <w:i/>
          <w:iCs/>
          <w:caps w:val="0"/>
          <w:sz w:val="20"/>
        </w:rPr>
        <w:t>japonica</w:t>
      </w:r>
      <w:r w:rsidRPr="00AC00EC">
        <w:rPr>
          <w:rFonts w:ascii="Arial" w:hAnsi="Arial" w:cs="Arial"/>
          <w:b w:val="0"/>
          <w:caps w:val="0"/>
          <w:sz w:val="20"/>
        </w:rPr>
        <w:t xml:space="preserve"> Temminck &amp; Schlegel,</w:t>
      </w:r>
      <w:r>
        <w:rPr>
          <w:rFonts w:ascii="Arial" w:hAnsi="Arial" w:cs="Arial"/>
          <w:b w:val="0"/>
          <w:caps w:val="0"/>
          <w:sz w:val="20"/>
        </w:rPr>
        <w:t xml:space="preserve"> 1849).</w:t>
      </w:r>
    </w:p>
    <w:p w14:paraId="027307BF" w14:textId="77777777" w:rsidR="007F7B32" w:rsidRDefault="00902823" w:rsidP="00856EF0">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11FCCB95" w14:textId="77777777" w:rsidR="00790ADA" w:rsidRPr="00FB3A86" w:rsidRDefault="00790ADA" w:rsidP="00441B6F">
      <w:pPr>
        <w:pStyle w:val="AbstHead"/>
        <w:spacing w:after="0"/>
        <w:jc w:val="both"/>
        <w:rPr>
          <w:rFonts w:ascii="Arial" w:hAnsi="Arial" w:cs="Arial"/>
        </w:rPr>
      </w:pPr>
    </w:p>
    <w:p w14:paraId="2A1AD884" w14:textId="77777777" w:rsidR="009B5508" w:rsidRDefault="00856EF0" w:rsidP="00856EF0">
      <w:pPr>
        <w:pStyle w:val="Body"/>
        <w:rPr>
          <w:rFonts w:ascii="Arial" w:hAnsi="Arial" w:cs="Arial"/>
          <w:b/>
          <w:bCs/>
        </w:rPr>
      </w:pPr>
      <w:r w:rsidRPr="00856EF0">
        <w:rPr>
          <w:rFonts w:ascii="Arial" w:hAnsi="Arial" w:cs="Arial"/>
          <w:b/>
          <w:bCs/>
        </w:rPr>
        <w:t xml:space="preserve">2.1. </w:t>
      </w:r>
      <w:r w:rsidR="009B5508" w:rsidRPr="009B5508">
        <w:rPr>
          <w:rFonts w:ascii="Arial" w:hAnsi="Arial" w:cs="Arial"/>
          <w:b/>
          <w:bCs/>
        </w:rPr>
        <w:t>Study site</w:t>
      </w:r>
    </w:p>
    <w:p w14:paraId="62F11213" w14:textId="77777777" w:rsidR="009B5508" w:rsidRDefault="009B5508" w:rsidP="00856EF0">
      <w:pPr>
        <w:pStyle w:val="Body"/>
        <w:rPr>
          <w:rFonts w:ascii="Arial" w:hAnsi="Arial" w:cs="Arial"/>
        </w:rPr>
      </w:pPr>
      <w:r>
        <w:rPr>
          <w:rFonts w:ascii="Arial" w:hAnsi="Arial" w:cs="Arial"/>
        </w:rPr>
        <w:t xml:space="preserve">The </w:t>
      </w:r>
      <w:r>
        <w:rPr>
          <w:rFonts w:ascii="Arial" w:hAnsi="Arial" w:cs="Arial"/>
          <w:highlight w:val="yellow"/>
        </w:rPr>
        <w:t xml:space="preserve">study </w:t>
      </w:r>
      <w:r>
        <w:rPr>
          <w:rFonts w:ascii="Arial" w:hAnsi="Arial" w:cs="Arial"/>
        </w:rPr>
        <w:t>w</w:t>
      </w:r>
      <w:r>
        <w:rPr>
          <w:rFonts w:ascii="Arial" w:hAnsi="Arial" w:cs="Arial"/>
          <w:highlight w:val="yellow"/>
        </w:rPr>
        <w:t>as c</w:t>
      </w:r>
      <w:r>
        <w:rPr>
          <w:rFonts w:ascii="Arial" w:hAnsi="Arial" w:cs="Arial"/>
        </w:rPr>
        <w:t>o</w:t>
      </w:r>
      <w:r>
        <w:rPr>
          <w:rFonts w:ascii="Arial" w:hAnsi="Arial" w:cs="Arial"/>
          <w:highlight w:val="yellow"/>
        </w:rPr>
        <w:t>nduc</w:t>
      </w:r>
      <w:r>
        <w:rPr>
          <w:rFonts w:ascii="Arial" w:hAnsi="Arial" w:cs="Arial"/>
        </w:rPr>
        <w:t>te</w:t>
      </w:r>
      <w:r>
        <w:rPr>
          <w:rFonts w:ascii="Arial" w:hAnsi="Arial" w:cs="Arial"/>
          <w:highlight w:val="yellow"/>
        </w:rPr>
        <w:t>d</w:t>
      </w:r>
      <w:r>
        <w:rPr>
          <w:rFonts w:ascii="Arial" w:hAnsi="Arial" w:cs="Arial"/>
        </w:rPr>
        <w:t xml:space="preserve"> at the quail farm located in the botanical garden of Peleforo GON COULIBALY University in Korhogo. The building </w:t>
      </w:r>
      <w:r>
        <w:rPr>
          <w:rFonts w:ascii="Arial" w:hAnsi="Arial" w:cs="Arial"/>
          <w:highlight w:val="yellow"/>
        </w:rPr>
        <w:t>wa</w:t>
      </w:r>
      <w:r>
        <w:rPr>
          <w:rFonts w:ascii="Arial" w:hAnsi="Arial" w:cs="Arial"/>
        </w:rPr>
        <w:t>s rectangular, constructed from concrete blocks, and measure</w:t>
      </w:r>
      <w:r>
        <w:rPr>
          <w:rFonts w:ascii="Arial" w:hAnsi="Arial" w:cs="Arial"/>
          <w:highlight w:val="yellow"/>
        </w:rPr>
        <w:t>d</w:t>
      </w:r>
      <w:r>
        <w:rPr>
          <w:rFonts w:ascii="Arial" w:hAnsi="Arial" w:cs="Arial"/>
        </w:rPr>
        <w:t xml:space="preserve"> 14 metres in length and 8 metres in width. The low walls, which </w:t>
      </w:r>
      <w:r>
        <w:rPr>
          <w:rFonts w:ascii="Arial" w:hAnsi="Arial" w:cs="Arial"/>
          <w:highlight w:val="yellow"/>
        </w:rPr>
        <w:t>we</w:t>
      </w:r>
      <w:r>
        <w:rPr>
          <w:rFonts w:ascii="Arial" w:hAnsi="Arial" w:cs="Arial"/>
        </w:rPr>
        <w:t xml:space="preserve">re 0.5 metres high, </w:t>
      </w:r>
      <w:r>
        <w:rPr>
          <w:rFonts w:ascii="Arial" w:hAnsi="Arial" w:cs="Arial"/>
          <w:highlight w:val="yellow"/>
        </w:rPr>
        <w:t>we</w:t>
      </w:r>
      <w:r>
        <w:rPr>
          <w:rFonts w:ascii="Arial" w:hAnsi="Arial" w:cs="Arial"/>
        </w:rPr>
        <w:t xml:space="preserve">re topped with wire mesh. </w:t>
      </w:r>
    </w:p>
    <w:p w14:paraId="554F3FBD" w14:textId="77777777" w:rsidR="00856EF0" w:rsidRPr="00856EF0" w:rsidRDefault="00856EF0" w:rsidP="00856EF0">
      <w:pPr>
        <w:pStyle w:val="Body"/>
        <w:rPr>
          <w:rFonts w:ascii="Arial" w:hAnsi="Arial" w:cs="Arial"/>
          <w:b/>
          <w:bCs/>
        </w:rPr>
      </w:pPr>
      <w:r w:rsidRPr="00856EF0">
        <w:rPr>
          <w:rFonts w:ascii="Arial" w:hAnsi="Arial" w:cs="Arial"/>
          <w:b/>
          <w:bCs/>
        </w:rPr>
        <w:t>2.2. Mat</w:t>
      </w:r>
      <w:r w:rsidR="009B5508">
        <w:rPr>
          <w:rFonts w:ascii="Arial" w:hAnsi="Arial" w:cs="Arial"/>
          <w:b/>
          <w:bCs/>
        </w:rPr>
        <w:t>e</w:t>
      </w:r>
      <w:r w:rsidRPr="00856EF0">
        <w:rPr>
          <w:rFonts w:ascii="Arial" w:hAnsi="Arial" w:cs="Arial"/>
          <w:b/>
          <w:bCs/>
        </w:rPr>
        <w:t>ri</w:t>
      </w:r>
      <w:r w:rsidR="009B5508">
        <w:rPr>
          <w:rFonts w:ascii="Arial" w:hAnsi="Arial" w:cs="Arial"/>
          <w:b/>
          <w:bCs/>
        </w:rPr>
        <w:t>a</w:t>
      </w:r>
      <w:r w:rsidRPr="00856EF0">
        <w:rPr>
          <w:rFonts w:ascii="Arial" w:hAnsi="Arial" w:cs="Arial"/>
          <w:b/>
          <w:bCs/>
        </w:rPr>
        <w:t>l</w:t>
      </w:r>
    </w:p>
    <w:p w14:paraId="5C4D1185" w14:textId="77777777" w:rsidR="009B5508" w:rsidRDefault="00856EF0" w:rsidP="00856EF0">
      <w:pPr>
        <w:pStyle w:val="Body"/>
        <w:rPr>
          <w:rFonts w:ascii="Arial" w:hAnsi="Arial" w:cs="Arial"/>
          <w:b/>
          <w:bCs/>
          <w:u w:val="single"/>
        </w:rPr>
      </w:pPr>
      <w:r w:rsidRPr="00856EF0">
        <w:rPr>
          <w:rFonts w:ascii="Arial" w:hAnsi="Arial" w:cs="Arial"/>
          <w:b/>
          <w:bCs/>
          <w:u w:val="single"/>
        </w:rPr>
        <w:t xml:space="preserve">2.2.1. </w:t>
      </w:r>
      <w:r w:rsidR="009B5508" w:rsidRPr="009B5508">
        <w:rPr>
          <w:rFonts w:ascii="Arial" w:hAnsi="Arial" w:cs="Arial"/>
          <w:b/>
          <w:bCs/>
          <w:u w:val="single"/>
        </w:rPr>
        <w:t>Experimental biological material</w:t>
      </w:r>
    </w:p>
    <w:p w14:paraId="13A60FAF" w14:textId="77777777" w:rsidR="009B5508" w:rsidRDefault="009B5508" w:rsidP="00856EF0">
      <w:pPr>
        <w:pStyle w:val="Body"/>
        <w:rPr>
          <w:rFonts w:ascii="Arial" w:hAnsi="Arial" w:cs="Arial"/>
        </w:rPr>
      </w:pPr>
      <w:r>
        <w:rPr>
          <w:rFonts w:ascii="Arial" w:hAnsi="Arial" w:cs="Arial"/>
        </w:rPr>
        <w:t xml:space="preserve">The animal biological material consisted of 15-day-old </w:t>
      </w:r>
      <w:r>
        <w:rPr>
          <w:rFonts w:ascii="Arial" w:hAnsi="Arial" w:cs="Arial"/>
          <w:i/>
          <w:iCs/>
        </w:rPr>
        <w:t>Cotu</w:t>
      </w:r>
      <w:r>
        <w:rPr>
          <w:rFonts w:ascii="Arial" w:hAnsi="Arial" w:cs="Arial"/>
          <w:i/>
          <w:iCs/>
          <w:highlight w:val="yellow"/>
        </w:rPr>
        <w:t>r</w:t>
      </w:r>
      <w:r>
        <w:rPr>
          <w:rFonts w:ascii="Arial" w:hAnsi="Arial" w:cs="Arial"/>
          <w:i/>
          <w:iCs/>
        </w:rPr>
        <w:t>nix</w:t>
      </w:r>
      <w:r>
        <w:rPr>
          <w:rFonts w:ascii="Arial" w:hAnsi="Arial" w:cs="Arial"/>
        </w:rPr>
        <w:t xml:space="preserve"> </w:t>
      </w:r>
      <w:r>
        <w:rPr>
          <w:rFonts w:ascii="Arial" w:hAnsi="Arial" w:cs="Arial"/>
          <w:i/>
          <w:iCs/>
        </w:rPr>
        <w:t>japonica</w:t>
      </w:r>
      <w:r>
        <w:rPr>
          <w:rFonts w:ascii="Arial" w:hAnsi="Arial" w:cs="Arial"/>
        </w:rPr>
        <w:t xml:space="preserve"> meat quails. They had an average initial weight of 29.74 ± 0.66 g. The biological material tested was cashew apple bagasse.</w:t>
      </w:r>
    </w:p>
    <w:p w14:paraId="64B4636B" w14:textId="77777777"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2.2.2. </w:t>
      </w:r>
      <w:r w:rsidR="009B5508" w:rsidRPr="009B5508">
        <w:rPr>
          <w:rFonts w:ascii="Arial" w:hAnsi="Arial" w:cs="Arial"/>
          <w:b/>
          <w:bCs/>
          <w:u w:val="single"/>
        </w:rPr>
        <w:t>F</w:t>
      </w:r>
      <w:r w:rsidR="003B4722">
        <w:rPr>
          <w:rFonts w:ascii="Arial" w:hAnsi="Arial" w:cs="Arial"/>
          <w:b/>
          <w:bCs/>
          <w:u w:val="single"/>
        </w:rPr>
        <w:t>ee</w:t>
      </w:r>
      <w:r w:rsidR="009B5508" w:rsidRPr="009B5508">
        <w:rPr>
          <w:rFonts w:ascii="Arial" w:hAnsi="Arial" w:cs="Arial"/>
          <w:b/>
          <w:bCs/>
          <w:u w:val="single"/>
        </w:rPr>
        <w:t>d ingredients</w:t>
      </w:r>
    </w:p>
    <w:p w14:paraId="7756FE92" w14:textId="77777777" w:rsidR="009B5508" w:rsidRDefault="009B5508" w:rsidP="00856EF0">
      <w:pPr>
        <w:pStyle w:val="Body"/>
        <w:rPr>
          <w:rFonts w:ascii="Arial" w:hAnsi="Arial" w:cs="Arial"/>
        </w:rPr>
      </w:pPr>
      <w:r w:rsidRPr="009B5508">
        <w:rPr>
          <w:rFonts w:ascii="Arial" w:hAnsi="Arial" w:cs="Arial"/>
        </w:rPr>
        <w:t xml:space="preserve">In addition to cashew apple bagasse, the various ingredients used in the formulation of the feed included crushed maize, soya meal, wheat bran, vitamin and mineral supplements, shell flour and salt. </w:t>
      </w:r>
    </w:p>
    <w:p w14:paraId="5F712D29" w14:textId="77777777"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2.2.3. </w:t>
      </w:r>
      <w:r w:rsidR="009B5508" w:rsidRPr="009B5508">
        <w:rPr>
          <w:rFonts w:ascii="Arial" w:hAnsi="Arial" w:cs="Arial"/>
          <w:b/>
          <w:bCs/>
          <w:u w:val="single"/>
        </w:rPr>
        <w:t xml:space="preserve">Livestock </w:t>
      </w:r>
      <w:r w:rsidR="009B5508">
        <w:rPr>
          <w:rFonts w:ascii="Arial" w:hAnsi="Arial" w:cs="Arial"/>
          <w:b/>
          <w:bCs/>
          <w:u w:val="single"/>
        </w:rPr>
        <w:t>material</w:t>
      </w:r>
    </w:p>
    <w:p w14:paraId="13DE5D22" w14:textId="77777777" w:rsidR="009B5508" w:rsidRDefault="009B5508" w:rsidP="00856EF0">
      <w:pPr>
        <w:pStyle w:val="Body"/>
        <w:rPr>
          <w:rFonts w:ascii="Arial" w:hAnsi="Arial" w:cs="Arial"/>
        </w:rPr>
      </w:pPr>
      <w:r>
        <w:rPr>
          <w:rFonts w:ascii="Arial" w:hAnsi="Arial" w:cs="Arial"/>
        </w:rPr>
        <w:t xml:space="preserve">The rearing equipment consisted of cages made of wire mesh. These comprised four tiers, each with a surface area of 1 m². </w:t>
      </w:r>
      <w:r>
        <w:rPr>
          <w:rFonts w:ascii="Arial" w:hAnsi="Arial" w:cs="Arial"/>
          <w:highlight w:val="yellow"/>
        </w:rPr>
        <w:t>F</w:t>
      </w:r>
      <w:r>
        <w:rPr>
          <w:rFonts w:ascii="Arial" w:hAnsi="Arial" w:cs="Arial"/>
        </w:rPr>
        <w:t>eeders</w:t>
      </w:r>
      <w:r>
        <w:rPr>
          <w:rFonts w:ascii="Arial" w:hAnsi="Arial" w:cs="Arial"/>
          <w:highlight w:val="yellow"/>
        </w:rPr>
        <w:t xml:space="preserve"> with a capacity of 3 kg</w:t>
      </w:r>
      <w:r>
        <w:rPr>
          <w:rFonts w:ascii="Arial" w:hAnsi="Arial" w:cs="Arial"/>
        </w:rPr>
        <w:t xml:space="preserve"> for young birds and 3</w:t>
      </w:r>
      <w:r>
        <w:rPr>
          <w:rFonts w:ascii="Arial" w:hAnsi="Arial" w:cs="Arial"/>
          <w:highlight w:val="yellow"/>
        </w:rPr>
        <w:t>-</w:t>
      </w:r>
      <w:r>
        <w:rPr>
          <w:rFonts w:ascii="Arial" w:hAnsi="Arial" w:cs="Arial"/>
        </w:rPr>
        <w:t>litre waterers were used for feeding and watering the birds</w:t>
      </w:r>
      <w:r>
        <w:rPr>
          <w:rFonts w:ascii="Arial" w:hAnsi="Arial" w:cs="Arial"/>
          <w:highlight w:val="yellow"/>
        </w:rPr>
        <w:t>,</w:t>
      </w:r>
      <w:r>
        <w:rPr>
          <w:rFonts w:ascii="Arial" w:hAnsi="Arial" w:cs="Arial"/>
        </w:rPr>
        <w:t xml:space="preserve"> respectively.</w:t>
      </w:r>
    </w:p>
    <w:p w14:paraId="54A78FA8" w14:textId="77777777"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2.2.4. </w:t>
      </w:r>
      <w:r w:rsidR="009B5508" w:rsidRPr="009B5508">
        <w:rPr>
          <w:rFonts w:ascii="Arial" w:hAnsi="Arial" w:cs="Arial"/>
          <w:b/>
          <w:bCs/>
          <w:u w:val="single"/>
        </w:rPr>
        <w:t xml:space="preserve">Technical </w:t>
      </w:r>
      <w:r w:rsidR="009B5508">
        <w:rPr>
          <w:rFonts w:ascii="Arial" w:hAnsi="Arial" w:cs="Arial"/>
          <w:b/>
          <w:bCs/>
          <w:u w:val="single"/>
        </w:rPr>
        <w:t>material</w:t>
      </w:r>
    </w:p>
    <w:p w14:paraId="3B3F039D" w14:textId="77777777" w:rsidR="009B5508" w:rsidRDefault="009B5508" w:rsidP="00856EF0">
      <w:pPr>
        <w:pStyle w:val="Body"/>
        <w:rPr>
          <w:rFonts w:ascii="Arial" w:hAnsi="Arial" w:cs="Arial"/>
        </w:rPr>
      </w:pPr>
      <w:r>
        <w:rPr>
          <w:rFonts w:ascii="Arial" w:hAnsi="Arial" w:cs="Arial"/>
          <w:highlight w:val="yellow"/>
        </w:rPr>
        <w:t>T</w:t>
      </w:r>
      <w:r>
        <w:rPr>
          <w:rFonts w:ascii="Arial" w:hAnsi="Arial" w:cs="Arial"/>
        </w:rPr>
        <w:t xml:space="preserve">wo electronic scales </w:t>
      </w:r>
      <w:r>
        <w:rPr>
          <w:rFonts w:ascii="Arial" w:hAnsi="Arial" w:cs="Arial"/>
          <w:highlight w:val="yellow"/>
        </w:rPr>
        <w:t>wer</w:t>
      </w:r>
      <w:r>
        <w:rPr>
          <w:rFonts w:ascii="Arial" w:hAnsi="Arial" w:cs="Arial"/>
        </w:rPr>
        <w:t xml:space="preserve">e </w:t>
      </w:r>
      <w:r>
        <w:rPr>
          <w:rFonts w:ascii="Arial" w:hAnsi="Arial" w:cs="Arial"/>
          <w:highlight w:val="yellow"/>
        </w:rPr>
        <w:t>used to we</w:t>
      </w:r>
      <w:r>
        <w:rPr>
          <w:rFonts w:ascii="Arial" w:hAnsi="Arial" w:cs="Arial"/>
        </w:rPr>
        <w:t>i</w:t>
      </w:r>
      <w:r>
        <w:rPr>
          <w:rFonts w:ascii="Arial" w:hAnsi="Arial" w:cs="Arial"/>
          <w:highlight w:val="yellow"/>
        </w:rPr>
        <w:t>gh feed and animal</w:t>
      </w:r>
      <w:r>
        <w:rPr>
          <w:rFonts w:ascii="Arial" w:hAnsi="Arial" w:cs="Arial"/>
        </w:rPr>
        <w:t>s</w:t>
      </w:r>
      <w:r>
        <w:rPr>
          <w:rFonts w:ascii="Arial" w:hAnsi="Arial" w:cs="Arial"/>
          <w:highlight w:val="yellow"/>
        </w:rPr>
        <w:t>:</w:t>
      </w:r>
      <w:r>
        <w:rPr>
          <w:rFonts w:ascii="Arial" w:hAnsi="Arial" w:cs="Arial"/>
        </w:rPr>
        <w:t xml:space="preserve"> a Jjoer model with a capacity of 3 kg and an accuracy of 1 g, and a QC.PASS.8 model with a capacity of 0.5 kg and an accuracy of 0.01 g.</w:t>
      </w:r>
    </w:p>
    <w:p w14:paraId="7B7A60DE" w14:textId="77777777" w:rsidR="00856EF0" w:rsidRPr="00856EF0" w:rsidRDefault="00856EF0" w:rsidP="00856EF0">
      <w:pPr>
        <w:pStyle w:val="Body"/>
        <w:rPr>
          <w:rFonts w:ascii="Arial" w:hAnsi="Arial" w:cs="Arial"/>
          <w:b/>
          <w:bCs/>
        </w:rPr>
      </w:pPr>
      <w:r w:rsidRPr="00856EF0">
        <w:rPr>
          <w:rFonts w:ascii="Arial" w:hAnsi="Arial" w:cs="Arial"/>
          <w:b/>
          <w:bCs/>
        </w:rPr>
        <w:t xml:space="preserve">2.3. </w:t>
      </w:r>
      <w:r w:rsidR="009B5508" w:rsidRPr="009B5508">
        <w:rPr>
          <w:rFonts w:ascii="Arial" w:hAnsi="Arial" w:cs="Arial"/>
          <w:b/>
          <w:bCs/>
        </w:rPr>
        <w:t>Methods</w:t>
      </w:r>
    </w:p>
    <w:p w14:paraId="20E325C1" w14:textId="77777777" w:rsidR="009B5508" w:rsidRDefault="00856EF0" w:rsidP="00856EF0">
      <w:pPr>
        <w:pStyle w:val="Body"/>
        <w:rPr>
          <w:rFonts w:ascii="Arial" w:hAnsi="Arial" w:cs="Arial"/>
          <w:b/>
          <w:bCs/>
          <w:u w:val="single"/>
        </w:rPr>
      </w:pPr>
      <w:r w:rsidRPr="00856EF0">
        <w:rPr>
          <w:rFonts w:ascii="Arial" w:hAnsi="Arial" w:cs="Arial"/>
          <w:b/>
          <w:bCs/>
          <w:u w:val="single"/>
        </w:rPr>
        <w:t xml:space="preserve">2.3.1. </w:t>
      </w:r>
      <w:r w:rsidR="009B5508" w:rsidRPr="009B5508">
        <w:rPr>
          <w:rFonts w:ascii="Arial" w:hAnsi="Arial" w:cs="Arial"/>
          <w:b/>
          <w:bCs/>
          <w:u w:val="single"/>
        </w:rPr>
        <w:t xml:space="preserve">Formulation and manufacture of </w:t>
      </w:r>
      <w:r w:rsidR="009B5508" w:rsidRPr="003B4722">
        <w:rPr>
          <w:rFonts w:ascii="Arial" w:hAnsi="Arial" w:cs="Arial"/>
          <w:b/>
          <w:bCs/>
          <w:u w:val="single"/>
        </w:rPr>
        <w:t>f</w:t>
      </w:r>
      <w:r w:rsidR="00180B73" w:rsidRPr="003B4722">
        <w:rPr>
          <w:rFonts w:ascii="Arial" w:hAnsi="Arial" w:cs="Arial"/>
          <w:b/>
          <w:bCs/>
          <w:u w:val="single"/>
        </w:rPr>
        <w:t>ee</w:t>
      </w:r>
      <w:r w:rsidR="009B5508" w:rsidRPr="003B4722">
        <w:rPr>
          <w:rFonts w:ascii="Arial" w:hAnsi="Arial" w:cs="Arial"/>
          <w:b/>
          <w:bCs/>
          <w:u w:val="single"/>
        </w:rPr>
        <w:t>d</w:t>
      </w:r>
      <w:r w:rsidR="009B5508">
        <w:rPr>
          <w:rFonts w:ascii="Arial" w:hAnsi="Arial" w:cs="Arial"/>
          <w:b/>
          <w:bCs/>
          <w:u w:val="single"/>
        </w:rPr>
        <w:t xml:space="preserve"> </w:t>
      </w:r>
    </w:p>
    <w:p w14:paraId="452C0F64" w14:textId="77777777" w:rsidR="00856EF0" w:rsidRPr="00856EF0" w:rsidRDefault="00856EF0" w:rsidP="00856EF0">
      <w:pPr>
        <w:pStyle w:val="Body"/>
        <w:rPr>
          <w:rFonts w:ascii="Arial" w:hAnsi="Arial" w:cs="Arial"/>
          <w:b/>
          <w:bCs/>
          <w:i/>
          <w:iCs/>
        </w:rPr>
      </w:pPr>
      <w:r w:rsidRPr="00856EF0">
        <w:rPr>
          <w:rFonts w:ascii="Arial" w:hAnsi="Arial" w:cs="Arial"/>
          <w:b/>
          <w:bCs/>
          <w:i/>
          <w:iCs/>
        </w:rPr>
        <w:t xml:space="preserve">2.3.1.1. </w:t>
      </w:r>
      <w:r w:rsidR="00916347" w:rsidRPr="00916347">
        <w:rPr>
          <w:rFonts w:ascii="Arial" w:hAnsi="Arial" w:cs="Arial"/>
          <w:b/>
          <w:bCs/>
          <w:i/>
          <w:iCs/>
        </w:rPr>
        <w:t>Production of cashew apple bagasse</w:t>
      </w:r>
      <w:r w:rsidRPr="00856EF0">
        <w:rPr>
          <w:rFonts w:ascii="Arial" w:hAnsi="Arial" w:cs="Arial"/>
          <w:b/>
          <w:bCs/>
          <w:i/>
          <w:iCs/>
        </w:rPr>
        <w:t>.</w:t>
      </w:r>
    </w:p>
    <w:p w14:paraId="46574499" w14:textId="77777777" w:rsidR="00916347" w:rsidRPr="00916347" w:rsidRDefault="00916347" w:rsidP="00916347">
      <w:pPr>
        <w:pStyle w:val="Body"/>
        <w:rPr>
          <w:rFonts w:ascii="Arial" w:hAnsi="Arial" w:cs="Arial"/>
        </w:rPr>
      </w:pPr>
      <w:r>
        <w:rPr>
          <w:rFonts w:ascii="Arial" w:hAnsi="Arial" w:cs="Arial"/>
        </w:rPr>
        <w:t>The harvested cashew apples were first washed twice with clean water</w:t>
      </w:r>
      <w:r>
        <w:rPr>
          <w:rFonts w:ascii="Arial" w:hAnsi="Arial" w:cs="Arial"/>
          <w:highlight w:val="yellow"/>
        </w:rPr>
        <w:t xml:space="preserve"> and</w:t>
      </w:r>
      <w:r>
        <w:rPr>
          <w:rFonts w:ascii="Arial" w:hAnsi="Arial" w:cs="Arial"/>
        </w:rPr>
        <w:t xml:space="preserve"> then immersed in a bleach solution at a concentration of 10 ppm for 5 minutes. They were then rinsed again with tap water. Once cleaned and disinfected, the apples were pressed using a hydraulic press at a pressure of 300 bar. The resulting bagasse was sun-dried on tarpaulins for two weeks</w:t>
      </w:r>
      <w:r>
        <w:rPr>
          <w:rFonts w:ascii="Arial" w:hAnsi="Arial" w:cs="Arial"/>
          <w:highlight w:val="yellow"/>
        </w:rPr>
        <w:t xml:space="preserve"> and</w:t>
      </w:r>
      <w:r>
        <w:rPr>
          <w:rFonts w:ascii="Arial" w:hAnsi="Arial" w:cs="Arial"/>
        </w:rPr>
        <w:t xml:space="preserve"> then ground into flour using a hammer mill (Coffi, 2025).</w:t>
      </w:r>
    </w:p>
    <w:p w14:paraId="1CEF702F" w14:textId="77777777" w:rsidR="00916347" w:rsidRDefault="00856EF0" w:rsidP="00916347">
      <w:pPr>
        <w:pStyle w:val="Body"/>
        <w:rPr>
          <w:rFonts w:ascii="Arial" w:hAnsi="Arial" w:cs="Arial"/>
          <w:b/>
          <w:bCs/>
          <w:i/>
          <w:iCs/>
        </w:rPr>
      </w:pPr>
      <w:r w:rsidRPr="00856EF0">
        <w:rPr>
          <w:rFonts w:ascii="Arial" w:hAnsi="Arial" w:cs="Arial"/>
          <w:b/>
          <w:bCs/>
          <w:i/>
          <w:iCs/>
        </w:rPr>
        <w:lastRenderedPageBreak/>
        <w:t xml:space="preserve">2.3.1.2. </w:t>
      </w:r>
      <w:r w:rsidR="00916347" w:rsidRPr="00916347">
        <w:rPr>
          <w:rFonts w:ascii="Arial" w:hAnsi="Arial" w:cs="Arial"/>
          <w:b/>
          <w:bCs/>
          <w:i/>
          <w:iCs/>
        </w:rPr>
        <w:t>Formulation of rations</w:t>
      </w:r>
    </w:p>
    <w:p w14:paraId="28AF834F" w14:textId="77777777" w:rsidR="00916347" w:rsidRPr="00916347" w:rsidRDefault="00916347" w:rsidP="00916347">
      <w:pPr>
        <w:pStyle w:val="Body"/>
        <w:rPr>
          <w:rFonts w:ascii="Arial" w:hAnsi="Arial" w:cs="Arial"/>
        </w:rPr>
      </w:pPr>
      <w:r>
        <w:rPr>
          <w:rFonts w:ascii="Arial" w:hAnsi="Arial" w:cs="Arial"/>
        </w:rPr>
        <w:t xml:space="preserve">For feed formulation, three types of diet were used. These were the control diet (At), with wheat bran as the fibre source; </w:t>
      </w:r>
      <w:r>
        <w:rPr>
          <w:rFonts w:ascii="Arial" w:hAnsi="Arial" w:cs="Arial"/>
          <w:highlight w:val="yellow"/>
        </w:rPr>
        <w:t xml:space="preserve">the 25% </w:t>
      </w:r>
      <w:r>
        <w:rPr>
          <w:rFonts w:ascii="Arial" w:hAnsi="Arial" w:cs="Arial"/>
        </w:rPr>
        <w:t xml:space="preserve">diet (A25), containing 25% bagasse and 75% wheat bran; </w:t>
      </w:r>
      <w:r>
        <w:rPr>
          <w:rFonts w:ascii="Arial" w:hAnsi="Arial" w:cs="Arial"/>
          <w:highlight w:val="yellow"/>
        </w:rPr>
        <w:t>and t</w:t>
      </w:r>
      <w:r>
        <w:rPr>
          <w:rFonts w:ascii="Arial" w:hAnsi="Arial" w:cs="Arial"/>
        </w:rPr>
        <w:t>he third diet (A50)</w:t>
      </w:r>
      <w:r>
        <w:rPr>
          <w:rFonts w:ascii="Arial" w:hAnsi="Arial" w:cs="Arial"/>
          <w:highlight w:val="yellow"/>
        </w:rPr>
        <w:t>, which</w:t>
      </w:r>
      <w:r>
        <w:rPr>
          <w:rFonts w:ascii="Arial" w:hAnsi="Arial" w:cs="Arial"/>
        </w:rPr>
        <w:t xml:space="preserve"> consisted of 50 per cent cashew apple bagasse and 50 per cent wheat bran. To prevent poisoning from mould and other pathogenic organisms associated with feed spoilage, the feed was produced every five days. The centesimal composition of the feeds is shown in Table 1.</w:t>
      </w:r>
    </w:p>
    <w:p w14:paraId="704D2512" w14:textId="77777777" w:rsidR="00856EF0" w:rsidRDefault="00916347" w:rsidP="00856EF0">
      <w:pPr>
        <w:pStyle w:val="Body"/>
        <w:spacing w:after="0"/>
        <w:rPr>
          <w:rFonts w:ascii="Arial" w:hAnsi="Arial" w:cs="Arial"/>
        </w:rPr>
      </w:pPr>
      <w:r w:rsidRPr="00916347">
        <w:rPr>
          <w:rFonts w:ascii="Arial" w:hAnsi="Arial" w:cs="Arial"/>
        </w:rPr>
        <w:t>Table 1. Percentage composition of the various experimental diets</w:t>
      </w:r>
    </w:p>
    <w:tbl>
      <w:tblPr>
        <w:tblW w:w="6454" w:type="dxa"/>
        <w:tblInd w:w="70" w:type="dxa"/>
        <w:tblCellMar>
          <w:left w:w="70" w:type="dxa"/>
          <w:right w:w="70" w:type="dxa"/>
        </w:tblCellMar>
        <w:tblLook w:val="04A0" w:firstRow="1" w:lastRow="0" w:firstColumn="1" w:lastColumn="0" w:noHBand="0" w:noVBand="1"/>
      </w:tblPr>
      <w:tblGrid>
        <w:gridCol w:w="2854"/>
        <w:gridCol w:w="1200"/>
        <w:gridCol w:w="1200"/>
        <w:gridCol w:w="1200"/>
      </w:tblGrid>
      <w:tr w:rsidR="00916347" w:rsidRPr="00916347" w14:paraId="2E1AAEF3" w14:textId="77777777" w:rsidTr="00916347">
        <w:trPr>
          <w:trHeight w:val="300"/>
        </w:trPr>
        <w:tc>
          <w:tcPr>
            <w:tcW w:w="2854" w:type="dxa"/>
            <w:tcBorders>
              <w:top w:val="single" w:sz="4" w:space="0" w:color="auto"/>
              <w:left w:val="nil"/>
              <w:bottom w:val="single" w:sz="4" w:space="0" w:color="auto"/>
              <w:right w:val="nil"/>
            </w:tcBorders>
            <w:noWrap/>
            <w:vAlign w:val="center"/>
            <w:hideMark/>
          </w:tcPr>
          <w:p w14:paraId="5A94064B" w14:textId="77777777" w:rsidR="00916347" w:rsidRPr="00916347" w:rsidRDefault="00916347" w:rsidP="00916347">
            <w:pPr>
              <w:rPr>
                <w:rFonts w:ascii="Arial" w:hAnsi="Arial" w:cs="Arial"/>
                <w:b/>
                <w:bCs/>
                <w:color w:val="000000"/>
                <w:lang w:val="fr-FR" w:eastAsia="fr-FR"/>
              </w:rPr>
            </w:pPr>
            <w:r>
              <w:rPr>
                <w:rFonts w:ascii="Arial" w:hAnsi="Arial" w:cs="Arial"/>
                <w:b/>
                <w:bCs/>
                <w:color w:val="000000"/>
                <w:lang w:eastAsia="fr-FR"/>
              </w:rPr>
              <w:t>Ingredients</w:t>
            </w:r>
            <w:r w:rsidRPr="00916347">
              <w:rPr>
                <w:rFonts w:ascii="Arial" w:hAnsi="Arial" w:cs="Arial"/>
                <w:b/>
                <w:bCs/>
                <w:color w:val="000000"/>
                <w:lang w:eastAsia="fr-FR"/>
              </w:rPr>
              <w:t xml:space="preserve"> (g)</w:t>
            </w:r>
          </w:p>
        </w:tc>
        <w:tc>
          <w:tcPr>
            <w:tcW w:w="1200" w:type="dxa"/>
            <w:tcBorders>
              <w:top w:val="single" w:sz="4" w:space="0" w:color="auto"/>
              <w:left w:val="nil"/>
              <w:bottom w:val="single" w:sz="4" w:space="0" w:color="auto"/>
              <w:right w:val="nil"/>
            </w:tcBorders>
            <w:noWrap/>
            <w:vAlign w:val="center"/>
            <w:hideMark/>
          </w:tcPr>
          <w:p w14:paraId="7BC254AB"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At</w:t>
            </w:r>
          </w:p>
        </w:tc>
        <w:tc>
          <w:tcPr>
            <w:tcW w:w="1200" w:type="dxa"/>
            <w:tcBorders>
              <w:top w:val="single" w:sz="4" w:space="0" w:color="auto"/>
              <w:left w:val="nil"/>
              <w:bottom w:val="single" w:sz="4" w:space="0" w:color="auto"/>
              <w:right w:val="nil"/>
            </w:tcBorders>
            <w:noWrap/>
            <w:vAlign w:val="center"/>
            <w:hideMark/>
          </w:tcPr>
          <w:p w14:paraId="693713C3"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A25</w:t>
            </w:r>
          </w:p>
        </w:tc>
        <w:tc>
          <w:tcPr>
            <w:tcW w:w="1200" w:type="dxa"/>
            <w:tcBorders>
              <w:top w:val="single" w:sz="4" w:space="0" w:color="auto"/>
              <w:left w:val="nil"/>
              <w:bottom w:val="single" w:sz="4" w:space="0" w:color="auto"/>
              <w:right w:val="nil"/>
            </w:tcBorders>
            <w:noWrap/>
            <w:vAlign w:val="center"/>
            <w:hideMark/>
          </w:tcPr>
          <w:p w14:paraId="00FE128F"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A50</w:t>
            </w:r>
          </w:p>
        </w:tc>
      </w:tr>
      <w:tr w:rsidR="00916347" w:rsidRPr="00916347" w14:paraId="20F19F71" w14:textId="77777777" w:rsidTr="00916347">
        <w:trPr>
          <w:trHeight w:val="300"/>
        </w:trPr>
        <w:tc>
          <w:tcPr>
            <w:tcW w:w="2854" w:type="dxa"/>
            <w:tcBorders>
              <w:top w:val="nil"/>
              <w:left w:val="nil"/>
              <w:bottom w:val="nil"/>
              <w:right w:val="nil"/>
            </w:tcBorders>
            <w:noWrap/>
            <w:vAlign w:val="center"/>
            <w:hideMark/>
          </w:tcPr>
          <w:p w14:paraId="50B66031" w14:textId="77777777" w:rsidR="00916347" w:rsidRPr="00916347" w:rsidRDefault="00916347" w:rsidP="00916347">
            <w:pPr>
              <w:rPr>
                <w:rFonts w:ascii="Arial" w:hAnsi="Arial" w:cs="Arial"/>
                <w:color w:val="000000"/>
                <w:lang w:val="fr-FR" w:eastAsia="fr-FR"/>
              </w:rPr>
            </w:pPr>
            <w:r>
              <w:rPr>
                <w:rFonts w:ascii="Arial" w:hAnsi="Arial" w:cs="Arial"/>
                <w:color w:val="000000"/>
                <w:lang w:eastAsia="fr-FR"/>
              </w:rPr>
              <w:t>Corn</w:t>
            </w:r>
          </w:p>
        </w:tc>
        <w:tc>
          <w:tcPr>
            <w:tcW w:w="1200" w:type="dxa"/>
            <w:tcBorders>
              <w:top w:val="nil"/>
              <w:left w:val="nil"/>
              <w:bottom w:val="nil"/>
              <w:right w:val="nil"/>
            </w:tcBorders>
            <w:noWrap/>
            <w:vAlign w:val="center"/>
            <w:hideMark/>
          </w:tcPr>
          <w:p w14:paraId="7F951AD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c>
          <w:tcPr>
            <w:tcW w:w="1200" w:type="dxa"/>
            <w:tcBorders>
              <w:top w:val="nil"/>
              <w:left w:val="nil"/>
              <w:bottom w:val="nil"/>
              <w:right w:val="nil"/>
            </w:tcBorders>
            <w:noWrap/>
            <w:vAlign w:val="center"/>
            <w:hideMark/>
          </w:tcPr>
          <w:p w14:paraId="1632B25F"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c>
          <w:tcPr>
            <w:tcW w:w="1200" w:type="dxa"/>
            <w:tcBorders>
              <w:top w:val="nil"/>
              <w:left w:val="nil"/>
              <w:bottom w:val="nil"/>
              <w:right w:val="nil"/>
            </w:tcBorders>
            <w:noWrap/>
            <w:vAlign w:val="center"/>
            <w:hideMark/>
          </w:tcPr>
          <w:p w14:paraId="31F1B676"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r>
      <w:tr w:rsidR="00916347" w:rsidRPr="00916347" w14:paraId="28C6DCA6" w14:textId="77777777" w:rsidTr="00916347">
        <w:trPr>
          <w:trHeight w:val="300"/>
        </w:trPr>
        <w:tc>
          <w:tcPr>
            <w:tcW w:w="2854" w:type="dxa"/>
            <w:tcBorders>
              <w:top w:val="nil"/>
              <w:left w:val="nil"/>
              <w:bottom w:val="nil"/>
              <w:right w:val="nil"/>
            </w:tcBorders>
            <w:noWrap/>
            <w:vAlign w:val="center"/>
            <w:hideMark/>
          </w:tcPr>
          <w:p w14:paraId="707E6BF8"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Soya meal</w:t>
            </w:r>
          </w:p>
        </w:tc>
        <w:tc>
          <w:tcPr>
            <w:tcW w:w="1200" w:type="dxa"/>
            <w:tcBorders>
              <w:top w:val="nil"/>
              <w:left w:val="nil"/>
              <w:bottom w:val="nil"/>
              <w:right w:val="nil"/>
            </w:tcBorders>
            <w:noWrap/>
            <w:vAlign w:val="center"/>
            <w:hideMark/>
          </w:tcPr>
          <w:p w14:paraId="3D00F298"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c>
          <w:tcPr>
            <w:tcW w:w="1200" w:type="dxa"/>
            <w:tcBorders>
              <w:top w:val="nil"/>
              <w:left w:val="nil"/>
              <w:bottom w:val="nil"/>
              <w:right w:val="nil"/>
            </w:tcBorders>
            <w:noWrap/>
            <w:vAlign w:val="center"/>
            <w:hideMark/>
          </w:tcPr>
          <w:p w14:paraId="6867817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c>
          <w:tcPr>
            <w:tcW w:w="1200" w:type="dxa"/>
            <w:tcBorders>
              <w:top w:val="nil"/>
              <w:left w:val="nil"/>
              <w:bottom w:val="nil"/>
              <w:right w:val="nil"/>
            </w:tcBorders>
            <w:noWrap/>
            <w:vAlign w:val="center"/>
            <w:hideMark/>
          </w:tcPr>
          <w:p w14:paraId="65DEA0A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r>
      <w:tr w:rsidR="00916347" w:rsidRPr="00916347" w14:paraId="33482A5F" w14:textId="77777777" w:rsidTr="00916347">
        <w:trPr>
          <w:trHeight w:val="300"/>
        </w:trPr>
        <w:tc>
          <w:tcPr>
            <w:tcW w:w="2854" w:type="dxa"/>
            <w:tcBorders>
              <w:top w:val="nil"/>
              <w:left w:val="nil"/>
              <w:bottom w:val="nil"/>
              <w:right w:val="nil"/>
            </w:tcBorders>
            <w:noWrap/>
            <w:vAlign w:val="center"/>
            <w:hideMark/>
          </w:tcPr>
          <w:p w14:paraId="700B90F0"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 xml:space="preserve">Cashew apple </w:t>
            </w:r>
            <w:r>
              <w:rPr>
                <w:rFonts w:ascii="Arial" w:hAnsi="Arial" w:cs="Arial"/>
                <w:color w:val="000000"/>
                <w:lang w:eastAsia="fr-FR"/>
              </w:rPr>
              <w:t>bagasse</w:t>
            </w:r>
          </w:p>
        </w:tc>
        <w:tc>
          <w:tcPr>
            <w:tcW w:w="1200" w:type="dxa"/>
            <w:tcBorders>
              <w:top w:val="nil"/>
              <w:left w:val="nil"/>
              <w:bottom w:val="nil"/>
              <w:right w:val="nil"/>
            </w:tcBorders>
            <w:noWrap/>
            <w:vAlign w:val="center"/>
            <w:hideMark/>
          </w:tcPr>
          <w:p w14:paraId="06C42FB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0</w:t>
            </w:r>
          </w:p>
        </w:tc>
        <w:tc>
          <w:tcPr>
            <w:tcW w:w="1200" w:type="dxa"/>
            <w:tcBorders>
              <w:top w:val="nil"/>
              <w:left w:val="nil"/>
              <w:bottom w:val="nil"/>
              <w:right w:val="nil"/>
            </w:tcBorders>
            <w:noWrap/>
            <w:vAlign w:val="center"/>
            <w:hideMark/>
          </w:tcPr>
          <w:p w14:paraId="2F6741F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1.25</w:t>
            </w:r>
          </w:p>
        </w:tc>
        <w:tc>
          <w:tcPr>
            <w:tcW w:w="1200" w:type="dxa"/>
            <w:tcBorders>
              <w:top w:val="nil"/>
              <w:left w:val="nil"/>
              <w:bottom w:val="nil"/>
              <w:right w:val="nil"/>
            </w:tcBorders>
            <w:noWrap/>
            <w:vAlign w:val="center"/>
            <w:hideMark/>
          </w:tcPr>
          <w:p w14:paraId="275998D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2.5</w:t>
            </w:r>
          </w:p>
        </w:tc>
      </w:tr>
      <w:tr w:rsidR="00916347" w:rsidRPr="00916347" w14:paraId="6026792A" w14:textId="77777777" w:rsidTr="00916347">
        <w:trPr>
          <w:trHeight w:val="300"/>
        </w:trPr>
        <w:tc>
          <w:tcPr>
            <w:tcW w:w="2854" w:type="dxa"/>
            <w:tcBorders>
              <w:top w:val="nil"/>
              <w:left w:val="nil"/>
              <w:bottom w:val="nil"/>
              <w:right w:val="nil"/>
            </w:tcBorders>
            <w:noWrap/>
            <w:vAlign w:val="center"/>
            <w:hideMark/>
          </w:tcPr>
          <w:p w14:paraId="728E4AF0"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Wheat bran</w:t>
            </w:r>
          </w:p>
        </w:tc>
        <w:tc>
          <w:tcPr>
            <w:tcW w:w="1200" w:type="dxa"/>
            <w:tcBorders>
              <w:top w:val="nil"/>
              <w:left w:val="nil"/>
              <w:bottom w:val="nil"/>
              <w:right w:val="nil"/>
            </w:tcBorders>
            <w:noWrap/>
            <w:vAlign w:val="center"/>
            <w:hideMark/>
          </w:tcPr>
          <w:p w14:paraId="57DDBD8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5</w:t>
            </w:r>
          </w:p>
        </w:tc>
        <w:tc>
          <w:tcPr>
            <w:tcW w:w="1200" w:type="dxa"/>
            <w:tcBorders>
              <w:top w:val="nil"/>
              <w:left w:val="nil"/>
              <w:bottom w:val="nil"/>
              <w:right w:val="nil"/>
            </w:tcBorders>
            <w:noWrap/>
            <w:vAlign w:val="center"/>
            <w:hideMark/>
          </w:tcPr>
          <w:p w14:paraId="70BC532E"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3.75</w:t>
            </w:r>
          </w:p>
        </w:tc>
        <w:tc>
          <w:tcPr>
            <w:tcW w:w="1200" w:type="dxa"/>
            <w:tcBorders>
              <w:top w:val="nil"/>
              <w:left w:val="nil"/>
              <w:bottom w:val="nil"/>
              <w:right w:val="nil"/>
            </w:tcBorders>
            <w:noWrap/>
            <w:vAlign w:val="center"/>
            <w:hideMark/>
          </w:tcPr>
          <w:p w14:paraId="03D010F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2.5</w:t>
            </w:r>
          </w:p>
        </w:tc>
      </w:tr>
      <w:tr w:rsidR="00916347" w:rsidRPr="00916347" w14:paraId="049F2243" w14:textId="77777777" w:rsidTr="007D3CE5">
        <w:trPr>
          <w:trHeight w:val="300"/>
        </w:trPr>
        <w:tc>
          <w:tcPr>
            <w:tcW w:w="2854" w:type="dxa"/>
            <w:tcBorders>
              <w:top w:val="nil"/>
              <w:left w:val="nil"/>
              <w:bottom w:val="nil"/>
              <w:right w:val="nil"/>
            </w:tcBorders>
            <w:noWrap/>
            <w:hideMark/>
          </w:tcPr>
          <w:p w14:paraId="3F032004" w14:textId="77777777" w:rsidR="00916347" w:rsidRPr="00916347" w:rsidRDefault="00916347" w:rsidP="00916347">
            <w:pPr>
              <w:rPr>
                <w:rFonts w:ascii="Arial" w:hAnsi="Arial" w:cs="Arial"/>
                <w:color w:val="000000"/>
                <w:lang w:val="fr-FR" w:eastAsia="fr-FR"/>
              </w:rPr>
            </w:pPr>
            <w:r w:rsidRPr="005D19F3">
              <w:t>Shell flour</w:t>
            </w:r>
          </w:p>
        </w:tc>
        <w:tc>
          <w:tcPr>
            <w:tcW w:w="1200" w:type="dxa"/>
            <w:tcBorders>
              <w:top w:val="nil"/>
              <w:left w:val="nil"/>
              <w:bottom w:val="nil"/>
              <w:right w:val="nil"/>
            </w:tcBorders>
            <w:noWrap/>
            <w:vAlign w:val="center"/>
            <w:hideMark/>
          </w:tcPr>
          <w:p w14:paraId="75F0188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16EA2CDE"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30C8061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r>
      <w:tr w:rsidR="00916347" w:rsidRPr="00916347" w14:paraId="1DC80471" w14:textId="77777777" w:rsidTr="007D3CE5">
        <w:trPr>
          <w:trHeight w:val="300"/>
        </w:trPr>
        <w:tc>
          <w:tcPr>
            <w:tcW w:w="2854" w:type="dxa"/>
            <w:tcBorders>
              <w:top w:val="nil"/>
              <w:left w:val="nil"/>
              <w:bottom w:val="nil"/>
              <w:right w:val="nil"/>
            </w:tcBorders>
            <w:noWrap/>
            <w:hideMark/>
          </w:tcPr>
          <w:p w14:paraId="67F21FC2" w14:textId="77777777" w:rsidR="00916347" w:rsidRPr="00916347" w:rsidRDefault="00916347" w:rsidP="00916347">
            <w:pPr>
              <w:rPr>
                <w:rFonts w:ascii="Arial" w:hAnsi="Arial" w:cs="Arial"/>
                <w:color w:val="000000"/>
                <w:lang w:val="fr-FR" w:eastAsia="fr-FR"/>
              </w:rPr>
            </w:pPr>
            <w:r w:rsidRPr="005D19F3">
              <w:t>Salt</w:t>
            </w:r>
          </w:p>
        </w:tc>
        <w:tc>
          <w:tcPr>
            <w:tcW w:w="1200" w:type="dxa"/>
            <w:tcBorders>
              <w:top w:val="nil"/>
              <w:left w:val="nil"/>
              <w:bottom w:val="nil"/>
              <w:right w:val="nil"/>
            </w:tcBorders>
            <w:noWrap/>
            <w:vAlign w:val="center"/>
            <w:hideMark/>
          </w:tcPr>
          <w:p w14:paraId="4EB930E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31956562"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4B5F302D"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r>
      <w:tr w:rsidR="00916347" w:rsidRPr="00916347" w14:paraId="7235B81E" w14:textId="77777777" w:rsidTr="00916347">
        <w:trPr>
          <w:trHeight w:val="300"/>
        </w:trPr>
        <w:tc>
          <w:tcPr>
            <w:tcW w:w="2854" w:type="dxa"/>
            <w:tcBorders>
              <w:top w:val="nil"/>
              <w:left w:val="nil"/>
              <w:bottom w:val="nil"/>
              <w:right w:val="nil"/>
            </w:tcBorders>
            <w:noWrap/>
            <w:vAlign w:val="center"/>
            <w:hideMark/>
          </w:tcPr>
          <w:p w14:paraId="1D5F3194"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Mineral and vitamin supplement</w:t>
            </w:r>
          </w:p>
        </w:tc>
        <w:tc>
          <w:tcPr>
            <w:tcW w:w="1200" w:type="dxa"/>
            <w:tcBorders>
              <w:top w:val="nil"/>
              <w:left w:val="nil"/>
              <w:bottom w:val="nil"/>
              <w:right w:val="nil"/>
            </w:tcBorders>
            <w:noWrap/>
            <w:vAlign w:val="center"/>
            <w:hideMark/>
          </w:tcPr>
          <w:p w14:paraId="67FDBC0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c>
          <w:tcPr>
            <w:tcW w:w="1200" w:type="dxa"/>
            <w:tcBorders>
              <w:top w:val="nil"/>
              <w:left w:val="nil"/>
              <w:bottom w:val="nil"/>
              <w:right w:val="nil"/>
            </w:tcBorders>
            <w:noWrap/>
            <w:vAlign w:val="center"/>
            <w:hideMark/>
          </w:tcPr>
          <w:p w14:paraId="0C233A6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c>
          <w:tcPr>
            <w:tcW w:w="1200" w:type="dxa"/>
            <w:tcBorders>
              <w:top w:val="nil"/>
              <w:left w:val="nil"/>
              <w:bottom w:val="nil"/>
              <w:right w:val="nil"/>
            </w:tcBorders>
            <w:noWrap/>
            <w:vAlign w:val="center"/>
            <w:hideMark/>
          </w:tcPr>
          <w:p w14:paraId="3E843D7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r>
      <w:tr w:rsidR="00916347" w:rsidRPr="00916347" w14:paraId="7B39246B" w14:textId="77777777" w:rsidTr="00916347">
        <w:trPr>
          <w:trHeight w:val="300"/>
        </w:trPr>
        <w:tc>
          <w:tcPr>
            <w:tcW w:w="2854" w:type="dxa"/>
            <w:tcBorders>
              <w:top w:val="nil"/>
              <w:left w:val="nil"/>
              <w:bottom w:val="single" w:sz="4" w:space="0" w:color="auto"/>
              <w:right w:val="nil"/>
            </w:tcBorders>
            <w:noWrap/>
            <w:vAlign w:val="center"/>
            <w:hideMark/>
          </w:tcPr>
          <w:p w14:paraId="11E54D37"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Total</w:t>
            </w:r>
          </w:p>
        </w:tc>
        <w:tc>
          <w:tcPr>
            <w:tcW w:w="1200" w:type="dxa"/>
            <w:tcBorders>
              <w:top w:val="nil"/>
              <w:left w:val="nil"/>
              <w:bottom w:val="single" w:sz="4" w:space="0" w:color="auto"/>
              <w:right w:val="nil"/>
            </w:tcBorders>
            <w:noWrap/>
            <w:vAlign w:val="center"/>
            <w:hideMark/>
          </w:tcPr>
          <w:p w14:paraId="24CFE34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c>
          <w:tcPr>
            <w:tcW w:w="1200" w:type="dxa"/>
            <w:tcBorders>
              <w:top w:val="nil"/>
              <w:left w:val="nil"/>
              <w:bottom w:val="single" w:sz="4" w:space="0" w:color="auto"/>
              <w:right w:val="nil"/>
            </w:tcBorders>
            <w:noWrap/>
            <w:vAlign w:val="center"/>
            <w:hideMark/>
          </w:tcPr>
          <w:p w14:paraId="564E689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c>
          <w:tcPr>
            <w:tcW w:w="1200" w:type="dxa"/>
            <w:tcBorders>
              <w:top w:val="nil"/>
              <w:left w:val="nil"/>
              <w:bottom w:val="single" w:sz="4" w:space="0" w:color="auto"/>
              <w:right w:val="nil"/>
            </w:tcBorders>
            <w:noWrap/>
            <w:vAlign w:val="center"/>
            <w:hideMark/>
          </w:tcPr>
          <w:p w14:paraId="190F4E3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r>
    </w:tbl>
    <w:p w14:paraId="5A3707CB" w14:textId="77777777" w:rsidR="00856EF0" w:rsidRDefault="00856EF0" w:rsidP="00856EF0">
      <w:pPr>
        <w:pStyle w:val="Body"/>
        <w:spacing w:after="0"/>
        <w:rPr>
          <w:rFonts w:ascii="Arial" w:hAnsi="Arial" w:cs="Arial"/>
          <w:sz w:val="18"/>
          <w:szCs w:val="18"/>
        </w:rPr>
      </w:pPr>
      <w:r w:rsidRPr="00856EF0">
        <w:rPr>
          <w:rFonts w:ascii="Arial" w:hAnsi="Arial" w:cs="Arial"/>
          <w:sz w:val="18"/>
          <w:szCs w:val="18"/>
        </w:rPr>
        <w:t>*</w:t>
      </w:r>
      <w:r w:rsidRPr="00856EF0">
        <w:rPr>
          <w:sz w:val="18"/>
          <w:szCs w:val="18"/>
        </w:rPr>
        <w:t xml:space="preserve"> </w:t>
      </w:r>
      <w:r w:rsidR="00916347" w:rsidRPr="00916347">
        <w:rPr>
          <w:rFonts w:ascii="Arial" w:hAnsi="Arial" w:cs="Arial"/>
          <w:sz w:val="18"/>
          <w:szCs w:val="18"/>
        </w:rPr>
        <w:t>At: Feed containing 100% wheat bran; A25: Feed containing 25% cashew apple bagasse; A50: Feed containing 50% cashew apple bagasse.</w:t>
      </w:r>
      <w:r w:rsidR="003A083F">
        <w:rPr>
          <w:rFonts w:ascii="Arial" w:hAnsi="Arial" w:cs="Arial"/>
          <w:sz w:val="18"/>
          <w:szCs w:val="18"/>
        </w:rPr>
        <w:t xml:space="preserve"> </w:t>
      </w:r>
    </w:p>
    <w:p w14:paraId="0C32D862" w14:textId="77777777" w:rsidR="003A083F" w:rsidRDefault="003A083F" w:rsidP="00856EF0">
      <w:pPr>
        <w:pStyle w:val="Body"/>
        <w:spacing w:after="0"/>
        <w:rPr>
          <w:rFonts w:ascii="Arial" w:hAnsi="Arial" w:cs="Arial"/>
          <w:sz w:val="18"/>
          <w:szCs w:val="18"/>
        </w:rPr>
      </w:pPr>
      <w:r w:rsidRPr="003A083F">
        <w:rPr>
          <w:rFonts w:ascii="Arial" w:hAnsi="Arial" w:cs="Arial"/>
          <w:sz w:val="18"/>
          <w:szCs w:val="18"/>
          <w:highlight w:val="yellow"/>
        </w:rPr>
        <w:t>Mineral and vitamin supplement: vit A (IU) 300,000; vit D3 (IU) 80,000; vit E (mg) 1750; vit K3; vit B1 (mg) 75; vit B2 (mg) 190; vit B5 (mg) 420; vit B6 (mg) 106; niacin (mg) 1500; vit B12 (mg) 0.5; folic acid (mg) 40; biotin (mg) 7.5; phosphorus (%) 8; calcium (%) 28; sodium (%) 3; anticoccidial (mg) 25; choline (mg) 8000; phytase (FTU) 12500; iron (mg) 1300; copper (mg) 630; zinc (mg) 2500; manganese (mg) 3000; selenium (mg) 7,5; iodine (mg) 28; D-L methionine; L-lysine</w:t>
      </w:r>
    </w:p>
    <w:p w14:paraId="15A3CEB8" w14:textId="77777777" w:rsidR="00916347" w:rsidRDefault="00916347" w:rsidP="00856EF0">
      <w:pPr>
        <w:pStyle w:val="Body"/>
        <w:spacing w:after="0"/>
        <w:rPr>
          <w:rFonts w:ascii="Arial" w:hAnsi="Arial" w:cs="Arial"/>
        </w:rPr>
      </w:pPr>
    </w:p>
    <w:p w14:paraId="483E1547" w14:textId="77777777" w:rsidR="00916347" w:rsidRDefault="00856EF0" w:rsidP="00856EF0">
      <w:pPr>
        <w:pStyle w:val="Body"/>
        <w:rPr>
          <w:rFonts w:ascii="Arial" w:hAnsi="Arial" w:cs="Arial"/>
          <w:b/>
          <w:bCs/>
          <w:u w:val="single"/>
        </w:rPr>
      </w:pPr>
      <w:r w:rsidRPr="00856EF0">
        <w:rPr>
          <w:rFonts w:ascii="Arial" w:hAnsi="Arial" w:cs="Arial"/>
          <w:b/>
          <w:bCs/>
          <w:u w:val="single"/>
        </w:rPr>
        <w:t xml:space="preserve">2.3.2. </w:t>
      </w:r>
      <w:r w:rsidR="00916347" w:rsidRPr="00916347">
        <w:rPr>
          <w:rFonts w:ascii="Arial" w:hAnsi="Arial" w:cs="Arial"/>
          <w:b/>
          <w:bCs/>
          <w:u w:val="single"/>
        </w:rPr>
        <w:t xml:space="preserve">Chemical analysis of </w:t>
      </w:r>
      <w:r w:rsidR="003B4722">
        <w:rPr>
          <w:rFonts w:ascii="Arial" w:hAnsi="Arial" w:cs="Arial"/>
          <w:b/>
          <w:bCs/>
          <w:u w:val="single"/>
        </w:rPr>
        <w:t>feed</w:t>
      </w:r>
    </w:p>
    <w:p w14:paraId="10C3139F" w14:textId="77777777" w:rsidR="00916347" w:rsidRPr="00916347" w:rsidRDefault="00916347" w:rsidP="00916347">
      <w:pPr>
        <w:pStyle w:val="Body"/>
        <w:rPr>
          <w:rFonts w:ascii="Arial" w:hAnsi="Arial" w:cs="Arial"/>
        </w:rPr>
      </w:pPr>
      <w:r>
        <w:rPr>
          <w:rFonts w:ascii="Arial" w:hAnsi="Arial" w:cs="Arial"/>
        </w:rPr>
        <w:t>The chemical analyses carried out on cashew apple bagasse and the various formulated</w:t>
      </w:r>
      <w:r>
        <w:rPr>
          <w:rFonts w:ascii="Arial" w:hAnsi="Arial" w:cs="Arial"/>
          <w:highlight w:val="yellow"/>
        </w:rPr>
        <w:t xml:space="preserve"> diets</w:t>
      </w:r>
      <w:r>
        <w:rPr>
          <w:rFonts w:ascii="Arial" w:hAnsi="Arial" w:cs="Arial"/>
        </w:rPr>
        <w:t xml:space="preserve"> were intended to determine the</w:t>
      </w:r>
      <w:r>
        <w:rPr>
          <w:rFonts w:ascii="Arial" w:hAnsi="Arial" w:cs="Arial"/>
          <w:highlight w:val="yellow"/>
        </w:rPr>
        <w:t xml:space="preserve"> contents of</w:t>
      </w:r>
      <w:r>
        <w:rPr>
          <w:rFonts w:ascii="Arial" w:hAnsi="Arial" w:cs="Arial"/>
        </w:rPr>
        <w:t xml:space="preserve"> dry matter, mineral matter, fat, crude protein, crude fibre, total carbohydrates and metabolisable energy in the various samples. This chemical characterisation was carried out at the Animal Production and Zootechnics Laboratory of the Félix HOUPHOUËT-BOIGNY National Polytechnic Institute in Yamoussoukro, in accordance with the methods described by AOAC (1990, 1995), Folch et al. (1957) and FAO (2011).</w:t>
      </w:r>
    </w:p>
    <w:p w14:paraId="26D47189" w14:textId="77777777"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2.3.3. </w:t>
      </w:r>
      <w:r w:rsidR="00916347" w:rsidRPr="00916347">
        <w:rPr>
          <w:rFonts w:ascii="Arial" w:hAnsi="Arial" w:cs="Arial"/>
          <w:b/>
          <w:bCs/>
          <w:u w:val="single"/>
        </w:rPr>
        <w:t>Experimental procedure and data collection</w:t>
      </w:r>
    </w:p>
    <w:p w14:paraId="3F146624" w14:textId="77777777" w:rsidR="00856EF0" w:rsidRPr="00856EF0" w:rsidRDefault="00856EF0" w:rsidP="00856EF0">
      <w:pPr>
        <w:pStyle w:val="Body"/>
        <w:rPr>
          <w:rFonts w:ascii="Arial" w:hAnsi="Arial" w:cs="Arial"/>
          <w:b/>
          <w:bCs/>
          <w:i/>
          <w:iCs/>
        </w:rPr>
      </w:pPr>
      <w:r w:rsidRPr="00856EF0">
        <w:rPr>
          <w:rFonts w:ascii="Arial" w:hAnsi="Arial" w:cs="Arial"/>
          <w:b/>
          <w:bCs/>
          <w:i/>
          <w:iCs/>
        </w:rPr>
        <w:t xml:space="preserve">2.3.3.1. </w:t>
      </w:r>
      <w:r w:rsidR="00916347" w:rsidRPr="00916347">
        <w:rPr>
          <w:rFonts w:ascii="Arial" w:hAnsi="Arial" w:cs="Arial"/>
          <w:b/>
          <w:bCs/>
          <w:i/>
          <w:iCs/>
        </w:rPr>
        <w:t>Distribution of animals</w:t>
      </w:r>
    </w:p>
    <w:p w14:paraId="0C9F56F6" w14:textId="77777777" w:rsidR="00916347" w:rsidRDefault="00916347" w:rsidP="00856EF0">
      <w:pPr>
        <w:pStyle w:val="Body"/>
        <w:rPr>
          <w:rFonts w:ascii="Arial" w:hAnsi="Arial" w:cs="Arial"/>
        </w:rPr>
      </w:pPr>
      <w:r>
        <w:rPr>
          <w:rFonts w:ascii="Arial" w:hAnsi="Arial" w:cs="Arial"/>
        </w:rPr>
        <w:t xml:space="preserve">A total of 270 animals were used in this experiment. They were randomly allocated to three </w:t>
      </w:r>
      <w:r>
        <w:rPr>
          <w:rFonts w:ascii="Arial" w:hAnsi="Arial" w:cs="Arial"/>
          <w:highlight w:val="yellow"/>
        </w:rPr>
        <w:t>dietary</w:t>
      </w:r>
      <w:r>
        <w:rPr>
          <w:rFonts w:ascii="Arial" w:hAnsi="Arial" w:cs="Arial"/>
        </w:rPr>
        <w:t xml:space="preserve"> groups</w:t>
      </w:r>
      <w:r>
        <w:rPr>
          <w:rFonts w:ascii="Arial" w:hAnsi="Arial" w:cs="Arial"/>
          <w:highlight w:val="yellow"/>
        </w:rPr>
        <w:t>,</w:t>
      </w:r>
      <w:r>
        <w:rPr>
          <w:rFonts w:ascii="Arial" w:hAnsi="Arial" w:cs="Arial"/>
        </w:rPr>
        <w:t xml:space="preserve"> each </w:t>
      </w:r>
      <w:r>
        <w:rPr>
          <w:rFonts w:ascii="Arial" w:hAnsi="Arial" w:cs="Arial"/>
          <w:highlight w:val="yellow"/>
        </w:rPr>
        <w:t>compr</w:t>
      </w:r>
      <w:r>
        <w:rPr>
          <w:rFonts w:ascii="Arial" w:hAnsi="Arial" w:cs="Arial"/>
        </w:rPr>
        <w:t>i</w:t>
      </w:r>
      <w:r>
        <w:rPr>
          <w:rFonts w:ascii="Arial" w:hAnsi="Arial" w:cs="Arial"/>
          <w:highlight w:val="yellow"/>
        </w:rPr>
        <w:t>sing</w:t>
      </w:r>
      <w:r>
        <w:rPr>
          <w:rFonts w:ascii="Arial" w:hAnsi="Arial" w:cs="Arial"/>
        </w:rPr>
        <w:t xml:space="preserve"> three replicates </w:t>
      </w:r>
      <w:r>
        <w:rPr>
          <w:rFonts w:ascii="Arial" w:hAnsi="Arial" w:cs="Arial"/>
          <w:highlight w:val="yellow"/>
        </w:rPr>
        <w:t>of</w:t>
      </w:r>
      <w:r>
        <w:rPr>
          <w:rFonts w:ascii="Arial" w:hAnsi="Arial" w:cs="Arial"/>
        </w:rPr>
        <w:t xml:space="preserve"> </w:t>
      </w:r>
      <w:r>
        <w:rPr>
          <w:rFonts w:ascii="Arial" w:hAnsi="Arial" w:cs="Arial"/>
          <w:highlight w:val="yellow"/>
        </w:rPr>
        <w:t>30 q</w:t>
      </w:r>
      <w:r>
        <w:rPr>
          <w:rFonts w:ascii="Arial" w:hAnsi="Arial" w:cs="Arial"/>
        </w:rPr>
        <w:t>u</w:t>
      </w:r>
      <w:r>
        <w:rPr>
          <w:rFonts w:ascii="Arial" w:hAnsi="Arial" w:cs="Arial"/>
          <w:highlight w:val="yellow"/>
        </w:rPr>
        <w:t>ails</w:t>
      </w:r>
      <w:r>
        <w:rPr>
          <w:rFonts w:ascii="Arial" w:hAnsi="Arial" w:cs="Arial"/>
        </w:rPr>
        <w:t>. Each group was fed a different type of feed. Thus, the first group was fed the control diet (A</w:t>
      </w:r>
      <w:r>
        <w:rPr>
          <w:rFonts w:ascii="Arial" w:hAnsi="Arial" w:cs="Arial"/>
          <w:highlight w:val="yellow"/>
        </w:rPr>
        <w:t>t</w:t>
      </w:r>
      <w:r>
        <w:rPr>
          <w:rFonts w:ascii="Arial" w:hAnsi="Arial" w:cs="Arial"/>
        </w:rPr>
        <w:t xml:space="preserve">), the second group was fed diet A25, and the third group was fed diet A50. </w:t>
      </w:r>
    </w:p>
    <w:p w14:paraId="57D7D3B6" w14:textId="77777777" w:rsidR="00856EF0" w:rsidRPr="00856EF0" w:rsidRDefault="00856EF0" w:rsidP="00856EF0">
      <w:pPr>
        <w:pStyle w:val="Body"/>
        <w:rPr>
          <w:rFonts w:ascii="Arial" w:hAnsi="Arial" w:cs="Arial"/>
          <w:b/>
          <w:bCs/>
          <w:i/>
          <w:iCs/>
        </w:rPr>
      </w:pPr>
      <w:r w:rsidRPr="00856EF0">
        <w:rPr>
          <w:rFonts w:ascii="Arial" w:hAnsi="Arial" w:cs="Arial"/>
          <w:b/>
          <w:bCs/>
          <w:i/>
          <w:iCs/>
        </w:rPr>
        <w:t xml:space="preserve">2.3.3.2. </w:t>
      </w:r>
      <w:r w:rsidR="00916347" w:rsidRPr="00916347">
        <w:rPr>
          <w:rFonts w:ascii="Arial" w:hAnsi="Arial" w:cs="Arial"/>
          <w:b/>
          <w:bCs/>
          <w:i/>
          <w:iCs/>
        </w:rPr>
        <w:t>Farming practices and data collection</w:t>
      </w:r>
    </w:p>
    <w:p w14:paraId="0DE1DDBD" w14:textId="77777777" w:rsidR="003A083F" w:rsidRDefault="00137CDA" w:rsidP="00856EF0">
      <w:pPr>
        <w:pStyle w:val="Body"/>
        <w:rPr>
          <w:rFonts w:ascii="Arial" w:hAnsi="Arial" w:cs="Arial"/>
        </w:rPr>
      </w:pPr>
      <w:r>
        <w:rPr>
          <w:rFonts w:ascii="Arial" w:hAnsi="Arial" w:cs="Arial"/>
        </w:rPr>
        <w:t xml:space="preserve">The rearing period was divided into two phases: the growth phase, from 15 to 28 days of age, and the finishing phase, from 29 to 42 days of age. The birds were housed at a density </w:t>
      </w:r>
      <w:r>
        <w:rPr>
          <w:rFonts w:ascii="Arial" w:hAnsi="Arial" w:cs="Arial"/>
        </w:rPr>
        <w:lastRenderedPageBreak/>
        <w:t>of 30 quails per square metre. They were fed twice da</w:t>
      </w:r>
      <w:r>
        <w:rPr>
          <w:rFonts w:ascii="Arial" w:hAnsi="Arial" w:cs="Arial"/>
          <w:highlight w:val="yellow"/>
        </w:rPr>
        <w:t>il</w:t>
      </w:r>
      <w:r>
        <w:rPr>
          <w:rFonts w:ascii="Arial" w:hAnsi="Arial" w:cs="Arial"/>
        </w:rPr>
        <w:t>y on an ad libitum basis. Every morning, before feeding, the uneaten feed and the feed distributed were weighed by batch. In addition, the quails were weighed every five days, as well as on the 28th, 29th and 42nd days of age. Water was provided twice da</w:t>
      </w:r>
      <w:r>
        <w:rPr>
          <w:rFonts w:ascii="Arial" w:hAnsi="Arial" w:cs="Arial"/>
          <w:highlight w:val="yellow"/>
        </w:rPr>
        <w:t>il</w:t>
      </w:r>
      <w:r>
        <w:rPr>
          <w:rFonts w:ascii="Arial" w:hAnsi="Arial" w:cs="Arial"/>
        </w:rPr>
        <w:t xml:space="preserve">y during feeding. Feeders and drinkers were cleaned daily with soapy water and rinsed with water. The litter was changed every five days. </w:t>
      </w:r>
      <w:r>
        <w:rPr>
          <w:rFonts w:ascii="Arial" w:hAnsi="Arial" w:cs="Arial"/>
          <w:highlight w:val="yellow"/>
        </w:rPr>
        <w:t>The average temperature in the rearing barn was 27°C, with relative humidity ranging from 82 to 92 per cent. The barn was lit by natural light.</w:t>
      </w:r>
    </w:p>
    <w:p w14:paraId="2D044F5D" w14:textId="77777777" w:rsidR="00916347" w:rsidRDefault="00856EF0" w:rsidP="00856EF0">
      <w:pPr>
        <w:pStyle w:val="Body"/>
        <w:rPr>
          <w:rFonts w:ascii="Arial" w:hAnsi="Arial" w:cs="Arial"/>
          <w:b/>
          <w:bCs/>
          <w:i/>
          <w:iCs/>
        </w:rPr>
      </w:pPr>
      <w:r w:rsidRPr="00856EF0">
        <w:rPr>
          <w:rFonts w:ascii="Arial" w:hAnsi="Arial" w:cs="Arial"/>
          <w:b/>
          <w:bCs/>
          <w:i/>
          <w:iCs/>
        </w:rPr>
        <w:t xml:space="preserve">2.3.4. </w:t>
      </w:r>
      <w:r w:rsidR="00916347" w:rsidRPr="00916347">
        <w:rPr>
          <w:rFonts w:ascii="Arial" w:hAnsi="Arial" w:cs="Arial"/>
          <w:b/>
          <w:bCs/>
          <w:i/>
          <w:iCs/>
        </w:rPr>
        <w:t>Presentation of results</w:t>
      </w:r>
    </w:p>
    <w:p w14:paraId="19656300" w14:textId="77777777" w:rsidR="00916347" w:rsidRDefault="00916347" w:rsidP="00856EF0">
      <w:pPr>
        <w:pStyle w:val="Body"/>
        <w:rPr>
          <w:rFonts w:ascii="Arial" w:hAnsi="Arial" w:cs="Arial"/>
        </w:rPr>
      </w:pPr>
      <w:r>
        <w:rPr>
          <w:rFonts w:ascii="Arial" w:hAnsi="Arial" w:cs="Arial"/>
        </w:rPr>
        <w:t xml:space="preserve">The various data collected were used to calculate the average weight of the animals (WA), the </w:t>
      </w:r>
      <w:r>
        <w:rPr>
          <w:rFonts w:ascii="Arial" w:hAnsi="Arial" w:cs="Arial"/>
          <w:highlight w:val="yellow"/>
        </w:rPr>
        <w:t>a</w:t>
      </w:r>
      <w:r>
        <w:rPr>
          <w:rFonts w:ascii="Arial" w:hAnsi="Arial" w:cs="Arial"/>
        </w:rPr>
        <w:t xml:space="preserve">verage </w:t>
      </w:r>
      <w:r>
        <w:rPr>
          <w:rFonts w:ascii="Arial" w:hAnsi="Arial" w:cs="Arial"/>
          <w:highlight w:val="yellow"/>
        </w:rPr>
        <w:t>d</w:t>
      </w:r>
      <w:r>
        <w:rPr>
          <w:rFonts w:ascii="Arial" w:hAnsi="Arial" w:cs="Arial"/>
        </w:rPr>
        <w:t xml:space="preserve">aily </w:t>
      </w:r>
      <w:r>
        <w:rPr>
          <w:rFonts w:ascii="Arial" w:hAnsi="Arial" w:cs="Arial"/>
          <w:highlight w:val="yellow"/>
        </w:rPr>
        <w:t>g</w:t>
      </w:r>
      <w:r>
        <w:rPr>
          <w:rFonts w:ascii="Arial" w:hAnsi="Arial" w:cs="Arial"/>
        </w:rPr>
        <w:t xml:space="preserve">ain (ADG), the daily feed intake (DI) and the </w:t>
      </w:r>
      <w:r>
        <w:rPr>
          <w:rFonts w:ascii="Arial" w:hAnsi="Arial" w:cs="Arial"/>
          <w:color w:val="000000"/>
          <w:highlight w:val="yellow"/>
          <w:lang w:eastAsia="fr-FR"/>
        </w:rPr>
        <w:t>c</w:t>
      </w:r>
      <w:r>
        <w:rPr>
          <w:rFonts w:ascii="Arial" w:hAnsi="Arial" w:cs="Arial"/>
          <w:color w:val="000000"/>
          <w:lang w:eastAsia="fr-FR"/>
        </w:rPr>
        <w:t>onsumption inde</w:t>
      </w:r>
      <w:r>
        <w:rPr>
          <w:rFonts w:ascii="Arial" w:hAnsi="Arial" w:cs="Arial"/>
          <w:color w:val="000000"/>
          <w:highlight w:val="yellow"/>
          <w:lang w:eastAsia="fr-FR"/>
        </w:rPr>
        <w:t>x</w:t>
      </w:r>
      <w:r>
        <w:rPr>
          <w:rFonts w:ascii="Arial" w:hAnsi="Arial" w:cs="Arial"/>
          <w:color w:val="000000"/>
          <w:lang w:eastAsia="fr-FR"/>
        </w:rPr>
        <w:t xml:space="preserve"> (CI)</w:t>
      </w:r>
      <w:r>
        <w:rPr>
          <w:rFonts w:ascii="Arial" w:hAnsi="Arial" w:cs="Arial"/>
        </w:rPr>
        <w:t xml:space="preserve">. All these parameters were calculated using the following formulae: </w:t>
      </w:r>
    </w:p>
    <w:p w14:paraId="6193C406" w14:textId="77777777" w:rsidR="00856EF0" w:rsidRPr="00856EF0" w:rsidRDefault="00E46864" w:rsidP="00856EF0">
      <w:pPr>
        <w:pStyle w:val="Body"/>
        <w:rPr>
          <w:rFonts w:ascii="Arial" w:hAnsi="Arial" w:cs="Arial"/>
        </w:rPr>
      </w:pPr>
      <w:r w:rsidRPr="00137CDA">
        <w:rPr>
          <w:rFonts w:ascii="Arial" w:hAnsi="Arial" w:cs="Arial"/>
        </w:rPr>
        <w:t>WA</w:t>
      </w:r>
      <w:r w:rsidR="00856EF0" w:rsidRPr="00137CDA">
        <w:rPr>
          <w:rFonts w:ascii="Arial" w:hAnsi="Arial" w:cs="Arial"/>
        </w:rPr>
        <w:t xml:space="preserve"> (g) = Σ (</w:t>
      </w:r>
      <w:proofErr w:type="spellStart"/>
      <w:r w:rsidRPr="00137CDA">
        <w:rPr>
          <w:rFonts w:ascii="Arial" w:hAnsi="Arial" w:cs="Arial"/>
        </w:rPr>
        <w:t>Iw</w:t>
      </w:r>
      <w:proofErr w:type="spellEnd"/>
      <w:r w:rsidR="00856EF0" w:rsidRPr="00137CDA">
        <w:rPr>
          <w:rFonts w:ascii="Arial" w:hAnsi="Arial" w:cs="Arial"/>
        </w:rPr>
        <w:t xml:space="preserve"> − </w:t>
      </w:r>
      <w:proofErr w:type="spellStart"/>
      <w:r w:rsidRPr="00137CDA">
        <w:rPr>
          <w:rFonts w:ascii="Arial" w:hAnsi="Arial" w:cs="Arial"/>
        </w:rPr>
        <w:t>Fw</w:t>
      </w:r>
      <w:proofErr w:type="spellEnd"/>
      <w:r w:rsidR="00856EF0" w:rsidRPr="00137CDA">
        <w:rPr>
          <w:rFonts w:ascii="Arial" w:hAnsi="Arial" w:cs="Arial"/>
        </w:rPr>
        <w:t xml:space="preserve">) / </w:t>
      </w:r>
      <w:r w:rsidRPr="00AD1CFF">
        <w:rPr>
          <w:rFonts w:ascii="Arial" w:hAnsi="Arial" w:cs="Arial"/>
        </w:rPr>
        <w:t>T</w:t>
      </w:r>
      <w:r w:rsidR="00856EF0" w:rsidRPr="00AD1CFF">
        <w:rPr>
          <w:rFonts w:ascii="Arial" w:hAnsi="Arial" w:cs="Arial"/>
        </w:rPr>
        <w:t>a (</w:t>
      </w:r>
      <w:proofErr w:type="spellStart"/>
      <w:r w:rsidR="00856EF0" w:rsidRPr="00AD1CFF">
        <w:rPr>
          <w:rFonts w:ascii="Arial" w:hAnsi="Arial" w:cs="Arial"/>
        </w:rPr>
        <w:t>Djago</w:t>
      </w:r>
      <w:proofErr w:type="spellEnd"/>
      <w:r w:rsidR="00856EF0" w:rsidRPr="00AD1CFF">
        <w:rPr>
          <w:rFonts w:ascii="Arial" w:hAnsi="Arial" w:cs="Arial"/>
        </w:rPr>
        <w:t xml:space="preserve"> et al., 2007)</w:t>
      </w:r>
    </w:p>
    <w:p w14:paraId="7CD40FE3" w14:textId="77777777" w:rsidR="00916347" w:rsidRPr="00E46864" w:rsidRDefault="00916347" w:rsidP="00856EF0">
      <w:pPr>
        <w:pStyle w:val="Body"/>
        <w:rPr>
          <w:rFonts w:ascii="Arial" w:hAnsi="Arial" w:cs="Arial"/>
        </w:rPr>
      </w:pPr>
      <w:r w:rsidRPr="00E46864">
        <w:rPr>
          <w:rFonts w:ascii="Arial" w:hAnsi="Arial" w:cs="Arial"/>
        </w:rPr>
        <w:t xml:space="preserve">Pi = Initial weight of the animals at the start of the trial; </w:t>
      </w:r>
      <w:proofErr w:type="spellStart"/>
      <w:r w:rsidR="00E46864">
        <w:rPr>
          <w:rFonts w:ascii="Arial" w:hAnsi="Arial" w:cs="Arial"/>
        </w:rPr>
        <w:t>Fw</w:t>
      </w:r>
      <w:proofErr w:type="spellEnd"/>
      <w:r w:rsidRPr="00E46864">
        <w:rPr>
          <w:rFonts w:ascii="Arial" w:hAnsi="Arial" w:cs="Arial"/>
        </w:rPr>
        <w:t xml:space="preserve"> = Final weight of the animals at the end of the trial; </w:t>
      </w:r>
      <w:r w:rsidR="00E46864">
        <w:rPr>
          <w:rFonts w:ascii="Arial" w:hAnsi="Arial" w:cs="Arial"/>
        </w:rPr>
        <w:t>T</w:t>
      </w:r>
      <w:r w:rsidRPr="00E46864">
        <w:rPr>
          <w:rFonts w:ascii="Arial" w:hAnsi="Arial" w:cs="Arial"/>
        </w:rPr>
        <w:t xml:space="preserve">a = Total number of animals. </w:t>
      </w:r>
    </w:p>
    <w:p w14:paraId="6E728560" w14:textId="77777777" w:rsidR="00856EF0" w:rsidRPr="00390B7C" w:rsidRDefault="00E46864" w:rsidP="00856EF0">
      <w:pPr>
        <w:pStyle w:val="Body"/>
        <w:rPr>
          <w:rFonts w:ascii="Arial" w:hAnsi="Arial" w:cs="Arial"/>
          <w:lang w:val="nl-BE"/>
        </w:rPr>
      </w:pPr>
      <w:r w:rsidRPr="00390B7C">
        <w:rPr>
          <w:rFonts w:ascii="Arial" w:hAnsi="Arial" w:cs="Arial"/>
          <w:lang w:val="nl-BE"/>
        </w:rPr>
        <w:t>AD</w:t>
      </w:r>
      <w:r w:rsidR="00137CDA" w:rsidRPr="00390B7C">
        <w:rPr>
          <w:rFonts w:ascii="Arial" w:hAnsi="Arial" w:cs="Arial"/>
          <w:lang w:val="nl-BE"/>
        </w:rPr>
        <w:t>G</w:t>
      </w:r>
      <w:r w:rsidR="00856EF0" w:rsidRPr="00390B7C">
        <w:rPr>
          <w:rFonts w:ascii="Arial" w:hAnsi="Arial" w:cs="Arial"/>
          <w:lang w:val="nl-BE"/>
        </w:rPr>
        <w:t xml:space="preserve"> (g/j) = </w:t>
      </w:r>
      <w:r w:rsidR="00856EF0" w:rsidRPr="00E46864">
        <w:rPr>
          <w:rFonts w:ascii="Arial" w:hAnsi="Arial" w:cs="Arial"/>
        </w:rPr>
        <w:t>Σ</w:t>
      </w:r>
      <w:r w:rsidR="00856EF0" w:rsidRPr="00390B7C">
        <w:rPr>
          <w:rFonts w:ascii="Arial" w:hAnsi="Arial" w:cs="Arial"/>
          <w:lang w:val="nl-BE"/>
        </w:rPr>
        <w:t xml:space="preserve"> (</w:t>
      </w:r>
      <w:r w:rsidRPr="00390B7C">
        <w:rPr>
          <w:rFonts w:ascii="Arial" w:hAnsi="Arial" w:cs="Arial"/>
          <w:lang w:val="nl-BE"/>
        </w:rPr>
        <w:t>Iw</w:t>
      </w:r>
      <w:r w:rsidR="00856EF0" w:rsidRPr="00390B7C">
        <w:rPr>
          <w:rFonts w:ascii="Arial" w:hAnsi="Arial" w:cs="Arial"/>
          <w:lang w:val="nl-BE"/>
        </w:rPr>
        <w:t>-</w:t>
      </w:r>
      <w:r w:rsidRPr="00390B7C">
        <w:rPr>
          <w:rFonts w:ascii="Arial" w:hAnsi="Arial" w:cs="Arial"/>
          <w:lang w:val="nl-BE"/>
        </w:rPr>
        <w:t>Fw</w:t>
      </w:r>
      <w:r w:rsidR="00856EF0" w:rsidRPr="00390B7C">
        <w:rPr>
          <w:rFonts w:ascii="Arial" w:hAnsi="Arial" w:cs="Arial"/>
          <w:lang w:val="nl-BE"/>
        </w:rPr>
        <w:t xml:space="preserve">) / </w:t>
      </w:r>
      <w:r w:rsidR="00856EF0" w:rsidRPr="00E46864">
        <w:rPr>
          <w:rFonts w:ascii="Arial" w:hAnsi="Arial" w:cs="Arial"/>
        </w:rPr>
        <w:t>Δ</w:t>
      </w:r>
      <w:r w:rsidR="00856EF0" w:rsidRPr="00390B7C">
        <w:rPr>
          <w:rFonts w:ascii="Arial" w:hAnsi="Arial" w:cs="Arial"/>
          <w:lang w:val="nl-BE"/>
        </w:rPr>
        <w:t>T (Djago et al., 2007)</w:t>
      </w:r>
    </w:p>
    <w:p w14:paraId="3A73B547" w14:textId="77777777" w:rsidR="00856EF0" w:rsidRPr="00856EF0" w:rsidRDefault="00856EF0" w:rsidP="00856EF0">
      <w:pPr>
        <w:pStyle w:val="Body"/>
        <w:rPr>
          <w:rFonts w:ascii="Arial" w:hAnsi="Arial" w:cs="Arial"/>
        </w:rPr>
      </w:pPr>
      <w:r w:rsidRPr="00856EF0">
        <w:rPr>
          <w:rFonts w:ascii="Arial" w:hAnsi="Arial" w:cs="Arial"/>
        </w:rPr>
        <w:t xml:space="preserve">ΔT = </w:t>
      </w:r>
      <w:r w:rsidR="00916347" w:rsidRPr="00916347">
        <w:rPr>
          <w:rFonts w:ascii="Arial" w:hAnsi="Arial" w:cs="Arial"/>
        </w:rPr>
        <w:t>Rearing period</w:t>
      </w:r>
      <w:r w:rsidRPr="00856EF0">
        <w:rPr>
          <w:rFonts w:ascii="Arial" w:hAnsi="Arial" w:cs="Arial"/>
        </w:rPr>
        <w:t>.</w:t>
      </w:r>
    </w:p>
    <w:p w14:paraId="03FE32F2" w14:textId="77777777" w:rsidR="00856EF0" w:rsidRPr="00856EF0" w:rsidRDefault="00E46864" w:rsidP="00856EF0">
      <w:pPr>
        <w:pStyle w:val="Body"/>
        <w:rPr>
          <w:rFonts w:ascii="Arial" w:hAnsi="Arial" w:cs="Arial"/>
        </w:rPr>
      </w:pPr>
      <w:r>
        <w:rPr>
          <w:rFonts w:ascii="Arial" w:hAnsi="Arial" w:cs="Arial"/>
        </w:rPr>
        <w:t>DI</w:t>
      </w:r>
      <w:r w:rsidR="00856EF0" w:rsidRPr="00856EF0">
        <w:rPr>
          <w:rFonts w:ascii="Arial" w:hAnsi="Arial" w:cs="Arial"/>
        </w:rPr>
        <w:t xml:space="preserve"> (g/j) = (</w:t>
      </w:r>
      <w:r w:rsidRPr="00E46864">
        <w:rPr>
          <w:rFonts w:ascii="Arial" w:hAnsi="Arial" w:cs="Arial"/>
        </w:rPr>
        <w:t>Amount of feed dispensed – Amount of feed rejected</w:t>
      </w:r>
      <w:r w:rsidR="00856EF0" w:rsidRPr="00856EF0">
        <w:rPr>
          <w:rFonts w:ascii="Arial" w:hAnsi="Arial" w:cs="Arial"/>
        </w:rPr>
        <w:t xml:space="preserve">) / </w:t>
      </w:r>
      <w:r w:rsidR="00137CDA" w:rsidRPr="00137CDA">
        <w:rPr>
          <w:rFonts w:ascii="Arial" w:hAnsi="Arial" w:cs="Arial"/>
        </w:rPr>
        <w:t>Number of quails</w:t>
      </w:r>
    </w:p>
    <w:p w14:paraId="49F532B3" w14:textId="77777777" w:rsidR="00856EF0" w:rsidRDefault="00E46864" w:rsidP="00856EF0">
      <w:pPr>
        <w:pStyle w:val="Body"/>
        <w:spacing w:after="0"/>
        <w:rPr>
          <w:rFonts w:ascii="Arial" w:hAnsi="Arial" w:cs="Arial"/>
        </w:rPr>
      </w:pPr>
      <w:r>
        <w:rPr>
          <w:rFonts w:ascii="Arial" w:hAnsi="Arial" w:cs="Arial"/>
        </w:rPr>
        <w:t>CI</w:t>
      </w:r>
      <w:r w:rsidR="00856EF0" w:rsidRPr="00856EF0">
        <w:rPr>
          <w:rFonts w:ascii="Arial" w:hAnsi="Arial" w:cs="Arial"/>
        </w:rPr>
        <w:t xml:space="preserve"> = </w:t>
      </w:r>
      <w:r w:rsidRPr="00E46864">
        <w:rPr>
          <w:rFonts w:ascii="Arial" w:hAnsi="Arial" w:cs="Arial"/>
        </w:rPr>
        <w:t>Amount of food over a period / Weight gain over the same period</w:t>
      </w:r>
    </w:p>
    <w:p w14:paraId="5EA6CD20" w14:textId="77777777" w:rsidR="00BB4FB4" w:rsidRPr="00BB4FB4" w:rsidRDefault="00BB4FB4" w:rsidP="00BB4FB4">
      <w:pPr>
        <w:pStyle w:val="Body"/>
        <w:spacing w:before="240"/>
        <w:rPr>
          <w:rFonts w:ascii="Arial" w:hAnsi="Arial" w:cs="Arial"/>
          <w:b/>
          <w:bCs/>
          <w:u w:val="single"/>
        </w:rPr>
      </w:pPr>
      <w:r w:rsidRPr="00BB4FB4">
        <w:rPr>
          <w:rFonts w:ascii="Arial" w:hAnsi="Arial" w:cs="Arial"/>
          <w:b/>
          <w:bCs/>
          <w:u w:val="single"/>
        </w:rPr>
        <w:t xml:space="preserve">2.3.5. </w:t>
      </w:r>
      <w:r w:rsidR="00916347" w:rsidRPr="00916347">
        <w:rPr>
          <w:rFonts w:ascii="Arial" w:hAnsi="Arial" w:cs="Arial"/>
          <w:b/>
          <w:bCs/>
          <w:u w:val="single"/>
        </w:rPr>
        <w:t>Statistical analyses</w:t>
      </w:r>
    </w:p>
    <w:p w14:paraId="40182522" w14:textId="77777777" w:rsidR="00856EF0" w:rsidRDefault="0043073A" w:rsidP="0043073A">
      <w:pPr>
        <w:pStyle w:val="Body"/>
        <w:rPr>
          <w:rFonts w:ascii="Arial" w:hAnsi="Arial" w:cs="Arial"/>
        </w:rPr>
      </w:pPr>
      <w:r>
        <w:rPr>
          <w:rFonts w:ascii="Arial" w:hAnsi="Arial" w:cs="Arial"/>
          <w:highlight w:val="yellow"/>
        </w:rPr>
        <w:t>The data collected were analysed statistically using XLSTAT software, version 2014.5.03. The conditions for applying parametric tests were first verified using the Shapiro-Wilk normality test and Levene’s test for homogeneity of variances. Furthermore, the means of the parameters studied, such as average daily weight gain, average feed intake, feed conversion ratio and live weight, were compared using a one-way analysis of variance (one-way ANOVA), followed by Tukey’s post-hoc test. The factor under investigation was the diet. The significance level was set at 5%.</w:t>
      </w:r>
    </w:p>
    <w:p w14:paraId="7955616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 xml:space="preserve">results </w:t>
      </w:r>
    </w:p>
    <w:p w14:paraId="5B862393" w14:textId="77777777" w:rsidR="00790ADA" w:rsidRPr="00FB3A86" w:rsidRDefault="00790ADA" w:rsidP="00441B6F">
      <w:pPr>
        <w:pStyle w:val="Head1"/>
        <w:spacing w:after="0"/>
        <w:jc w:val="both"/>
        <w:rPr>
          <w:rFonts w:ascii="Arial" w:hAnsi="Arial" w:cs="Arial"/>
        </w:rPr>
      </w:pPr>
    </w:p>
    <w:p w14:paraId="440FAE1F" w14:textId="77777777" w:rsidR="00BB4FB4" w:rsidRPr="00137CDA" w:rsidRDefault="00BB4FB4" w:rsidP="00BB4FB4">
      <w:pPr>
        <w:pStyle w:val="Body"/>
        <w:rPr>
          <w:rFonts w:ascii="Arial" w:hAnsi="Arial" w:cs="Arial"/>
          <w:b/>
          <w:bCs/>
        </w:rPr>
      </w:pPr>
      <w:r w:rsidRPr="00137CDA">
        <w:rPr>
          <w:rFonts w:ascii="Arial" w:hAnsi="Arial" w:cs="Arial"/>
          <w:b/>
          <w:bCs/>
        </w:rPr>
        <w:t xml:space="preserve">3.1. </w:t>
      </w:r>
      <w:r w:rsidR="002B413D" w:rsidRPr="00137CDA">
        <w:rPr>
          <w:rFonts w:ascii="Arial" w:hAnsi="Arial" w:cs="Arial"/>
          <w:b/>
          <w:bCs/>
        </w:rPr>
        <w:t>Chemical composition of bagasse and the various growth regimes</w:t>
      </w:r>
    </w:p>
    <w:p w14:paraId="2897AE6F" w14:textId="77777777" w:rsidR="00BB4FB4" w:rsidRPr="00137CDA" w:rsidRDefault="00BB4FB4" w:rsidP="00BB4FB4">
      <w:pPr>
        <w:pStyle w:val="Body"/>
        <w:rPr>
          <w:rFonts w:ascii="Arial" w:hAnsi="Arial" w:cs="Arial"/>
          <w:b/>
          <w:bCs/>
          <w:u w:val="single"/>
        </w:rPr>
      </w:pPr>
      <w:r w:rsidRPr="00137CDA">
        <w:rPr>
          <w:rFonts w:ascii="Arial" w:hAnsi="Arial" w:cs="Arial"/>
          <w:b/>
          <w:bCs/>
          <w:u w:val="single"/>
        </w:rPr>
        <w:t xml:space="preserve">3.1.1. </w:t>
      </w:r>
      <w:r w:rsidR="002B413D" w:rsidRPr="00137CDA">
        <w:rPr>
          <w:rFonts w:ascii="Arial" w:hAnsi="Arial" w:cs="Arial"/>
          <w:b/>
          <w:bCs/>
          <w:u w:val="single"/>
        </w:rPr>
        <w:t>Chemical composition of cashew apple bagasse</w:t>
      </w:r>
    </w:p>
    <w:p w14:paraId="5E0BA3A0" w14:textId="77777777" w:rsidR="002B413D" w:rsidRDefault="002B413D" w:rsidP="00BB4FB4">
      <w:pPr>
        <w:pStyle w:val="Body"/>
        <w:spacing w:after="0"/>
        <w:rPr>
          <w:rFonts w:ascii="Arial" w:hAnsi="Arial" w:cs="Arial"/>
        </w:rPr>
      </w:pPr>
      <w:bookmarkStart w:id="0" w:name="_Hlk236313327"/>
      <w:bookmarkEnd w:id="0"/>
      <w:r>
        <w:rPr>
          <w:rFonts w:ascii="Arial" w:hAnsi="Arial" w:cs="Arial"/>
        </w:rPr>
        <w:t>The dry matter content was 893.2 g per kg of bagasse (Table 2). The contents of fat, crude protein, total carbohydrates, ash and crude fibre were 51.0 g, 105.7 g</w:t>
      </w:r>
      <w:r>
        <w:rPr>
          <w:rFonts w:ascii="Arial" w:hAnsi="Arial" w:cs="Arial"/>
          <w:highlight w:val="yellow"/>
        </w:rPr>
        <w:t>,</w:t>
      </w:r>
      <w:r>
        <w:rPr>
          <w:rFonts w:ascii="Arial" w:hAnsi="Arial" w:cs="Arial"/>
        </w:rPr>
        <w:t xml:space="preserve"> 709.2 g, 24.6 g and 117.0 g per kg of dry matter, respectively. </w:t>
      </w:r>
      <w:r>
        <w:rPr>
          <w:rFonts w:ascii="Arial" w:hAnsi="Arial" w:cs="Arial"/>
          <w:highlight w:val="yellow"/>
        </w:rPr>
        <w:t>M</w:t>
      </w:r>
      <w:r>
        <w:rPr>
          <w:rFonts w:ascii="Arial" w:hAnsi="Arial" w:cs="Arial"/>
        </w:rPr>
        <w:t>etabolisable energy was 3,335 kcal per kg of dry matter.</w:t>
      </w:r>
    </w:p>
    <w:p w14:paraId="7F912004" w14:textId="77777777" w:rsidR="00790ADA" w:rsidRDefault="002B413D" w:rsidP="00137CDA">
      <w:pPr>
        <w:pStyle w:val="Body"/>
        <w:spacing w:before="240"/>
        <w:rPr>
          <w:rFonts w:ascii="Arial" w:hAnsi="Arial" w:cs="Arial"/>
        </w:rPr>
      </w:pPr>
      <w:r w:rsidRPr="002B413D">
        <w:rPr>
          <w:rFonts w:ascii="Arial" w:hAnsi="Arial" w:cs="Arial"/>
        </w:rPr>
        <w:t>Table 2. Chemical composition of cashew apple bagasse</w:t>
      </w:r>
    </w:p>
    <w:tbl>
      <w:tblPr>
        <w:tblW w:w="8338" w:type="dxa"/>
        <w:jc w:val="center"/>
        <w:tblBorders>
          <w:top w:val="single" w:sz="4" w:space="0" w:color="auto"/>
          <w:bottom w:val="single" w:sz="4" w:space="0" w:color="auto"/>
        </w:tblBorders>
        <w:tblLook w:val="0620" w:firstRow="1" w:lastRow="0" w:firstColumn="0" w:lastColumn="0" w:noHBand="1" w:noVBand="1"/>
      </w:tblPr>
      <w:tblGrid>
        <w:gridCol w:w="3630"/>
        <w:gridCol w:w="4708"/>
      </w:tblGrid>
      <w:tr w:rsidR="00BB4FB4" w:rsidRPr="00BB4FB4" w14:paraId="60EF5358" w14:textId="77777777" w:rsidTr="00DE1DBF">
        <w:trPr>
          <w:trHeight w:val="525"/>
          <w:jc w:val="center"/>
        </w:trPr>
        <w:tc>
          <w:tcPr>
            <w:tcW w:w="0" w:type="auto"/>
            <w:tcBorders>
              <w:top w:val="single" w:sz="4" w:space="0" w:color="auto"/>
              <w:bottom w:val="single" w:sz="4" w:space="0" w:color="auto"/>
            </w:tcBorders>
            <w:vAlign w:val="center"/>
            <w:hideMark/>
          </w:tcPr>
          <w:p w14:paraId="7D86330F" w14:textId="77777777" w:rsidR="00BB4FB4" w:rsidRPr="00BB4FB4" w:rsidRDefault="00E46864" w:rsidP="00DE1DBF">
            <w:pPr>
              <w:spacing w:line="360" w:lineRule="auto"/>
              <w:rPr>
                <w:rFonts w:ascii="Arial" w:hAnsi="Arial" w:cs="Arial"/>
                <w:b/>
              </w:rPr>
            </w:pPr>
            <w:r w:rsidRPr="00E46864">
              <w:rPr>
                <w:rFonts w:ascii="Arial" w:hAnsi="Arial" w:cs="Arial"/>
                <w:b/>
              </w:rPr>
              <w:t>Chemical parameters</w:t>
            </w:r>
          </w:p>
        </w:tc>
        <w:tc>
          <w:tcPr>
            <w:tcW w:w="4708" w:type="dxa"/>
            <w:tcBorders>
              <w:top w:val="single" w:sz="4" w:space="0" w:color="auto"/>
              <w:bottom w:val="single" w:sz="4" w:space="0" w:color="auto"/>
            </w:tcBorders>
            <w:vAlign w:val="center"/>
            <w:hideMark/>
          </w:tcPr>
          <w:p w14:paraId="2061BF29" w14:textId="77777777" w:rsidR="00BB4FB4" w:rsidRPr="00BB4FB4" w:rsidRDefault="002B413D" w:rsidP="00DE1DBF">
            <w:pPr>
              <w:spacing w:line="360" w:lineRule="auto"/>
              <w:jc w:val="center"/>
              <w:rPr>
                <w:rFonts w:ascii="Arial" w:hAnsi="Arial" w:cs="Arial"/>
                <w:b/>
              </w:rPr>
            </w:pPr>
            <w:r w:rsidRPr="002B413D">
              <w:rPr>
                <w:rFonts w:ascii="Arial" w:hAnsi="Arial" w:cs="Arial"/>
                <w:b/>
              </w:rPr>
              <w:t xml:space="preserve">Contents </w:t>
            </w:r>
            <w:r w:rsidR="00BB4FB4" w:rsidRPr="00BB4FB4">
              <w:rPr>
                <w:rFonts w:ascii="Arial" w:hAnsi="Arial" w:cs="Arial"/>
                <w:b/>
              </w:rPr>
              <w:t>(g/kg)</w:t>
            </w:r>
          </w:p>
        </w:tc>
      </w:tr>
      <w:tr w:rsidR="00BB4FB4" w:rsidRPr="00BB4FB4" w14:paraId="23ECDD58" w14:textId="77777777" w:rsidTr="00DE1DBF">
        <w:trPr>
          <w:trHeight w:val="525"/>
          <w:jc w:val="center"/>
        </w:trPr>
        <w:tc>
          <w:tcPr>
            <w:tcW w:w="0" w:type="auto"/>
            <w:tcBorders>
              <w:top w:val="single" w:sz="4" w:space="0" w:color="auto"/>
            </w:tcBorders>
            <w:vAlign w:val="center"/>
            <w:hideMark/>
          </w:tcPr>
          <w:p w14:paraId="585D53CC" w14:textId="77777777" w:rsidR="00BB4FB4" w:rsidRPr="00BB4FB4" w:rsidRDefault="002B413D" w:rsidP="00DE1DBF">
            <w:pPr>
              <w:rPr>
                <w:rFonts w:ascii="Arial" w:hAnsi="Arial" w:cs="Arial"/>
                <w:b/>
              </w:rPr>
            </w:pPr>
            <w:r w:rsidRPr="002B413D">
              <w:rPr>
                <w:rFonts w:ascii="Arial" w:hAnsi="Arial" w:cs="Arial"/>
                <w:b/>
              </w:rPr>
              <w:lastRenderedPageBreak/>
              <w:t>Dry matter</w:t>
            </w:r>
          </w:p>
        </w:tc>
        <w:tc>
          <w:tcPr>
            <w:tcW w:w="4708" w:type="dxa"/>
            <w:tcBorders>
              <w:top w:val="single" w:sz="4" w:space="0" w:color="auto"/>
            </w:tcBorders>
            <w:vAlign w:val="center"/>
            <w:hideMark/>
          </w:tcPr>
          <w:p w14:paraId="0F64AA7B" w14:textId="77777777" w:rsidR="00BB4FB4" w:rsidRPr="00BB4FB4" w:rsidRDefault="00BB4FB4" w:rsidP="00DE1DBF">
            <w:pPr>
              <w:jc w:val="center"/>
              <w:rPr>
                <w:rFonts w:ascii="Arial" w:hAnsi="Arial" w:cs="Arial"/>
                <w:bCs/>
              </w:rPr>
            </w:pPr>
            <w:r w:rsidRPr="00BB4FB4">
              <w:rPr>
                <w:rFonts w:ascii="Arial" w:hAnsi="Arial" w:cs="Arial"/>
                <w:bCs/>
              </w:rPr>
              <w:t xml:space="preserve">893.2 </w:t>
            </w:r>
            <w:r w:rsidRPr="00BB4FB4">
              <w:rPr>
                <w:rFonts w:ascii="Arial" w:hAnsi="Arial" w:cs="Arial"/>
              </w:rPr>
              <w:t>± 2.68</w:t>
            </w:r>
          </w:p>
        </w:tc>
      </w:tr>
      <w:tr w:rsidR="00BB4FB4" w:rsidRPr="00BB4FB4" w14:paraId="69B835F2" w14:textId="77777777" w:rsidTr="00DE1DBF">
        <w:trPr>
          <w:trHeight w:val="525"/>
          <w:jc w:val="center"/>
        </w:trPr>
        <w:tc>
          <w:tcPr>
            <w:tcW w:w="0" w:type="auto"/>
            <w:vAlign w:val="center"/>
            <w:hideMark/>
          </w:tcPr>
          <w:p w14:paraId="50F43656" w14:textId="77777777" w:rsidR="00BB4FB4" w:rsidRPr="00BB4FB4" w:rsidRDefault="002B413D" w:rsidP="00DE1DBF">
            <w:pPr>
              <w:rPr>
                <w:rFonts w:ascii="Arial" w:hAnsi="Arial" w:cs="Arial"/>
                <w:b/>
              </w:rPr>
            </w:pPr>
            <w:r w:rsidRPr="002B413D">
              <w:rPr>
                <w:rFonts w:ascii="Arial" w:hAnsi="Arial" w:cs="Arial"/>
                <w:b/>
              </w:rPr>
              <w:t>Fat content</w:t>
            </w:r>
          </w:p>
        </w:tc>
        <w:tc>
          <w:tcPr>
            <w:tcW w:w="4708" w:type="dxa"/>
            <w:vAlign w:val="center"/>
            <w:hideMark/>
          </w:tcPr>
          <w:p w14:paraId="43D55204" w14:textId="77777777" w:rsidR="00BB4FB4" w:rsidRPr="00BB4FB4" w:rsidRDefault="00BB4FB4" w:rsidP="00DE1DBF">
            <w:pPr>
              <w:jc w:val="center"/>
              <w:rPr>
                <w:rFonts w:ascii="Arial" w:hAnsi="Arial" w:cs="Arial"/>
                <w:bCs/>
              </w:rPr>
            </w:pPr>
            <w:r w:rsidRPr="00BB4FB4">
              <w:rPr>
                <w:rFonts w:ascii="Arial" w:hAnsi="Arial" w:cs="Arial"/>
                <w:bCs/>
              </w:rPr>
              <w:t xml:space="preserve">51.0 </w:t>
            </w:r>
            <w:r w:rsidRPr="00BB4FB4">
              <w:rPr>
                <w:rFonts w:ascii="Arial" w:hAnsi="Arial" w:cs="Arial"/>
              </w:rPr>
              <w:t>± 0.07</w:t>
            </w:r>
          </w:p>
        </w:tc>
      </w:tr>
      <w:tr w:rsidR="00BB4FB4" w:rsidRPr="00BB4FB4" w14:paraId="1C435232" w14:textId="77777777" w:rsidTr="00DE1DBF">
        <w:trPr>
          <w:trHeight w:val="525"/>
          <w:jc w:val="center"/>
        </w:trPr>
        <w:tc>
          <w:tcPr>
            <w:tcW w:w="0" w:type="auto"/>
            <w:vAlign w:val="center"/>
            <w:hideMark/>
          </w:tcPr>
          <w:p w14:paraId="5AFA8497" w14:textId="77777777" w:rsidR="00BB4FB4" w:rsidRPr="00BB4FB4" w:rsidRDefault="002B413D" w:rsidP="00DE1DBF">
            <w:pPr>
              <w:rPr>
                <w:rFonts w:ascii="Arial" w:hAnsi="Arial" w:cs="Arial"/>
                <w:b/>
              </w:rPr>
            </w:pPr>
            <w:r w:rsidRPr="002B413D">
              <w:rPr>
                <w:rFonts w:ascii="Arial" w:hAnsi="Arial" w:cs="Arial"/>
                <w:b/>
              </w:rPr>
              <w:t>Crude protein</w:t>
            </w:r>
          </w:p>
        </w:tc>
        <w:tc>
          <w:tcPr>
            <w:tcW w:w="4708" w:type="dxa"/>
            <w:vAlign w:val="center"/>
            <w:hideMark/>
          </w:tcPr>
          <w:p w14:paraId="57BD8279" w14:textId="77777777" w:rsidR="00BB4FB4" w:rsidRPr="00BB4FB4" w:rsidRDefault="00BB4FB4" w:rsidP="00DE1DBF">
            <w:pPr>
              <w:jc w:val="center"/>
              <w:rPr>
                <w:rFonts w:ascii="Arial" w:hAnsi="Arial" w:cs="Arial"/>
                <w:bCs/>
              </w:rPr>
            </w:pPr>
            <w:r w:rsidRPr="00BB4FB4">
              <w:rPr>
                <w:rFonts w:ascii="Arial" w:hAnsi="Arial" w:cs="Arial"/>
                <w:bCs/>
              </w:rPr>
              <w:t xml:space="preserve">105.7 </w:t>
            </w:r>
            <w:r w:rsidRPr="00BB4FB4">
              <w:rPr>
                <w:rFonts w:ascii="Arial" w:hAnsi="Arial" w:cs="Arial"/>
              </w:rPr>
              <w:t>± 0.07</w:t>
            </w:r>
          </w:p>
        </w:tc>
      </w:tr>
      <w:tr w:rsidR="00BB4FB4" w:rsidRPr="00BB4FB4" w14:paraId="2EA3656F" w14:textId="77777777" w:rsidTr="00DE1DBF">
        <w:trPr>
          <w:trHeight w:val="525"/>
          <w:jc w:val="center"/>
        </w:trPr>
        <w:tc>
          <w:tcPr>
            <w:tcW w:w="0" w:type="auto"/>
            <w:vAlign w:val="center"/>
            <w:hideMark/>
          </w:tcPr>
          <w:p w14:paraId="5DB513C4" w14:textId="77777777" w:rsidR="00BB4FB4" w:rsidRPr="00BB4FB4" w:rsidRDefault="002B413D" w:rsidP="00DE1DBF">
            <w:pPr>
              <w:rPr>
                <w:rFonts w:ascii="Arial" w:hAnsi="Arial" w:cs="Arial"/>
                <w:b/>
              </w:rPr>
            </w:pPr>
            <w:r w:rsidRPr="002B413D">
              <w:rPr>
                <w:rFonts w:ascii="Arial" w:hAnsi="Arial" w:cs="Arial"/>
                <w:b/>
              </w:rPr>
              <w:t>Total carbohydrates</w:t>
            </w:r>
          </w:p>
        </w:tc>
        <w:tc>
          <w:tcPr>
            <w:tcW w:w="4708" w:type="dxa"/>
            <w:vAlign w:val="center"/>
            <w:hideMark/>
          </w:tcPr>
          <w:p w14:paraId="06C42A9C" w14:textId="77777777" w:rsidR="00BB4FB4" w:rsidRPr="00BB4FB4" w:rsidRDefault="00BB4FB4" w:rsidP="00DE1DBF">
            <w:pPr>
              <w:jc w:val="center"/>
              <w:rPr>
                <w:rFonts w:ascii="Arial" w:hAnsi="Arial" w:cs="Arial"/>
                <w:bCs/>
              </w:rPr>
            </w:pPr>
            <w:bookmarkStart w:id="1" w:name="_Hlk235809834"/>
            <w:r w:rsidRPr="00BB4FB4">
              <w:rPr>
                <w:rFonts w:ascii="Arial" w:hAnsi="Arial" w:cs="Arial"/>
                <w:bCs/>
              </w:rPr>
              <w:t xml:space="preserve">709.2 </w:t>
            </w:r>
            <w:r w:rsidRPr="00BB4FB4">
              <w:rPr>
                <w:rFonts w:ascii="Arial" w:hAnsi="Arial" w:cs="Arial"/>
              </w:rPr>
              <w:t>± 2.18</w:t>
            </w:r>
            <w:bookmarkEnd w:id="1"/>
          </w:p>
        </w:tc>
      </w:tr>
      <w:tr w:rsidR="00BB4FB4" w:rsidRPr="00BB4FB4" w14:paraId="44CD83B5" w14:textId="77777777" w:rsidTr="00DE1DBF">
        <w:trPr>
          <w:trHeight w:val="525"/>
          <w:jc w:val="center"/>
        </w:trPr>
        <w:tc>
          <w:tcPr>
            <w:tcW w:w="0" w:type="auto"/>
            <w:vAlign w:val="center"/>
            <w:hideMark/>
          </w:tcPr>
          <w:p w14:paraId="4D772718" w14:textId="77777777" w:rsidR="00BB4FB4" w:rsidRPr="00BB4FB4" w:rsidRDefault="002B413D" w:rsidP="00DE1DBF">
            <w:pPr>
              <w:rPr>
                <w:rFonts w:ascii="Arial" w:hAnsi="Arial" w:cs="Arial"/>
                <w:b/>
              </w:rPr>
            </w:pPr>
            <w:r w:rsidRPr="002B413D">
              <w:rPr>
                <w:rFonts w:ascii="Arial" w:hAnsi="Arial" w:cs="Arial"/>
                <w:b/>
              </w:rPr>
              <w:t>Ashes</w:t>
            </w:r>
          </w:p>
        </w:tc>
        <w:tc>
          <w:tcPr>
            <w:tcW w:w="4708" w:type="dxa"/>
            <w:vAlign w:val="center"/>
            <w:hideMark/>
          </w:tcPr>
          <w:p w14:paraId="6F23A067" w14:textId="77777777" w:rsidR="00BB4FB4" w:rsidRPr="00BB4FB4" w:rsidRDefault="00BB4FB4" w:rsidP="00DE1DBF">
            <w:pPr>
              <w:jc w:val="center"/>
              <w:rPr>
                <w:rFonts w:ascii="Arial" w:hAnsi="Arial" w:cs="Arial"/>
                <w:bCs/>
              </w:rPr>
            </w:pPr>
            <w:r w:rsidRPr="00BB4FB4">
              <w:rPr>
                <w:rFonts w:ascii="Arial" w:hAnsi="Arial" w:cs="Arial"/>
                <w:bCs/>
              </w:rPr>
              <w:t xml:space="preserve">24.6 </w:t>
            </w:r>
            <w:r w:rsidRPr="00BB4FB4">
              <w:rPr>
                <w:rFonts w:ascii="Arial" w:hAnsi="Arial" w:cs="Arial"/>
              </w:rPr>
              <w:t>± 0.50</w:t>
            </w:r>
          </w:p>
        </w:tc>
      </w:tr>
      <w:tr w:rsidR="00BB4FB4" w:rsidRPr="00BB4FB4" w14:paraId="0E0C7178" w14:textId="77777777" w:rsidTr="00DE1DBF">
        <w:trPr>
          <w:trHeight w:val="525"/>
          <w:jc w:val="center"/>
        </w:trPr>
        <w:tc>
          <w:tcPr>
            <w:tcW w:w="0" w:type="auto"/>
            <w:vAlign w:val="center"/>
            <w:hideMark/>
          </w:tcPr>
          <w:p w14:paraId="1B428D00" w14:textId="77777777" w:rsidR="00BB4FB4" w:rsidRPr="00BB4FB4" w:rsidRDefault="002B413D" w:rsidP="00DE1DBF">
            <w:pPr>
              <w:rPr>
                <w:rFonts w:ascii="Arial" w:hAnsi="Arial" w:cs="Arial"/>
                <w:b/>
              </w:rPr>
            </w:pPr>
            <w:r w:rsidRPr="002B413D">
              <w:rPr>
                <w:rFonts w:ascii="Arial" w:hAnsi="Arial" w:cs="Arial"/>
                <w:b/>
              </w:rPr>
              <w:t xml:space="preserve">Crude </w:t>
            </w:r>
            <w:proofErr w:type="spellStart"/>
            <w:r w:rsidRPr="002B413D">
              <w:rPr>
                <w:rFonts w:ascii="Arial" w:hAnsi="Arial" w:cs="Arial"/>
                <w:b/>
              </w:rPr>
              <w:t>fibre</w:t>
            </w:r>
            <w:proofErr w:type="spellEnd"/>
          </w:p>
        </w:tc>
        <w:tc>
          <w:tcPr>
            <w:tcW w:w="4708" w:type="dxa"/>
            <w:vAlign w:val="center"/>
            <w:hideMark/>
          </w:tcPr>
          <w:p w14:paraId="6327EF19" w14:textId="77777777" w:rsidR="00BB4FB4" w:rsidRPr="00BB4FB4" w:rsidRDefault="00BB4FB4" w:rsidP="00DE1DBF">
            <w:pPr>
              <w:jc w:val="center"/>
              <w:rPr>
                <w:rFonts w:ascii="Arial" w:hAnsi="Arial" w:cs="Arial"/>
                <w:bCs/>
              </w:rPr>
            </w:pPr>
            <w:bookmarkStart w:id="2" w:name="_Hlk235809805"/>
            <w:r w:rsidRPr="00BB4FB4">
              <w:rPr>
                <w:rFonts w:ascii="Arial" w:hAnsi="Arial" w:cs="Arial"/>
                <w:bCs/>
              </w:rPr>
              <w:t xml:space="preserve">117.0 </w:t>
            </w:r>
            <w:r w:rsidRPr="00BB4FB4">
              <w:rPr>
                <w:rFonts w:ascii="Arial" w:hAnsi="Arial" w:cs="Arial"/>
              </w:rPr>
              <w:t>± 4.17</w:t>
            </w:r>
            <w:bookmarkEnd w:id="2"/>
          </w:p>
        </w:tc>
      </w:tr>
      <w:tr w:rsidR="00BB4FB4" w:rsidRPr="00BB4FB4" w14:paraId="484EE637" w14:textId="77777777" w:rsidTr="00DE1DBF">
        <w:trPr>
          <w:trHeight w:val="525"/>
          <w:jc w:val="center"/>
        </w:trPr>
        <w:tc>
          <w:tcPr>
            <w:tcW w:w="0" w:type="auto"/>
            <w:vAlign w:val="center"/>
            <w:hideMark/>
          </w:tcPr>
          <w:p w14:paraId="0E69C4D7" w14:textId="77777777" w:rsidR="00BB4FB4" w:rsidRPr="00BB4FB4" w:rsidRDefault="002B413D" w:rsidP="00DE1DBF">
            <w:pPr>
              <w:rPr>
                <w:rFonts w:ascii="Arial" w:hAnsi="Arial" w:cs="Arial"/>
                <w:b/>
              </w:rPr>
            </w:pPr>
            <w:proofErr w:type="spellStart"/>
            <w:r w:rsidRPr="002B413D">
              <w:rPr>
                <w:rFonts w:ascii="Arial" w:hAnsi="Arial" w:cs="Arial"/>
                <w:b/>
              </w:rPr>
              <w:t>Metabolisable</w:t>
            </w:r>
            <w:proofErr w:type="spellEnd"/>
            <w:r w:rsidRPr="002B413D">
              <w:rPr>
                <w:rFonts w:ascii="Arial" w:hAnsi="Arial" w:cs="Arial"/>
                <w:b/>
              </w:rPr>
              <w:t xml:space="preserve"> energy (kcal/kg)</w:t>
            </w:r>
          </w:p>
        </w:tc>
        <w:tc>
          <w:tcPr>
            <w:tcW w:w="4708" w:type="dxa"/>
            <w:vAlign w:val="center"/>
            <w:hideMark/>
          </w:tcPr>
          <w:p w14:paraId="0AB12115" w14:textId="77777777" w:rsidR="00BB4FB4" w:rsidRPr="00BB4FB4" w:rsidRDefault="00BB4FB4" w:rsidP="00DE1DBF">
            <w:pPr>
              <w:jc w:val="center"/>
              <w:rPr>
                <w:rFonts w:ascii="Arial" w:hAnsi="Arial" w:cs="Arial"/>
                <w:bCs/>
              </w:rPr>
            </w:pPr>
            <w:r w:rsidRPr="00BB4FB4">
              <w:rPr>
                <w:rFonts w:ascii="Arial" w:hAnsi="Arial" w:cs="Arial"/>
                <w:bCs/>
              </w:rPr>
              <w:t>3335</w:t>
            </w:r>
          </w:p>
        </w:tc>
      </w:tr>
    </w:tbl>
    <w:p w14:paraId="15E29FAE" w14:textId="77777777" w:rsidR="00376BBE" w:rsidRDefault="00376BBE" w:rsidP="00441B6F">
      <w:pPr>
        <w:pStyle w:val="Body"/>
        <w:spacing w:after="0"/>
        <w:rPr>
          <w:rFonts w:ascii="Arial" w:hAnsi="Arial" w:cs="Arial"/>
        </w:rPr>
      </w:pPr>
    </w:p>
    <w:p w14:paraId="32148591" w14:textId="77777777" w:rsidR="002B413D" w:rsidRDefault="002B413D" w:rsidP="002B413D">
      <w:pPr>
        <w:pStyle w:val="Body"/>
        <w:rPr>
          <w:rFonts w:ascii="Arial" w:hAnsi="Arial" w:cs="Arial"/>
        </w:rPr>
      </w:pPr>
      <w:r>
        <w:rPr>
          <w:rFonts w:ascii="Arial" w:hAnsi="Arial" w:cs="Arial"/>
        </w:rPr>
        <w:t xml:space="preserve">Table 3 shows the chemical composition of the diets used in this experiment. Analysis of this table indicates that the dry matter contents of diets A25 (90.33 per cent) and A50 (90.00 per cent) were higher than that of the control diet, which was 87.33 per cent. </w:t>
      </w:r>
      <w:r>
        <w:rPr>
          <w:rFonts w:ascii="Arial" w:hAnsi="Arial" w:cs="Arial"/>
          <w:highlight w:val="yellow"/>
        </w:rPr>
        <w:t>The</w:t>
      </w:r>
      <w:r>
        <w:rPr>
          <w:rFonts w:ascii="Arial" w:hAnsi="Arial" w:cs="Arial"/>
        </w:rPr>
        <w:t xml:space="preserve"> crude fibre content was broadly similar across the three diets, with levels of 3.00 per cent, 3.23 per cent and 3.53 per cent in diets At, A25 and A50</w:t>
      </w:r>
      <w:r>
        <w:rPr>
          <w:rFonts w:ascii="Arial" w:hAnsi="Arial" w:cs="Arial"/>
          <w:highlight w:val="yellow"/>
        </w:rPr>
        <w:t>,</w:t>
      </w:r>
      <w:r>
        <w:rPr>
          <w:rFonts w:ascii="Arial" w:hAnsi="Arial" w:cs="Arial"/>
        </w:rPr>
        <w:t xml:space="preserve"> respectively. The highest mineral content was recorded in the A25 diet (3.83%), whilst the lowest was observed in the control diet (3.50%). The crude protein content was highest in the control diet (19.56 per cent) and lowest in the A25 diet (11.63 per cent). </w:t>
      </w:r>
      <w:r>
        <w:rPr>
          <w:rFonts w:ascii="Arial" w:hAnsi="Arial" w:cs="Arial"/>
          <w:highlight w:val="yellow"/>
        </w:rPr>
        <w:t>Die</w:t>
      </w:r>
      <w:r>
        <w:rPr>
          <w:rFonts w:ascii="Arial" w:hAnsi="Arial" w:cs="Arial"/>
        </w:rPr>
        <w:t xml:space="preserve">t A25 recorded the lowest </w:t>
      </w:r>
      <w:r>
        <w:rPr>
          <w:rFonts w:ascii="Arial" w:hAnsi="Arial" w:cs="Arial"/>
          <w:highlight w:val="yellow"/>
        </w:rPr>
        <w:t>f</w:t>
      </w:r>
      <w:r>
        <w:rPr>
          <w:rFonts w:ascii="Arial" w:hAnsi="Arial" w:cs="Arial"/>
        </w:rPr>
        <w:t>a</w:t>
      </w:r>
      <w:r>
        <w:rPr>
          <w:rFonts w:ascii="Arial" w:hAnsi="Arial" w:cs="Arial"/>
          <w:highlight w:val="yellow"/>
        </w:rPr>
        <w:t>t cont</w:t>
      </w:r>
      <w:r>
        <w:rPr>
          <w:rFonts w:ascii="Arial" w:hAnsi="Arial" w:cs="Arial"/>
        </w:rPr>
        <w:t>e</w:t>
      </w:r>
      <w:r>
        <w:rPr>
          <w:rFonts w:ascii="Arial" w:hAnsi="Arial" w:cs="Arial"/>
          <w:highlight w:val="yellow"/>
        </w:rPr>
        <w:t>nt</w:t>
      </w:r>
      <w:r>
        <w:rPr>
          <w:rFonts w:ascii="Arial" w:hAnsi="Arial" w:cs="Arial"/>
        </w:rPr>
        <w:t xml:space="preserve"> (2.38 per cent), whilst the control </w:t>
      </w:r>
      <w:r>
        <w:rPr>
          <w:rFonts w:ascii="Arial" w:hAnsi="Arial" w:cs="Arial"/>
          <w:highlight w:val="yellow"/>
        </w:rPr>
        <w:t>di</w:t>
      </w:r>
      <w:r>
        <w:rPr>
          <w:rFonts w:ascii="Arial" w:hAnsi="Arial" w:cs="Arial"/>
        </w:rPr>
        <w:t>e</w:t>
      </w:r>
      <w:r>
        <w:rPr>
          <w:rFonts w:ascii="Arial" w:hAnsi="Arial" w:cs="Arial"/>
          <w:highlight w:val="yellow"/>
        </w:rPr>
        <w:t>t</w:t>
      </w:r>
      <w:r>
        <w:rPr>
          <w:rFonts w:ascii="Arial" w:hAnsi="Arial" w:cs="Arial"/>
        </w:rPr>
        <w:t xml:space="preserve"> had the highest value (3.49 per cent). Metabolisable energy was higher in the control diet, at 2,757.7 kcal/kg dry matter, whilst the tested diets were broadly similar, at 2,363.9 kcal/kg and 2,373.2 kcal/kg for diets A25 and A50</w:t>
      </w:r>
      <w:r>
        <w:rPr>
          <w:rFonts w:ascii="Arial" w:hAnsi="Arial" w:cs="Arial"/>
          <w:highlight w:val="yellow"/>
        </w:rPr>
        <w:t>,</w:t>
      </w:r>
      <w:r>
        <w:rPr>
          <w:rFonts w:ascii="Arial" w:hAnsi="Arial" w:cs="Arial"/>
        </w:rPr>
        <w:t xml:space="preserve"> respectively.</w:t>
      </w:r>
    </w:p>
    <w:p w14:paraId="5854DDB9" w14:textId="77777777" w:rsidR="00BB4FB4" w:rsidRDefault="002B413D" w:rsidP="002B413D">
      <w:pPr>
        <w:pStyle w:val="Body"/>
        <w:rPr>
          <w:rFonts w:ascii="Arial" w:hAnsi="Arial" w:cs="Arial"/>
        </w:rPr>
      </w:pPr>
      <w:r w:rsidRPr="002B413D">
        <w:rPr>
          <w:rFonts w:ascii="Arial" w:hAnsi="Arial" w:cs="Arial"/>
        </w:rPr>
        <w:t>Table 3. Chemical composition of the diets used during the experimental period</w:t>
      </w:r>
    </w:p>
    <w:tbl>
      <w:tblPr>
        <w:tblW w:w="8142" w:type="dxa"/>
        <w:jc w:val="center"/>
        <w:tblCellMar>
          <w:left w:w="70" w:type="dxa"/>
          <w:right w:w="70" w:type="dxa"/>
        </w:tblCellMar>
        <w:tblLook w:val="04A0" w:firstRow="1" w:lastRow="0" w:firstColumn="1" w:lastColumn="0" w:noHBand="0" w:noVBand="1"/>
      </w:tblPr>
      <w:tblGrid>
        <w:gridCol w:w="3427"/>
        <w:gridCol w:w="1793"/>
        <w:gridCol w:w="1461"/>
        <w:gridCol w:w="1461"/>
      </w:tblGrid>
      <w:tr w:rsidR="00BB4FB4" w:rsidRPr="00756873" w14:paraId="7E3D2176" w14:textId="77777777" w:rsidTr="00DE1DBF">
        <w:trPr>
          <w:trHeight w:val="310"/>
          <w:jc w:val="center"/>
        </w:trPr>
        <w:tc>
          <w:tcPr>
            <w:tcW w:w="3427" w:type="dxa"/>
            <w:tcBorders>
              <w:top w:val="single" w:sz="4" w:space="0" w:color="auto"/>
              <w:left w:val="nil"/>
              <w:bottom w:val="single" w:sz="4" w:space="0" w:color="auto"/>
              <w:right w:val="nil"/>
            </w:tcBorders>
            <w:noWrap/>
            <w:vAlign w:val="center"/>
            <w:hideMark/>
          </w:tcPr>
          <w:p w14:paraId="4ACAD813" w14:textId="77777777" w:rsidR="00BB4FB4" w:rsidRPr="00756873" w:rsidRDefault="00137CDA" w:rsidP="00DE1DBF">
            <w:pPr>
              <w:spacing w:line="480" w:lineRule="auto"/>
              <w:rPr>
                <w:rFonts w:ascii="Arial" w:hAnsi="Arial" w:cs="Arial"/>
                <w:color w:val="000000"/>
                <w:lang w:eastAsia="fr-FR"/>
              </w:rPr>
            </w:pPr>
            <w:r w:rsidRPr="00137CDA">
              <w:rPr>
                <w:rFonts w:ascii="Arial" w:hAnsi="Arial" w:cs="Arial"/>
                <w:color w:val="000000"/>
                <w:lang w:eastAsia="fr-FR"/>
              </w:rPr>
              <w:t>Chemical parameters</w:t>
            </w:r>
          </w:p>
        </w:tc>
        <w:tc>
          <w:tcPr>
            <w:tcW w:w="1793" w:type="dxa"/>
            <w:tcBorders>
              <w:top w:val="single" w:sz="4" w:space="0" w:color="auto"/>
              <w:left w:val="nil"/>
              <w:bottom w:val="single" w:sz="4" w:space="0" w:color="auto"/>
              <w:right w:val="nil"/>
            </w:tcBorders>
            <w:noWrap/>
            <w:vAlign w:val="center"/>
            <w:hideMark/>
          </w:tcPr>
          <w:p w14:paraId="62D030E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At</w:t>
            </w:r>
          </w:p>
          <w:p w14:paraId="67F0421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c>
          <w:tcPr>
            <w:tcW w:w="1461" w:type="dxa"/>
            <w:tcBorders>
              <w:top w:val="single" w:sz="4" w:space="0" w:color="auto"/>
              <w:left w:val="nil"/>
              <w:bottom w:val="single" w:sz="4" w:space="0" w:color="auto"/>
              <w:right w:val="nil"/>
            </w:tcBorders>
            <w:noWrap/>
            <w:vAlign w:val="center"/>
            <w:hideMark/>
          </w:tcPr>
          <w:p w14:paraId="07244D1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A25</w:t>
            </w:r>
          </w:p>
          <w:p w14:paraId="16AE31F1"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c>
          <w:tcPr>
            <w:tcW w:w="1461" w:type="dxa"/>
            <w:tcBorders>
              <w:top w:val="single" w:sz="4" w:space="0" w:color="auto"/>
              <w:left w:val="nil"/>
              <w:bottom w:val="single" w:sz="4" w:space="0" w:color="auto"/>
              <w:right w:val="nil"/>
            </w:tcBorders>
            <w:noWrap/>
            <w:vAlign w:val="center"/>
            <w:hideMark/>
          </w:tcPr>
          <w:p w14:paraId="33BEA213"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A50</w:t>
            </w:r>
          </w:p>
          <w:p w14:paraId="335C7D3B"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r>
      <w:tr w:rsidR="00BB4FB4" w:rsidRPr="00756873" w14:paraId="69BE673B" w14:textId="77777777" w:rsidTr="00DE1DBF">
        <w:trPr>
          <w:trHeight w:val="310"/>
          <w:jc w:val="center"/>
        </w:trPr>
        <w:tc>
          <w:tcPr>
            <w:tcW w:w="3427" w:type="dxa"/>
            <w:tcBorders>
              <w:top w:val="nil"/>
              <w:left w:val="nil"/>
              <w:bottom w:val="nil"/>
              <w:right w:val="nil"/>
            </w:tcBorders>
            <w:noWrap/>
            <w:vAlign w:val="center"/>
            <w:hideMark/>
          </w:tcPr>
          <w:p w14:paraId="0A39B4B1" w14:textId="77777777"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Dry matter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62D5917D"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87.33 ± 0.37</w:t>
            </w:r>
          </w:p>
        </w:tc>
        <w:tc>
          <w:tcPr>
            <w:tcW w:w="1461" w:type="dxa"/>
            <w:tcBorders>
              <w:top w:val="nil"/>
              <w:left w:val="nil"/>
              <w:bottom w:val="nil"/>
              <w:right w:val="nil"/>
            </w:tcBorders>
            <w:noWrap/>
            <w:vAlign w:val="center"/>
            <w:hideMark/>
          </w:tcPr>
          <w:p w14:paraId="363B422D"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90.33 ± 0.31</w:t>
            </w:r>
          </w:p>
        </w:tc>
        <w:tc>
          <w:tcPr>
            <w:tcW w:w="1461" w:type="dxa"/>
            <w:tcBorders>
              <w:top w:val="nil"/>
              <w:left w:val="nil"/>
              <w:bottom w:val="nil"/>
              <w:right w:val="nil"/>
            </w:tcBorders>
            <w:noWrap/>
            <w:vAlign w:val="center"/>
            <w:hideMark/>
          </w:tcPr>
          <w:p w14:paraId="1A66830E"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90.00 ± 0.33</w:t>
            </w:r>
          </w:p>
        </w:tc>
      </w:tr>
      <w:tr w:rsidR="00BB4FB4" w:rsidRPr="00756873" w14:paraId="2B2EAFBC" w14:textId="77777777" w:rsidTr="00DE1DBF">
        <w:trPr>
          <w:trHeight w:val="310"/>
          <w:jc w:val="center"/>
        </w:trPr>
        <w:tc>
          <w:tcPr>
            <w:tcW w:w="3427" w:type="dxa"/>
            <w:tcBorders>
              <w:top w:val="nil"/>
              <w:left w:val="nil"/>
              <w:bottom w:val="nil"/>
              <w:right w:val="nil"/>
            </w:tcBorders>
            <w:noWrap/>
            <w:vAlign w:val="center"/>
            <w:hideMark/>
          </w:tcPr>
          <w:p w14:paraId="488B36A6" w14:textId="77777777"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Mineral matter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1FBC4D95"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3.50 ± 0.31</w:t>
            </w:r>
          </w:p>
        </w:tc>
        <w:tc>
          <w:tcPr>
            <w:tcW w:w="1461" w:type="dxa"/>
            <w:tcBorders>
              <w:top w:val="nil"/>
              <w:left w:val="nil"/>
              <w:bottom w:val="nil"/>
              <w:right w:val="nil"/>
            </w:tcBorders>
            <w:noWrap/>
            <w:vAlign w:val="center"/>
            <w:hideMark/>
          </w:tcPr>
          <w:p w14:paraId="15F9075A"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3.83 ± 0.17</w:t>
            </w:r>
          </w:p>
        </w:tc>
        <w:tc>
          <w:tcPr>
            <w:tcW w:w="1461" w:type="dxa"/>
            <w:tcBorders>
              <w:top w:val="nil"/>
              <w:left w:val="nil"/>
              <w:bottom w:val="nil"/>
              <w:right w:val="nil"/>
            </w:tcBorders>
            <w:noWrap/>
            <w:vAlign w:val="center"/>
            <w:hideMark/>
          </w:tcPr>
          <w:p w14:paraId="0D9BC05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3.66 ± 0.11</w:t>
            </w:r>
          </w:p>
        </w:tc>
      </w:tr>
      <w:tr w:rsidR="00BB4FB4" w:rsidRPr="00756873" w14:paraId="028FDA34" w14:textId="77777777" w:rsidTr="00DE1DBF">
        <w:trPr>
          <w:trHeight w:val="310"/>
          <w:jc w:val="center"/>
        </w:trPr>
        <w:tc>
          <w:tcPr>
            <w:tcW w:w="3427" w:type="dxa"/>
            <w:tcBorders>
              <w:top w:val="nil"/>
              <w:left w:val="nil"/>
              <w:bottom w:val="nil"/>
              <w:right w:val="nil"/>
            </w:tcBorders>
            <w:noWrap/>
            <w:vAlign w:val="center"/>
            <w:hideMark/>
          </w:tcPr>
          <w:p w14:paraId="391888E1" w14:textId="77777777"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Crude protein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7D47E17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19.56 ± 0.27</w:t>
            </w:r>
          </w:p>
        </w:tc>
        <w:tc>
          <w:tcPr>
            <w:tcW w:w="1461" w:type="dxa"/>
            <w:tcBorders>
              <w:top w:val="nil"/>
              <w:left w:val="nil"/>
              <w:bottom w:val="nil"/>
              <w:right w:val="nil"/>
            </w:tcBorders>
            <w:noWrap/>
            <w:vAlign w:val="center"/>
            <w:hideMark/>
          </w:tcPr>
          <w:p w14:paraId="49A0DE15"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11.63 ± 0.21</w:t>
            </w:r>
          </w:p>
        </w:tc>
        <w:tc>
          <w:tcPr>
            <w:tcW w:w="1461" w:type="dxa"/>
            <w:tcBorders>
              <w:top w:val="nil"/>
              <w:left w:val="nil"/>
              <w:bottom w:val="nil"/>
              <w:right w:val="nil"/>
            </w:tcBorders>
            <w:noWrap/>
            <w:vAlign w:val="center"/>
            <w:hideMark/>
          </w:tcPr>
          <w:p w14:paraId="3B749549"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11.74 ± 0.27</w:t>
            </w:r>
          </w:p>
        </w:tc>
      </w:tr>
      <w:tr w:rsidR="00BB4FB4" w:rsidRPr="00756873" w14:paraId="3CEF8C09" w14:textId="77777777" w:rsidTr="00DE1DBF">
        <w:trPr>
          <w:trHeight w:val="310"/>
          <w:jc w:val="center"/>
        </w:trPr>
        <w:tc>
          <w:tcPr>
            <w:tcW w:w="3427" w:type="dxa"/>
            <w:tcBorders>
              <w:top w:val="nil"/>
              <w:left w:val="nil"/>
              <w:bottom w:val="nil"/>
              <w:right w:val="nil"/>
            </w:tcBorders>
            <w:noWrap/>
            <w:vAlign w:val="center"/>
            <w:hideMark/>
          </w:tcPr>
          <w:p w14:paraId="63B2B7B5" w14:textId="77777777"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Fat content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5A3E8B2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3.49 ± 0.45</w:t>
            </w:r>
          </w:p>
        </w:tc>
        <w:tc>
          <w:tcPr>
            <w:tcW w:w="1461" w:type="dxa"/>
            <w:tcBorders>
              <w:top w:val="nil"/>
              <w:left w:val="nil"/>
              <w:bottom w:val="nil"/>
              <w:right w:val="nil"/>
            </w:tcBorders>
            <w:noWrap/>
            <w:vAlign w:val="center"/>
            <w:hideMark/>
          </w:tcPr>
          <w:p w14:paraId="2C6D0CF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2.38 ± 0.13</w:t>
            </w:r>
          </w:p>
        </w:tc>
        <w:tc>
          <w:tcPr>
            <w:tcW w:w="1461" w:type="dxa"/>
            <w:tcBorders>
              <w:top w:val="nil"/>
              <w:left w:val="nil"/>
              <w:bottom w:val="nil"/>
              <w:right w:val="nil"/>
            </w:tcBorders>
            <w:noWrap/>
            <w:vAlign w:val="center"/>
            <w:hideMark/>
          </w:tcPr>
          <w:p w14:paraId="6E97499A"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2.45 ± 0.18</w:t>
            </w:r>
          </w:p>
        </w:tc>
      </w:tr>
      <w:tr w:rsidR="00BB4FB4" w:rsidRPr="00756873" w14:paraId="7B90E88E" w14:textId="77777777" w:rsidTr="00DE1DBF">
        <w:trPr>
          <w:trHeight w:val="310"/>
          <w:jc w:val="center"/>
        </w:trPr>
        <w:tc>
          <w:tcPr>
            <w:tcW w:w="3427" w:type="dxa"/>
            <w:tcBorders>
              <w:top w:val="nil"/>
              <w:left w:val="nil"/>
              <w:bottom w:val="nil"/>
              <w:right w:val="nil"/>
            </w:tcBorders>
            <w:noWrap/>
            <w:vAlign w:val="center"/>
            <w:hideMark/>
          </w:tcPr>
          <w:p w14:paraId="4CDC0F1C" w14:textId="77777777"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Crude </w:t>
            </w:r>
            <w:proofErr w:type="spellStart"/>
            <w:r w:rsidRPr="002B413D">
              <w:rPr>
                <w:rFonts w:ascii="Arial" w:hAnsi="Arial" w:cs="Arial"/>
                <w:color w:val="000000"/>
                <w:lang w:eastAsia="fr-FR"/>
              </w:rPr>
              <w:t>fibre</w:t>
            </w:r>
            <w:proofErr w:type="spellEnd"/>
            <w:r w:rsidRPr="002B413D">
              <w:rPr>
                <w:rFonts w:ascii="Arial" w:hAnsi="Arial" w:cs="Arial"/>
                <w:color w:val="000000"/>
                <w:lang w:eastAsia="fr-FR"/>
              </w:rPr>
              <w:t xml:space="preserve">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313C76D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3.00 ± 0.17</w:t>
            </w:r>
          </w:p>
        </w:tc>
        <w:tc>
          <w:tcPr>
            <w:tcW w:w="1461" w:type="dxa"/>
            <w:tcBorders>
              <w:top w:val="nil"/>
              <w:left w:val="nil"/>
              <w:bottom w:val="nil"/>
              <w:right w:val="nil"/>
            </w:tcBorders>
            <w:noWrap/>
            <w:vAlign w:val="center"/>
            <w:hideMark/>
          </w:tcPr>
          <w:p w14:paraId="77A815DB"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3.23 ± 0.10</w:t>
            </w:r>
          </w:p>
        </w:tc>
        <w:tc>
          <w:tcPr>
            <w:tcW w:w="1461" w:type="dxa"/>
            <w:tcBorders>
              <w:top w:val="nil"/>
              <w:left w:val="nil"/>
              <w:bottom w:val="nil"/>
              <w:right w:val="nil"/>
            </w:tcBorders>
            <w:noWrap/>
            <w:vAlign w:val="center"/>
            <w:hideMark/>
          </w:tcPr>
          <w:p w14:paraId="065B672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3.53 ± 0.11</w:t>
            </w:r>
          </w:p>
        </w:tc>
      </w:tr>
      <w:tr w:rsidR="00BB4FB4" w:rsidRPr="00756873" w14:paraId="1E1031E7" w14:textId="77777777" w:rsidTr="00DE1DBF">
        <w:trPr>
          <w:trHeight w:val="310"/>
          <w:jc w:val="center"/>
        </w:trPr>
        <w:tc>
          <w:tcPr>
            <w:tcW w:w="3427" w:type="dxa"/>
            <w:tcBorders>
              <w:top w:val="nil"/>
              <w:left w:val="nil"/>
              <w:bottom w:val="single" w:sz="4" w:space="0" w:color="auto"/>
              <w:right w:val="nil"/>
            </w:tcBorders>
            <w:noWrap/>
            <w:vAlign w:val="center"/>
            <w:hideMark/>
          </w:tcPr>
          <w:p w14:paraId="013681EE" w14:textId="77777777" w:rsidR="00BB4FB4" w:rsidRPr="00756873" w:rsidRDefault="002B413D" w:rsidP="00DE1DBF">
            <w:pPr>
              <w:spacing w:line="480" w:lineRule="auto"/>
              <w:rPr>
                <w:rFonts w:ascii="Arial" w:hAnsi="Arial" w:cs="Arial"/>
                <w:color w:val="000000"/>
                <w:lang w:eastAsia="fr-FR"/>
              </w:rPr>
            </w:pPr>
            <w:proofErr w:type="spellStart"/>
            <w:r w:rsidRPr="002B413D">
              <w:rPr>
                <w:rFonts w:ascii="Arial" w:hAnsi="Arial" w:cs="Arial"/>
                <w:color w:val="000000"/>
                <w:lang w:eastAsia="fr-FR"/>
              </w:rPr>
              <w:t>Metabolisable</w:t>
            </w:r>
            <w:proofErr w:type="spellEnd"/>
            <w:r w:rsidRPr="002B413D">
              <w:rPr>
                <w:rFonts w:ascii="Arial" w:hAnsi="Arial" w:cs="Arial"/>
                <w:color w:val="000000"/>
                <w:lang w:eastAsia="fr-FR"/>
              </w:rPr>
              <w:t xml:space="preserve"> energy </w:t>
            </w:r>
            <w:r w:rsidR="00BB4FB4" w:rsidRPr="00756873">
              <w:rPr>
                <w:rFonts w:ascii="Arial" w:hAnsi="Arial" w:cs="Arial"/>
                <w:color w:val="000000"/>
                <w:lang w:eastAsia="fr-FR"/>
              </w:rPr>
              <w:t>(kcal/kg)</w:t>
            </w:r>
          </w:p>
        </w:tc>
        <w:tc>
          <w:tcPr>
            <w:tcW w:w="1793" w:type="dxa"/>
            <w:tcBorders>
              <w:top w:val="nil"/>
              <w:left w:val="nil"/>
              <w:bottom w:val="single" w:sz="4" w:space="0" w:color="auto"/>
              <w:right w:val="nil"/>
            </w:tcBorders>
            <w:noWrap/>
            <w:vAlign w:val="center"/>
            <w:hideMark/>
          </w:tcPr>
          <w:p w14:paraId="2323422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2757.7</w:t>
            </w:r>
          </w:p>
        </w:tc>
        <w:tc>
          <w:tcPr>
            <w:tcW w:w="1461" w:type="dxa"/>
            <w:tcBorders>
              <w:top w:val="nil"/>
              <w:left w:val="nil"/>
              <w:bottom w:val="single" w:sz="4" w:space="0" w:color="auto"/>
              <w:right w:val="nil"/>
            </w:tcBorders>
            <w:noWrap/>
            <w:vAlign w:val="center"/>
            <w:hideMark/>
          </w:tcPr>
          <w:p w14:paraId="1AACCE73"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2363.9</w:t>
            </w:r>
          </w:p>
        </w:tc>
        <w:tc>
          <w:tcPr>
            <w:tcW w:w="1461" w:type="dxa"/>
            <w:tcBorders>
              <w:top w:val="nil"/>
              <w:left w:val="nil"/>
              <w:bottom w:val="single" w:sz="4" w:space="0" w:color="auto"/>
              <w:right w:val="nil"/>
            </w:tcBorders>
            <w:noWrap/>
            <w:vAlign w:val="center"/>
            <w:hideMark/>
          </w:tcPr>
          <w:p w14:paraId="7278C450"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2373.2</w:t>
            </w:r>
          </w:p>
        </w:tc>
      </w:tr>
    </w:tbl>
    <w:p w14:paraId="6E573E50" w14:textId="77777777" w:rsidR="00BB4FB4" w:rsidRDefault="00BB4FB4" w:rsidP="00441B6F">
      <w:pPr>
        <w:autoSpaceDE w:val="0"/>
        <w:autoSpaceDN w:val="0"/>
        <w:adjustRightInd w:val="0"/>
        <w:jc w:val="both"/>
        <w:rPr>
          <w:rFonts w:ascii="Arial" w:hAnsi="Arial" w:cs="Arial"/>
          <w:sz w:val="18"/>
          <w:szCs w:val="18"/>
        </w:rPr>
      </w:pPr>
      <w:r>
        <w:rPr>
          <w:rFonts w:ascii="Arial" w:hAnsi="Arial" w:cs="Arial"/>
          <w:sz w:val="18"/>
          <w:szCs w:val="18"/>
        </w:rPr>
        <w:t>*</w:t>
      </w:r>
      <w:r w:rsidR="002B413D" w:rsidRPr="002B413D">
        <w:t xml:space="preserve"> </w:t>
      </w:r>
      <w:r w:rsidR="002B413D" w:rsidRPr="002B413D">
        <w:rPr>
          <w:rFonts w:ascii="Arial" w:hAnsi="Arial" w:cs="Arial"/>
          <w:sz w:val="18"/>
          <w:szCs w:val="18"/>
        </w:rPr>
        <w:t>At: Feed containing 100% wheat bran; A25: Feed containing 25% cashew apple bagasse; A50: Feed containing 50% cashew apple bagasse.</w:t>
      </w:r>
    </w:p>
    <w:p w14:paraId="23FE6346" w14:textId="77777777" w:rsidR="002B413D" w:rsidRDefault="002B413D" w:rsidP="00441B6F">
      <w:pPr>
        <w:autoSpaceDE w:val="0"/>
        <w:autoSpaceDN w:val="0"/>
        <w:adjustRightInd w:val="0"/>
        <w:jc w:val="both"/>
        <w:rPr>
          <w:rFonts w:ascii="Arial" w:hAnsi="Arial" w:cs="Arial"/>
        </w:rPr>
      </w:pPr>
    </w:p>
    <w:p w14:paraId="71333098" w14:textId="77777777" w:rsidR="002B413D" w:rsidRDefault="002B413D" w:rsidP="00BB4FB4">
      <w:pPr>
        <w:autoSpaceDE w:val="0"/>
        <w:autoSpaceDN w:val="0"/>
        <w:adjustRightInd w:val="0"/>
        <w:jc w:val="both"/>
        <w:rPr>
          <w:rFonts w:ascii="Arial" w:hAnsi="Arial" w:cs="Arial"/>
        </w:rPr>
      </w:pPr>
      <w:r w:rsidRPr="002B413D">
        <w:rPr>
          <w:rFonts w:ascii="Arial" w:hAnsi="Arial" w:cs="Arial"/>
        </w:rPr>
        <w:t xml:space="preserve">3.2. Daily </w:t>
      </w:r>
      <w:r w:rsidR="00137CDA">
        <w:rPr>
          <w:rFonts w:ascii="Arial" w:hAnsi="Arial" w:cs="Arial"/>
        </w:rPr>
        <w:t>feed</w:t>
      </w:r>
      <w:r w:rsidRPr="002B413D">
        <w:rPr>
          <w:rFonts w:ascii="Arial" w:hAnsi="Arial" w:cs="Arial"/>
        </w:rPr>
        <w:t xml:space="preserve"> intake and the </w:t>
      </w:r>
      <w:r w:rsidRPr="00137CDA">
        <w:rPr>
          <w:rFonts w:ascii="Arial" w:hAnsi="Arial" w:cs="Arial"/>
        </w:rPr>
        <w:t>consumption index</w:t>
      </w:r>
      <w:r w:rsidRPr="002B413D">
        <w:rPr>
          <w:rFonts w:ascii="Arial" w:hAnsi="Arial" w:cs="Arial"/>
        </w:rPr>
        <w:t xml:space="preserve"> </w:t>
      </w:r>
    </w:p>
    <w:p w14:paraId="53DC31F3" w14:textId="77777777" w:rsidR="002B413D" w:rsidRPr="002B413D" w:rsidRDefault="002B413D" w:rsidP="002B413D">
      <w:pPr>
        <w:autoSpaceDE w:val="0"/>
        <w:autoSpaceDN w:val="0"/>
        <w:adjustRightInd w:val="0"/>
        <w:spacing w:after="240"/>
        <w:jc w:val="both"/>
        <w:rPr>
          <w:rFonts w:ascii="Arial" w:hAnsi="Arial" w:cs="Arial"/>
        </w:rPr>
      </w:pPr>
      <w:bookmarkStart w:id="3" w:name="_Hlk236658109"/>
      <w:r>
        <w:rPr>
          <w:rFonts w:ascii="Arial" w:hAnsi="Arial" w:cs="Arial"/>
        </w:rPr>
        <w:t xml:space="preserve">The mean values for daily feed intake and feed conversion ratios during the experimental period for the three experimental diets are shown in Table 4. The quail groups fed diets At, </w:t>
      </w:r>
      <w:r>
        <w:rPr>
          <w:rFonts w:ascii="Arial" w:hAnsi="Arial" w:cs="Arial"/>
        </w:rPr>
        <w:lastRenderedPageBreak/>
        <w:t>A25 and A50 consumed 17.48 ± 3.77 g/day, 19.76 ± 3.43 g/day and 17.44 ± 4.43 g/day</w:t>
      </w:r>
      <w:r>
        <w:rPr>
          <w:rFonts w:ascii="Arial" w:hAnsi="Arial" w:cs="Arial"/>
          <w:highlight w:val="yellow"/>
        </w:rPr>
        <w:t>,</w:t>
      </w:r>
      <w:r>
        <w:rPr>
          <w:rFonts w:ascii="Arial" w:hAnsi="Arial" w:cs="Arial"/>
        </w:rPr>
        <w:t xml:space="preserve"> respectively</w:t>
      </w:r>
      <w:r>
        <w:rPr>
          <w:rFonts w:ascii="Arial" w:hAnsi="Arial" w:cs="Arial"/>
          <w:highlight w:val="yellow"/>
        </w:rPr>
        <w:t>,</w:t>
      </w:r>
      <w:r>
        <w:rPr>
          <w:rFonts w:ascii="Arial" w:hAnsi="Arial" w:cs="Arial"/>
        </w:rPr>
        <w:t xml:space="preserve"> during the growth phase. </w:t>
      </w:r>
      <w:r>
        <w:rPr>
          <w:rFonts w:ascii="Arial" w:hAnsi="Arial" w:cs="Arial"/>
          <w:highlight w:val="yellow"/>
        </w:rPr>
        <w:t xml:space="preserve">Statistical analysis revealed higher feed intake (19.76 ± 3.43 g/day) in animals fed diet A25 (Tukey’s test, </w:t>
      </w:r>
      <w:r>
        <w:rPr>
          <w:rFonts w:ascii="Arial" w:hAnsi="Arial" w:cs="Arial"/>
          <w:i/>
          <w:iCs/>
          <w:highlight w:val="yellow"/>
        </w:rPr>
        <w:t>P</w:t>
      </w:r>
      <w:r>
        <w:rPr>
          <w:rFonts w:ascii="Arial" w:hAnsi="Arial" w:cs="Arial"/>
          <w:highlight w:val="yellow"/>
        </w:rPr>
        <w:t xml:space="preserve"> = 0.03) during the growth phase. However, feed intake in the At (21.66 ± 0.97 g/day) and A50 (21.16 ± 1.4 g/day) groups did not differ significantly according to Tukey’s test (</w:t>
      </w:r>
      <w:r>
        <w:rPr>
          <w:rFonts w:ascii="Arial" w:hAnsi="Arial" w:cs="Arial"/>
          <w:i/>
          <w:iCs/>
          <w:highlight w:val="yellow"/>
        </w:rPr>
        <w:t>P</w:t>
      </w:r>
      <w:r>
        <w:rPr>
          <w:rFonts w:ascii="Arial" w:hAnsi="Arial" w:cs="Arial"/>
          <w:highlight w:val="yellow"/>
        </w:rPr>
        <w:t xml:space="preserve"> = 0.57) during the finishing phase. Despite slightly lower values in the control group (19.32 ± 3.55 g/day) and the A50 group (19.07 ± 3.89 g/day) than in the A25 group (20.89 ± 2.98 g/day), average feed intake throughout the entire experimental phase did not differ significantly among the diets (Tukey’s test, </w:t>
      </w:r>
      <w:r>
        <w:rPr>
          <w:rFonts w:ascii="Arial" w:hAnsi="Arial" w:cs="Arial"/>
          <w:i/>
          <w:iCs/>
          <w:highlight w:val="yellow"/>
        </w:rPr>
        <w:t>P</w:t>
      </w:r>
      <w:r>
        <w:rPr>
          <w:rFonts w:ascii="Arial" w:hAnsi="Arial" w:cs="Arial"/>
          <w:highlight w:val="yellow"/>
        </w:rPr>
        <w:t xml:space="preserve"> = 0.79).</w:t>
      </w:r>
    </w:p>
    <w:bookmarkEnd w:id="3"/>
    <w:p w14:paraId="4175257F" w14:textId="77777777" w:rsidR="002B413D" w:rsidRPr="002B413D" w:rsidRDefault="002B413D" w:rsidP="002B413D">
      <w:pPr>
        <w:autoSpaceDE w:val="0"/>
        <w:autoSpaceDN w:val="0"/>
        <w:adjustRightInd w:val="0"/>
        <w:jc w:val="both"/>
        <w:rPr>
          <w:rFonts w:ascii="Arial" w:hAnsi="Arial" w:cs="Arial"/>
        </w:rPr>
      </w:pPr>
      <w:r>
        <w:rPr>
          <w:rFonts w:ascii="Arial" w:hAnsi="Arial" w:cs="Arial"/>
        </w:rPr>
        <w:t xml:space="preserve">As regards the consumption indices (CI) for the three diets, these were 2.81 ± 0.18 (At), 4.66 ± 1.49 (A25) and 6.54 ± 2.01 (A50) during the growth phase, with significantly </w:t>
      </w:r>
      <w:r>
        <w:rPr>
          <w:rFonts w:ascii="Arial" w:hAnsi="Arial" w:cs="Arial"/>
          <w:highlight w:val="yellow"/>
        </w:rPr>
        <w:t xml:space="preserve">lower CI values </w:t>
      </w:r>
      <w:r>
        <w:rPr>
          <w:rFonts w:ascii="Arial" w:hAnsi="Arial" w:cs="Arial"/>
        </w:rPr>
        <w:t>(</w:t>
      </w:r>
      <w:r>
        <w:rPr>
          <w:rFonts w:ascii="Arial" w:hAnsi="Arial" w:cs="Arial"/>
          <w:i/>
          <w:iCs/>
          <w:highlight w:val="yellow"/>
        </w:rPr>
        <w:t>P</w:t>
      </w:r>
      <w:r>
        <w:rPr>
          <w:rFonts w:ascii="Arial" w:hAnsi="Arial" w:cs="Arial"/>
          <w:highlight w:val="yellow"/>
        </w:rPr>
        <w:t xml:space="preserve"> = 0.05</w:t>
      </w:r>
      <w:r>
        <w:rPr>
          <w:rFonts w:ascii="Arial" w:hAnsi="Arial" w:cs="Arial"/>
        </w:rPr>
        <w:t xml:space="preserve">) for the At and A25 </w:t>
      </w:r>
      <w:r>
        <w:rPr>
          <w:rFonts w:ascii="Arial" w:hAnsi="Arial" w:cs="Arial"/>
          <w:highlight w:val="yellow"/>
        </w:rPr>
        <w:t>di</w:t>
      </w:r>
      <w:r>
        <w:rPr>
          <w:rFonts w:ascii="Arial" w:hAnsi="Arial" w:cs="Arial"/>
        </w:rPr>
        <w:t>e</w:t>
      </w:r>
      <w:r>
        <w:rPr>
          <w:rFonts w:ascii="Arial" w:hAnsi="Arial" w:cs="Arial"/>
          <w:highlight w:val="yellow"/>
        </w:rPr>
        <w:t>t</w:t>
      </w:r>
      <w:r>
        <w:rPr>
          <w:rFonts w:ascii="Arial" w:hAnsi="Arial" w:cs="Arial"/>
        </w:rPr>
        <w:t>s. During the finishing phase, they all differed statistically (</w:t>
      </w:r>
      <w:r>
        <w:rPr>
          <w:rFonts w:ascii="Arial" w:hAnsi="Arial" w:cs="Arial"/>
          <w:highlight w:val="yellow"/>
        </w:rPr>
        <w:t>Tukey’s test</w:t>
      </w:r>
      <w:r>
        <w:rPr>
          <w:rFonts w:ascii="Arial" w:hAnsi="Arial" w:cs="Arial"/>
        </w:rPr>
        <w:t xml:space="preserve">, </w:t>
      </w:r>
      <w:r>
        <w:rPr>
          <w:rFonts w:ascii="Arial" w:hAnsi="Arial" w:cs="Arial"/>
          <w:i/>
          <w:iCs/>
        </w:rPr>
        <w:t>P</w:t>
      </w:r>
      <w:r>
        <w:rPr>
          <w:rFonts w:ascii="Arial" w:hAnsi="Arial" w:cs="Arial"/>
        </w:rPr>
        <w:t xml:space="preserve"> = 0.05), with the highest value observed in the A50 diet (4.53 ± 0.46) and the lowest in the control diet (2.96 ± 0.03). Throughout the experimental phase, feed conversion ratios were low</w:t>
      </w:r>
      <w:r>
        <w:rPr>
          <w:rFonts w:ascii="Arial" w:hAnsi="Arial" w:cs="Arial"/>
          <w:highlight w:val="yellow"/>
        </w:rPr>
        <w:t>er</w:t>
      </w:r>
      <w:r>
        <w:rPr>
          <w:rFonts w:ascii="Arial" w:hAnsi="Arial" w:cs="Arial"/>
        </w:rPr>
        <w:t xml:space="preserve"> in animals </w:t>
      </w:r>
      <w:r>
        <w:rPr>
          <w:rFonts w:ascii="Arial" w:hAnsi="Arial" w:cs="Arial"/>
          <w:highlight w:val="yellow"/>
        </w:rPr>
        <w:t>fed</w:t>
      </w:r>
      <w:r>
        <w:rPr>
          <w:rFonts w:ascii="Arial" w:hAnsi="Arial" w:cs="Arial"/>
        </w:rPr>
        <w:t xml:space="preserve"> the control (2.88 ± 0.14) and A25 (3.94 ± 1.22) diets and high</w:t>
      </w:r>
      <w:r>
        <w:rPr>
          <w:rFonts w:ascii="Arial" w:hAnsi="Arial" w:cs="Arial"/>
          <w:highlight w:val="yellow"/>
        </w:rPr>
        <w:t>er</w:t>
      </w:r>
      <w:r>
        <w:rPr>
          <w:rFonts w:ascii="Arial" w:hAnsi="Arial" w:cs="Arial"/>
        </w:rPr>
        <w:t xml:space="preserve"> </w:t>
      </w:r>
      <w:r>
        <w:rPr>
          <w:rFonts w:ascii="Arial" w:hAnsi="Arial" w:cs="Arial"/>
          <w:highlight w:val="yellow"/>
        </w:rPr>
        <w:t xml:space="preserve">(Tukey’s test, </w:t>
      </w:r>
      <w:r>
        <w:rPr>
          <w:rFonts w:ascii="Arial" w:hAnsi="Arial" w:cs="Arial"/>
          <w:i/>
          <w:iCs/>
          <w:highlight w:val="yellow"/>
        </w:rPr>
        <w:t>P</w:t>
      </w:r>
      <w:r>
        <w:rPr>
          <w:rFonts w:ascii="Arial" w:hAnsi="Arial" w:cs="Arial"/>
          <w:highlight w:val="yellow"/>
        </w:rPr>
        <w:t xml:space="preserve"> = 0.05</w:t>
      </w:r>
      <w:r>
        <w:rPr>
          <w:rFonts w:ascii="Arial" w:hAnsi="Arial" w:cs="Arial"/>
        </w:rPr>
        <w:t xml:space="preserve">) in those </w:t>
      </w:r>
      <w:r>
        <w:rPr>
          <w:rFonts w:ascii="Arial" w:hAnsi="Arial" w:cs="Arial"/>
          <w:highlight w:val="yellow"/>
        </w:rPr>
        <w:t>fed</w:t>
      </w:r>
      <w:r>
        <w:rPr>
          <w:rFonts w:ascii="Arial" w:hAnsi="Arial" w:cs="Arial"/>
        </w:rPr>
        <w:t xml:space="preserve"> the A50 diet (5.54 ± 1.71).</w:t>
      </w:r>
    </w:p>
    <w:p w14:paraId="462C5A65" w14:textId="77777777" w:rsidR="00BB4FB4" w:rsidRPr="00BB4FB4" w:rsidRDefault="002B413D" w:rsidP="002B413D">
      <w:pPr>
        <w:autoSpaceDE w:val="0"/>
        <w:autoSpaceDN w:val="0"/>
        <w:adjustRightInd w:val="0"/>
        <w:spacing w:before="240"/>
        <w:jc w:val="both"/>
        <w:rPr>
          <w:rFonts w:ascii="Arial" w:hAnsi="Arial" w:cs="Arial"/>
        </w:rPr>
      </w:pPr>
      <w:r w:rsidRPr="002B413D">
        <w:rPr>
          <w:rFonts w:ascii="Arial" w:hAnsi="Arial" w:cs="Arial"/>
        </w:rPr>
        <w:t>Table 4. Feed intake and feed conversion ratio of quails on three different diets</w:t>
      </w:r>
    </w:p>
    <w:tbl>
      <w:tblPr>
        <w:tblW w:w="9840" w:type="dxa"/>
        <w:jc w:val="center"/>
        <w:tblCellMar>
          <w:left w:w="70" w:type="dxa"/>
          <w:right w:w="70" w:type="dxa"/>
        </w:tblCellMar>
        <w:tblLook w:val="04A0" w:firstRow="1" w:lastRow="0" w:firstColumn="1" w:lastColumn="0" w:noHBand="0" w:noVBand="1"/>
      </w:tblPr>
      <w:tblGrid>
        <w:gridCol w:w="3192"/>
        <w:gridCol w:w="1377"/>
        <w:gridCol w:w="2012"/>
        <w:gridCol w:w="1947"/>
        <w:gridCol w:w="1312"/>
      </w:tblGrid>
      <w:tr w:rsidR="00D6517A" w:rsidRPr="00D6517A" w14:paraId="17483BAF" w14:textId="77777777" w:rsidTr="00D6517A">
        <w:trPr>
          <w:trHeight w:val="518"/>
          <w:jc w:val="center"/>
        </w:trPr>
        <w:tc>
          <w:tcPr>
            <w:tcW w:w="3192" w:type="dxa"/>
            <w:vMerge w:val="restart"/>
            <w:tcBorders>
              <w:top w:val="single" w:sz="4" w:space="0" w:color="auto"/>
              <w:left w:val="nil"/>
              <w:bottom w:val="single" w:sz="4" w:space="0" w:color="000000"/>
              <w:right w:val="nil"/>
            </w:tcBorders>
            <w:noWrap/>
            <w:vAlign w:val="center"/>
            <w:hideMark/>
          </w:tcPr>
          <w:p w14:paraId="2E94A5B1"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Rearing period in days of age</w:t>
            </w:r>
          </w:p>
        </w:tc>
        <w:tc>
          <w:tcPr>
            <w:tcW w:w="1377" w:type="dxa"/>
            <w:tcBorders>
              <w:top w:val="single" w:sz="4" w:space="0" w:color="auto"/>
              <w:left w:val="nil"/>
              <w:bottom w:val="single" w:sz="4" w:space="0" w:color="auto"/>
              <w:right w:val="nil"/>
            </w:tcBorders>
            <w:vAlign w:val="center"/>
            <w:hideMark/>
          </w:tcPr>
          <w:p w14:paraId="17A53857" w14:textId="77777777" w:rsidR="00D6517A" w:rsidRPr="00D6517A" w:rsidRDefault="00D6517A" w:rsidP="00D6517A">
            <w:pPr>
              <w:spacing w:line="480" w:lineRule="auto"/>
              <w:jc w:val="center"/>
              <w:rPr>
                <w:rFonts w:ascii="Arial" w:hAnsi="Arial" w:cs="Arial"/>
                <w:color w:val="000000"/>
                <w:highlight w:val="yellow"/>
                <w:lang w:eastAsia="fr-FR"/>
              </w:rPr>
            </w:pPr>
            <w:r w:rsidRPr="00D6517A">
              <w:rPr>
                <w:rFonts w:ascii="Arial" w:hAnsi="Arial" w:cs="Arial"/>
                <w:color w:val="000000"/>
                <w:highlight w:val="yellow"/>
                <w:lang w:eastAsia="fr-FR"/>
              </w:rPr>
              <w:t>At</w:t>
            </w:r>
          </w:p>
          <w:p w14:paraId="386F2E8F"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N=90</w:t>
            </w:r>
          </w:p>
        </w:tc>
        <w:tc>
          <w:tcPr>
            <w:tcW w:w="2012" w:type="dxa"/>
            <w:tcBorders>
              <w:top w:val="single" w:sz="4" w:space="0" w:color="auto"/>
              <w:left w:val="nil"/>
              <w:bottom w:val="single" w:sz="4" w:space="0" w:color="auto"/>
              <w:right w:val="nil"/>
            </w:tcBorders>
            <w:vAlign w:val="center"/>
            <w:hideMark/>
          </w:tcPr>
          <w:p w14:paraId="1C59EC55" w14:textId="77777777" w:rsidR="00D6517A" w:rsidRPr="00D6517A" w:rsidRDefault="00D6517A" w:rsidP="00D6517A">
            <w:pPr>
              <w:spacing w:line="480" w:lineRule="auto"/>
              <w:jc w:val="center"/>
              <w:rPr>
                <w:rFonts w:ascii="Arial" w:hAnsi="Arial" w:cs="Arial"/>
                <w:color w:val="000000"/>
                <w:highlight w:val="yellow"/>
                <w:lang w:eastAsia="fr-FR"/>
              </w:rPr>
            </w:pPr>
            <w:r w:rsidRPr="00D6517A">
              <w:rPr>
                <w:rFonts w:ascii="Arial" w:hAnsi="Arial" w:cs="Arial"/>
                <w:color w:val="000000"/>
                <w:highlight w:val="yellow"/>
                <w:lang w:eastAsia="fr-FR"/>
              </w:rPr>
              <w:t>A25</w:t>
            </w:r>
          </w:p>
          <w:p w14:paraId="40CC3E30"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N=90</w:t>
            </w:r>
          </w:p>
        </w:tc>
        <w:tc>
          <w:tcPr>
            <w:tcW w:w="1946" w:type="dxa"/>
            <w:tcBorders>
              <w:top w:val="single" w:sz="4" w:space="0" w:color="auto"/>
              <w:left w:val="nil"/>
              <w:bottom w:val="single" w:sz="4" w:space="0" w:color="auto"/>
              <w:right w:val="nil"/>
            </w:tcBorders>
            <w:vAlign w:val="center"/>
            <w:hideMark/>
          </w:tcPr>
          <w:p w14:paraId="767A91F3" w14:textId="77777777" w:rsidR="00D6517A" w:rsidRPr="00D6517A" w:rsidRDefault="00D6517A" w:rsidP="00D6517A">
            <w:pPr>
              <w:spacing w:line="480" w:lineRule="auto"/>
              <w:jc w:val="center"/>
              <w:rPr>
                <w:rFonts w:ascii="Arial" w:hAnsi="Arial" w:cs="Arial"/>
                <w:color w:val="000000"/>
                <w:highlight w:val="yellow"/>
                <w:lang w:eastAsia="fr-FR"/>
              </w:rPr>
            </w:pPr>
            <w:r w:rsidRPr="00D6517A">
              <w:rPr>
                <w:rFonts w:ascii="Arial" w:hAnsi="Arial" w:cs="Arial"/>
                <w:color w:val="000000"/>
                <w:highlight w:val="yellow"/>
                <w:lang w:eastAsia="fr-FR"/>
              </w:rPr>
              <w:t>A50</w:t>
            </w:r>
          </w:p>
          <w:p w14:paraId="573E014D"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N=90</w:t>
            </w:r>
          </w:p>
        </w:tc>
        <w:tc>
          <w:tcPr>
            <w:tcW w:w="1312" w:type="dxa"/>
            <w:vMerge w:val="restart"/>
            <w:tcBorders>
              <w:top w:val="single" w:sz="4" w:space="0" w:color="auto"/>
              <w:left w:val="nil"/>
              <w:bottom w:val="single" w:sz="4" w:space="0" w:color="000000"/>
              <w:right w:val="nil"/>
            </w:tcBorders>
            <w:noWrap/>
            <w:vAlign w:val="center"/>
            <w:hideMark/>
          </w:tcPr>
          <w:p w14:paraId="00C4C1B7" w14:textId="77777777" w:rsidR="00D6517A" w:rsidRPr="00D6517A" w:rsidRDefault="00D6517A" w:rsidP="00D6517A">
            <w:pPr>
              <w:spacing w:line="480" w:lineRule="auto"/>
              <w:jc w:val="center"/>
              <w:rPr>
                <w:rFonts w:ascii="Arial" w:hAnsi="Arial" w:cs="Arial"/>
                <w:i/>
                <w:iCs/>
                <w:color w:val="000000"/>
                <w:highlight w:val="yellow"/>
                <w:lang w:val="fr-FR" w:eastAsia="fr-FR"/>
              </w:rPr>
            </w:pPr>
            <w:r w:rsidRPr="00D6517A">
              <w:rPr>
                <w:rFonts w:ascii="Arial" w:hAnsi="Arial" w:cs="Arial"/>
                <w:i/>
                <w:iCs/>
                <w:color w:val="000000" w:themeColor="text1"/>
                <w:highlight w:val="yellow"/>
                <w:lang w:eastAsia="fr-FR"/>
              </w:rPr>
              <w:t>P-value</w:t>
            </w:r>
          </w:p>
        </w:tc>
      </w:tr>
      <w:tr w:rsidR="00D6517A" w:rsidRPr="00D6517A" w14:paraId="727D66B9" w14:textId="77777777" w:rsidTr="00D6517A">
        <w:trPr>
          <w:trHeight w:val="320"/>
          <w:jc w:val="center"/>
        </w:trPr>
        <w:tc>
          <w:tcPr>
            <w:tcW w:w="3192" w:type="dxa"/>
            <w:vMerge/>
            <w:tcBorders>
              <w:top w:val="single" w:sz="4" w:space="0" w:color="auto"/>
              <w:left w:val="nil"/>
              <w:bottom w:val="single" w:sz="4" w:space="0" w:color="000000"/>
              <w:right w:val="nil"/>
            </w:tcBorders>
            <w:vAlign w:val="center"/>
            <w:hideMark/>
          </w:tcPr>
          <w:p w14:paraId="492676E0" w14:textId="77777777" w:rsidR="00D6517A" w:rsidRPr="00D6517A" w:rsidRDefault="00D6517A" w:rsidP="00D6517A">
            <w:pPr>
              <w:spacing w:line="480" w:lineRule="auto"/>
              <w:rPr>
                <w:rFonts w:ascii="Arial" w:hAnsi="Arial" w:cs="Arial"/>
                <w:color w:val="000000"/>
                <w:highlight w:val="yellow"/>
                <w:lang w:val="fr-FR" w:eastAsia="fr-FR"/>
              </w:rPr>
            </w:pPr>
          </w:p>
        </w:tc>
        <w:tc>
          <w:tcPr>
            <w:tcW w:w="5336" w:type="dxa"/>
            <w:gridSpan w:val="3"/>
            <w:tcBorders>
              <w:top w:val="nil"/>
              <w:left w:val="nil"/>
              <w:bottom w:val="single" w:sz="4" w:space="0" w:color="auto"/>
              <w:right w:val="nil"/>
            </w:tcBorders>
            <w:vAlign w:val="center"/>
            <w:hideMark/>
          </w:tcPr>
          <w:p w14:paraId="63AB4D98"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Ingested food (g/j)</w:t>
            </w:r>
          </w:p>
        </w:tc>
        <w:tc>
          <w:tcPr>
            <w:tcW w:w="1312" w:type="dxa"/>
            <w:vMerge/>
            <w:tcBorders>
              <w:top w:val="single" w:sz="4" w:space="0" w:color="auto"/>
              <w:left w:val="nil"/>
              <w:bottom w:val="single" w:sz="4" w:space="0" w:color="000000"/>
              <w:right w:val="nil"/>
            </w:tcBorders>
            <w:vAlign w:val="center"/>
            <w:hideMark/>
          </w:tcPr>
          <w:p w14:paraId="3DCCBD0D" w14:textId="77777777" w:rsidR="00D6517A" w:rsidRPr="00D6517A" w:rsidRDefault="00D6517A" w:rsidP="00D6517A">
            <w:pPr>
              <w:spacing w:line="480" w:lineRule="auto"/>
              <w:rPr>
                <w:rFonts w:ascii="Arial" w:hAnsi="Arial" w:cs="Arial"/>
                <w:i/>
                <w:iCs/>
                <w:color w:val="000000"/>
                <w:highlight w:val="yellow"/>
                <w:lang w:val="fr-FR" w:eastAsia="fr-FR"/>
              </w:rPr>
            </w:pPr>
          </w:p>
        </w:tc>
      </w:tr>
      <w:tr w:rsidR="00D6517A" w:rsidRPr="00D6517A" w14:paraId="6B5BE4B9" w14:textId="77777777" w:rsidTr="00D6517A">
        <w:trPr>
          <w:trHeight w:val="305"/>
          <w:jc w:val="center"/>
        </w:trPr>
        <w:tc>
          <w:tcPr>
            <w:tcW w:w="3192" w:type="dxa"/>
            <w:tcBorders>
              <w:top w:val="nil"/>
              <w:left w:val="nil"/>
              <w:bottom w:val="nil"/>
              <w:right w:val="nil"/>
            </w:tcBorders>
            <w:noWrap/>
            <w:vAlign w:val="center"/>
            <w:hideMark/>
          </w:tcPr>
          <w:p w14:paraId="4FDAC097"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Growth (15 à 28 days)</w:t>
            </w:r>
          </w:p>
        </w:tc>
        <w:tc>
          <w:tcPr>
            <w:tcW w:w="1377" w:type="dxa"/>
            <w:tcBorders>
              <w:top w:val="nil"/>
              <w:left w:val="nil"/>
              <w:bottom w:val="nil"/>
              <w:right w:val="nil"/>
            </w:tcBorders>
            <w:noWrap/>
            <w:vAlign w:val="center"/>
            <w:hideMark/>
          </w:tcPr>
          <w:p w14:paraId="161B4497"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17.48 ± 3.77</w:t>
            </w:r>
            <w:r w:rsidRPr="00D6517A">
              <w:rPr>
                <w:rFonts w:ascii="Arial" w:hAnsi="Arial" w:cs="Arial"/>
                <w:color w:val="000000"/>
                <w:highlight w:val="yellow"/>
                <w:vertAlign w:val="superscript"/>
                <w:lang w:eastAsia="fr-FR"/>
              </w:rPr>
              <w:t>a</w:t>
            </w:r>
          </w:p>
        </w:tc>
        <w:tc>
          <w:tcPr>
            <w:tcW w:w="2012" w:type="dxa"/>
            <w:tcBorders>
              <w:top w:val="nil"/>
              <w:left w:val="nil"/>
              <w:bottom w:val="nil"/>
              <w:right w:val="nil"/>
            </w:tcBorders>
            <w:noWrap/>
            <w:vAlign w:val="center"/>
            <w:hideMark/>
          </w:tcPr>
          <w:p w14:paraId="2F22FF44"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19.76 ± 3.43</w:t>
            </w:r>
            <w:r w:rsidRPr="00D6517A">
              <w:rPr>
                <w:rFonts w:ascii="Arial" w:hAnsi="Arial" w:cs="Arial"/>
                <w:color w:val="000000"/>
                <w:highlight w:val="yellow"/>
                <w:vertAlign w:val="superscript"/>
                <w:lang w:eastAsia="fr-FR"/>
              </w:rPr>
              <w:t>b</w:t>
            </w:r>
          </w:p>
        </w:tc>
        <w:tc>
          <w:tcPr>
            <w:tcW w:w="1946" w:type="dxa"/>
            <w:tcBorders>
              <w:top w:val="nil"/>
              <w:left w:val="nil"/>
              <w:bottom w:val="nil"/>
              <w:right w:val="nil"/>
            </w:tcBorders>
            <w:vAlign w:val="center"/>
            <w:hideMark/>
          </w:tcPr>
          <w:p w14:paraId="6CA7A632"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17.44 ± 4.43</w:t>
            </w:r>
            <w:r w:rsidRPr="00D6517A">
              <w:rPr>
                <w:rFonts w:ascii="Arial" w:hAnsi="Arial" w:cs="Arial"/>
                <w:color w:val="000000"/>
                <w:highlight w:val="yellow"/>
                <w:vertAlign w:val="superscript"/>
                <w:lang w:eastAsia="fr-FR"/>
              </w:rPr>
              <w:t>a</w:t>
            </w:r>
          </w:p>
        </w:tc>
        <w:tc>
          <w:tcPr>
            <w:tcW w:w="1312" w:type="dxa"/>
            <w:tcBorders>
              <w:top w:val="nil"/>
              <w:left w:val="nil"/>
              <w:bottom w:val="nil"/>
              <w:right w:val="nil"/>
            </w:tcBorders>
            <w:noWrap/>
            <w:vAlign w:val="center"/>
            <w:hideMark/>
          </w:tcPr>
          <w:p w14:paraId="769FCBD7"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0.03</w:t>
            </w:r>
          </w:p>
        </w:tc>
      </w:tr>
      <w:tr w:rsidR="00D6517A" w:rsidRPr="00D6517A" w14:paraId="63B652EE" w14:textId="77777777" w:rsidTr="00D6517A">
        <w:trPr>
          <w:trHeight w:val="305"/>
          <w:jc w:val="center"/>
        </w:trPr>
        <w:tc>
          <w:tcPr>
            <w:tcW w:w="3192" w:type="dxa"/>
            <w:tcBorders>
              <w:top w:val="nil"/>
              <w:left w:val="nil"/>
              <w:bottom w:val="nil"/>
              <w:right w:val="nil"/>
            </w:tcBorders>
            <w:noWrap/>
            <w:vAlign w:val="center"/>
            <w:hideMark/>
          </w:tcPr>
          <w:p w14:paraId="3F628385"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Finish (29 à 42 days)</w:t>
            </w:r>
          </w:p>
        </w:tc>
        <w:tc>
          <w:tcPr>
            <w:tcW w:w="1377" w:type="dxa"/>
            <w:tcBorders>
              <w:top w:val="nil"/>
              <w:left w:val="nil"/>
              <w:bottom w:val="nil"/>
              <w:right w:val="nil"/>
            </w:tcBorders>
            <w:noWrap/>
            <w:vAlign w:val="center"/>
            <w:hideMark/>
          </w:tcPr>
          <w:p w14:paraId="415C57F6"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21.66 ± 0.97</w:t>
            </w:r>
            <w:r w:rsidRPr="00D6517A">
              <w:rPr>
                <w:rFonts w:ascii="Arial" w:hAnsi="Arial" w:cs="Arial"/>
                <w:color w:val="000000"/>
                <w:highlight w:val="yellow"/>
                <w:vertAlign w:val="superscript"/>
                <w:lang w:eastAsia="fr-FR"/>
              </w:rPr>
              <w:t>a</w:t>
            </w:r>
          </w:p>
        </w:tc>
        <w:tc>
          <w:tcPr>
            <w:tcW w:w="2012" w:type="dxa"/>
            <w:tcBorders>
              <w:top w:val="nil"/>
              <w:left w:val="nil"/>
              <w:bottom w:val="nil"/>
              <w:right w:val="nil"/>
            </w:tcBorders>
            <w:noWrap/>
            <w:vAlign w:val="center"/>
            <w:hideMark/>
          </w:tcPr>
          <w:p w14:paraId="0EA75F9F"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22.33 ± 1.39</w:t>
            </w:r>
            <w:r w:rsidRPr="00D6517A">
              <w:rPr>
                <w:rFonts w:ascii="Arial" w:hAnsi="Arial" w:cs="Arial"/>
                <w:color w:val="000000"/>
                <w:highlight w:val="yellow"/>
                <w:vertAlign w:val="superscript"/>
                <w:lang w:eastAsia="fr-FR"/>
              </w:rPr>
              <w:t>a</w:t>
            </w:r>
          </w:p>
        </w:tc>
        <w:tc>
          <w:tcPr>
            <w:tcW w:w="1946" w:type="dxa"/>
            <w:tcBorders>
              <w:top w:val="nil"/>
              <w:left w:val="nil"/>
              <w:bottom w:val="nil"/>
              <w:right w:val="nil"/>
            </w:tcBorders>
            <w:vAlign w:val="center"/>
            <w:hideMark/>
          </w:tcPr>
          <w:p w14:paraId="460C15C7"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21.16 ± 1.47</w:t>
            </w:r>
            <w:r w:rsidRPr="00D6517A">
              <w:rPr>
                <w:rFonts w:ascii="Arial" w:hAnsi="Arial" w:cs="Arial"/>
                <w:color w:val="000000"/>
                <w:highlight w:val="yellow"/>
                <w:vertAlign w:val="superscript"/>
                <w:lang w:eastAsia="fr-FR"/>
              </w:rPr>
              <w:t>a</w:t>
            </w:r>
          </w:p>
        </w:tc>
        <w:tc>
          <w:tcPr>
            <w:tcW w:w="1312" w:type="dxa"/>
            <w:tcBorders>
              <w:top w:val="nil"/>
              <w:left w:val="nil"/>
              <w:bottom w:val="nil"/>
              <w:right w:val="nil"/>
            </w:tcBorders>
            <w:noWrap/>
            <w:vAlign w:val="center"/>
            <w:hideMark/>
          </w:tcPr>
          <w:p w14:paraId="58AC43EA"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0.57</w:t>
            </w:r>
          </w:p>
        </w:tc>
      </w:tr>
      <w:tr w:rsidR="00D6517A" w:rsidRPr="00D6517A" w14:paraId="3E57E9A7" w14:textId="77777777" w:rsidTr="00D6517A">
        <w:trPr>
          <w:trHeight w:val="305"/>
          <w:jc w:val="center"/>
        </w:trPr>
        <w:tc>
          <w:tcPr>
            <w:tcW w:w="3192" w:type="dxa"/>
            <w:tcBorders>
              <w:top w:val="nil"/>
              <w:left w:val="nil"/>
              <w:bottom w:val="nil"/>
              <w:right w:val="nil"/>
            </w:tcBorders>
            <w:noWrap/>
            <w:vAlign w:val="center"/>
            <w:hideMark/>
          </w:tcPr>
          <w:p w14:paraId="64985604"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Breeding (15 à 42 days)</w:t>
            </w:r>
          </w:p>
        </w:tc>
        <w:tc>
          <w:tcPr>
            <w:tcW w:w="1377" w:type="dxa"/>
            <w:tcBorders>
              <w:top w:val="nil"/>
              <w:left w:val="nil"/>
              <w:bottom w:val="nil"/>
              <w:right w:val="nil"/>
            </w:tcBorders>
            <w:noWrap/>
            <w:vAlign w:val="center"/>
            <w:hideMark/>
          </w:tcPr>
          <w:p w14:paraId="4328C453"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19.32 ± 3.55</w:t>
            </w:r>
            <w:r w:rsidRPr="00D6517A">
              <w:rPr>
                <w:rFonts w:ascii="Arial" w:hAnsi="Arial" w:cs="Arial"/>
                <w:color w:val="000000"/>
                <w:highlight w:val="yellow"/>
                <w:vertAlign w:val="superscript"/>
                <w:lang w:eastAsia="fr-FR"/>
              </w:rPr>
              <w:t>a</w:t>
            </w:r>
          </w:p>
        </w:tc>
        <w:tc>
          <w:tcPr>
            <w:tcW w:w="2012" w:type="dxa"/>
            <w:tcBorders>
              <w:top w:val="nil"/>
              <w:left w:val="nil"/>
              <w:bottom w:val="nil"/>
              <w:right w:val="nil"/>
            </w:tcBorders>
            <w:noWrap/>
            <w:vAlign w:val="center"/>
            <w:hideMark/>
          </w:tcPr>
          <w:p w14:paraId="0E007B13"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20.89 ± 2.98</w:t>
            </w:r>
            <w:r w:rsidRPr="00D6517A">
              <w:rPr>
                <w:rFonts w:ascii="Arial" w:hAnsi="Arial" w:cs="Arial"/>
                <w:color w:val="000000"/>
                <w:highlight w:val="yellow"/>
                <w:vertAlign w:val="superscript"/>
                <w:lang w:eastAsia="fr-FR"/>
              </w:rPr>
              <w:t>a</w:t>
            </w:r>
          </w:p>
        </w:tc>
        <w:tc>
          <w:tcPr>
            <w:tcW w:w="1946" w:type="dxa"/>
            <w:tcBorders>
              <w:top w:val="nil"/>
              <w:left w:val="nil"/>
              <w:bottom w:val="nil"/>
              <w:right w:val="nil"/>
            </w:tcBorders>
            <w:vAlign w:val="center"/>
            <w:hideMark/>
          </w:tcPr>
          <w:p w14:paraId="437E2FFD"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19.07 ± 3.89</w:t>
            </w:r>
            <w:r w:rsidRPr="00D6517A">
              <w:rPr>
                <w:rFonts w:ascii="Arial" w:hAnsi="Arial" w:cs="Arial"/>
                <w:color w:val="000000"/>
                <w:highlight w:val="yellow"/>
                <w:vertAlign w:val="superscript"/>
                <w:lang w:eastAsia="fr-FR"/>
              </w:rPr>
              <w:t>a</w:t>
            </w:r>
          </w:p>
        </w:tc>
        <w:tc>
          <w:tcPr>
            <w:tcW w:w="1312" w:type="dxa"/>
            <w:tcBorders>
              <w:top w:val="nil"/>
              <w:left w:val="nil"/>
              <w:bottom w:val="nil"/>
              <w:right w:val="nil"/>
            </w:tcBorders>
            <w:noWrap/>
            <w:vAlign w:val="center"/>
            <w:hideMark/>
          </w:tcPr>
          <w:p w14:paraId="5B03DD91"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0.79</w:t>
            </w:r>
          </w:p>
        </w:tc>
      </w:tr>
      <w:tr w:rsidR="00D6517A" w:rsidRPr="00D6517A" w14:paraId="64788D3D" w14:textId="77777777" w:rsidTr="00D6517A">
        <w:trPr>
          <w:trHeight w:val="320"/>
          <w:jc w:val="center"/>
        </w:trPr>
        <w:tc>
          <w:tcPr>
            <w:tcW w:w="3192" w:type="dxa"/>
            <w:tcBorders>
              <w:top w:val="nil"/>
              <w:left w:val="nil"/>
              <w:bottom w:val="nil"/>
              <w:right w:val="nil"/>
            </w:tcBorders>
            <w:noWrap/>
            <w:vAlign w:val="center"/>
            <w:hideMark/>
          </w:tcPr>
          <w:p w14:paraId="4DAB8DAC" w14:textId="77777777" w:rsidR="00D6517A" w:rsidRPr="00D6517A" w:rsidRDefault="00D6517A" w:rsidP="00D6517A">
            <w:pPr>
              <w:spacing w:line="480" w:lineRule="auto"/>
              <w:rPr>
                <w:rFonts w:ascii="Arial" w:hAnsi="Arial" w:cs="Arial"/>
                <w:color w:val="000000"/>
                <w:highlight w:val="yellow"/>
                <w:lang w:val="fr-FR" w:eastAsia="fr-FR"/>
              </w:rPr>
            </w:pPr>
          </w:p>
        </w:tc>
        <w:tc>
          <w:tcPr>
            <w:tcW w:w="5336" w:type="dxa"/>
            <w:gridSpan w:val="3"/>
            <w:tcBorders>
              <w:top w:val="single" w:sz="4" w:space="0" w:color="auto"/>
              <w:left w:val="nil"/>
              <w:bottom w:val="single" w:sz="4" w:space="0" w:color="auto"/>
              <w:right w:val="nil"/>
            </w:tcBorders>
            <w:vAlign w:val="center"/>
            <w:hideMark/>
          </w:tcPr>
          <w:p w14:paraId="4966EFCD" w14:textId="77777777" w:rsidR="00D6517A" w:rsidRPr="00D6517A" w:rsidRDefault="00D6517A" w:rsidP="00D6517A">
            <w:pPr>
              <w:spacing w:line="480" w:lineRule="auto"/>
              <w:jc w:val="center"/>
              <w:rPr>
                <w:rFonts w:ascii="Arial" w:hAnsi="Arial" w:cs="Arial"/>
                <w:color w:val="000000"/>
                <w:highlight w:val="yellow"/>
                <w:lang w:val="fr-FR" w:eastAsia="fr-FR"/>
              </w:rPr>
            </w:pPr>
            <w:proofErr w:type="spellStart"/>
            <w:r w:rsidRPr="00D6517A">
              <w:rPr>
                <w:rFonts w:ascii="Arial" w:hAnsi="Arial" w:cs="Arial"/>
                <w:color w:val="000000"/>
                <w:highlight w:val="yellow"/>
                <w:lang w:val="fr-FR" w:eastAsia="fr-FR"/>
              </w:rPr>
              <w:t>Consumption</w:t>
            </w:r>
            <w:proofErr w:type="spellEnd"/>
            <w:r w:rsidRPr="00D6517A">
              <w:rPr>
                <w:rFonts w:ascii="Arial" w:hAnsi="Arial" w:cs="Arial"/>
                <w:color w:val="000000"/>
                <w:highlight w:val="yellow"/>
                <w:lang w:val="fr-FR" w:eastAsia="fr-FR"/>
              </w:rPr>
              <w:t xml:space="preserve"> indice</w:t>
            </w:r>
          </w:p>
        </w:tc>
        <w:tc>
          <w:tcPr>
            <w:tcW w:w="1312" w:type="dxa"/>
            <w:tcBorders>
              <w:top w:val="single" w:sz="4" w:space="0" w:color="auto"/>
              <w:left w:val="nil"/>
              <w:bottom w:val="single" w:sz="4" w:space="0" w:color="auto"/>
              <w:right w:val="nil"/>
            </w:tcBorders>
            <w:vAlign w:val="center"/>
            <w:hideMark/>
          </w:tcPr>
          <w:p w14:paraId="0D0A7008"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val="fr-FR" w:eastAsia="fr-FR"/>
              </w:rPr>
              <w:t> </w:t>
            </w:r>
          </w:p>
        </w:tc>
      </w:tr>
      <w:tr w:rsidR="00D6517A" w:rsidRPr="00D6517A" w14:paraId="0A21D4EB" w14:textId="77777777" w:rsidTr="00D6517A">
        <w:trPr>
          <w:trHeight w:val="305"/>
          <w:jc w:val="center"/>
        </w:trPr>
        <w:tc>
          <w:tcPr>
            <w:tcW w:w="3192" w:type="dxa"/>
            <w:tcBorders>
              <w:top w:val="nil"/>
              <w:left w:val="nil"/>
              <w:bottom w:val="nil"/>
              <w:right w:val="nil"/>
            </w:tcBorders>
            <w:noWrap/>
            <w:vAlign w:val="center"/>
            <w:hideMark/>
          </w:tcPr>
          <w:p w14:paraId="7FCF4F0C"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Growth (15 à 28 days)</w:t>
            </w:r>
          </w:p>
        </w:tc>
        <w:tc>
          <w:tcPr>
            <w:tcW w:w="1377" w:type="dxa"/>
            <w:tcBorders>
              <w:top w:val="nil"/>
              <w:left w:val="nil"/>
              <w:bottom w:val="nil"/>
              <w:right w:val="nil"/>
            </w:tcBorders>
            <w:noWrap/>
            <w:vAlign w:val="center"/>
            <w:hideMark/>
          </w:tcPr>
          <w:p w14:paraId="4F188328"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2.81 ± 0.18</w:t>
            </w:r>
            <w:r w:rsidRPr="00D6517A">
              <w:rPr>
                <w:rFonts w:ascii="Arial" w:hAnsi="Arial" w:cs="Arial"/>
                <w:color w:val="000000"/>
                <w:highlight w:val="yellow"/>
                <w:vertAlign w:val="superscript"/>
                <w:lang w:eastAsia="fr-FR"/>
              </w:rPr>
              <w:t>a</w:t>
            </w:r>
          </w:p>
        </w:tc>
        <w:tc>
          <w:tcPr>
            <w:tcW w:w="2012" w:type="dxa"/>
            <w:tcBorders>
              <w:top w:val="nil"/>
              <w:left w:val="nil"/>
              <w:bottom w:val="nil"/>
              <w:right w:val="nil"/>
            </w:tcBorders>
            <w:noWrap/>
            <w:vAlign w:val="center"/>
            <w:hideMark/>
          </w:tcPr>
          <w:p w14:paraId="7A6C82D9"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4.66 ± 1.49</w:t>
            </w:r>
            <w:r w:rsidRPr="00D6517A">
              <w:rPr>
                <w:rFonts w:ascii="Arial" w:hAnsi="Arial" w:cs="Arial"/>
                <w:color w:val="000000"/>
                <w:highlight w:val="yellow"/>
                <w:vertAlign w:val="superscript"/>
                <w:lang w:eastAsia="fr-FR"/>
              </w:rPr>
              <w:t>ab</w:t>
            </w:r>
          </w:p>
        </w:tc>
        <w:tc>
          <w:tcPr>
            <w:tcW w:w="1946" w:type="dxa"/>
            <w:tcBorders>
              <w:top w:val="nil"/>
              <w:left w:val="nil"/>
              <w:bottom w:val="nil"/>
              <w:right w:val="nil"/>
            </w:tcBorders>
            <w:vAlign w:val="center"/>
            <w:hideMark/>
          </w:tcPr>
          <w:p w14:paraId="2FE4BF8F"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6.54 ± 2.01</w:t>
            </w:r>
            <w:r w:rsidRPr="00D6517A">
              <w:rPr>
                <w:rFonts w:ascii="Arial" w:hAnsi="Arial" w:cs="Arial"/>
                <w:color w:val="000000"/>
                <w:highlight w:val="yellow"/>
                <w:vertAlign w:val="superscript"/>
                <w:lang w:eastAsia="fr-FR"/>
              </w:rPr>
              <w:t>b</w:t>
            </w:r>
          </w:p>
        </w:tc>
        <w:tc>
          <w:tcPr>
            <w:tcW w:w="1312" w:type="dxa"/>
            <w:tcBorders>
              <w:top w:val="nil"/>
              <w:left w:val="nil"/>
              <w:bottom w:val="nil"/>
              <w:right w:val="nil"/>
            </w:tcBorders>
            <w:noWrap/>
            <w:vAlign w:val="center"/>
            <w:hideMark/>
          </w:tcPr>
          <w:p w14:paraId="7595AD2F"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0.05</w:t>
            </w:r>
          </w:p>
        </w:tc>
      </w:tr>
      <w:tr w:rsidR="00D6517A" w:rsidRPr="00D6517A" w14:paraId="60ADA954" w14:textId="77777777" w:rsidTr="00D6517A">
        <w:trPr>
          <w:trHeight w:val="305"/>
          <w:jc w:val="center"/>
        </w:trPr>
        <w:tc>
          <w:tcPr>
            <w:tcW w:w="3192" w:type="dxa"/>
            <w:tcBorders>
              <w:top w:val="nil"/>
              <w:left w:val="nil"/>
              <w:bottom w:val="nil"/>
              <w:right w:val="nil"/>
            </w:tcBorders>
            <w:noWrap/>
            <w:vAlign w:val="center"/>
            <w:hideMark/>
          </w:tcPr>
          <w:p w14:paraId="4EF20420"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Finish (29 à 42 days)</w:t>
            </w:r>
          </w:p>
        </w:tc>
        <w:tc>
          <w:tcPr>
            <w:tcW w:w="1377" w:type="dxa"/>
            <w:tcBorders>
              <w:top w:val="nil"/>
              <w:left w:val="nil"/>
              <w:bottom w:val="nil"/>
              <w:right w:val="nil"/>
            </w:tcBorders>
            <w:noWrap/>
            <w:vAlign w:val="center"/>
            <w:hideMark/>
          </w:tcPr>
          <w:p w14:paraId="359527C7"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2.96 ± 0.03</w:t>
            </w:r>
            <w:r w:rsidRPr="00D6517A">
              <w:rPr>
                <w:rFonts w:ascii="Arial" w:hAnsi="Arial" w:cs="Arial"/>
                <w:color w:val="000000"/>
                <w:highlight w:val="yellow"/>
                <w:vertAlign w:val="superscript"/>
                <w:lang w:eastAsia="fr-FR"/>
              </w:rPr>
              <w:t>a</w:t>
            </w:r>
          </w:p>
        </w:tc>
        <w:tc>
          <w:tcPr>
            <w:tcW w:w="2012" w:type="dxa"/>
            <w:tcBorders>
              <w:top w:val="nil"/>
              <w:left w:val="nil"/>
              <w:bottom w:val="nil"/>
              <w:right w:val="nil"/>
            </w:tcBorders>
            <w:noWrap/>
            <w:vAlign w:val="center"/>
            <w:hideMark/>
          </w:tcPr>
          <w:p w14:paraId="3623C334"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3.23 ± 0.09</w:t>
            </w:r>
            <w:r w:rsidRPr="00D6517A">
              <w:rPr>
                <w:rFonts w:ascii="Arial" w:hAnsi="Arial" w:cs="Arial"/>
                <w:color w:val="000000"/>
                <w:highlight w:val="yellow"/>
                <w:vertAlign w:val="superscript"/>
                <w:lang w:eastAsia="fr-FR"/>
              </w:rPr>
              <w:t>b</w:t>
            </w:r>
          </w:p>
        </w:tc>
        <w:tc>
          <w:tcPr>
            <w:tcW w:w="1946" w:type="dxa"/>
            <w:tcBorders>
              <w:top w:val="nil"/>
              <w:left w:val="nil"/>
              <w:bottom w:val="nil"/>
              <w:right w:val="nil"/>
            </w:tcBorders>
            <w:vAlign w:val="center"/>
            <w:hideMark/>
          </w:tcPr>
          <w:p w14:paraId="1504676D"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4.53 ± 0.46</w:t>
            </w:r>
            <w:r w:rsidRPr="00D6517A">
              <w:rPr>
                <w:rFonts w:ascii="Arial" w:hAnsi="Arial" w:cs="Arial"/>
                <w:color w:val="000000"/>
                <w:highlight w:val="yellow"/>
                <w:vertAlign w:val="superscript"/>
                <w:lang w:eastAsia="fr-FR"/>
              </w:rPr>
              <w:t>c</w:t>
            </w:r>
          </w:p>
        </w:tc>
        <w:tc>
          <w:tcPr>
            <w:tcW w:w="1312" w:type="dxa"/>
            <w:tcBorders>
              <w:top w:val="nil"/>
              <w:left w:val="nil"/>
              <w:bottom w:val="nil"/>
              <w:right w:val="nil"/>
            </w:tcBorders>
            <w:noWrap/>
            <w:vAlign w:val="center"/>
            <w:hideMark/>
          </w:tcPr>
          <w:p w14:paraId="650089A7"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0.05</w:t>
            </w:r>
          </w:p>
        </w:tc>
      </w:tr>
      <w:tr w:rsidR="00D6517A" w:rsidRPr="00D6517A" w14:paraId="119036E0" w14:textId="77777777" w:rsidTr="00D6517A">
        <w:trPr>
          <w:trHeight w:val="305"/>
          <w:jc w:val="center"/>
        </w:trPr>
        <w:tc>
          <w:tcPr>
            <w:tcW w:w="3192" w:type="dxa"/>
            <w:tcBorders>
              <w:top w:val="nil"/>
              <w:left w:val="nil"/>
              <w:bottom w:val="single" w:sz="4" w:space="0" w:color="auto"/>
              <w:right w:val="nil"/>
            </w:tcBorders>
            <w:noWrap/>
            <w:vAlign w:val="center"/>
            <w:hideMark/>
          </w:tcPr>
          <w:p w14:paraId="0145D74F" w14:textId="77777777" w:rsidR="00D6517A" w:rsidRPr="00D6517A" w:rsidRDefault="00D6517A" w:rsidP="00D6517A">
            <w:pPr>
              <w:spacing w:line="480" w:lineRule="auto"/>
              <w:rPr>
                <w:rFonts w:ascii="Arial" w:hAnsi="Arial" w:cs="Arial"/>
                <w:color w:val="000000"/>
                <w:highlight w:val="yellow"/>
                <w:lang w:val="fr-FR" w:eastAsia="fr-FR"/>
              </w:rPr>
            </w:pPr>
            <w:r w:rsidRPr="00D6517A">
              <w:rPr>
                <w:rFonts w:ascii="Arial" w:hAnsi="Arial" w:cs="Arial"/>
                <w:color w:val="000000"/>
                <w:highlight w:val="yellow"/>
                <w:lang w:eastAsia="fr-FR"/>
              </w:rPr>
              <w:t>Breeding (15 à 42 days)</w:t>
            </w:r>
          </w:p>
        </w:tc>
        <w:tc>
          <w:tcPr>
            <w:tcW w:w="1377" w:type="dxa"/>
            <w:tcBorders>
              <w:top w:val="nil"/>
              <w:left w:val="nil"/>
              <w:bottom w:val="single" w:sz="4" w:space="0" w:color="auto"/>
              <w:right w:val="nil"/>
            </w:tcBorders>
            <w:noWrap/>
            <w:vAlign w:val="center"/>
            <w:hideMark/>
          </w:tcPr>
          <w:p w14:paraId="6F61925E"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2.88 ± 0.14</w:t>
            </w:r>
            <w:r w:rsidRPr="00D6517A">
              <w:rPr>
                <w:rFonts w:ascii="Arial" w:hAnsi="Arial" w:cs="Arial"/>
                <w:color w:val="000000"/>
                <w:highlight w:val="yellow"/>
                <w:vertAlign w:val="superscript"/>
                <w:lang w:eastAsia="fr-FR"/>
              </w:rPr>
              <w:t>a</w:t>
            </w:r>
          </w:p>
        </w:tc>
        <w:tc>
          <w:tcPr>
            <w:tcW w:w="2012" w:type="dxa"/>
            <w:tcBorders>
              <w:top w:val="nil"/>
              <w:left w:val="nil"/>
              <w:bottom w:val="single" w:sz="4" w:space="0" w:color="auto"/>
              <w:right w:val="nil"/>
            </w:tcBorders>
            <w:noWrap/>
            <w:vAlign w:val="center"/>
            <w:hideMark/>
          </w:tcPr>
          <w:p w14:paraId="0D39017C"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3.94 ± 1.22</w:t>
            </w:r>
            <w:r w:rsidRPr="00D6517A">
              <w:rPr>
                <w:rFonts w:ascii="Arial" w:hAnsi="Arial" w:cs="Arial"/>
                <w:color w:val="000000"/>
                <w:highlight w:val="yellow"/>
                <w:vertAlign w:val="superscript"/>
                <w:lang w:eastAsia="fr-FR"/>
              </w:rPr>
              <w:t>a</w:t>
            </w:r>
          </w:p>
        </w:tc>
        <w:tc>
          <w:tcPr>
            <w:tcW w:w="1946" w:type="dxa"/>
            <w:tcBorders>
              <w:top w:val="nil"/>
              <w:left w:val="nil"/>
              <w:bottom w:val="single" w:sz="4" w:space="0" w:color="auto"/>
              <w:right w:val="nil"/>
            </w:tcBorders>
            <w:vAlign w:val="center"/>
            <w:hideMark/>
          </w:tcPr>
          <w:p w14:paraId="5EFAAF43" w14:textId="77777777" w:rsidR="00D6517A" w:rsidRPr="00D6517A" w:rsidRDefault="00D6517A" w:rsidP="00D6517A">
            <w:pPr>
              <w:spacing w:line="480" w:lineRule="auto"/>
              <w:jc w:val="center"/>
              <w:rPr>
                <w:rFonts w:ascii="Arial" w:hAnsi="Arial" w:cs="Arial"/>
                <w:color w:val="000000"/>
                <w:highlight w:val="yellow"/>
                <w:lang w:val="fr-FR" w:eastAsia="fr-FR"/>
              </w:rPr>
            </w:pPr>
            <w:r w:rsidRPr="00D6517A">
              <w:rPr>
                <w:rFonts w:ascii="Arial" w:hAnsi="Arial" w:cs="Arial"/>
                <w:color w:val="000000"/>
                <w:highlight w:val="yellow"/>
                <w:lang w:eastAsia="fr-FR"/>
              </w:rPr>
              <w:t>5.54 ± 1.71</w:t>
            </w:r>
            <w:r w:rsidRPr="00D6517A">
              <w:rPr>
                <w:rFonts w:ascii="Arial" w:hAnsi="Arial" w:cs="Arial"/>
                <w:color w:val="000000"/>
                <w:highlight w:val="yellow"/>
                <w:vertAlign w:val="superscript"/>
                <w:lang w:eastAsia="fr-FR"/>
              </w:rPr>
              <w:t>b</w:t>
            </w:r>
          </w:p>
        </w:tc>
        <w:tc>
          <w:tcPr>
            <w:tcW w:w="1312" w:type="dxa"/>
            <w:tcBorders>
              <w:top w:val="nil"/>
              <w:left w:val="nil"/>
              <w:bottom w:val="single" w:sz="4" w:space="0" w:color="auto"/>
              <w:right w:val="nil"/>
            </w:tcBorders>
            <w:noWrap/>
            <w:vAlign w:val="center"/>
            <w:hideMark/>
          </w:tcPr>
          <w:p w14:paraId="5222868A" w14:textId="77777777" w:rsidR="00D6517A" w:rsidRPr="00D6517A" w:rsidRDefault="00D6517A" w:rsidP="00D6517A">
            <w:pPr>
              <w:spacing w:line="480" w:lineRule="auto"/>
              <w:jc w:val="center"/>
              <w:rPr>
                <w:rFonts w:ascii="Arial" w:hAnsi="Arial" w:cs="Arial"/>
                <w:color w:val="000000"/>
                <w:lang w:val="fr-FR" w:eastAsia="fr-FR"/>
              </w:rPr>
            </w:pPr>
            <w:r w:rsidRPr="00D6517A">
              <w:rPr>
                <w:rFonts w:ascii="Arial" w:hAnsi="Arial" w:cs="Arial"/>
                <w:color w:val="000000"/>
                <w:highlight w:val="yellow"/>
                <w:lang w:eastAsia="fr-FR"/>
              </w:rPr>
              <w:t>0.05</w:t>
            </w:r>
          </w:p>
        </w:tc>
      </w:tr>
    </w:tbl>
    <w:p w14:paraId="6495E193" w14:textId="77777777" w:rsidR="002B413D" w:rsidRDefault="00756873" w:rsidP="002B413D">
      <w:pPr>
        <w:autoSpaceDE w:val="0"/>
        <w:autoSpaceDN w:val="0"/>
        <w:adjustRightInd w:val="0"/>
        <w:spacing w:after="240"/>
        <w:jc w:val="both"/>
        <w:rPr>
          <w:rFonts w:ascii="Arial" w:hAnsi="Arial" w:cs="Arial"/>
          <w:sz w:val="18"/>
        </w:rPr>
      </w:pPr>
      <w:r>
        <w:rPr>
          <w:rFonts w:ascii="Arial" w:hAnsi="Arial" w:cs="Arial"/>
          <w:sz w:val="18"/>
        </w:rPr>
        <w:t xml:space="preserve">* </w:t>
      </w:r>
      <w:r w:rsidR="002B413D" w:rsidRPr="002B413D">
        <w:rPr>
          <w:rFonts w:ascii="Arial" w:hAnsi="Arial" w:cs="Arial"/>
          <w:sz w:val="18"/>
        </w:rPr>
        <w:t>At: Feed containing 100% wheat bran; A25: Feed containing 25% cashew apple bagasse; A50: Feed containing 50% cashew apple bagasse. Values denoted by different letters within the same row are statistically different (</w:t>
      </w:r>
      <w:r w:rsidR="00A2737E" w:rsidRPr="00A2737E">
        <w:rPr>
          <w:rFonts w:ascii="Arial" w:hAnsi="Arial" w:cs="Arial"/>
          <w:szCs w:val="22"/>
          <w:highlight w:val="yellow"/>
        </w:rPr>
        <w:t>Tukey’s test</w:t>
      </w:r>
      <w:r w:rsidR="002B413D" w:rsidRPr="002B413D">
        <w:rPr>
          <w:rFonts w:ascii="Arial" w:hAnsi="Arial" w:cs="Arial"/>
          <w:sz w:val="18"/>
        </w:rPr>
        <w:t xml:space="preserve">, </w:t>
      </w:r>
      <w:r w:rsidR="002B413D" w:rsidRPr="009B2C00">
        <w:rPr>
          <w:rFonts w:ascii="Arial" w:hAnsi="Arial" w:cs="Arial"/>
          <w:i/>
          <w:iCs/>
          <w:sz w:val="18"/>
        </w:rPr>
        <w:t>P</w:t>
      </w:r>
      <w:r w:rsidR="002B413D" w:rsidRPr="002B413D">
        <w:rPr>
          <w:rFonts w:ascii="Arial" w:hAnsi="Arial" w:cs="Arial"/>
          <w:sz w:val="18"/>
        </w:rPr>
        <w:t xml:space="preserve"> &lt; 0.05).</w:t>
      </w:r>
    </w:p>
    <w:p w14:paraId="64FBB910" w14:textId="77777777" w:rsidR="00756873" w:rsidRPr="00756873" w:rsidRDefault="00756873" w:rsidP="002B413D">
      <w:pPr>
        <w:autoSpaceDE w:val="0"/>
        <w:autoSpaceDN w:val="0"/>
        <w:adjustRightInd w:val="0"/>
        <w:spacing w:after="240"/>
        <w:jc w:val="both"/>
        <w:rPr>
          <w:rFonts w:ascii="Arial" w:hAnsi="Arial" w:cs="Arial"/>
          <w:b/>
          <w:bCs/>
          <w:szCs w:val="22"/>
        </w:rPr>
      </w:pPr>
      <w:r w:rsidRPr="00756873">
        <w:rPr>
          <w:rFonts w:ascii="Arial" w:hAnsi="Arial" w:cs="Arial"/>
          <w:b/>
          <w:bCs/>
          <w:szCs w:val="22"/>
        </w:rPr>
        <w:t xml:space="preserve">3.3. </w:t>
      </w:r>
      <w:r w:rsidR="002B413D" w:rsidRPr="002B413D">
        <w:rPr>
          <w:rFonts w:ascii="Arial" w:hAnsi="Arial" w:cs="Arial"/>
          <w:b/>
          <w:bCs/>
          <w:szCs w:val="22"/>
        </w:rPr>
        <w:t>Effect of diets on weight parameters in meat quails</w:t>
      </w:r>
    </w:p>
    <w:p w14:paraId="27F793E6" w14:textId="77777777" w:rsidR="00756873" w:rsidRPr="00756873" w:rsidRDefault="00756873" w:rsidP="00756873">
      <w:pPr>
        <w:autoSpaceDE w:val="0"/>
        <w:autoSpaceDN w:val="0"/>
        <w:adjustRightInd w:val="0"/>
        <w:jc w:val="both"/>
        <w:rPr>
          <w:rFonts w:ascii="Arial" w:hAnsi="Arial" w:cs="Arial"/>
          <w:b/>
          <w:bCs/>
          <w:szCs w:val="22"/>
          <w:u w:val="single"/>
        </w:rPr>
      </w:pPr>
      <w:r w:rsidRPr="00756873">
        <w:rPr>
          <w:rFonts w:ascii="Arial" w:hAnsi="Arial" w:cs="Arial"/>
          <w:b/>
          <w:bCs/>
          <w:szCs w:val="22"/>
          <w:u w:val="single"/>
        </w:rPr>
        <w:t xml:space="preserve">3.3.1. </w:t>
      </w:r>
      <w:r w:rsidR="002B413D" w:rsidRPr="002B413D">
        <w:rPr>
          <w:rFonts w:ascii="Arial" w:hAnsi="Arial" w:cs="Arial"/>
          <w:b/>
          <w:bCs/>
          <w:szCs w:val="22"/>
          <w:u w:val="single"/>
        </w:rPr>
        <w:t>Effect of diets on live weight</w:t>
      </w:r>
    </w:p>
    <w:p w14:paraId="5FF1A669" w14:textId="77777777" w:rsidR="00A05888" w:rsidRPr="00A05888" w:rsidRDefault="00A05888" w:rsidP="00A05888">
      <w:pPr>
        <w:autoSpaceDE w:val="0"/>
        <w:autoSpaceDN w:val="0"/>
        <w:adjustRightInd w:val="0"/>
        <w:spacing w:after="240"/>
        <w:jc w:val="both"/>
        <w:rPr>
          <w:rFonts w:ascii="Arial" w:hAnsi="Arial" w:cs="Arial"/>
          <w:szCs w:val="22"/>
        </w:rPr>
      </w:pPr>
      <w:r>
        <w:rPr>
          <w:rFonts w:ascii="Arial" w:hAnsi="Arial" w:cs="Arial"/>
          <w:szCs w:val="22"/>
        </w:rPr>
        <w:t>The live weights of the animals according to the three diets throughout the experiment are shown in Figure 1. Regardless of the type of feed, the live weights of the animals increased steadily until the end of the rearing period. However, at the end of the rearing period, the quails fed the control diet had a mean live weight (214.56 g) that was significantly higher (</w:t>
      </w:r>
      <w:r>
        <w:rPr>
          <w:rFonts w:ascii="Arial" w:hAnsi="Arial" w:cs="Arial"/>
          <w:szCs w:val="22"/>
          <w:highlight w:val="yellow"/>
        </w:rPr>
        <w:t xml:space="preserve">Tukey’s test, </w:t>
      </w:r>
      <w:r>
        <w:rPr>
          <w:rFonts w:ascii="Arial" w:hAnsi="Arial" w:cs="Arial"/>
          <w:i/>
          <w:iCs/>
          <w:szCs w:val="22"/>
          <w:highlight w:val="yellow"/>
        </w:rPr>
        <w:t>P</w:t>
      </w:r>
      <w:r>
        <w:rPr>
          <w:rFonts w:ascii="Arial" w:hAnsi="Arial" w:cs="Arial"/>
          <w:szCs w:val="22"/>
          <w:highlight w:val="yellow"/>
        </w:rPr>
        <w:t xml:space="preserve"> = 0.001</w:t>
      </w:r>
      <w:r>
        <w:rPr>
          <w:rFonts w:ascii="Arial" w:hAnsi="Arial" w:cs="Arial"/>
          <w:szCs w:val="22"/>
        </w:rPr>
        <w:t xml:space="preserve">) than those </w:t>
      </w:r>
      <w:r>
        <w:rPr>
          <w:rFonts w:ascii="Arial" w:hAnsi="Arial" w:cs="Arial"/>
          <w:szCs w:val="22"/>
          <w:highlight w:val="yellow"/>
        </w:rPr>
        <w:t>fed</w:t>
      </w:r>
      <w:r>
        <w:rPr>
          <w:rFonts w:ascii="Arial" w:hAnsi="Arial" w:cs="Arial"/>
          <w:szCs w:val="22"/>
        </w:rPr>
        <w:t xml:space="preserve"> the other diets: 189.06 g (A25) and 140.82 g (A50).</w:t>
      </w:r>
    </w:p>
    <w:p w14:paraId="5489EB67" w14:textId="77777777" w:rsidR="00BB4FB4" w:rsidRPr="00756873" w:rsidRDefault="00756873" w:rsidP="00441B6F">
      <w:pPr>
        <w:autoSpaceDE w:val="0"/>
        <w:autoSpaceDN w:val="0"/>
        <w:adjustRightInd w:val="0"/>
        <w:jc w:val="both"/>
        <w:rPr>
          <w:rFonts w:ascii="Arial" w:hAnsi="Arial" w:cs="Arial"/>
          <w:szCs w:val="22"/>
        </w:rPr>
      </w:pPr>
      <w:r>
        <w:rPr>
          <w:noProof/>
        </w:rPr>
        <w:lastRenderedPageBreak/>
        <w:drawing>
          <wp:inline distT="0" distB="0" distL="0" distR="0" wp14:anchorId="01294089" wp14:editId="357AB92B">
            <wp:extent cx="4544705" cy="2926933"/>
            <wp:effectExtent l="0" t="0" r="0" b="0"/>
            <wp:docPr id="1" name="Graphique 1">
              <a:extLst xmlns:a="http://schemas.openxmlformats.org/drawingml/2006/main">
                <a:ext uri="{FF2B5EF4-FFF2-40B4-BE49-F238E27FC236}">
                  <a16:creationId xmlns:a16="http://schemas.microsoft.com/office/drawing/2014/main" id="{57B2E119-B0C0-4189-9152-BB7D705E2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189F6A" w14:textId="77777777" w:rsidR="00BB4FB4" w:rsidRPr="00756873" w:rsidRDefault="00756873" w:rsidP="009B2C00">
      <w:pPr>
        <w:autoSpaceDE w:val="0"/>
        <w:autoSpaceDN w:val="0"/>
        <w:adjustRightInd w:val="0"/>
        <w:spacing w:before="240"/>
        <w:jc w:val="both"/>
        <w:rPr>
          <w:rFonts w:ascii="Arial" w:hAnsi="Arial" w:cs="Arial"/>
          <w:szCs w:val="22"/>
        </w:rPr>
      </w:pPr>
      <w:r w:rsidRPr="00756873">
        <w:rPr>
          <w:rFonts w:ascii="Arial" w:hAnsi="Arial" w:cs="Arial"/>
          <w:szCs w:val="22"/>
        </w:rPr>
        <w:t xml:space="preserve">Figure 1: </w:t>
      </w:r>
      <w:r w:rsidR="00A05888" w:rsidRPr="00A05888">
        <w:rPr>
          <w:rFonts w:ascii="Arial" w:hAnsi="Arial" w:cs="Arial"/>
          <w:szCs w:val="22"/>
        </w:rPr>
        <w:t>Effect of diets on live weight</w:t>
      </w:r>
      <w:r w:rsidR="00A05888">
        <w:rPr>
          <w:rFonts w:ascii="Arial" w:hAnsi="Arial" w:cs="Arial"/>
          <w:szCs w:val="22"/>
        </w:rPr>
        <w:t xml:space="preserve"> in meat quail</w:t>
      </w:r>
    </w:p>
    <w:p w14:paraId="2DA88CE9" w14:textId="77777777" w:rsidR="00756873" w:rsidRDefault="00756873" w:rsidP="00A05888">
      <w:pPr>
        <w:autoSpaceDE w:val="0"/>
        <w:autoSpaceDN w:val="0"/>
        <w:adjustRightInd w:val="0"/>
        <w:spacing w:after="240"/>
        <w:jc w:val="both"/>
        <w:rPr>
          <w:rFonts w:ascii="Arial" w:hAnsi="Arial" w:cs="Arial"/>
          <w:szCs w:val="22"/>
        </w:rPr>
      </w:pPr>
      <w:r w:rsidRPr="00756873">
        <w:rPr>
          <w:rFonts w:ascii="Arial" w:hAnsi="Arial" w:cs="Arial"/>
          <w:sz w:val="18"/>
        </w:rPr>
        <w:t xml:space="preserve">* </w:t>
      </w:r>
      <w:r w:rsidR="00A05888" w:rsidRPr="00A05888">
        <w:rPr>
          <w:rFonts w:ascii="Arial" w:hAnsi="Arial" w:cs="Arial"/>
          <w:sz w:val="18"/>
        </w:rPr>
        <w:t>At: Feed containing 100% wheat bran; A25: Feed with 25% cashew apple bagasse incorporated; A50: Feed with 50% cashew apple bagasse incorporated; N=90 for each feed</w:t>
      </w:r>
    </w:p>
    <w:p w14:paraId="36329399" w14:textId="77777777" w:rsidR="00756873" w:rsidRPr="00756873" w:rsidRDefault="00756873" w:rsidP="00756873">
      <w:pPr>
        <w:autoSpaceDE w:val="0"/>
        <w:autoSpaceDN w:val="0"/>
        <w:adjustRightInd w:val="0"/>
        <w:jc w:val="both"/>
        <w:rPr>
          <w:rFonts w:ascii="Arial" w:hAnsi="Arial" w:cs="Arial"/>
          <w:b/>
          <w:bCs/>
          <w:i/>
          <w:iCs/>
          <w:szCs w:val="22"/>
        </w:rPr>
      </w:pPr>
      <w:r w:rsidRPr="00756873">
        <w:rPr>
          <w:rFonts w:ascii="Arial" w:hAnsi="Arial" w:cs="Arial"/>
          <w:b/>
          <w:bCs/>
          <w:i/>
          <w:iCs/>
          <w:szCs w:val="22"/>
        </w:rPr>
        <w:t xml:space="preserve">3.3.2. </w:t>
      </w:r>
      <w:r w:rsidR="00A05888" w:rsidRPr="00A05888">
        <w:rPr>
          <w:rFonts w:ascii="Arial" w:hAnsi="Arial" w:cs="Arial"/>
          <w:b/>
          <w:bCs/>
          <w:i/>
          <w:iCs/>
          <w:szCs w:val="22"/>
        </w:rPr>
        <w:t>Effect of different diets on the average daily weight gain of quails</w:t>
      </w:r>
    </w:p>
    <w:p w14:paraId="4D551CF6" w14:textId="77777777" w:rsidR="00A05888" w:rsidRDefault="00A05888" w:rsidP="00441B6F">
      <w:pPr>
        <w:autoSpaceDE w:val="0"/>
        <w:autoSpaceDN w:val="0"/>
        <w:adjustRightInd w:val="0"/>
        <w:jc w:val="both"/>
        <w:rPr>
          <w:rFonts w:ascii="Arial" w:hAnsi="Arial" w:cs="Arial"/>
          <w:szCs w:val="22"/>
        </w:rPr>
      </w:pPr>
      <w:r>
        <w:rPr>
          <w:rFonts w:ascii="Arial" w:hAnsi="Arial" w:cs="Arial"/>
          <w:szCs w:val="22"/>
        </w:rPr>
        <w:t>The average daily weight gains for the experimental period are shown in Table 5. Animals fed the control diet and diet A25 had average daily weight gains of 6.75 ± 0.83 g/day and 5.81 ± 1.85 g/day, respectively. Animals fed diet A50 recorded a significantly lower average daily weight gain (3.86 ± 1.42 g/day)</w:t>
      </w:r>
      <w:r>
        <w:rPr>
          <w:rFonts w:ascii="Arial" w:hAnsi="Arial" w:cs="Arial"/>
          <w:szCs w:val="22"/>
          <w:highlight w:val="yellow"/>
        </w:rPr>
        <w:t>,</w:t>
      </w:r>
      <w:r>
        <w:rPr>
          <w:rFonts w:ascii="Arial" w:hAnsi="Arial" w:cs="Arial"/>
          <w:szCs w:val="22"/>
        </w:rPr>
        <w:t xml:space="preserve"> as determined by </w:t>
      </w:r>
      <w:r>
        <w:rPr>
          <w:rFonts w:ascii="Arial" w:hAnsi="Arial" w:cs="Arial"/>
          <w:szCs w:val="22"/>
          <w:highlight w:val="yellow"/>
        </w:rPr>
        <w:t>Tukey’s test</w:t>
      </w:r>
      <w:r>
        <w:rPr>
          <w:rFonts w:ascii="Arial" w:hAnsi="Arial" w:cs="Arial"/>
          <w:szCs w:val="22"/>
        </w:rPr>
        <w:t xml:space="preserve"> </w:t>
      </w:r>
      <w:r>
        <w:rPr>
          <w:rFonts w:ascii="Arial" w:hAnsi="Arial" w:cs="Arial"/>
          <w:szCs w:val="22"/>
          <w:highlight w:val="yellow"/>
        </w:rPr>
        <w:t>(</w:t>
      </w:r>
      <w:r>
        <w:rPr>
          <w:rFonts w:ascii="Arial" w:hAnsi="Arial" w:cs="Arial"/>
          <w:i/>
          <w:iCs/>
          <w:szCs w:val="22"/>
          <w:highlight w:val="yellow"/>
        </w:rPr>
        <w:t>P</w:t>
      </w:r>
      <w:r>
        <w:rPr>
          <w:rFonts w:ascii="Arial" w:hAnsi="Arial" w:cs="Arial"/>
          <w:szCs w:val="22"/>
          <w:highlight w:val="yellow"/>
        </w:rPr>
        <w:t xml:space="preserve"> = 0.05).</w:t>
      </w:r>
    </w:p>
    <w:p w14:paraId="5544F50A" w14:textId="77777777" w:rsidR="00756873" w:rsidRDefault="00A05888" w:rsidP="009B2C00">
      <w:pPr>
        <w:autoSpaceDE w:val="0"/>
        <w:autoSpaceDN w:val="0"/>
        <w:adjustRightInd w:val="0"/>
        <w:spacing w:before="240" w:after="240"/>
        <w:jc w:val="both"/>
        <w:rPr>
          <w:rFonts w:ascii="Arial" w:hAnsi="Arial" w:cs="Arial"/>
          <w:szCs w:val="22"/>
        </w:rPr>
      </w:pPr>
      <w:r w:rsidRPr="00A05888">
        <w:rPr>
          <w:rFonts w:ascii="Arial" w:hAnsi="Arial" w:cs="Arial"/>
          <w:szCs w:val="22"/>
        </w:rPr>
        <w:t>Table 5. Effect of different diets on average daily weight gain</w:t>
      </w:r>
    </w:p>
    <w:tbl>
      <w:tblPr>
        <w:tblW w:w="9225" w:type="dxa"/>
        <w:jc w:val="center"/>
        <w:tblCellMar>
          <w:left w:w="70" w:type="dxa"/>
          <w:right w:w="70" w:type="dxa"/>
        </w:tblCellMar>
        <w:tblLook w:val="04A0" w:firstRow="1" w:lastRow="0" w:firstColumn="1" w:lastColumn="0" w:noHBand="0" w:noVBand="1"/>
      </w:tblPr>
      <w:tblGrid>
        <w:gridCol w:w="3327"/>
        <w:gridCol w:w="1665"/>
        <w:gridCol w:w="1580"/>
        <w:gridCol w:w="1666"/>
        <w:gridCol w:w="987"/>
      </w:tblGrid>
      <w:tr w:rsidR="00756873" w:rsidRPr="00756873" w14:paraId="0607D6C8" w14:textId="77777777" w:rsidTr="00DE1DBF">
        <w:trPr>
          <w:trHeight w:val="306"/>
          <w:jc w:val="center"/>
        </w:trPr>
        <w:tc>
          <w:tcPr>
            <w:tcW w:w="3327" w:type="dxa"/>
            <w:tcBorders>
              <w:top w:val="single" w:sz="4" w:space="0" w:color="auto"/>
              <w:left w:val="nil"/>
              <w:bottom w:val="single" w:sz="4" w:space="0" w:color="auto"/>
              <w:right w:val="nil"/>
            </w:tcBorders>
            <w:noWrap/>
            <w:vAlign w:val="center"/>
            <w:hideMark/>
          </w:tcPr>
          <w:p w14:paraId="51795B25" w14:textId="77777777"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Weight parameters</w:t>
            </w:r>
          </w:p>
        </w:tc>
        <w:tc>
          <w:tcPr>
            <w:tcW w:w="1665" w:type="dxa"/>
            <w:tcBorders>
              <w:top w:val="single" w:sz="4" w:space="0" w:color="auto"/>
              <w:left w:val="nil"/>
              <w:bottom w:val="single" w:sz="4" w:space="0" w:color="auto"/>
              <w:right w:val="nil"/>
            </w:tcBorders>
            <w:noWrap/>
            <w:vAlign w:val="center"/>
            <w:hideMark/>
          </w:tcPr>
          <w:p w14:paraId="37AA8477"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At</w:t>
            </w:r>
          </w:p>
          <w:p w14:paraId="23A8A3E5"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1580" w:type="dxa"/>
            <w:tcBorders>
              <w:top w:val="single" w:sz="4" w:space="0" w:color="auto"/>
              <w:left w:val="nil"/>
              <w:bottom w:val="single" w:sz="4" w:space="0" w:color="auto"/>
              <w:right w:val="nil"/>
            </w:tcBorders>
            <w:noWrap/>
            <w:vAlign w:val="center"/>
            <w:hideMark/>
          </w:tcPr>
          <w:p w14:paraId="17A459CB"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A25</w:t>
            </w:r>
          </w:p>
          <w:p w14:paraId="17156CCF"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1665" w:type="dxa"/>
            <w:tcBorders>
              <w:top w:val="single" w:sz="4" w:space="0" w:color="auto"/>
              <w:left w:val="nil"/>
              <w:bottom w:val="single" w:sz="4" w:space="0" w:color="auto"/>
              <w:right w:val="nil"/>
            </w:tcBorders>
            <w:noWrap/>
            <w:vAlign w:val="center"/>
            <w:hideMark/>
          </w:tcPr>
          <w:p w14:paraId="2BFBED2F"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A50</w:t>
            </w:r>
          </w:p>
          <w:p w14:paraId="7AC6EF73"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987" w:type="dxa"/>
            <w:tcBorders>
              <w:top w:val="single" w:sz="4" w:space="0" w:color="auto"/>
              <w:left w:val="nil"/>
              <w:bottom w:val="single" w:sz="4" w:space="0" w:color="auto"/>
              <w:right w:val="nil"/>
            </w:tcBorders>
            <w:vAlign w:val="center"/>
            <w:hideMark/>
          </w:tcPr>
          <w:p w14:paraId="3CDD04A4" w14:textId="77777777" w:rsidR="00756873" w:rsidRPr="00756873" w:rsidRDefault="00756873" w:rsidP="00DE1DBF">
            <w:pPr>
              <w:spacing w:line="480" w:lineRule="auto"/>
              <w:jc w:val="center"/>
              <w:rPr>
                <w:rFonts w:ascii="Arial" w:hAnsi="Arial" w:cs="Arial"/>
                <w:i/>
                <w:iCs/>
                <w:color w:val="000000"/>
                <w:lang w:eastAsia="fr-FR"/>
              </w:rPr>
            </w:pPr>
            <w:r w:rsidRPr="00756873">
              <w:rPr>
                <w:rFonts w:ascii="Arial" w:hAnsi="Arial" w:cs="Arial"/>
                <w:i/>
                <w:iCs/>
                <w:color w:val="000000"/>
                <w:lang w:eastAsia="fr-FR"/>
              </w:rPr>
              <w:t>P-value</w:t>
            </w:r>
          </w:p>
        </w:tc>
      </w:tr>
      <w:tr w:rsidR="00756873" w:rsidRPr="00756873" w14:paraId="7620CD99" w14:textId="77777777" w:rsidTr="00DE1DBF">
        <w:trPr>
          <w:trHeight w:val="306"/>
          <w:jc w:val="center"/>
        </w:trPr>
        <w:tc>
          <w:tcPr>
            <w:tcW w:w="3327" w:type="dxa"/>
            <w:tcBorders>
              <w:top w:val="nil"/>
              <w:left w:val="nil"/>
              <w:bottom w:val="nil"/>
              <w:right w:val="nil"/>
            </w:tcBorders>
            <w:noWrap/>
            <w:vAlign w:val="center"/>
            <w:hideMark/>
          </w:tcPr>
          <w:p w14:paraId="75C769E7" w14:textId="77777777"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Initial live weight </w:t>
            </w:r>
            <w:r w:rsidR="00756873" w:rsidRPr="00756873">
              <w:rPr>
                <w:rFonts w:ascii="Arial" w:hAnsi="Arial" w:cs="Arial"/>
                <w:color w:val="000000"/>
                <w:lang w:eastAsia="fr-FR"/>
              </w:rPr>
              <w:t>(g)</w:t>
            </w:r>
          </w:p>
        </w:tc>
        <w:tc>
          <w:tcPr>
            <w:tcW w:w="4911" w:type="dxa"/>
            <w:gridSpan w:val="3"/>
            <w:tcBorders>
              <w:top w:val="nil"/>
              <w:left w:val="nil"/>
              <w:bottom w:val="nil"/>
              <w:right w:val="nil"/>
            </w:tcBorders>
            <w:noWrap/>
            <w:vAlign w:val="center"/>
            <w:hideMark/>
          </w:tcPr>
          <w:p w14:paraId="7E36CC68"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29,74 ± 0,66</w:t>
            </w:r>
          </w:p>
        </w:tc>
        <w:tc>
          <w:tcPr>
            <w:tcW w:w="987" w:type="dxa"/>
            <w:tcBorders>
              <w:top w:val="nil"/>
              <w:left w:val="nil"/>
              <w:bottom w:val="nil"/>
              <w:right w:val="nil"/>
            </w:tcBorders>
            <w:vAlign w:val="center"/>
            <w:hideMark/>
          </w:tcPr>
          <w:p w14:paraId="174CBDFA" w14:textId="77777777" w:rsidR="00756873" w:rsidRPr="00756873" w:rsidRDefault="00756873" w:rsidP="00DE1DBF">
            <w:pPr>
              <w:spacing w:line="480" w:lineRule="auto"/>
              <w:jc w:val="center"/>
              <w:rPr>
                <w:rFonts w:ascii="Arial" w:hAnsi="Arial" w:cs="Arial"/>
                <w:color w:val="000000"/>
                <w:lang w:eastAsia="fr-FR"/>
              </w:rPr>
            </w:pPr>
          </w:p>
        </w:tc>
      </w:tr>
      <w:tr w:rsidR="00756873" w:rsidRPr="00CD0A6C" w14:paraId="3A4A0DAB" w14:textId="77777777" w:rsidTr="00DE1DBF">
        <w:trPr>
          <w:trHeight w:val="364"/>
          <w:jc w:val="center"/>
        </w:trPr>
        <w:tc>
          <w:tcPr>
            <w:tcW w:w="3327" w:type="dxa"/>
            <w:tcBorders>
              <w:top w:val="nil"/>
              <w:left w:val="nil"/>
              <w:bottom w:val="nil"/>
              <w:right w:val="nil"/>
            </w:tcBorders>
            <w:noWrap/>
            <w:vAlign w:val="center"/>
            <w:hideMark/>
          </w:tcPr>
          <w:p w14:paraId="637C661C" w14:textId="77777777" w:rsidR="00756873" w:rsidRPr="00CD0A6C" w:rsidRDefault="00A05888" w:rsidP="00DE1DBF">
            <w:pPr>
              <w:spacing w:line="480" w:lineRule="auto"/>
              <w:rPr>
                <w:rFonts w:ascii="Arial" w:hAnsi="Arial" w:cs="Arial"/>
                <w:color w:val="000000"/>
                <w:highlight w:val="yellow"/>
                <w:lang w:eastAsia="fr-FR"/>
              </w:rPr>
            </w:pPr>
            <w:r w:rsidRPr="00CD0A6C">
              <w:rPr>
                <w:rFonts w:ascii="Arial" w:hAnsi="Arial" w:cs="Arial"/>
                <w:color w:val="000000"/>
                <w:highlight w:val="yellow"/>
                <w:lang w:eastAsia="fr-FR"/>
              </w:rPr>
              <w:t xml:space="preserve">Final live weight </w:t>
            </w:r>
            <w:r w:rsidR="00756873" w:rsidRPr="00CD0A6C">
              <w:rPr>
                <w:rFonts w:ascii="Arial" w:hAnsi="Arial" w:cs="Arial"/>
                <w:color w:val="000000"/>
                <w:highlight w:val="yellow"/>
                <w:lang w:eastAsia="fr-FR"/>
              </w:rPr>
              <w:t>(g)</w:t>
            </w:r>
          </w:p>
        </w:tc>
        <w:tc>
          <w:tcPr>
            <w:tcW w:w="1665" w:type="dxa"/>
            <w:tcBorders>
              <w:top w:val="nil"/>
              <w:left w:val="nil"/>
              <w:bottom w:val="nil"/>
              <w:right w:val="nil"/>
            </w:tcBorders>
            <w:noWrap/>
            <w:vAlign w:val="center"/>
            <w:hideMark/>
          </w:tcPr>
          <w:p w14:paraId="36662002"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214,56 ± 1,41</w:t>
            </w:r>
            <w:r w:rsidRPr="00CD0A6C">
              <w:rPr>
                <w:rFonts w:ascii="Arial" w:hAnsi="Arial" w:cs="Arial"/>
                <w:color w:val="000000"/>
                <w:highlight w:val="yellow"/>
                <w:vertAlign w:val="superscript"/>
                <w:lang w:eastAsia="fr-FR"/>
              </w:rPr>
              <w:t>a</w:t>
            </w:r>
          </w:p>
        </w:tc>
        <w:tc>
          <w:tcPr>
            <w:tcW w:w="1580" w:type="dxa"/>
            <w:tcBorders>
              <w:top w:val="nil"/>
              <w:left w:val="nil"/>
              <w:bottom w:val="nil"/>
              <w:right w:val="nil"/>
            </w:tcBorders>
            <w:noWrap/>
            <w:vAlign w:val="center"/>
            <w:hideMark/>
          </w:tcPr>
          <w:p w14:paraId="06E6AC6B"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198,77 ± 1,78</w:t>
            </w:r>
            <w:r w:rsidRPr="00CD0A6C">
              <w:rPr>
                <w:rFonts w:ascii="Arial" w:hAnsi="Arial" w:cs="Arial"/>
                <w:color w:val="000000"/>
                <w:highlight w:val="yellow"/>
                <w:vertAlign w:val="superscript"/>
                <w:lang w:eastAsia="fr-FR"/>
              </w:rPr>
              <w:t>b</w:t>
            </w:r>
          </w:p>
        </w:tc>
        <w:tc>
          <w:tcPr>
            <w:tcW w:w="1665" w:type="dxa"/>
            <w:tcBorders>
              <w:top w:val="nil"/>
              <w:left w:val="nil"/>
              <w:bottom w:val="nil"/>
              <w:right w:val="nil"/>
            </w:tcBorders>
            <w:noWrap/>
            <w:vAlign w:val="center"/>
            <w:hideMark/>
          </w:tcPr>
          <w:p w14:paraId="5A71477B"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140,07 ± 1,86</w:t>
            </w:r>
            <w:r w:rsidRPr="00CD0A6C">
              <w:rPr>
                <w:rFonts w:ascii="Arial" w:hAnsi="Arial" w:cs="Arial"/>
                <w:color w:val="000000"/>
                <w:highlight w:val="yellow"/>
                <w:vertAlign w:val="superscript"/>
                <w:lang w:eastAsia="fr-FR"/>
              </w:rPr>
              <w:t>c</w:t>
            </w:r>
          </w:p>
        </w:tc>
        <w:tc>
          <w:tcPr>
            <w:tcW w:w="987" w:type="dxa"/>
            <w:tcBorders>
              <w:top w:val="nil"/>
              <w:left w:val="nil"/>
              <w:bottom w:val="nil"/>
              <w:right w:val="nil"/>
            </w:tcBorders>
            <w:vAlign w:val="center"/>
            <w:hideMark/>
          </w:tcPr>
          <w:p w14:paraId="46D025E1"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0,0</w:t>
            </w:r>
            <w:r w:rsidR="00177169" w:rsidRPr="00CD0A6C">
              <w:rPr>
                <w:rFonts w:ascii="Arial" w:hAnsi="Arial" w:cs="Arial"/>
                <w:color w:val="000000"/>
                <w:highlight w:val="yellow"/>
                <w:lang w:eastAsia="fr-FR"/>
              </w:rPr>
              <w:t>0</w:t>
            </w:r>
            <w:r w:rsidRPr="00CD0A6C">
              <w:rPr>
                <w:rFonts w:ascii="Arial" w:hAnsi="Arial" w:cs="Arial"/>
                <w:color w:val="000000"/>
                <w:highlight w:val="yellow"/>
                <w:lang w:eastAsia="fr-FR"/>
              </w:rPr>
              <w:t>1</w:t>
            </w:r>
          </w:p>
        </w:tc>
      </w:tr>
      <w:tr w:rsidR="00756873" w:rsidRPr="00756873" w14:paraId="6E089F8E" w14:textId="77777777" w:rsidTr="00DE1DBF">
        <w:trPr>
          <w:trHeight w:val="364"/>
          <w:jc w:val="center"/>
        </w:trPr>
        <w:tc>
          <w:tcPr>
            <w:tcW w:w="3327" w:type="dxa"/>
            <w:tcBorders>
              <w:top w:val="nil"/>
              <w:left w:val="nil"/>
              <w:bottom w:val="single" w:sz="4" w:space="0" w:color="auto"/>
              <w:right w:val="nil"/>
            </w:tcBorders>
            <w:noWrap/>
            <w:vAlign w:val="center"/>
            <w:hideMark/>
          </w:tcPr>
          <w:p w14:paraId="45FB264C" w14:textId="77777777" w:rsidR="00756873" w:rsidRPr="00CD0A6C" w:rsidRDefault="00A05888" w:rsidP="00DE1DBF">
            <w:pPr>
              <w:spacing w:line="480" w:lineRule="auto"/>
              <w:rPr>
                <w:rFonts w:ascii="Arial" w:hAnsi="Arial" w:cs="Arial"/>
                <w:color w:val="000000"/>
                <w:highlight w:val="yellow"/>
                <w:lang w:eastAsia="fr-FR"/>
              </w:rPr>
            </w:pPr>
            <w:r w:rsidRPr="00CD0A6C">
              <w:rPr>
                <w:rFonts w:ascii="Arial" w:hAnsi="Arial" w:cs="Arial"/>
                <w:color w:val="000000"/>
                <w:highlight w:val="yellow"/>
                <w:lang w:eastAsia="fr-FR"/>
              </w:rPr>
              <w:t xml:space="preserve">Average Daily </w:t>
            </w:r>
            <w:r w:rsidR="00137CDA" w:rsidRPr="00CD0A6C">
              <w:rPr>
                <w:rFonts w:ascii="Arial" w:hAnsi="Arial" w:cs="Arial"/>
                <w:color w:val="000000"/>
                <w:highlight w:val="yellow"/>
                <w:lang w:eastAsia="fr-FR"/>
              </w:rPr>
              <w:t>Gain</w:t>
            </w:r>
            <w:r w:rsidRPr="00CD0A6C">
              <w:rPr>
                <w:rFonts w:ascii="Arial" w:hAnsi="Arial" w:cs="Arial"/>
                <w:color w:val="000000"/>
                <w:highlight w:val="yellow"/>
                <w:lang w:eastAsia="fr-FR"/>
              </w:rPr>
              <w:t xml:space="preserve"> </w:t>
            </w:r>
          </w:p>
        </w:tc>
        <w:tc>
          <w:tcPr>
            <w:tcW w:w="1665" w:type="dxa"/>
            <w:tcBorders>
              <w:top w:val="nil"/>
              <w:left w:val="nil"/>
              <w:bottom w:val="single" w:sz="4" w:space="0" w:color="auto"/>
              <w:right w:val="nil"/>
            </w:tcBorders>
            <w:noWrap/>
            <w:vAlign w:val="center"/>
            <w:hideMark/>
          </w:tcPr>
          <w:p w14:paraId="4EF90EE5"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6,75 ± 0,83</w:t>
            </w:r>
            <w:r w:rsidRPr="00CD0A6C">
              <w:rPr>
                <w:rFonts w:ascii="Arial" w:hAnsi="Arial" w:cs="Arial"/>
                <w:color w:val="000000"/>
                <w:highlight w:val="yellow"/>
                <w:vertAlign w:val="superscript"/>
                <w:lang w:eastAsia="fr-FR"/>
              </w:rPr>
              <w:t>a</w:t>
            </w:r>
          </w:p>
        </w:tc>
        <w:tc>
          <w:tcPr>
            <w:tcW w:w="1580" w:type="dxa"/>
            <w:tcBorders>
              <w:top w:val="nil"/>
              <w:left w:val="nil"/>
              <w:bottom w:val="single" w:sz="4" w:space="0" w:color="auto"/>
              <w:right w:val="nil"/>
            </w:tcBorders>
            <w:noWrap/>
            <w:vAlign w:val="center"/>
            <w:hideMark/>
          </w:tcPr>
          <w:p w14:paraId="43BD4680"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5,81 ± 1,85</w:t>
            </w:r>
            <w:r w:rsidRPr="00CD0A6C">
              <w:rPr>
                <w:rFonts w:ascii="Arial" w:hAnsi="Arial" w:cs="Arial"/>
                <w:color w:val="000000"/>
                <w:highlight w:val="yellow"/>
                <w:vertAlign w:val="superscript"/>
                <w:lang w:eastAsia="fr-FR"/>
              </w:rPr>
              <w:t>a</w:t>
            </w:r>
          </w:p>
        </w:tc>
        <w:tc>
          <w:tcPr>
            <w:tcW w:w="1665" w:type="dxa"/>
            <w:tcBorders>
              <w:top w:val="nil"/>
              <w:left w:val="nil"/>
              <w:bottom w:val="single" w:sz="4" w:space="0" w:color="auto"/>
              <w:right w:val="nil"/>
            </w:tcBorders>
            <w:noWrap/>
            <w:vAlign w:val="center"/>
            <w:hideMark/>
          </w:tcPr>
          <w:p w14:paraId="4F467823" w14:textId="77777777" w:rsidR="00756873" w:rsidRPr="00CD0A6C" w:rsidRDefault="00756873" w:rsidP="00DE1DBF">
            <w:pPr>
              <w:spacing w:line="480" w:lineRule="auto"/>
              <w:jc w:val="center"/>
              <w:rPr>
                <w:rFonts w:ascii="Arial" w:hAnsi="Arial" w:cs="Arial"/>
                <w:color w:val="000000"/>
                <w:highlight w:val="yellow"/>
                <w:lang w:eastAsia="fr-FR"/>
              </w:rPr>
            </w:pPr>
            <w:r w:rsidRPr="00CD0A6C">
              <w:rPr>
                <w:rFonts w:ascii="Arial" w:hAnsi="Arial" w:cs="Arial"/>
                <w:color w:val="000000"/>
                <w:highlight w:val="yellow"/>
                <w:lang w:eastAsia="fr-FR"/>
              </w:rPr>
              <w:t>3,86 ± 1,42</w:t>
            </w:r>
            <w:r w:rsidRPr="00CD0A6C">
              <w:rPr>
                <w:rFonts w:ascii="Arial" w:hAnsi="Arial" w:cs="Arial"/>
                <w:color w:val="000000"/>
                <w:highlight w:val="yellow"/>
                <w:vertAlign w:val="superscript"/>
                <w:lang w:eastAsia="fr-FR"/>
              </w:rPr>
              <w:t>b</w:t>
            </w:r>
          </w:p>
        </w:tc>
        <w:tc>
          <w:tcPr>
            <w:tcW w:w="987" w:type="dxa"/>
            <w:tcBorders>
              <w:top w:val="nil"/>
              <w:left w:val="nil"/>
              <w:bottom w:val="single" w:sz="4" w:space="0" w:color="auto"/>
              <w:right w:val="nil"/>
            </w:tcBorders>
            <w:vAlign w:val="center"/>
            <w:hideMark/>
          </w:tcPr>
          <w:p w14:paraId="5D7BB62C" w14:textId="77777777" w:rsidR="00756873" w:rsidRPr="00756873" w:rsidRDefault="00756873" w:rsidP="00DE1DBF">
            <w:pPr>
              <w:spacing w:line="480" w:lineRule="auto"/>
              <w:jc w:val="center"/>
              <w:rPr>
                <w:rFonts w:ascii="Arial" w:hAnsi="Arial" w:cs="Arial"/>
                <w:color w:val="000000"/>
                <w:lang w:eastAsia="fr-FR"/>
              </w:rPr>
            </w:pPr>
            <w:r w:rsidRPr="00CD0A6C">
              <w:rPr>
                <w:rFonts w:ascii="Arial" w:hAnsi="Arial" w:cs="Arial"/>
                <w:color w:val="000000"/>
                <w:highlight w:val="yellow"/>
                <w:lang w:eastAsia="fr-FR"/>
              </w:rPr>
              <w:t>0,0</w:t>
            </w:r>
            <w:r w:rsidR="003E39FE" w:rsidRPr="00CD0A6C">
              <w:rPr>
                <w:rFonts w:ascii="Arial" w:hAnsi="Arial" w:cs="Arial"/>
                <w:color w:val="000000"/>
                <w:highlight w:val="yellow"/>
                <w:lang w:eastAsia="fr-FR"/>
              </w:rPr>
              <w:t>5</w:t>
            </w:r>
          </w:p>
        </w:tc>
      </w:tr>
    </w:tbl>
    <w:p w14:paraId="5BDE082A" w14:textId="77777777" w:rsidR="00756873" w:rsidRPr="00756873" w:rsidRDefault="00756873" w:rsidP="00756873">
      <w:pPr>
        <w:autoSpaceDE w:val="0"/>
        <w:autoSpaceDN w:val="0"/>
        <w:adjustRightInd w:val="0"/>
        <w:spacing w:after="240"/>
        <w:jc w:val="both"/>
        <w:rPr>
          <w:rFonts w:ascii="Arial" w:hAnsi="Arial" w:cs="Arial"/>
          <w:sz w:val="18"/>
        </w:rPr>
      </w:pPr>
      <w:r w:rsidRPr="00756873">
        <w:rPr>
          <w:rFonts w:ascii="Arial" w:hAnsi="Arial" w:cs="Arial"/>
          <w:szCs w:val="22"/>
        </w:rPr>
        <w:t>*</w:t>
      </w:r>
      <w:r w:rsidRPr="00756873">
        <w:rPr>
          <w:rFonts w:ascii="Arial" w:hAnsi="Arial" w:cs="Arial"/>
        </w:rPr>
        <w:t xml:space="preserve"> </w:t>
      </w:r>
      <w:r w:rsidR="00A05888" w:rsidRPr="00A05888">
        <w:rPr>
          <w:rFonts w:ascii="Arial" w:hAnsi="Arial" w:cs="Arial"/>
          <w:sz w:val="18"/>
          <w:szCs w:val="18"/>
        </w:rPr>
        <w:t>At: Feed containing 100% wheat bran; A25: Feed with 25% cashew apple bagasse incorporated; A50: Feed containing 50% cashew apple bagasse; Values denoted by different letters within the same row are statistically different (</w:t>
      </w:r>
      <w:r w:rsidR="00A2737E" w:rsidRPr="00A2737E">
        <w:rPr>
          <w:rFonts w:ascii="Arial" w:hAnsi="Arial" w:cs="Arial"/>
          <w:szCs w:val="22"/>
          <w:highlight w:val="yellow"/>
        </w:rPr>
        <w:t>Tukey’s test</w:t>
      </w:r>
      <w:r w:rsidR="00A05888" w:rsidRPr="00A05888">
        <w:rPr>
          <w:rFonts w:ascii="Arial" w:hAnsi="Arial" w:cs="Arial"/>
          <w:sz w:val="18"/>
          <w:szCs w:val="18"/>
        </w:rPr>
        <w:t xml:space="preserve">, </w:t>
      </w:r>
      <w:r w:rsidR="00A05888" w:rsidRPr="009B2C00">
        <w:rPr>
          <w:rFonts w:ascii="Arial" w:hAnsi="Arial" w:cs="Arial"/>
          <w:i/>
          <w:iCs/>
          <w:sz w:val="18"/>
          <w:szCs w:val="18"/>
        </w:rPr>
        <w:t>P</w:t>
      </w:r>
      <w:r w:rsidR="00A05888" w:rsidRPr="00A05888">
        <w:rPr>
          <w:rFonts w:ascii="Arial" w:hAnsi="Arial" w:cs="Arial"/>
          <w:sz w:val="18"/>
          <w:szCs w:val="18"/>
        </w:rPr>
        <w:t xml:space="preserve"> &lt; 0.05).</w:t>
      </w:r>
    </w:p>
    <w:p w14:paraId="6FEC1D94" w14:textId="77777777" w:rsidR="00BB4FB4" w:rsidRDefault="00BB4FB4" w:rsidP="00BB4FB4">
      <w:pPr>
        <w:pStyle w:val="Head1"/>
        <w:spacing w:after="0"/>
        <w:jc w:val="both"/>
        <w:rPr>
          <w:rFonts w:ascii="Arial" w:hAnsi="Arial" w:cs="Arial"/>
        </w:rPr>
      </w:pPr>
      <w:r>
        <w:rPr>
          <w:rFonts w:ascii="Arial" w:hAnsi="Arial" w:cs="Arial"/>
        </w:rPr>
        <w:t>4. discussion</w:t>
      </w:r>
    </w:p>
    <w:p w14:paraId="5037AD4D" w14:textId="77777777" w:rsidR="00A05888" w:rsidRPr="00A05888" w:rsidRDefault="00A05888" w:rsidP="00A05888">
      <w:pPr>
        <w:pStyle w:val="Body"/>
        <w:rPr>
          <w:rFonts w:ascii="Arial" w:hAnsi="Arial" w:cs="Arial"/>
        </w:rPr>
      </w:pPr>
      <w:r>
        <w:rPr>
          <w:rFonts w:ascii="Arial" w:hAnsi="Arial" w:cs="Arial"/>
        </w:rPr>
        <w:t>The cashew apple bagasse used in this study had a high total carbohydrate content (709.2 g/kg) and a high metabolisable energy content (</w:t>
      </w:r>
      <w:r>
        <w:rPr>
          <w:rFonts w:ascii="Arial" w:hAnsi="Arial" w:cs="Arial"/>
          <w:highlight w:val="yellow"/>
        </w:rPr>
        <w:t>3.335 kcal/kg</w:t>
      </w:r>
      <w:r>
        <w:rPr>
          <w:rFonts w:ascii="Arial" w:hAnsi="Arial" w:cs="Arial"/>
        </w:rPr>
        <w:t xml:space="preserve">). These results indicate high energy potential. These observations are consistent with evidence that household wastes and crop residues used in livestock feeding can provide substantial metabolisable energy (Onwuka et al., 1997). However, the crude protein content remains moderate (105.7 g/kg), </w:t>
      </w:r>
      <w:r>
        <w:rPr>
          <w:rFonts w:ascii="Arial" w:hAnsi="Arial" w:cs="Arial"/>
        </w:rPr>
        <w:lastRenderedPageBreak/>
        <w:t xml:space="preserve">which limits its use as a primary source of protein. When this material is incorporated into quail diets, a progressive imbalance in nutritional intakes is observed depending on the level of inclusion. Thus, in the 25 per cent diet (A25), </w:t>
      </w:r>
      <w:r>
        <w:rPr>
          <w:rFonts w:ascii="Arial" w:hAnsi="Arial" w:cs="Arial"/>
          <w:highlight w:val="yellow"/>
        </w:rPr>
        <w:t xml:space="preserve">the </w:t>
      </w:r>
      <w:r>
        <w:rPr>
          <w:rFonts w:ascii="Arial" w:hAnsi="Arial" w:cs="Arial"/>
        </w:rPr>
        <w:t xml:space="preserve">crude protein level fell to 11.63 per cent and to 11.74 per cent </w:t>
      </w:r>
      <w:r>
        <w:rPr>
          <w:rFonts w:ascii="Arial" w:hAnsi="Arial" w:cs="Arial"/>
          <w:highlight w:val="yellow"/>
        </w:rPr>
        <w:t>in</w:t>
      </w:r>
      <w:r>
        <w:rPr>
          <w:rFonts w:ascii="Arial" w:hAnsi="Arial" w:cs="Arial"/>
        </w:rPr>
        <w:t xml:space="preserve"> A50, compared with 19.56 per cent in the control diet (At). This significant reduction in protein, an essential component for muscle growth and organ development (</w:t>
      </w:r>
      <w:r>
        <w:rPr>
          <w:rFonts w:ascii="Arial" w:hAnsi="Arial" w:cs="Arial"/>
          <w:highlight w:val="yellow"/>
        </w:rPr>
        <w:t>Alabi &amp; Adedokun, 2025</w:t>
      </w:r>
      <w:r>
        <w:rPr>
          <w:rFonts w:ascii="Arial" w:hAnsi="Arial" w:cs="Arial"/>
        </w:rPr>
        <w:t>), could constitute a major limiting factor for zootechnical performance. Furthermore, the low</w:t>
      </w:r>
      <w:r>
        <w:rPr>
          <w:rFonts w:ascii="Arial" w:hAnsi="Arial" w:cs="Arial"/>
          <w:highlight w:val="yellow"/>
        </w:rPr>
        <w:t>er</w:t>
      </w:r>
      <w:r>
        <w:rPr>
          <w:rFonts w:ascii="Arial" w:hAnsi="Arial" w:cs="Arial"/>
        </w:rPr>
        <w:t xml:space="preserve"> fat content </w:t>
      </w:r>
      <w:r>
        <w:rPr>
          <w:rFonts w:ascii="Arial" w:hAnsi="Arial" w:cs="Arial"/>
          <w:highlight w:val="yellow"/>
        </w:rPr>
        <w:t>of</w:t>
      </w:r>
      <w:r>
        <w:rPr>
          <w:rFonts w:ascii="Arial" w:hAnsi="Arial" w:cs="Arial"/>
        </w:rPr>
        <w:t xml:space="preserve"> the A25 and A50 diets compared with the control diet results in a reduction in overall energy content. According to Imari et al. (2025), weight gain in chickens increases as the amount of metabolisable energy in their feed</w:t>
      </w:r>
      <w:r>
        <w:rPr>
          <w:rFonts w:ascii="Arial" w:hAnsi="Arial" w:cs="Arial"/>
          <w:highlight w:val="yellow"/>
        </w:rPr>
        <w:t xml:space="preserve"> increases</w:t>
      </w:r>
      <w:r>
        <w:rPr>
          <w:rFonts w:ascii="Arial" w:hAnsi="Arial" w:cs="Arial"/>
        </w:rPr>
        <w:t>. Yang et al. (2026) made s</w:t>
      </w:r>
      <w:r>
        <w:rPr>
          <w:rFonts w:ascii="Arial" w:hAnsi="Arial" w:cs="Arial"/>
          <w:highlight w:val="yellow"/>
        </w:rPr>
        <w:t>imil</w:t>
      </w:r>
      <w:r>
        <w:rPr>
          <w:rFonts w:ascii="Arial" w:hAnsi="Arial" w:cs="Arial"/>
        </w:rPr>
        <w:t>a</w:t>
      </w:r>
      <w:r>
        <w:rPr>
          <w:rFonts w:ascii="Arial" w:hAnsi="Arial" w:cs="Arial"/>
          <w:highlight w:val="yellow"/>
        </w:rPr>
        <w:t>r</w:t>
      </w:r>
      <w:r>
        <w:rPr>
          <w:rFonts w:ascii="Arial" w:hAnsi="Arial" w:cs="Arial"/>
        </w:rPr>
        <w:t xml:space="preserve"> observations in their studies on broiler chickens.</w:t>
      </w:r>
    </w:p>
    <w:p w14:paraId="03004A9A" w14:textId="77777777" w:rsidR="00A05888" w:rsidRPr="00A05888" w:rsidRDefault="00A05888" w:rsidP="00A05888">
      <w:pPr>
        <w:pStyle w:val="Body"/>
        <w:rPr>
          <w:rFonts w:ascii="Arial" w:hAnsi="Arial" w:cs="Arial"/>
        </w:rPr>
      </w:pPr>
      <w:r>
        <w:rPr>
          <w:rFonts w:ascii="Arial" w:hAnsi="Arial" w:cs="Arial"/>
        </w:rPr>
        <w:t>Data on daily feed intake revealed n</w:t>
      </w:r>
      <w:r>
        <w:rPr>
          <w:rFonts w:ascii="Arial" w:hAnsi="Arial" w:cs="Arial"/>
          <w:highlight w:val="yellow"/>
        </w:rPr>
        <w:t>o</w:t>
      </w:r>
      <w:r>
        <w:rPr>
          <w:rFonts w:ascii="Arial" w:hAnsi="Arial" w:cs="Arial"/>
        </w:rPr>
        <w:t xml:space="preserve"> significant </w:t>
      </w:r>
      <w:r>
        <w:rPr>
          <w:rFonts w:ascii="Arial" w:hAnsi="Arial" w:cs="Arial"/>
          <w:highlight w:val="yellow"/>
        </w:rPr>
        <w:t>d</w:t>
      </w:r>
      <w:r>
        <w:rPr>
          <w:rFonts w:ascii="Arial" w:hAnsi="Arial" w:cs="Arial"/>
        </w:rPr>
        <w:t>i</w:t>
      </w:r>
      <w:r>
        <w:rPr>
          <w:rFonts w:ascii="Arial" w:hAnsi="Arial" w:cs="Arial"/>
          <w:highlight w:val="yellow"/>
        </w:rPr>
        <w:t>ffe</w:t>
      </w:r>
      <w:r>
        <w:rPr>
          <w:rFonts w:ascii="Arial" w:hAnsi="Arial" w:cs="Arial"/>
        </w:rPr>
        <w:t>r</w:t>
      </w:r>
      <w:r>
        <w:rPr>
          <w:rFonts w:ascii="Arial" w:hAnsi="Arial" w:cs="Arial"/>
          <w:highlight w:val="yellow"/>
        </w:rPr>
        <w:t>ence</w:t>
      </w:r>
      <w:r>
        <w:rPr>
          <w:rFonts w:ascii="Arial" w:hAnsi="Arial" w:cs="Arial"/>
        </w:rPr>
        <w:t xml:space="preserve"> during the finishing phase, in contrast to the growth phase. This observation is thought to be due to compensatory feed intake. Indeed, monogastric animals may adjust their feed intake to meet their energy requirements (Oraye &amp; Malto, 2023). Research has shown that feed composition affects feed intake in poultry. Indeed, </w:t>
      </w:r>
      <w:r>
        <w:rPr>
          <w:rFonts w:ascii="Arial" w:hAnsi="Arial" w:cs="Arial"/>
          <w:highlight w:val="yellow"/>
        </w:rPr>
        <w:t>Oktariansyah and Kamal (2026)</w:t>
      </w:r>
      <w:r>
        <w:rPr>
          <w:rFonts w:ascii="Arial" w:hAnsi="Arial" w:cs="Arial"/>
        </w:rPr>
        <w:t xml:space="preserve"> state that a balanced formulation promotes better feed intake and increased growth. </w:t>
      </w:r>
      <w:r>
        <w:rPr>
          <w:rFonts w:ascii="Arial" w:hAnsi="Arial" w:cs="Arial"/>
          <w:highlight w:val="yellow"/>
        </w:rPr>
        <w:t>Furthermore, throughout the rearing period, the animals fed diets A25 and A50 consumed amounts of feed that did not differ significantly from that of the control group.</w:t>
      </w:r>
      <w:r>
        <w:rPr>
          <w:rFonts w:ascii="Arial" w:hAnsi="Arial" w:cs="Arial"/>
        </w:rPr>
        <w:t xml:space="preserve"> This could be due to the low level of insoluble fibre in th</w:t>
      </w:r>
      <w:r>
        <w:rPr>
          <w:rFonts w:ascii="Arial" w:hAnsi="Arial" w:cs="Arial"/>
          <w:highlight w:val="yellow"/>
        </w:rPr>
        <w:t>e</w:t>
      </w:r>
      <w:r>
        <w:rPr>
          <w:rFonts w:ascii="Arial" w:hAnsi="Arial" w:cs="Arial"/>
        </w:rPr>
        <w:t>s</w:t>
      </w:r>
      <w:r>
        <w:rPr>
          <w:rFonts w:ascii="Arial" w:hAnsi="Arial" w:cs="Arial"/>
          <w:highlight w:val="yellow"/>
        </w:rPr>
        <w:t>e</w:t>
      </w:r>
      <w:r>
        <w:rPr>
          <w:rFonts w:ascii="Arial" w:hAnsi="Arial" w:cs="Arial"/>
        </w:rPr>
        <w:t xml:space="preserve"> diet</w:t>
      </w:r>
      <w:r>
        <w:rPr>
          <w:rFonts w:ascii="Arial" w:hAnsi="Arial" w:cs="Arial"/>
          <w:highlight w:val="yellow"/>
        </w:rPr>
        <w:t>s</w:t>
      </w:r>
      <w:r>
        <w:rPr>
          <w:rFonts w:ascii="Arial" w:hAnsi="Arial" w:cs="Arial"/>
        </w:rPr>
        <w:t xml:space="preserve">. Jha </w:t>
      </w:r>
      <w:r>
        <w:rPr>
          <w:rFonts w:ascii="Arial" w:hAnsi="Arial" w:cs="Arial"/>
          <w:highlight w:val="yellow"/>
        </w:rPr>
        <w:t>and</w:t>
      </w:r>
      <w:r>
        <w:rPr>
          <w:rFonts w:ascii="Arial" w:hAnsi="Arial" w:cs="Arial"/>
        </w:rPr>
        <w:t xml:space="preserve"> Mishra (2021) stated that dietary fibre helps maintain the integrity of the small and large intestines by strengthening the structure and functions of the mucosa and by increasing the population and diversity of commensal bacteria in the gastrointestinal tract. This could improve digestion and, consequently, feed intake. These observations are corroborated by Vivares et al. (2025), wh</w:t>
      </w:r>
      <w:r>
        <w:rPr>
          <w:rFonts w:ascii="Arial" w:hAnsi="Arial" w:cs="Arial"/>
          <w:highlight w:val="yellow"/>
        </w:rPr>
        <w:t>o</w:t>
      </w:r>
      <w:r>
        <w:rPr>
          <w:rFonts w:ascii="Arial" w:hAnsi="Arial" w:cs="Arial"/>
        </w:rPr>
        <w:t xml:space="preserve"> state that dietary fibre has positive effects when incorporated into broiler feed at levels of up to 10 per cent. However, these authors state that dietary fibre should be incorporated in moderate quantities. Conversely, th</w:t>
      </w:r>
      <w:r>
        <w:rPr>
          <w:rFonts w:ascii="Arial" w:hAnsi="Arial" w:cs="Arial"/>
          <w:highlight w:val="yellow"/>
        </w:rPr>
        <w:t>e</w:t>
      </w:r>
      <w:r>
        <w:rPr>
          <w:rFonts w:ascii="Arial" w:hAnsi="Arial" w:cs="Arial"/>
        </w:rPr>
        <w:t xml:space="preserve"> A50</w:t>
      </w:r>
      <w:r>
        <w:rPr>
          <w:rFonts w:ascii="Arial" w:hAnsi="Arial" w:cs="Arial"/>
          <w:highlight w:val="yellow"/>
        </w:rPr>
        <w:t xml:space="preserve"> group</w:t>
      </w:r>
      <w:r>
        <w:rPr>
          <w:rFonts w:ascii="Arial" w:hAnsi="Arial" w:cs="Arial"/>
        </w:rPr>
        <w:t xml:space="preserve">, which showed lower feed intake during the growth phase, may indicate a negative effect of the dietary fibre present in this feed. Responses to dietary fibre depend on fibre type, particle size and inclusion level, which can affect feed intake and growth performance (Tejeda &amp; Kim, 2021). </w:t>
      </w:r>
    </w:p>
    <w:p w14:paraId="3D3AB170" w14:textId="77777777" w:rsidR="00322E24" w:rsidRDefault="00A05888" w:rsidP="00A05888">
      <w:pPr>
        <w:pStyle w:val="Body"/>
        <w:rPr>
          <w:rFonts w:ascii="Arial" w:hAnsi="Arial" w:cs="Arial"/>
        </w:rPr>
      </w:pPr>
      <w:r w:rsidRPr="009B2C00">
        <w:rPr>
          <w:rFonts w:ascii="Arial" w:hAnsi="Arial" w:cs="Arial"/>
        </w:rPr>
        <w:t>The feed conversion ratio (FCR</w:t>
      </w:r>
      <w:r w:rsidRPr="00A05888">
        <w:rPr>
          <w:rFonts w:ascii="Arial" w:hAnsi="Arial" w:cs="Arial"/>
        </w:rPr>
        <w:t xml:space="preserve">), a key indicator of feed efficiency, deteriorated significantly with the increasing inclusion of bagasse. During the growth phase, the FCR increased as the proportion of cashew apple bagasse in the diet rose. </w:t>
      </w:r>
      <w:r w:rsidR="00322E24" w:rsidRPr="00322E24">
        <w:rPr>
          <w:rFonts w:ascii="Arial" w:hAnsi="Arial" w:cs="Arial"/>
        </w:rPr>
        <w:t>This deterioration could be attributed to the low protein content of the A25 and A50 diets, as revealed by the chemical analysis of the feed.</w:t>
      </w:r>
    </w:p>
    <w:p w14:paraId="0FB5F813" w14:textId="77777777" w:rsidR="00A05888" w:rsidRPr="00A05888" w:rsidRDefault="00A05888" w:rsidP="00A05888">
      <w:pPr>
        <w:pStyle w:val="Body"/>
        <w:rPr>
          <w:rFonts w:ascii="Arial" w:hAnsi="Arial" w:cs="Arial"/>
        </w:rPr>
      </w:pPr>
      <w:r>
        <w:rPr>
          <w:rFonts w:ascii="Arial" w:hAnsi="Arial" w:cs="Arial"/>
        </w:rPr>
        <w:t>Although diet A50 showed higher values, feed intake alone should not be interpreted as evidence of improved feed efficiency. Feed efficiency reflects the capacity to convert ingested feed into body growth and is commonly expressed through the feed conversion ratio (Zampiga et al., 2021). The results o</w:t>
      </w:r>
      <w:r>
        <w:rPr>
          <w:rFonts w:ascii="Arial" w:hAnsi="Arial" w:cs="Arial"/>
          <w:highlight w:val="yellow"/>
        </w:rPr>
        <w:t>btai</w:t>
      </w:r>
      <w:r>
        <w:rPr>
          <w:rFonts w:ascii="Arial" w:hAnsi="Arial" w:cs="Arial"/>
        </w:rPr>
        <w:t>n</w:t>
      </w:r>
      <w:r>
        <w:rPr>
          <w:rFonts w:ascii="Arial" w:hAnsi="Arial" w:cs="Arial"/>
          <w:highlight w:val="yellow"/>
        </w:rPr>
        <w:t>e</w:t>
      </w:r>
      <w:r>
        <w:rPr>
          <w:rFonts w:ascii="Arial" w:hAnsi="Arial" w:cs="Arial"/>
        </w:rPr>
        <w:t xml:space="preserve">d in this study for animals in groups At and A25 were broadly similar to those </w:t>
      </w:r>
      <w:r>
        <w:rPr>
          <w:rFonts w:ascii="Arial" w:hAnsi="Arial" w:cs="Arial"/>
          <w:highlight w:val="yellow"/>
        </w:rPr>
        <w:t>rep</w:t>
      </w:r>
      <w:r>
        <w:rPr>
          <w:rFonts w:ascii="Arial" w:hAnsi="Arial" w:cs="Arial"/>
        </w:rPr>
        <w:t>o</w:t>
      </w:r>
      <w:r>
        <w:rPr>
          <w:rFonts w:ascii="Arial" w:hAnsi="Arial" w:cs="Arial"/>
          <w:highlight w:val="yellow"/>
        </w:rPr>
        <w:t>r</w:t>
      </w:r>
      <w:r>
        <w:rPr>
          <w:rFonts w:ascii="Arial" w:hAnsi="Arial" w:cs="Arial"/>
        </w:rPr>
        <w:t>ted by Benagrouba (2022), wh</w:t>
      </w:r>
      <w:r>
        <w:rPr>
          <w:rFonts w:ascii="Arial" w:hAnsi="Arial" w:cs="Arial"/>
          <w:highlight w:val="yellow"/>
        </w:rPr>
        <w:t>o</w:t>
      </w:r>
      <w:r>
        <w:rPr>
          <w:rFonts w:ascii="Arial" w:hAnsi="Arial" w:cs="Arial"/>
        </w:rPr>
        <w:t xml:space="preserve"> re</w:t>
      </w:r>
      <w:r>
        <w:rPr>
          <w:rFonts w:ascii="Arial" w:hAnsi="Arial" w:cs="Arial"/>
          <w:highlight w:val="yellow"/>
        </w:rPr>
        <w:t>corded values of</w:t>
      </w:r>
      <w:r>
        <w:rPr>
          <w:rFonts w:ascii="Arial" w:hAnsi="Arial" w:cs="Arial"/>
        </w:rPr>
        <w:t xml:space="preserve"> 3.36 for females and 2.65 for males </w:t>
      </w:r>
      <w:r>
        <w:rPr>
          <w:rFonts w:ascii="Arial" w:hAnsi="Arial" w:cs="Arial"/>
          <w:highlight w:val="yellow"/>
        </w:rPr>
        <w:t>dur</w:t>
      </w:r>
      <w:r>
        <w:rPr>
          <w:rFonts w:ascii="Arial" w:hAnsi="Arial" w:cs="Arial"/>
        </w:rPr>
        <w:t>in</w:t>
      </w:r>
      <w:r>
        <w:rPr>
          <w:rFonts w:ascii="Arial" w:hAnsi="Arial" w:cs="Arial"/>
          <w:highlight w:val="yellow"/>
        </w:rPr>
        <w:t>g</w:t>
      </w:r>
      <w:r>
        <w:rPr>
          <w:rFonts w:ascii="Arial" w:hAnsi="Arial" w:cs="Arial"/>
        </w:rPr>
        <w:t xml:space="preserve"> the finishing phase </w:t>
      </w:r>
      <w:r>
        <w:rPr>
          <w:rFonts w:ascii="Arial" w:hAnsi="Arial" w:cs="Arial"/>
          <w:highlight w:val="yellow"/>
        </w:rPr>
        <w:t>in</w:t>
      </w:r>
      <w:r>
        <w:rPr>
          <w:rFonts w:ascii="Arial" w:hAnsi="Arial" w:cs="Arial"/>
        </w:rPr>
        <w:t xml:space="preserve"> quails. </w:t>
      </w:r>
      <w:r>
        <w:rPr>
          <w:rFonts w:ascii="Arial" w:hAnsi="Arial" w:cs="Arial"/>
          <w:highlight w:val="yellow"/>
        </w:rPr>
        <w:t>F</w:t>
      </w:r>
      <w:r>
        <w:rPr>
          <w:rFonts w:ascii="Arial" w:hAnsi="Arial" w:cs="Arial"/>
        </w:rPr>
        <w:t>or diet A50, the CI was broadly similar to th</w:t>
      </w:r>
      <w:r>
        <w:rPr>
          <w:rFonts w:ascii="Arial" w:hAnsi="Arial" w:cs="Arial"/>
          <w:highlight w:val="yellow"/>
        </w:rPr>
        <w:t>e v</w:t>
      </w:r>
      <w:r>
        <w:rPr>
          <w:rFonts w:ascii="Arial" w:hAnsi="Arial" w:cs="Arial"/>
        </w:rPr>
        <w:t>a</w:t>
      </w:r>
      <w:r>
        <w:rPr>
          <w:rFonts w:ascii="Arial" w:hAnsi="Arial" w:cs="Arial"/>
          <w:highlight w:val="yellow"/>
        </w:rPr>
        <w:t>lues repor</w:t>
      </w:r>
      <w:r>
        <w:rPr>
          <w:rFonts w:ascii="Arial" w:hAnsi="Arial" w:cs="Arial"/>
        </w:rPr>
        <w:t>t</w:t>
      </w:r>
      <w:r>
        <w:rPr>
          <w:rFonts w:ascii="Arial" w:hAnsi="Arial" w:cs="Arial"/>
          <w:highlight w:val="yellow"/>
        </w:rPr>
        <w:t>e</w:t>
      </w:r>
      <w:r>
        <w:rPr>
          <w:rFonts w:ascii="Arial" w:hAnsi="Arial" w:cs="Arial"/>
        </w:rPr>
        <w:t xml:space="preserve">d by Benagrouba (2022), </w:t>
      </w:r>
      <w:r>
        <w:rPr>
          <w:rFonts w:ascii="Arial" w:hAnsi="Arial" w:cs="Arial"/>
          <w:highlight w:val="yellow"/>
        </w:rPr>
        <w:t>n</w:t>
      </w:r>
      <w:r>
        <w:rPr>
          <w:rFonts w:ascii="Arial" w:hAnsi="Arial" w:cs="Arial"/>
        </w:rPr>
        <w:t>a</w:t>
      </w:r>
      <w:r>
        <w:rPr>
          <w:rFonts w:ascii="Arial" w:hAnsi="Arial" w:cs="Arial"/>
          <w:highlight w:val="yellow"/>
        </w:rPr>
        <w:t>mely</w:t>
      </w:r>
      <w:r>
        <w:rPr>
          <w:rFonts w:ascii="Arial" w:hAnsi="Arial" w:cs="Arial"/>
        </w:rPr>
        <w:t xml:space="preserve"> 5.03 for female quails and 4.05 for male quails throughout the rearing period. </w:t>
      </w:r>
    </w:p>
    <w:p w14:paraId="52FAA7F9" w14:textId="77777777" w:rsidR="00BB4FB4" w:rsidRPr="00FB3A86" w:rsidRDefault="00A05888" w:rsidP="00A05888">
      <w:pPr>
        <w:pStyle w:val="Body"/>
        <w:rPr>
          <w:rFonts w:ascii="Arial" w:hAnsi="Arial" w:cs="Arial"/>
        </w:rPr>
      </w:pPr>
      <w:r>
        <w:rPr>
          <w:rFonts w:ascii="Arial" w:hAnsi="Arial" w:cs="Arial"/>
        </w:rPr>
        <w:t>The effect of</w:t>
      </w:r>
      <w:r>
        <w:rPr>
          <w:rFonts w:ascii="Arial" w:hAnsi="Arial" w:cs="Arial"/>
          <w:highlight w:val="yellow"/>
        </w:rPr>
        <w:t xml:space="preserve"> the</w:t>
      </w:r>
      <w:r>
        <w:rPr>
          <w:rFonts w:ascii="Arial" w:hAnsi="Arial" w:cs="Arial"/>
        </w:rPr>
        <w:t xml:space="preserve"> diets on the weight gain of quails </w:t>
      </w:r>
      <w:r>
        <w:rPr>
          <w:rFonts w:ascii="Arial" w:hAnsi="Arial" w:cs="Arial"/>
          <w:highlight w:val="yellow"/>
        </w:rPr>
        <w:t>wa</w:t>
      </w:r>
      <w:r>
        <w:rPr>
          <w:rFonts w:ascii="Arial" w:hAnsi="Arial" w:cs="Arial"/>
        </w:rPr>
        <w:t xml:space="preserve">s particularly marked. Quails on the control diet reached a final weight of 214.56 g, compared with 189.06 g (A25) and 140.82 g (A50), demonstrating a significant decrease as the bagasse content increased. The average daily weight gain (ADG) followed the same trend, falling from 6.75 g/day (At) to 5.81 g/day (A25) and then to 3.86 g/day (A50). This reduction could be explained by insufficient protein intake and lower nutrient digestibility in the experimental groups. Furthermore, the low ADG </w:t>
      </w:r>
      <w:r>
        <w:rPr>
          <w:rFonts w:ascii="Arial" w:hAnsi="Arial" w:cs="Arial"/>
        </w:rPr>
        <w:lastRenderedPageBreak/>
        <w:t xml:space="preserve">recorded </w:t>
      </w:r>
      <w:r>
        <w:rPr>
          <w:rFonts w:ascii="Arial" w:hAnsi="Arial" w:cs="Arial"/>
          <w:highlight w:val="yellow"/>
        </w:rPr>
        <w:t>w</w:t>
      </w:r>
      <w:r>
        <w:rPr>
          <w:rFonts w:ascii="Arial" w:hAnsi="Arial" w:cs="Arial"/>
        </w:rPr>
        <w:t>i</w:t>
      </w:r>
      <w:r>
        <w:rPr>
          <w:rFonts w:ascii="Arial" w:hAnsi="Arial" w:cs="Arial"/>
          <w:highlight w:val="yellow"/>
        </w:rPr>
        <w:t>th</w:t>
      </w:r>
      <w:r>
        <w:rPr>
          <w:rFonts w:ascii="Arial" w:hAnsi="Arial" w:cs="Arial"/>
        </w:rPr>
        <w:t xml:space="preserve"> the A50 diet could also indicate poor palatability of the ration or the presence of antinutritional compounds such as tannin</w:t>
      </w:r>
      <w:r>
        <w:rPr>
          <w:rFonts w:ascii="Arial" w:hAnsi="Arial" w:cs="Arial"/>
          <w:highlight w:val="yellow"/>
        </w:rPr>
        <w:t>s</w:t>
      </w:r>
      <w:r>
        <w:rPr>
          <w:rFonts w:ascii="Arial" w:hAnsi="Arial" w:cs="Arial"/>
        </w:rPr>
        <w:t xml:space="preserve"> in the bagasse (Reina et al., 2022), which could impair the absorption of essential nutrients. According to Bamba et al. (2023), dried cashew apples contain tannins, phytates and oxalates, which act as anti-nutritional factors in animal feed. These factors may render the nutrients in the feed unavailable, thereby leading to a low average daily gain in treatment group A50. According to Djinandji et al. (2022), the presence of tannins in the feed can lead to a reduction in feed intake as well as a decline in the animals’ zootechnical performance. However, the average daily weight gains across the three treatment groups were higher than th</w:t>
      </w:r>
      <w:r>
        <w:rPr>
          <w:rFonts w:ascii="Arial" w:hAnsi="Arial" w:cs="Arial"/>
          <w:highlight w:val="yellow"/>
        </w:rPr>
        <w:t xml:space="preserve">e value </w:t>
      </w:r>
      <w:r>
        <w:rPr>
          <w:rFonts w:ascii="Arial" w:hAnsi="Arial" w:cs="Arial"/>
        </w:rPr>
        <w:t>o</w:t>
      </w:r>
      <w:r>
        <w:rPr>
          <w:rFonts w:ascii="Arial" w:hAnsi="Arial" w:cs="Arial"/>
          <w:highlight w:val="yellow"/>
        </w:rPr>
        <w:t>f 3.69 ± 0.70 g/day</w:t>
      </w:r>
      <w:r>
        <w:rPr>
          <w:rFonts w:ascii="Arial" w:hAnsi="Arial" w:cs="Arial"/>
        </w:rPr>
        <w:t xml:space="preserve"> reported by Ouaffai et al. (2018) during the growth phase in quails. Earlier work in Japanese quail showed that growth response is sensitive to dietary protein level (Vohra &amp; Roudybush, 1971), supporting the importance of adequate protein supply during growth.</w:t>
      </w:r>
    </w:p>
    <w:p w14:paraId="750AE8B3" w14:textId="77777777" w:rsidR="00B01FCD" w:rsidRDefault="00BB4FB4" w:rsidP="00441B6F">
      <w:pPr>
        <w:pStyle w:val="ConcHead"/>
        <w:spacing w:after="0"/>
        <w:jc w:val="both"/>
        <w:rPr>
          <w:rFonts w:ascii="Arial" w:hAnsi="Arial" w:cs="Arial"/>
        </w:rPr>
      </w:pPr>
      <w:r>
        <w:rPr>
          <w:rFonts w:ascii="Arial" w:hAnsi="Arial" w:cs="Arial"/>
        </w:rPr>
        <w:t>5</w:t>
      </w:r>
      <w:r w:rsidR="00000F8F">
        <w:rPr>
          <w:rFonts w:ascii="Arial" w:hAnsi="Arial" w:cs="Arial"/>
        </w:rPr>
        <w:t xml:space="preserve">. </w:t>
      </w:r>
      <w:r w:rsidR="00B01FCD" w:rsidRPr="00FB3A86">
        <w:rPr>
          <w:rFonts w:ascii="Arial" w:hAnsi="Arial" w:cs="Arial"/>
        </w:rPr>
        <w:t>Conclusion</w:t>
      </w:r>
    </w:p>
    <w:p w14:paraId="3E8E14C9" w14:textId="77777777" w:rsidR="00790ADA" w:rsidRPr="00FB3A86" w:rsidRDefault="00790ADA" w:rsidP="00441B6F">
      <w:pPr>
        <w:pStyle w:val="ConcHead"/>
        <w:spacing w:after="0"/>
        <w:jc w:val="both"/>
        <w:rPr>
          <w:rFonts w:ascii="Arial" w:hAnsi="Arial" w:cs="Arial"/>
        </w:rPr>
      </w:pPr>
    </w:p>
    <w:p w14:paraId="49E2CA79" w14:textId="0D55BB99" w:rsidR="00D14DC9" w:rsidRDefault="00AC00EC" w:rsidP="00AC00EC">
      <w:pPr>
        <w:jc w:val="both"/>
      </w:pPr>
      <w:r>
        <w:t xml:space="preserve">The findings indicate that cashew apple bagasse is a </w:t>
      </w:r>
      <w:proofErr w:type="spellStart"/>
      <w:r>
        <w:t>fibre</w:t>
      </w:r>
      <w:proofErr w:type="spellEnd"/>
      <w:r>
        <w:t xml:space="preserve">- and carbohydrate-containing agro-industrial by-product whose dietary effects in meat quails depend on the level of incorporation. Across the full experimental period, mean feed intake did not differ significantly among the three diets. The feed conversion ratio obtained with 25% incorporation was comparable to that of the control diet, whereas the 50% diet produced the highest feed conversion ratio. Weight-related responses were less </w:t>
      </w:r>
      <w:proofErr w:type="spellStart"/>
      <w:r>
        <w:t>favourable</w:t>
      </w:r>
      <w:proofErr w:type="spellEnd"/>
      <w:r>
        <w:t xml:space="preserve"> as bagasse inclusion increased: the control group attained the highest final live weight, and average daily gain declined from the control diet to A25 and then A50. Under the conditions evaluated, neither 25% nor 50% incorporation improved weight performance relative to the control diet. These findings do not establish an optimal inclusion level. Further work should therefore examine lower and more closely spaced inclusion levels and evaluate performance using nutritionally balanced diets. Such studies would help clarify the level at which cashew apple bagasse can be incorporated without compromising feed efficiency or growth performance in meat quails.</w:t>
      </w:r>
    </w:p>
    <w:p w14:paraId="745DBE0F" w14:textId="77777777" w:rsidR="00AC00EC" w:rsidRDefault="00AC00EC" w:rsidP="00441B6F">
      <w:pPr>
        <w:rPr>
          <w:rFonts w:ascii="Arial" w:hAnsi="Arial" w:cs="Arial"/>
        </w:rPr>
      </w:pPr>
    </w:p>
    <w:p w14:paraId="1C7E5435" w14:textId="77777777" w:rsidR="00D14DC9" w:rsidRPr="00D14DC9" w:rsidRDefault="00D14DC9" w:rsidP="00D14DC9">
      <w:pPr>
        <w:spacing w:after="240"/>
        <w:jc w:val="both"/>
        <w:rPr>
          <w:rFonts w:ascii="Arial" w:hAnsi="Arial" w:cs="Arial"/>
          <w:b/>
          <w:bCs/>
          <w:sz w:val="22"/>
          <w:szCs w:val="22"/>
        </w:rPr>
      </w:pPr>
      <w:r w:rsidRPr="00D14DC9">
        <w:rPr>
          <w:rFonts w:ascii="Arial" w:hAnsi="Arial" w:cs="Arial"/>
          <w:b/>
          <w:bCs/>
          <w:sz w:val="22"/>
          <w:szCs w:val="22"/>
        </w:rPr>
        <w:t>LIMITATIONS</w:t>
      </w:r>
    </w:p>
    <w:p w14:paraId="35713D56" w14:textId="17AE72EE" w:rsidR="00D14DC9" w:rsidRPr="00315186" w:rsidRDefault="00AC00EC" w:rsidP="00D14DC9">
      <w:pPr>
        <w:spacing w:after="240"/>
        <w:jc w:val="both"/>
      </w:pPr>
      <w:r>
        <w:rPr>
          <w:highlight w:val="yellow"/>
        </w:rPr>
        <w:t>T</w:t>
      </w:r>
      <w:r w:rsidR="00D14DC9">
        <w:rPr>
          <w:highlight w:val="yellow"/>
        </w:rPr>
        <w:t>his study has certain limitations. The experimental diets were neither isoenergetic nor isoproteic, which means that the observed effects cannot be attributed exclusively to the inclusion of cashew apple bagasse. Furthermore, the antinutritional factors in the bagasse (tannins, phytates and oxalates) and nutrient digestibility were not determined, limiting the interpretation of the mechanisms responsible for the variations in zootechnical performance. Moreover, only two inclusion levels (25% and 50%) were evaluated during the growth phase, with no economic analysis or assessment of digestive and physiological parameters. Further research incorporating isoenergetic and isoproteic diets, multiple inclusion levels, characterisation of anti-nutritional compounds, an assessment of digestibility and a cost-benefit analysis will help to define the potential of cashew apple bagasse in quail feed more clearly.</w:t>
      </w:r>
    </w:p>
    <w:p w14:paraId="544ADC0A"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56E856A1" w14:textId="77777777" w:rsidR="00860000" w:rsidRPr="00786D36" w:rsidRDefault="00860000" w:rsidP="00441B6F">
      <w:pPr>
        <w:pStyle w:val="ReferHead"/>
        <w:spacing w:after="0"/>
        <w:jc w:val="both"/>
        <w:rPr>
          <w:rFonts w:ascii="Arial" w:hAnsi="Arial" w:cs="Arial"/>
        </w:rPr>
      </w:pPr>
    </w:p>
    <w:p w14:paraId="2A504704" w14:textId="77777777" w:rsidR="00371FB6" w:rsidRPr="00B449E5" w:rsidRDefault="00967619" w:rsidP="00967619">
      <w:pPr>
        <w:pStyle w:val="ReferHead"/>
        <w:jc w:val="both"/>
        <w:rPr>
          <w:rFonts w:ascii="Arial" w:hAnsi="Arial" w:cs="Arial"/>
          <w:b w:val="0"/>
          <w:caps w:val="0"/>
          <w:sz w:val="20"/>
        </w:rPr>
      </w:pPr>
      <w:r w:rsidRPr="00B449E5">
        <w:rPr>
          <w:rFonts w:ascii="Arial" w:hAnsi="Arial" w:cs="Arial"/>
          <w:b w:val="0"/>
          <w:caps w:val="0"/>
          <w:sz w:val="20"/>
        </w:rPr>
        <w:t>Authors have declared that no competing interests exist</w:t>
      </w:r>
    </w:p>
    <w:p w14:paraId="64C126D6" w14:textId="77777777" w:rsidR="005C2E34" w:rsidRPr="00B449E5" w:rsidRDefault="005C2E34" w:rsidP="005C2E34">
      <w:pPr>
        <w:rPr>
          <w:rFonts w:ascii="Arial" w:hAnsi="Arial" w:cs="Arial"/>
          <w:b/>
        </w:rPr>
      </w:pPr>
      <w:r w:rsidRPr="00B449E5">
        <w:rPr>
          <w:rFonts w:ascii="Arial" w:hAnsi="Arial" w:cs="Arial"/>
          <w:b/>
        </w:rPr>
        <w:t>Declaration of AI Use</w:t>
      </w:r>
    </w:p>
    <w:p w14:paraId="60FBDD65" w14:textId="77777777" w:rsidR="005C2E34" w:rsidRPr="00B449E5" w:rsidRDefault="005C2E34" w:rsidP="005C2E34">
      <w:pPr>
        <w:rPr>
          <w:rFonts w:ascii="Arial" w:hAnsi="Arial" w:cs="Arial"/>
        </w:rPr>
      </w:pPr>
    </w:p>
    <w:p w14:paraId="39695CFC" w14:textId="77777777" w:rsidR="005C2E34" w:rsidRPr="00B449E5" w:rsidRDefault="005C2E34" w:rsidP="005C2E34">
      <w:pPr>
        <w:jc w:val="both"/>
        <w:rPr>
          <w:rFonts w:ascii="Arial" w:hAnsi="Arial" w:cs="Arial"/>
        </w:rPr>
      </w:pPr>
      <w:r>
        <w:rPr>
          <w:rFonts w:ascii="Arial" w:hAnsi="Arial" w:cs="Ari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w:t>
      </w:r>
      <w:r>
        <w:rPr>
          <w:rFonts w:ascii="Arial" w:hAnsi="Arial" w:cs="Arial"/>
        </w:rPr>
        <w:lastRenderedPageBreak/>
        <w:t xml:space="preserve">assist with grammar checking, language refinement, </w:t>
      </w:r>
      <w:r>
        <w:rPr>
          <w:rFonts w:ascii="Arial" w:hAnsi="Arial" w:cs="Arial"/>
          <w:highlight w:val="yellow"/>
        </w:rPr>
        <w:t xml:space="preserve">and </w:t>
      </w:r>
      <w:r>
        <w:rPr>
          <w:rFonts w:ascii="Arial" w:hAnsi="Arial" w:cs="Arial"/>
        </w:rPr>
        <w:t>reference formatting. These AI-assisted tools were not used as authors and did not replace the intellectual contributions or scholarly judg</w:t>
      </w:r>
      <w:r>
        <w:rPr>
          <w:rFonts w:ascii="Arial" w:hAnsi="Arial" w:cs="Arial"/>
          <w:highlight w:val="yellow"/>
        </w:rPr>
        <w:t>e</w:t>
      </w:r>
      <w:r>
        <w:rPr>
          <w:rFonts w:ascii="Arial" w:hAnsi="Arial" w:cs="Arial"/>
        </w:rPr>
        <w:t>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A20FB9A" w14:textId="77777777" w:rsidR="005C2E34" w:rsidRPr="00B449E5" w:rsidRDefault="005C2E34" w:rsidP="00967619">
      <w:pPr>
        <w:pStyle w:val="ReferHead"/>
        <w:jc w:val="both"/>
        <w:rPr>
          <w:rFonts w:ascii="Arial" w:hAnsi="Arial" w:cs="Arial"/>
          <w:b w:val="0"/>
          <w:caps w:val="0"/>
          <w:sz w:val="20"/>
        </w:rPr>
      </w:pPr>
    </w:p>
    <w:p w14:paraId="7E61046E"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6AF3E6B8" w14:textId="77777777" w:rsidR="00790ADA" w:rsidRPr="00FB3A86" w:rsidRDefault="00790ADA" w:rsidP="00441B6F">
      <w:pPr>
        <w:pStyle w:val="ReferHead"/>
        <w:spacing w:after="0"/>
        <w:jc w:val="both"/>
        <w:rPr>
          <w:rFonts w:ascii="Arial" w:hAnsi="Arial" w:cs="Arial"/>
        </w:rPr>
      </w:pPr>
    </w:p>
    <w:p w14:paraId="29E71D4D" w14:textId="77777777" w:rsidR="005C2E34" w:rsidRDefault="005C2E34" w:rsidP="005C2E34">
      <w:pPr>
        <w:pStyle w:val="Body"/>
        <w:ind w:left="720" w:hanging="720"/>
        <w:jc w:val="left"/>
      </w:pPr>
      <w:r>
        <w:t xml:space="preserve">Alabi, T., &amp; Adedokun, S. (2025). Amino acid nutrition in poultry: A review. </w:t>
      </w:r>
      <w:r>
        <w:rPr>
          <w:i/>
        </w:rPr>
        <w:t>Animals, 15</w:t>
      </w:r>
      <w:r>
        <w:t xml:space="preserve">(22), 3323. </w:t>
      </w:r>
      <w:hyperlink r:id="rId15">
        <w:r>
          <w:rPr>
            <w:rStyle w:val="Hyperlink"/>
          </w:rPr>
          <w:t>https://doi.org/10.3390/ani15223323</w:t>
        </w:r>
      </w:hyperlink>
    </w:p>
    <w:p w14:paraId="225BE193" w14:textId="77777777" w:rsidR="00FF1EBD" w:rsidRDefault="00000000">
      <w:pPr>
        <w:pStyle w:val="Body"/>
        <w:ind w:left="720" w:hanging="720"/>
        <w:jc w:val="left"/>
      </w:pPr>
      <w:r>
        <w:t xml:space="preserve">AOAC International. (1995). </w:t>
      </w:r>
      <w:r>
        <w:rPr>
          <w:i/>
        </w:rPr>
        <w:t>Official methods of analysis of AOAC International</w:t>
      </w:r>
      <w:r>
        <w:t xml:space="preserve"> (16th ed.; P. Cunniff, Ed.). </w:t>
      </w:r>
      <w:hyperlink r:id="rId16">
        <w:r w:rsidR="00FF1EBD">
          <w:rPr>
            <w:rStyle w:val="Hyperlink"/>
          </w:rPr>
          <w:t>https://agris.fao.org/search/en/providers/122535/records/</w:t>
        </w:r>
        <w:r w:rsidR="00FF1EBD">
          <w:rPr>
            <w:rStyle w:val="Hyperlink"/>
          </w:rPr>
          <w:br/>
          <w:t>65ddddbb0f3e94b9e5c657fc</w:t>
        </w:r>
      </w:hyperlink>
    </w:p>
    <w:p w14:paraId="39E98CA2" w14:textId="77777777" w:rsidR="005C2E34" w:rsidRDefault="005C2E34" w:rsidP="005C2E34">
      <w:pPr>
        <w:pStyle w:val="Body"/>
        <w:ind w:left="720" w:hanging="720"/>
        <w:jc w:val="left"/>
      </w:pPr>
      <w:r>
        <w:t xml:space="preserve">Association of Official Analytical Chemists. (1990). </w:t>
      </w:r>
      <w:r>
        <w:rPr>
          <w:i/>
        </w:rPr>
        <w:t>Official methods of analysis of the Association of Official Analytical Chemists</w:t>
      </w:r>
      <w:r>
        <w:t xml:space="preserve"> (15th ed.). </w:t>
      </w:r>
      <w:hyperlink r:id="rId17">
        <w:r>
          <w:rPr>
            <w:rStyle w:val="Hyperlink"/>
          </w:rPr>
          <w:t>https://sibr.nist.gov/record/official-methods-analysis-15th-edition-0</w:t>
        </w:r>
      </w:hyperlink>
    </w:p>
    <w:p w14:paraId="4FC50096" w14:textId="77777777" w:rsidR="005C2E34" w:rsidRDefault="005C2E34" w:rsidP="005C2E34">
      <w:pPr>
        <w:pStyle w:val="Body"/>
        <w:ind w:left="720" w:hanging="720"/>
        <w:jc w:val="left"/>
      </w:pPr>
      <w:r>
        <w:t xml:space="preserve">Bamba, R., Toure, N., Kone, F. M. T., &amp; Toure, A. (2023). Caractéristiques biochimiques de quelques sous-produits agricoles de Côte d’Ivoire en vue d’une valorisation en alimentation de volaille. </w:t>
      </w:r>
      <w:r>
        <w:rPr>
          <w:i/>
        </w:rPr>
        <w:t>Journal of Animal &amp; Plant Sciences, 58</w:t>
      </w:r>
      <w:r>
        <w:t xml:space="preserve">(2), 10701–10712. </w:t>
      </w:r>
      <w:hyperlink r:id="rId18">
        <w:r>
          <w:rPr>
            <w:rStyle w:val="Hyperlink"/>
          </w:rPr>
          <w:t>https://doi.org/10.35759/JAnmPlSci.v58-2.4</w:t>
        </w:r>
      </w:hyperlink>
    </w:p>
    <w:p w14:paraId="53B45D3F" w14:textId="77777777" w:rsidR="005C2E34" w:rsidRDefault="005C2E34" w:rsidP="005C2E34">
      <w:pPr>
        <w:pStyle w:val="Body"/>
        <w:ind w:left="720" w:hanging="720"/>
        <w:jc w:val="left"/>
      </w:pPr>
      <w:r>
        <w:t>Barroso, T. L. C. T., Castro, L. E. N., Ferreira, V. C., Bragagnolo, F. S., Colpini, L. M. S., Rostagno, M. A., Goldbeck, R., &amp; Forster-Carneiro, T. (2025). Compositional and physicochemical characterization of cashew apple bagasse (</w:t>
      </w:r>
      <w:r>
        <w:rPr>
          <w:i/>
        </w:rPr>
        <w:t>Anacardium occidentale</w:t>
      </w:r>
      <w:r>
        <w:t xml:space="preserve"> L.) as a potential lignocellulosic feedstock. </w:t>
      </w:r>
      <w:r>
        <w:rPr>
          <w:i/>
        </w:rPr>
        <w:t>ACS Omega, 10</w:t>
      </w:r>
      <w:r>
        <w:t xml:space="preserve">(50), 62395–62405. </w:t>
      </w:r>
      <w:hyperlink r:id="rId19">
        <w:r>
          <w:rPr>
            <w:rStyle w:val="Hyperlink"/>
          </w:rPr>
          <w:t>https://doi.org/10.1021/acsomega.5c11610</w:t>
        </w:r>
      </w:hyperlink>
    </w:p>
    <w:p w14:paraId="496A2329" w14:textId="5861D177" w:rsidR="005C2E34" w:rsidRDefault="005C2E34" w:rsidP="005C2E34">
      <w:pPr>
        <w:pStyle w:val="Body"/>
        <w:ind w:left="720" w:hanging="720"/>
        <w:jc w:val="left"/>
      </w:pPr>
      <w:r>
        <w:t xml:space="preserve">Benagrouba, S. (2022). </w:t>
      </w:r>
      <w:r>
        <w:rPr>
          <w:i/>
        </w:rPr>
        <w:t>Effect of feed presentation form (mash vs. pellet) on the zootechnical performance of Japanese quail (Coturnix japonica)</w:t>
      </w:r>
      <w:r>
        <w:t xml:space="preserve"> [Master’s thesis, University of Tissemsilt]. 59 pp. </w:t>
      </w:r>
    </w:p>
    <w:p w14:paraId="07D3BD9B" w14:textId="77777777" w:rsidR="005C2E34" w:rsidRDefault="005C2E34" w:rsidP="005C2E34">
      <w:pPr>
        <w:pStyle w:val="Body"/>
        <w:ind w:left="720" w:hanging="720"/>
        <w:jc w:val="left"/>
      </w:pPr>
      <w:r>
        <w:t xml:space="preserve">Carvalho, L. C., Nogueira, H. S., Minussi, A. R. T., Lima, M. B., Munari, D. P., Peruzzi, N. J., &amp; Silva, E. P. (2020). Genetic growth potential characterization in the Japanese quail: A meta-analysis. </w:t>
      </w:r>
      <w:r>
        <w:rPr>
          <w:i/>
        </w:rPr>
        <w:t>Animal, 14</w:t>
      </w:r>
      <w:r>
        <w:t xml:space="preserve">(S2), s341–s347. </w:t>
      </w:r>
      <w:hyperlink r:id="rId20">
        <w:r>
          <w:rPr>
            <w:rStyle w:val="Hyperlink"/>
          </w:rPr>
          <w:t>https://doi.org/10.1017/S1751731120001202</w:t>
        </w:r>
      </w:hyperlink>
    </w:p>
    <w:p w14:paraId="611D9163" w14:textId="64CF19CC" w:rsidR="005C2E34" w:rsidRDefault="005C2E34" w:rsidP="005C2E34">
      <w:pPr>
        <w:pStyle w:val="Body"/>
        <w:ind w:left="720" w:hanging="720"/>
        <w:jc w:val="left"/>
      </w:pPr>
      <w:r>
        <w:t xml:space="preserve">Coffi, G. M. M. (2025). </w:t>
      </w:r>
      <w:r>
        <w:rPr>
          <w:i/>
        </w:rPr>
        <w:t>Effect of improved oilcake from off-grade cashew kernels (Anacardium occidentale L., 1753) combined with cashew apple bagasse on the zootechnical parameters and health of laying hens (Gallus gallus domesticus L., 1758)</w:t>
      </w:r>
      <w:r>
        <w:t xml:space="preserve"> [Thesis, Félix Houphouët-Boigny University]. 208 pp. </w:t>
      </w:r>
    </w:p>
    <w:p w14:paraId="465F7801" w14:textId="77777777" w:rsidR="005C2E34" w:rsidRDefault="005C2E34" w:rsidP="005C2E34">
      <w:pPr>
        <w:pStyle w:val="Body"/>
        <w:ind w:left="720" w:hanging="720"/>
        <w:jc w:val="left"/>
      </w:pPr>
      <w:r>
        <w:t>Dembélé, D. O., Amani, N. S., Kouato, F., Loukou, G. A., Ouattara, H., &amp; Octoumou, A. (2025). Effect of incorporating cashew nut meal into diet on feed efficiency, growth performance and mortality of meat-type quails (</w:t>
      </w:r>
      <w:r>
        <w:rPr>
          <w:i/>
        </w:rPr>
        <w:t>Coturnix japonica</w:t>
      </w:r>
      <w:r>
        <w:t xml:space="preserve">, Temminck and Schlegel, 1849). </w:t>
      </w:r>
      <w:r>
        <w:rPr>
          <w:i/>
        </w:rPr>
        <w:t>Journal of Chemical, Biological and Physical Sciences, 15</w:t>
      </w:r>
      <w:r>
        <w:t xml:space="preserve">(4), 774–784. </w:t>
      </w:r>
      <w:hyperlink r:id="rId21">
        <w:r>
          <w:rPr>
            <w:rStyle w:val="Hyperlink"/>
          </w:rPr>
          <w:t>https://doi.org/10.24214/jcbps.B.15.4.77484</w:t>
        </w:r>
      </w:hyperlink>
    </w:p>
    <w:p w14:paraId="578B8D90" w14:textId="77777777" w:rsidR="005C2E34" w:rsidRDefault="005C2E34" w:rsidP="005C2E34">
      <w:pPr>
        <w:pStyle w:val="Body"/>
        <w:ind w:left="720" w:hanging="720"/>
        <w:jc w:val="left"/>
      </w:pPr>
      <w:r>
        <w:lastRenderedPageBreak/>
        <w:t xml:space="preserve">Diomande, M., Ouattara, A., Fofana, D., Ouattara, A., &amp; Konate, I. (2023). Effect of cashew nut cake on the zootechnical performance of growing pullets (ISA Brown) in Côte d’Ivoire. </w:t>
      </w:r>
      <w:r>
        <w:rPr>
          <w:i/>
        </w:rPr>
        <w:t>International Journal of Innovation and Scientific Research, 66</w:t>
      </w:r>
      <w:r>
        <w:t xml:space="preserve">(1), 9–24. </w:t>
      </w:r>
      <w:hyperlink r:id="rId22">
        <w:r>
          <w:rPr>
            <w:rStyle w:val="Hyperlink"/>
          </w:rPr>
          <w:t>https://ijisr.issr-journals.org/issue.php?issue=132</w:t>
        </w:r>
      </w:hyperlink>
    </w:p>
    <w:p w14:paraId="1FC2A6EE" w14:textId="77777777" w:rsidR="005C2E34" w:rsidRDefault="005C2E34" w:rsidP="005C2E34">
      <w:pPr>
        <w:pStyle w:val="Body"/>
        <w:ind w:left="720" w:hanging="720"/>
        <w:jc w:val="left"/>
      </w:pPr>
      <w:r w:rsidRPr="00390B7C">
        <w:rPr>
          <w:lang w:val="nl-BE"/>
        </w:rPr>
        <w:t xml:space="preserve">Djago, Y. A., Kpodekon, M., &amp; Lebas, F. (2007). </w:t>
      </w:r>
      <w:proofErr w:type="spellStart"/>
      <w:r>
        <w:rPr>
          <w:i/>
        </w:rPr>
        <w:t>Méthodes</w:t>
      </w:r>
      <w:proofErr w:type="spellEnd"/>
      <w:r>
        <w:rPr>
          <w:i/>
        </w:rPr>
        <w:t xml:space="preserve"> et techniques </w:t>
      </w:r>
      <w:proofErr w:type="spellStart"/>
      <w:r>
        <w:rPr>
          <w:i/>
        </w:rPr>
        <w:t>d’élevage</w:t>
      </w:r>
      <w:proofErr w:type="spellEnd"/>
      <w:r>
        <w:rPr>
          <w:i/>
        </w:rPr>
        <w:t xml:space="preserve"> du lapin: Élevage en milieu tropical</w:t>
      </w:r>
      <w:r>
        <w:t xml:space="preserve"> (2nd ed.). Association Cuniculture. </w:t>
      </w:r>
      <w:hyperlink r:id="rId23">
        <w:r>
          <w:rPr>
            <w:rStyle w:val="Hyperlink"/>
          </w:rPr>
          <w:t>https://www.researchgate.net/publication/271965049_Methodes_et_Techniques_d%27elevage_du_Lapin_Elevage_du_lapin_en_milieu_tropical</w:t>
        </w:r>
      </w:hyperlink>
    </w:p>
    <w:p w14:paraId="098AB53B" w14:textId="77777777" w:rsidR="005C2E34" w:rsidRDefault="005C2E34" w:rsidP="005C2E34">
      <w:pPr>
        <w:pStyle w:val="Body"/>
        <w:ind w:left="720" w:hanging="720"/>
        <w:jc w:val="left"/>
      </w:pPr>
      <w:r w:rsidRPr="00390B7C">
        <w:rPr>
          <w:lang w:val="nl-BE"/>
        </w:rPr>
        <w:t xml:space="preserve">Djinandji, G. M. C., Zougrou, N. E., Kande, B., &amp; Kouakou, K. (2022). </w:t>
      </w:r>
      <w:r>
        <w:t xml:space="preserve">Effects of </w:t>
      </w:r>
      <w:r>
        <w:rPr>
          <w:i/>
        </w:rPr>
        <w:t>Moringa oleifera</w:t>
      </w:r>
      <w:r>
        <w:t xml:space="preserve"> leaf powder on growth, laying performance, and egg quality of </w:t>
      </w:r>
      <w:r>
        <w:rPr>
          <w:i/>
        </w:rPr>
        <w:t>Coturnix japonica</w:t>
      </w:r>
      <w:r>
        <w:t xml:space="preserve"> quail raised in Côte d’Ivoire. </w:t>
      </w:r>
      <w:r>
        <w:rPr>
          <w:i/>
        </w:rPr>
        <w:t>Journal of Animal &amp; Plant Sciences, 51</w:t>
      </w:r>
      <w:r>
        <w:t xml:space="preserve">(1), 9162–9172. </w:t>
      </w:r>
      <w:hyperlink r:id="rId24">
        <w:r>
          <w:rPr>
            <w:rStyle w:val="Hyperlink"/>
          </w:rPr>
          <w:t>https://doi.org/10.35759/JAnmPlSci.v51-1.1</w:t>
        </w:r>
      </w:hyperlink>
    </w:p>
    <w:p w14:paraId="295757D3" w14:textId="77777777" w:rsidR="005C2E34" w:rsidRDefault="005C2E34" w:rsidP="005C2E34">
      <w:pPr>
        <w:pStyle w:val="Body"/>
        <w:ind w:left="720" w:hanging="720"/>
        <w:jc w:val="left"/>
      </w:pPr>
      <w:r>
        <w:t>Fadhilah, A. S., Kai, T. H., Lokman, H. I., Yasmin, N. A. R., Hafandi, A., Hasliza, A. H., Tengku Rinalfi, T. A., &amp; Hezmee, M. N. M. (2020). Molecular and pathogenicity of infectious bronchitis virus (Gammacoronavirus) in Japanese quail (</w:t>
      </w:r>
      <w:r>
        <w:rPr>
          <w:i/>
        </w:rPr>
        <w:t>Coturnix japonica</w:t>
      </w:r>
      <w:r>
        <w:t xml:space="preserve">). </w:t>
      </w:r>
      <w:r>
        <w:rPr>
          <w:i/>
        </w:rPr>
        <w:t>Poultry Science, 99</w:t>
      </w:r>
      <w:r>
        <w:t xml:space="preserve">(6), 2937–2943. </w:t>
      </w:r>
      <w:hyperlink r:id="rId25">
        <w:r>
          <w:rPr>
            <w:rStyle w:val="Hyperlink"/>
          </w:rPr>
          <w:t>https://doi.org/10.1016/j.psj.2020.01.026</w:t>
        </w:r>
      </w:hyperlink>
    </w:p>
    <w:p w14:paraId="16D106C2" w14:textId="77777777" w:rsidR="005C2E34" w:rsidRPr="00390B7C" w:rsidRDefault="005C2E34" w:rsidP="005C2E34">
      <w:pPr>
        <w:pStyle w:val="Body"/>
        <w:ind w:left="720" w:hanging="720"/>
        <w:jc w:val="left"/>
        <w:rPr>
          <w:lang w:val="nl-BE"/>
        </w:rPr>
      </w:pPr>
      <w:r>
        <w:t xml:space="preserve">Fernandes, D. R., Freitas, E. R., Watanabe, P. H., Filgueira, T. M. B., Cruz, C. E. B., Nascimento, G. A. J., Aguiar, G. C., &amp; Nascimento, E. R. M. (2016). Cashew nut meal in the feeding of meat quails. </w:t>
      </w:r>
      <w:r>
        <w:rPr>
          <w:i/>
        </w:rPr>
        <w:t>Tropical Animal Health and Production, 48</w:t>
      </w:r>
      <w:r>
        <w:t xml:space="preserve">(4), 711–717. </w:t>
      </w:r>
      <w:hyperlink r:id="rId26">
        <w:r w:rsidRPr="00390B7C">
          <w:rPr>
            <w:rStyle w:val="Hyperlink"/>
            <w:lang w:val="nl-BE"/>
          </w:rPr>
          <w:t>https://doi.org/10.1007/s11250-016-1008-7</w:t>
        </w:r>
      </w:hyperlink>
    </w:p>
    <w:p w14:paraId="6BFCF06E" w14:textId="77777777" w:rsidR="005C2E34" w:rsidRDefault="005C2E34" w:rsidP="005C2E34">
      <w:pPr>
        <w:pStyle w:val="Body"/>
        <w:ind w:left="720" w:hanging="720"/>
        <w:jc w:val="left"/>
      </w:pPr>
      <w:r w:rsidRPr="00390B7C">
        <w:rPr>
          <w:lang w:val="nl-BE"/>
        </w:rPr>
        <w:t xml:space="preserve">Fofana, D., Ouattara, A., Diomande, M., Ouattara, A., Beugre, G. A. M., Konate, I., Bouatene, D., &amp; Bohoua, L. G. (2023). </w:t>
      </w:r>
      <w:r>
        <w:t>Effect of cashew meal (</w:t>
      </w:r>
      <w:r>
        <w:rPr>
          <w:i/>
        </w:rPr>
        <w:t>Anacardium occidentale</w:t>
      </w:r>
      <w:r>
        <w:t xml:space="preserve">) on the growth performance of Cobb 500 broilers in Ivory Coast. </w:t>
      </w:r>
      <w:r>
        <w:rPr>
          <w:i/>
        </w:rPr>
        <w:t>IOSR Journal of Agriculture and Veterinary Science, 16</w:t>
      </w:r>
      <w:r>
        <w:t xml:space="preserve">(2 Ser. II), 31–46. </w:t>
      </w:r>
      <w:hyperlink r:id="rId27">
        <w:r>
          <w:rPr>
            <w:rStyle w:val="Hyperlink"/>
          </w:rPr>
          <w:t>https://doi.org/10.9790/2380-1602023146</w:t>
        </w:r>
      </w:hyperlink>
    </w:p>
    <w:p w14:paraId="61A08F64" w14:textId="77777777" w:rsidR="00067B00" w:rsidRPr="004262A3" w:rsidRDefault="00067B00" w:rsidP="005C2E34">
      <w:pPr>
        <w:pStyle w:val="Body"/>
        <w:ind w:left="720" w:hanging="720"/>
        <w:jc w:val="left"/>
      </w:pPr>
      <w:r>
        <w:t xml:space="preserve">Folch, J., Lees, M., &amp; Sloane Stanley, G. H. (1957). A simple method for the isolation and purification of total lipides from animal tissues. </w:t>
      </w:r>
      <w:r>
        <w:rPr>
          <w:i/>
        </w:rPr>
        <w:t>Journal of Biological Chemistry, 226</w:t>
      </w:r>
      <w:r>
        <w:t xml:space="preserve">(1), 497–509. </w:t>
      </w:r>
      <w:hyperlink r:id="rId28">
        <w:r>
          <w:rPr>
            <w:rStyle w:val="Hyperlink"/>
          </w:rPr>
          <w:t>https://doi.org/10.1016/S0021-9258(18)64849-5</w:t>
        </w:r>
      </w:hyperlink>
    </w:p>
    <w:p w14:paraId="67A9CAAA" w14:textId="77777777" w:rsidR="005C2E34" w:rsidRDefault="005C2E34" w:rsidP="005C2E34">
      <w:pPr>
        <w:pStyle w:val="Body"/>
        <w:ind w:left="720" w:hanging="720"/>
        <w:jc w:val="left"/>
      </w:pPr>
      <w:r>
        <w:t xml:space="preserve">Food and Agriculture Organization of the United Nations. (2011). </w:t>
      </w:r>
      <w:r>
        <w:rPr>
          <w:i/>
        </w:rPr>
        <w:t>Quality assurance for animal feed analysis laboratories</w:t>
      </w:r>
      <w:r>
        <w:t xml:space="preserve">. </w:t>
      </w:r>
      <w:hyperlink r:id="rId29">
        <w:r>
          <w:rPr>
            <w:rStyle w:val="Hyperlink"/>
          </w:rPr>
          <w:t>https://www.fao.org/4/i2441e/i2441e00.htm</w:t>
        </w:r>
      </w:hyperlink>
    </w:p>
    <w:p w14:paraId="77D0C5B4" w14:textId="77777777" w:rsidR="005C2E34" w:rsidRDefault="005C2E34" w:rsidP="005C2E34">
      <w:pPr>
        <w:pStyle w:val="Body"/>
        <w:ind w:left="720" w:hanging="720"/>
        <w:jc w:val="left"/>
      </w:pPr>
      <w:r>
        <w:t xml:space="preserve">Food and Agriculture Organization of the United Nations. (2025). </w:t>
      </w:r>
      <w:r>
        <w:rPr>
          <w:i/>
        </w:rPr>
        <w:t>Agricultural production statistics – 2010–2024 (FAOSTAT Analytical Briefs No. 121)</w:t>
      </w:r>
      <w:r>
        <w:t xml:space="preserve">. </w:t>
      </w:r>
      <w:hyperlink r:id="rId30">
        <w:r>
          <w:rPr>
            <w:rStyle w:val="Hyperlink"/>
          </w:rPr>
          <w:t>https://doi.org/10.4060/cd8035en</w:t>
        </w:r>
      </w:hyperlink>
    </w:p>
    <w:p w14:paraId="1F3D8473" w14:textId="77777777" w:rsidR="005C2E34" w:rsidRDefault="005C2E34" w:rsidP="005C2E34">
      <w:pPr>
        <w:pStyle w:val="Body"/>
        <w:ind w:left="720" w:hanging="720"/>
        <w:jc w:val="left"/>
      </w:pPr>
      <w:r>
        <w:t xml:space="preserve">Imari, Z. K., Ardin, S. J., &amp; Hassanabadi, A. (2025). The effect of dietary metabolisable energy and stocking density on growth performance, blood metabolites, nutrient utilization, and carcass traits in broiler chicks. </w:t>
      </w:r>
      <w:r>
        <w:rPr>
          <w:i/>
        </w:rPr>
        <w:t>Food Science &amp; Nutrition, 13</w:t>
      </w:r>
      <w:r>
        <w:t xml:space="preserve">(9), e70836. </w:t>
      </w:r>
      <w:hyperlink r:id="rId31">
        <w:r>
          <w:rPr>
            <w:rStyle w:val="Hyperlink"/>
          </w:rPr>
          <w:t>https://doi.org/10.1002/fsn3.70836</w:t>
        </w:r>
      </w:hyperlink>
    </w:p>
    <w:p w14:paraId="160F0593" w14:textId="77777777" w:rsidR="005C2E34" w:rsidRDefault="005C2E34" w:rsidP="005C2E34">
      <w:pPr>
        <w:pStyle w:val="Body"/>
        <w:ind w:left="720" w:hanging="720"/>
        <w:jc w:val="left"/>
      </w:pPr>
      <w:r>
        <w:t xml:space="preserve">Jha, R., &amp; Mishra, P. (2021). Dietary fiber in poultry nutrition and their effects on nutrient utilization, performance, gut health, and on the environment: A review. </w:t>
      </w:r>
      <w:r>
        <w:rPr>
          <w:i/>
        </w:rPr>
        <w:t>Journal of Animal Science and Biotechnology, 12</w:t>
      </w:r>
      <w:r>
        <w:t xml:space="preserve">, Article 51. </w:t>
      </w:r>
      <w:hyperlink r:id="rId32">
        <w:r>
          <w:rPr>
            <w:rStyle w:val="Hyperlink"/>
          </w:rPr>
          <w:t>https://doi.org/10.1186/s40104-021-00576-0</w:t>
        </w:r>
      </w:hyperlink>
    </w:p>
    <w:p w14:paraId="59558B0D" w14:textId="77777777" w:rsidR="005C2E34" w:rsidRDefault="005C2E34" w:rsidP="005C2E34">
      <w:pPr>
        <w:pStyle w:val="Body"/>
        <w:ind w:left="720" w:hanging="720"/>
        <w:jc w:val="left"/>
      </w:pPr>
      <w:r>
        <w:lastRenderedPageBreak/>
        <w:t xml:space="preserve">Katu, J. K., Tóth, T., &amp; Varga, L. (2025). Enhancing the nutritional quality of low-grade poultry feed ingredients through fermentation: A review. </w:t>
      </w:r>
      <w:r>
        <w:rPr>
          <w:i/>
        </w:rPr>
        <w:t>Agriculture, 15</w:t>
      </w:r>
      <w:r>
        <w:t xml:space="preserve">(5), 476. </w:t>
      </w:r>
      <w:hyperlink r:id="rId33">
        <w:r>
          <w:rPr>
            <w:rStyle w:val="Hyperlink"/>
          </w:rPr>
          <w:t>https://doi.org/10.3390/agriculture15050476</w:t>
        </w:r>
      </w:hyperlink>
    </w:p>
    <w:p w14:paraId="41C469D5" w14:textId="77777777" w:rsidR="005C2E34" w:rsidRDefault="005C2E34" w:rsidP="005C2E34">
      <w:pPr>
        <w:pStyle w:val="Body"/>
        <w:ind w:left="720" w:hanging="720"/>
        <w:jc w:val="left"/>
      </w:pPr>
      <w:r>
        <w:t xml:space="preserve">N’Guessan, A. R., Amanidja, B. D., Soro, D., &amp; Tuehi, B. Y. F. (2020). Effects of incorporating </w:t>
      </w:r>
      <w:r>
        <w:rPr>
          <w:i/>
        </w:rPr>
        <w:t>Moringa oleifera</w:t>
      </w:r>
      <w:r>
        <w:t xml:space="preserve"> leaf meal into the diet of quails (</w:t>
      </w:r>
      <w:r>
        <w:rPr>
          <w:i/>
        </w:rPr>
        <w:t>Coturnix japonica</w:t>
      </w:r>
      <w:r>
        <w:t xml:space="preserve">) on zootechnical performance and meat organoleptic qualities. </w:t>
      </w:r>
      <w:r>
        <w:rPr>
          <w:i/>
        </w:rPr>
        <w:t>Journal of Animal &amp; Plant Sciences, 45</w:t>
      </w:r>
      <w:r>
        <w:t xml:space="preserve">(1), 7771–7782. </w:t>
      </w:r>
      <w:hyperlink r:id="rId34">
        <w:r>
          <w:rPr>
            <w:rStyle w:val="Hyperlink"/>
          </w:rPr>
          <w:t>https://doi.org/10.35759/JAnmPlSci.v45-1.3</w:t>
        </w:r>
      </w:hyperlink>
    </w:p>
    <w:p w14:paraId="271CF0BD" w14:textId="77777777" w:rsidR="005C2E34" w:rsidRDefault="005C2E34" w:rsidP="005C2E34">
      <w:pPr>
        <w:pStyle w:val="Body"/>
        <w:ind w:left="720" w:hanging="720"/>
        <w:jc w:val="left"/>
      </w:pPr>
      <w:r>
        <w:t xml:space="preserve">Oktariansyah, Y., &amp; Kamal, M. (2026). Alternative feed use in poultry chickens: Impacts on feed efficiency and physiological parameters—A systematic literature review. </w:t>
      </w:r>
      <w:r>
        <w:rPr>
          <w:i/>
        </w:rPr>
        <w:t>Journal of Natural Sciences, 7</w:t>
      </w:r>
      <w:r>
        <w:t xml:space="preserve">(1), 41–53. </w:t>
      </w:r>
      <w:hyperlink r:id="rId35">
        <w:r>
          <w:rPr>
            <w:rStyle w:val="Hyperlink"/>
          </w:rPr>
          <w:t>https://doi.org/10.34007/jonas.v7i1.1110</w:t>
        </w:r>
      </w:hyperlink>
    </w:p>
    <w:p w14:paraId="1C4C4CC4" w14:textId="77777777" w:rsidR="005C2E34" w:rsidRDefault="005C2E34" w:rsidP="005C2E34">
      <w:pPr>
        <w:pStyle w:val="Body"/>
        <w:ind w:left="720" w:hanging="720"/>
        <w:jc w:val="left"/>
      </w:pPr>
      <w:r>
        <w:t xml:space="preserve">Onwuka, C. F. I., Adetiloye, P. O., &amp; Afolami, C. A. (1997). Use of household wastes and crop residues in small ruminant feeding in Nigeria. </w:t>
      </w:r>
      <w:r>
        <w:rPr>
          <w:i/>
        </w:rPr>
        <w:t>Small Ruminant Research, 24</w:t>
      </w:r>
      <w:r>
        <w:t xml:space="preserve">(3), 233–237. </w:t>
      </w:r>
      <w:hyperlink r:id="rId36">
        <w:r>
          <w:rPr>
            <w:rStyle w:val="Hyperlink"/>
          </w:rPr>
          <w:t>https://doi.org/10.1016/S0921-4488(96)00953-4</w:t>
        </w:r>
      </w:hyperlink>
    </w:p>
    <w:p w14:paraId="3629C755" w14:textId="77777777" w:rsidR="005C2E34" w:rsidRDefault="005C2E34" w:rsidP="005C2E34">
      <w:pPr>
        <w:pStyle w:val="Body"/>
        <w:ind w:left="720" w:hanging="720"/>
        <w:jc w:val="left"/>
      </w:pPr>
      <w:r>
        <w:t xml:space="preserve">Onyenweaku, E. O., Akah, L. U., Kesa, H., Alawa, D. A., Ebai, P. A., Kalu, U. U., Ajigo, I., &amp; Owan, V. J. (2022). Protein quality evaluation of some commonly consumed bird egg varieties using amino acid scores. </w:t>
      </w:r>
      <w:r>
        <w:rPr>
          <w:i/>
        </w:rPr>
        <w:t>Biochemistry Research International, 2022</w:t>
      </w:r>
      <w:r>
        <w:t xml:space="preserve">, Article 6536826. </w:t>
      </w:r>
      <w:hyperlink r:id="rId37">
        <w:r>
          <w:rPr>
            <w:rStyle w:val="Hyperlink"/>
          </w:rPr>
          <w:t>https://doi.org/10.1155/2022/6536826</w:t>
        </w:r>
      </w:hyperlink>
    </w:p>
    <w:p w14:paraId="7BD0D055" w14:textId="77777777" w:rsidR="009421E4" w:rsidRPr="006F7337" w:rsidRDefault="009421E4" w:rsidP="005C2E34">
      <w:pPr>
        <w:pStyle w:val="Body"/>
        <w:ind w:left="720" w:hanging="720"/>
        <w:jc w:val="left"/>
        <w:rPr>
          <w:highlight w:val="yellow"/>
        </w:rPr>
      </w:pPr>
      <w:r>
        <w:t>Oraye, V. M. P., &amp; Malto, N. V. (2023). Compensatory growth in broiler chicken (</w:t>
      </w:r>
      <w:r>
        <w:rPr>
          <w:i/>
        </w:rPr>
        <w:t>Gallus gallus domesticus</w:t>
      </w:r>
      <w:r>
        <w:t xml:space="preserve">) under different feeding regimens. </w:t>
      </w:r>
      <w:r>
        <w:rPr>
          <w:i/>
        </w:rPr>
        <w:t>International Journal of Multidisciplinary Research and Studies, 6</w:t>
      </w:r>
      <w:r>
        <w:t xml:space="preserve">(1), 1–21. </w:t>
      </w:r>
      <w:hyperlink r:id="rId38">
        <w:r>
          <w:rPr>
            <w:rStyle w:val="Hyperlink"/>
          </w:rPr>
          <w:t>https://doi.org/10.33826/ijmras/v06i01.5</w:t>
        </w:r>
      </w:hyperlink>
    </w:p>
    <w:p w14:paraId="14D53F86" w14:textId="77777777" w:rsidR="0086267A" w:rsidRDefault="0086267A" w:rsidP="005C2E34">
      <w:pPr>
        <w:pStyle w:val="Body"/>
        <w:ind w:left="720" w:hanging="720"/>
        <w:jc w:val="left"/>
      </w:pPr>
      <w:r w:rsidRPr="00390B7C">
        <w:rPr>
          <w:lang w:val="nl-BE"/>
        </w:rPr>
        <w:t xml:space="preserve">Osei, E. D., Amotoe-Bondzie, A., Pokuah, A. A., Laar, W. S., Afoakwah, N. A., &amp; Ivanišová, E. (2025). </w:t>
      </w:r>
      <w:r>
        <w:t xml:space="preserve">Cashew apple pomace: Chemical composition and applications in functional food product development—A review. </w:t>
      </w:r>
      <w:r>
        <w:rPr>
          <w:i/>
        </w:rPr>
        <w:t>Food Science &amp; Nutrition, 13</w:t>
      </w:r>
      <w:r>
        <w:t xml:space="preserve">(4), e70185. </w:t>
      </w:r>
      <w:hyperlink r:id="rId39">
        <w:r>
          <w:rPr>
            <w:rStyle w:val="Hyperlink"/>
          </w:rPr>
          <w:t>https://doi.org/10.1002/fsn3.70185</w:t>
        </w:r>
      </w:hyperlink>
    </w:p>
    <w:p w14:paraId="53F2A7DC" w14:textId="77777777" w:rsidR="005C2E34" w:rsidRDefault="005C2E34" w:rsidP="005C2E34">
      <w:pPr>
        <w:pStyle w:val="Body"/>
        <w:ind w:left="720" w:hanging="720"/>
        <w:jc w:val="left"/>
      </w:pPr>
      <w:r>
        <w:t xml:space="preserve">Osei-Adjei, A., Hamidu, J. A., Adjei-Mensah, B., Hanson, P. N. A., Sarfo, G. K., &amp; Donkoh, A. (2025). Evaluating cassava starch residue as a maize substitute in broiler chicken diets. </w:t>
      </w:r>
      <w:r>
        <w:rPr>
          <w:i/>
        </w:rPr>
        <w:t>Food Science &amp; Nutrition, 13</w:t>
      </w:r>
      <w:r>
        <w:t xml:space="preserve">(6), e70360. </w:t>
      </w:r>
      <w:hyperlink r:id="rId40">
        <w:r>
          <w:rPr>
            <w:rStyle w:val="Hyperlink"/>
          </w:rPr>
          <w:t>https://doi.org/10.1002/fsn3.70360</w:t>
        </w:r>
      </w:hyperlink>
    </w:p>
    <w:p w14:paraId="1F1E74E5" w14:textId="77777777" w:rsidR="00FF1EBD" w:rsidRPr="00390B7C" w:rsidRDefault="00000000">
      <w:pPr>
        <w:pStyle w:val="Body"/>
        <w:ind w:left="720" w:hanging="720"/>
        <w:jc w:val="left"/>
        <w:rPr>
          <w:lang w:val="nl-BE"/>
        </w:rPr>
      </w:pPr>
      <w:r>
        <w:t>Ouaffai, A., Dahloum, L., Fassih, A., Milagh, M., &amp; Halbouche, M. (2018). Performances de croissance, de ponte et qualité de l’œuf chez la caille Japonaise (</w:t>
      </w:r>
      <w:r>
        <w:rPr>
          <w:i/>
        </w:rPr>
        <w:t>Coturnix coturnix japonica</w:t>
      </w:r>
      <w:r>
        <w:t xml:space="preserve">). </w:t>
      </w:r>
      <w:r w:rsidRPr="00390B7C">
        <w:rPr>
          <w:i/>
          <w:lang w:val="nl-BE"/>
        </w:rPr>
        <w:t>Archivos de Zootecnia, 67</w:t>
      </w:r>
      <w:r w:rsidRPr="00390B7C">
        <w:rPr>
          <w:lang w:val="nl-BE"/>
        </w:rPr>
        <w:t xml:space="preserve">(258), 168–176. </w:t>
      </w:r>
      <w:hyperlink r:id="rId41">
        <w:r w:rsidR="00FF1EBD" w:rsidRPr="00390B7C">
          <w:rPr>
            <w:rStyle w:val="Hyperlink"/>
            <w:lang w:val="nl-BE"/>
          </w:rPr>
          <w:t>https://doi.org/10.21071/az.v67i258.3651</w:t>
        </w:r>
      </w:hyperlink>
    </w:p>
    <w:p w14:paraId="6E774417" w14:textId="77777777" w:rsidR="005C2E34" w:rsidRDefault="005C2E34" w:rsidP="005C2E34">
      <w:pPr>
        <w:pStyle w:val="Body"/>
        <w:ind w:left="720" w:hanging="720"/>
        <w:jc w:val="left"/>
      </w:pPr>
      <w:r w:rsidRPr="00390B7C">
        <w:rPr>
          <w:lang w:val="nl-BE"/>
        </w:rPr>
        <w:t xml:space="preserve">Oyekola, O. S., Olagoke, C., Ojediran, T. K., &amp; Emiola, I. A. (2024). </w:t>
      </w:r>
      <w:r>
        <w:t xml:space="preserve">The effects of incorporating dried cashew apple in the diet of broiler chickens on growth performance, total tract digestibility, and gut health. </w:t>
      </w:r>
      <w:r>
        <w:rPr>
          <w:i/>
        </w:rPr>
        <w:t>Brazilian Journal of Science, 3</w:t>
      </w:r>
      <w:r>
        <w:t xml:space="preserve">(7), 59–75. </w:t>
      </w:r>
      <w:hyperlink r:id="rId42">
        <w:r>
          <w:rPr>
            <w:rStyle w:val="Hyperlink"/>
          </w:rPr>
          <w:t>https://doi.org/10.14295/bjs.v3i7.607</w:t>
        </w:r>
      </w:hyperlink>
    </w:p>
    <w:p w14:paraId="707C0A75" w14:textId="77777777" w:rsidR="005C2E34" w:rsidRDefault="005C2E34" w:rsidP="005C2E34">
      <w:pPr>
        <w:pStyle w:val="Body"/>
        <w:ind w:left="720" w:hanging="720"/>
        <w:jc w:val="left"/>
      </w:pPr>
      <w:r>
        <w:t xml:space="preserve">Pawar, A. A., Lonkar, V. D., Kadam, A. S., Mote, C. S., Jadhav, S. N., &amp; Bhalerao, S. M. (2026). Dietary inclusion of soybean hulls as a source of insoluble fiber on the performance and gut health of broilers. </w:t>
      </w:r>
      <w:r>
        <w:rPr>
          <w:i/>
        </w:rPr>
        <w:t>Uttar Pradesh Journal of Zoology, 47</w:t>
      </w:r>
      <w:r>
        <w:t xml:space="preserve">(6), 160–170. </w:t>
      </w:r>
      <w:hyperlink r:id="rId43">
        <w:r>
          <w:rPr>
            <w:rStyle w:val="Hyperlink"/>
          </w:rPr>
          <w:t>https://doi.org/10.56557/upjoz/2026/v47i65569</w:t>
        </w:r>
      </w:hyperlink>
    </w:p>
    <w:p w14:paraId="61AA1E1E" w14:textId="77777777" w:rsidR="005C2E34" w:rsidRDefault="005C2E34" w:rsidP="005C2E34">
      <w:pPr>
        <w:pStyle w:val="Body"/>
        <w:ind w:left="720" w:hanging="720"/>
        <w:jc w:val="left"/>
      </w:pPr>
      <w:r>
        <w:t>Qobolo, S., &amp; Oluremi, O. I. A. (2026). Maize meal replacement value of air-dried Irish potato (</w:t>
      </w:r>
      <w:r>
        <w:rPr>
          <w:i/>
        </w:rPr>
        <w:t>Solanum tuberosum</w:t>
      </w:r>
      <w:r>
        <w:t xml:space="preserve">) peel meal in broiler chicken diets. </w:t>
      </w:r>
      <w:r>
        <w:rPr>
          <w:i/>
        </w:rPr>
        <w:t xml:space="preserve">Asian Journal of Research </w:t>
      </w:r>
      <w:r>
        <w:rPr>
          <w:i/>
        </w:rPr>
        <w:lastRenderedPageBreak/>
        <w:t>in Animal and Veterinary Sciences, 9</w:t>
      </w:r>
      <w:r>
        <w:t xml:space="preserve">(3), 382–394. </w:t>
      </w:r>
      <w:hyperlink r:id="rId44">
        <w:r>
          <w:rPr>
            <w:rStyle w:val="Hyperlink"/>
          </w:rPr>
          <w:t>https://doi.org/10.9734/ajravs/2026/v9i3421</w:t>
        </w:r>
      </w:hyperlink>
    </w:p>
    <w:p w14:paraId="5652493A" w14:textId="77777777" w:rsidR="00FF1EBD" w:rsidRDefault="00000000">
      <w:pPr>
        <w:pStyle w:val="Body"/>
        <w:ind w:left="720" w:hanging="720"/>
        <w:jc w:val="left"/>
      </w:pPr>
      <w:r>
        <w:t>Reina, L. J. C., Durán-Aranguren, D. D., Forero-Rojas, L. F., Tarapuez-Viveros, L. F., Durán-Sequeda, D., Carazzone, C., &amp; Sierra, R. (2022). Chemical composition and bioactive compounds of cashew (</w:t>
      </w:r>
      <w:r>
        <w:rPr>
          <w:i/>
        </w:rPr>
        <w:t>Anacardium occidentale</w:t>
      </w:r>
      <w:r>
        <w:t xml:space="preserve">) apple juice and bagasse from Colombian varieties. </w:t>
      </w:r>
      <w:r>
        <w:rPr>
          <w:i/>
        </w:rPr>
        <w:t>Heliyon, 8</w:t>
      </w:r>
      <w:r>
        <w:t xml:space="preserve">(5), e09528. </w:t>
      </w:r>
      <w:hyperlink r:id="rId45">
        <w:r w:rsidR="00FF1EBD">
          <w:rPr>
            <w:rStyle w:val="Hyperlink"/>
          </w:rPr>
          <w:t>https://doi.org/10.1016/j.heliyon.2022.e09528</w:t>
        </w:r>
      </w:hyperlink>
    </w:p>
    <w:p w14:paraId="2DD0183A" w14:textId="77777777" w:rsidR="005C2E34" w:rsidRDefault="005C2E34" w:rsidP="005C2E34">
      <w:pPr>
        <w:pStyle w:val="Body"/>
        <w:ind w:left="720" w:hanging="720"/>
        <w:jc w:val="left"/>
      </w:pPr>
      <w:r>
        <w:t xml:space="preserve">Rybicka, A., Medel, P., Carro, M. D., &amp; García, J. (2024). Effect of dietary supplementation of two fiber sources differing on fermentability and hydration capacity on performance, nutrient digestibility and cecal fermentation in broilers from 1 to 42 d of age. </w:t>
      </w:r>
      <w:r>
        <w:rPr>
          <w:i/>
        </w:rPr>
        <w:t>Poultry Science, 103</w:t>
      </w:r>
      <w:r>
        <w:t xml:space="preserve">(9), 103957. </w:t>
      </w:r>
      <w:hyperlink r:id="rId46">
        <w:r>
          <w:rPr>
            <w:rStyle w:val="Hyperlink"/>
          </w:rPr>
          <w:t>https://doi.org/10.1016/j.psj.2024.103957</w:t>
        </w:r>
      </w:hyperlink>
    </w:p>
    <w:p w14:paraId="233E40F7" w14:textId="77777777" w:rsidR="00FF1EBD" w:rsidRDefault="00000000">
      <w:pPr>
        <w:pStyle w:val="Body"/>
        <w:ind w:left="720" w:hanging="720"/>
        <w:jc w:val="left"/>
      </w:pPr>
      <w:r>
        <w:t xml:space="preserve">Sonji, G. M., &amp; Sonji, N. M. (2026). Systematic review: Quail egg powder: Nutraceutical, therapeutic, pharmaceutical, and sustainability potential. </w:t>
      </w:r>
      <w:r>
        <w:rPr>
          <w:i/>
        </w:rPr>
        <w:t>Mediterranean Journal of Nutrition and Metabolism, 19</w:t>
      </w:r>
      <w:r>
        <w:t xml:space="preserve">(1), 3–40. </w:t>
      </w:r>
      <w:hyperlink r:id="rId47">
        <w:r w:rsidR="00FF1EBD">
          <w:rPr>
            <w:rStyle w:val="Hyperlink"/>
          </w:rPr>
          <w:t>https://doi.org/10.1177/1973798X251400041</w:t>
        </w:r>
      </w:hyperlink>
    </w:p>
    <w:p w14:paraId="264EF9AE" w14:textId="77777777" w:rsidR="005C2E34" w:rsidRDefault="005C2E34" w:rsidP="005C2E34">
      <w:pPr>
        <w:pStyle w:val="Body"/>
        <w:ind w:left="720" w:hanging="720"/>
        <w:jc w:val="left"/>
      </w:pPr>
      <w:r>
        <w:t xml:space="preserve">Tejeda, O. J., &amp; Kim, W. K. (2021). Effects of fiber type, particle size, and inclusion level on the growth performance, digestive organ growth, intestinal morphology, intestinal viscosity, and gene expression of broilers. </w:t>
      </w:r>
      <w:r>
        <w:rPr>
          <w:i/>
        </w:rPr>
        <w:t>Poultry Science, 100</w:t>
      </w:r>
      <w:r>
        <w:t xml:space="preserve">(10), 101397. </w:t>
      </w:r>
      <w:hyperlink r:id="rId48">
        <w:r>
          <w:rPr>
            <w:rStyle w:val="Hyperlink"/>
          </w:rPr>
          <w:t>https://doi.org/10.1016/j.psj.2021.101397</w:t>
        </w:r>
      </w:hyperlink>
    </w:p>
    <w:p w14:paraId="3ECD59A9" w14:textId="77777777" w:rsidR="00FF1EBD" w:rsidRDefault="00000000">
      <w:pPr>
        <w:pStyle w:val="Body"/>
        <w:ind w:left="720" w:hanging="720"/>
        <w:jc w:val="left"/>
      </w:pPr>
      <w:r>
        <w:t xml:space="preserve">Venkatramana, P., Senthil Murugan, S., Biju, C., Patki, H. S., Shyama, K., &amp; Sunanda, C. (2020). Effects of feeding cashew apple waste with or without supplementation of non-starch polysaccharide degrading enzymes on nutrient digestibility and growth performance of broilers. </w:t>
      </w:r>
      <w:r>
        <w:rPr>
          <w:i/>
        </w:rPr>
        <w:t>Indian Journal of Animal Nutrition, 37</w:t>
      </w:r>
      <w:r>
        <w:t xml:space="preserve">(1), 67–73. </w:t>
      </w:r>
      <w:hyperlink r:id="rId49">
        <w:r w:rsidR="00FF1EBD">
          <w:rPr>
            <w:rStyle w:val="Hyperlink"/>
          </w:rPr>
          <w:t>https://doi.org/10.5958/2231-6744.2020.00012.2</w:t>
        </w:r>
      </w:hyperlink>
    </w:p>
    <w:p w14:paraId="66F56CE0" w14:textId="77777777" w:rsidR="0086267A" w:rsidRPr="006F7337" w:rsidRDefault="0086267A" w:rsidP="005C2E34">
      <w:pPr>
        <w:pStyle w:val="Body"/>
        <w:ind w:left="720" w:hanging="720"/>
        <w:jc w:val="left"/>
        <w:rPr>
          <w:highlight w:val="yellow"/>
        </w:rPr>
      </w:pPr>
      <w:r>
        <w:t xml:space="preserve">Vivares, G., Pérez N., M., Conde-Aguilera, A., &amp; de Vries, S. (2025). Quantifying the interactions between dietary fibers and macronutrient digestibility in broiler chickens: The importance of considering fiber solubility. </w:t>
      </w:r>
      <w:r>
        <w:rPr>
          <w:i/>
        </w:rPr>
        <w:t>Animal Feed Science and Technology, 321</w:t>
      </w:r>
      <w:r>
        <w:t xml:space="preserve">, 116241. </w:t>
      </w:r>
      <w:hyperlink r:id="rId50">
        <w:r>
          <w:rPr>
            <w:rStyle w:val="Hyperlink"/>
          </w:rPr>
          <w:t>https://doi.org/10.1016/j.anifeedsci.2025.116241</w:t>
        </w:r>
      </w:hyperlink>
    </w:p>
    <w:p w14:paraId="705ECE53" w14:textId="77777777" w:rsidR="005C2E34" w:rsidRDefault="005C2E34" w:rsidP="005C2E34">
      <w:pPr>
        <w:pStyle w:val="Body"/>
        <w:ind w:left="720" w:hanging="720"/>
        <w:jc w:val="left"/>
      </w:pPr>
      <w:r>
        <w:t xml:space="preserve">Vohra, P., &amp; Roudybush, T. (1971). The effect of various levels of dietary protein on the growth and egg production of </w:t>
      </w:r>
      <w:r>
        <w:rPr>
          <w:i/>
        </w:rPr>
        <w:t>Coturnix coturnix japonica</w:t>
      </w:r>
      <w:r>
        <w:t xml:space="preserve">. </w:t>
      </w:r>
      <w:r>
        <w:rPr>
          <w:i/>
        </w:rPr>
        <w:t>Poultry Science, 50</w:t>
      </w:r>
      <w:r>
        <w:t xml:space="preserve">(4), 1081–1084. </w:t>
      </w:r>
      <w:hyperlink r:id="rId51">
        <w:r>
          <w:rPr>
            <w:rStyle w:val="Hyperlink"/>
          </w:rPr>
          <w:t>https://doi.org/10.3382/ps.0501081</w:t>
        </w:r>
      </w:hyperlink>
    </w:p>
    <w:p w14:paraId="001E3726" w14:textId="77777777" w:rsidR="005C2E34" w:rsidRDefault="005C2E34" w:rsidP="005C2E34">
      <w:pPr>
        <w:pStyle w:val="Body"/>
        <w:ind w:left="720" w:hanging="720"/>
        <w:jc w:val="left"/>
      </w:pPr>
      <w:r>
        <w:t xml:space="preserve">Yang, Y., Zhou, L., Liu, H., Huang, Z., Zhang, J., &amp; Lv, L. (2026). Dietary energy levels regulate feed intake of broilers through the brain-gut axis. </w:t>
      </w:r>
      <w:r>
        <w:rPr>
          <w:i/>
        </w:rPr>
        <w:t>Frontiers in Veterinary Science, 13</w:t>
      </w:r>
      <w:r>
        <w:t xml:space="preserve">, 1694957. </w:t>
      </w:r>
      <w:hyperlink r:id="rId52">
        <w:r>
          <w:rPr>
            <w:rStyle w:val="Hyperlink"/>
          </w:rPr>
          <w:t>https://doi.org/10.3389/fvets.2026.1694957</w:t>
        </w:r>
      </w:hyperlink>
    </w:p>
    <w:p w14:paraId="22365CFC" w14:textId="77777777" w:rsidR="005C2E34" w:rsidRDefault="005C2E34" w:rsidP="005C2E34">
      <w:pPr>
        <w:pStyle w:val="Body"/>
        <w:ind w:left="720" w:hanging="720"/>
        <w:jc w:val="left"/>
      </w:pPr>
      <w:r>
        <w:t xml:space="preserve">Zampiga, M., Calini, F., &amp; Sirri, F. (2021). Importance of feed efficiency for sustainable intensification of chicken meat production: Implications and role for amino acids, feed enzymes and organic trace minerals. </w:t>
      </w:r>
      <w:r>
        <w:rPr>
          <w:i/>
        </w:rPr>
        <w:t>World’s Poultry Science Journal, 77</w:t>
      </w:r>
      <w:r>
        <w:t xml:space="preserve">(3), 639–659. </w:t>
      </w:r>
      <w:hyperlink r:id="rId53">
        <w:r>
          <w:rPr>
            <w:rStyle w:val="Hyperlink"/>
          </w:rPr>
          <w:t>https://doi.org/10.1080/00439339.2021.1959277</w:t>
        </w:r>
      </w:hyperlink>
    </w:p>
    <w:p w14:paraId="1A9A0186" w14:textId="77777777" w:rsidR="00B01FCD" w:rsidRPr="00FB3A86" w:rsidRDefault="005C2E34" w:rsidP="005C2E34">
      <w:pPr>
        <w:pStyle w:val="Body"/>
        <w:ind w:left="720" w:hanging="720"/>
        <w:jc w:val="left"/>
        <w:rPr>
          <w:rFonts w:ascii="Arial" w:hAnsi="Arial" w:cs="Arial"/>
          <w:b/>
        </w:rPr>
      </w:pPr>
      <w:r>
        <w:t>Zongo, A., Zongo, R. T., Ouedraogo, A., &amp; Bougouma-Yaméogo, V. M. C. (2026). Effect of partial replacement of soybean meal (</w:t>
      </w:r>
      <w:r>
        <w:rPr>
          <w:i/>
        </w:rPr>
        <w:t>Glycine max</w:t>
      </w:r>
      <w:r>
        <w:t xml:space="preserve"> L. Merr, 1917) by cashew nut meal (</w:t>
      </w:r>
      <w:r>
        <w:rPr>
          <w:i/>
        </w:rPr>
        <w:t>Anacardium occidentale</w:t>
      </w:r>
      <w:r>
        <w:t xml:space="preserve"> L., 1753) on the zootechnical and economic performances of Cobb 500 broiler chickens in Burkina Faso. </w:t>
      </w:r>
      <w:r>
        <w:rPr>
          <w:i/>
        </w:rPr>
        <w:t>International Journal of Poultry Science, 25</w:t>
      </w:r>
      <w:r>
        <w:t xml:space="preserve">, 8–16. </w:t>
      </w:r>
      <w:hyperlink r:id="rId54">
        <w:r>
          <w:rPr>
            <w:rStyle w:val="Hyperlink"/>
          </w:rPr>
          <w:t>https://doi.org/10.3923/ijps.2026.8.16</w:t>
        </w:r>
      </w:hyperlink>
    </w:p>
    <w:sectPr w:rsidR="00B01FCD" w:rsidRPr="00FB3A86" w:rsidSect="005C2E34">
      <w:headerReference w:type="even" r:id="rId55"/>
      <w:headerReference w:type="default" r:id="rId56"/>
      <w:footerReference w:type="default" r:id="rId57"/>
      <w:headerReference w:type="first" r:id="rId58"/>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0780" w14:textId="77777777" w:rsidR="00FD7976" w:rsidRDefault="00FD7976" w:rsidP="00C37E61">
      <w:r>
        <w:separator/>
      </w:r>
    </w:p>
  </w:endnote>
  <w:endnote w:type="continuationSeparator" w:id="0">
    <w:p w14:paraId="77034781" w14:textId="77777777" w:rsidR="00FD7976" w:rsidRDefault="00FD7976"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8EF0" w14:textId="77777777" w:rsidR="00FB1354" w:rsidRDefault="00FB1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6C81" w14:textId="77777777" w:rsidR="00FB1354" w:rsidRDefault="00FB13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D0CB" w14:textId="77777777" w:rsidR="00754C9A" w:rsidRPr="00FB1354" w:rsidRDefault="00754C9A" w:rsidP="00FB13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D202"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3ABD" w14:textId="77777777" w:rsidR="00FD7976" w:rsidRDefault="00FD7976" w:rsidP="00C37E61">
      <w:r>
        <w:separator/>
      </w:r>
    </w:p>
  </w:footnote>
  <w:footnote w:type="continuationSeparator" w:id="0">
    <w:p w14:paraId="42C17ED1" w14:textId="77777777" w:rsidR="00FD7976" w:rsidRDefault="00FD7976"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BBB7" w14:textId="77777777" w:rsidR="00FB1354" w:rsidRDefault="00000000">
    <w:pPr>
      <w:pStyle w:val="Header"/>
    </w:pPr>
    <w:r>
      <w:rPr>
        <w:noProof/>
      </w:rPr>
      <w:pict w14:anchorId="752C5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5"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0CB0" w14:textId="77777777" w:rsidR="00FB1354" w:rsidRDefault="00000000">
    <w:pPr>
      <w:pStyle w:val="Header"/>
    </w:pPr>
    <w:r>
      <w:rPr>
        <w:noProof/>
      </w:rPr>
      <w:pict w14:anchorId="0767F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6"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43C0" w14:textId="77777777" w:rsidR="00296529" w:rsidRPr="00296529" w:rsidRDefault="00000000" w:rsidP="00296529">
    <w:pPr>
      <w:ind w:left="2160"/>
      <w:jc w:val="center"/>
      <w:rPr>
        <w:rFonts w:ascii="Times New Roman" w:eastAsia="Calibri" w:hAnsi="Times New Roman"/>
        <w:i/>
        <w:sz w:val="18"/>
        <w:szCs w:val="22"/>
      </w:rPr>
    </w:pPr>
    <w:r>
      <w:rPr>
        <w:noProof/>
      </w:rPr>
      <w:pict w14:anchorId="2EF39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4"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B41005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7B67FB7"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F4E6A38"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E4DBEE9"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7A1BEF2"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3271CA3"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3A37" w14:textId="77777777" w:rsidR="00FB1354" w:rsidRDefault="00000000">
    <w:pPr>
      <w:pStyle w:val="Header"/>
    </w:pPr>
    <w:r>
      <w:rPr>
        <w:noProof/>
      </w:rPr>
      <w:pict w14:anchorId="28598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8"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DEB151A">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076C" w14:textId="77777777" w:rsidR="00FB1354" w:rsidRDefault="00000000">
    <w:pPr>
      <w:pStyle w:val="Header"/>
    </w:pPr>
    <w:r>
      <w:rPr>
        <w:noProof/>
      </w:rPr>
      <w:pict w14:anchorId="77E79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9"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6A2F012">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206B" w14:textId="77777777" w:rsidR="00FB1354" w:rsidRPr="00296529" w:rsidRDefault="00000000" w:rsidP="00296529">
    <w:pPr>
      <w:ind w:left="2160"/>
      <w:jc w:val="center"/>
      <w:rPr>
        <w:rFonts w:ascii="Times New Roman" w:eastAsia="Calibri" w:hAnsi="Times New Roman"/>
        <w:i/>
        <w:sz w:val="18"/>
        <w:szCs w:val="22"/>
      </w:rPr>
    </w:pPr>
    <w:r>
      <w:rPr>
        <w:noProof/>
      </w:rPr>
      <w:pict w14:anchorId="524385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7"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396C28D">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587541B" w14:textId="77777777" w:rsidR="00FB1354" w:rsidRPr="00296529" w:rsidRDefault="00FB1354"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3B2623B" w14:textId="77777777" w:rsidR="00FB1354" w:rsidRPr="00296529" w:rsidRDefault="00FB1354"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D6F43C8" w14:textId="77777777" w:rsidR="00FB1354" w:rsidRPr="00296529" w:rsidRDefault="00FB1354"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0881B09" w14:textId="77777777" w:rsidR="00FB1354" w:rsidRDefault="00FB1354"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081F7C5" w14:textId="77777777" w:rsidR="00FB1354" w:rsidRDefault="00FB1354"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50B0FB1" w14:textId="77777777" w:rsidR="00FB1354" w:rsidRDefault="00FB1354">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668396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78537123">
    <w:abstractNumId w:val="15"/>
  </w:num>
  <w:num w:numId="3" w16cid:durableId="1091122298">
    <w:abstractNumId w:val="23"/>
  </w:num>
  <w:num w:numId="4" w16cid:durableId="34081289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00044858">
    <w:abstractNumId w:val="7"/>
  </w:num>
  <w:num w:numId="6" w16cid:durableId="1209343741">
    <w:abstractNumId w:val="6"/>
  </w:num>
  <w:num w:numId="7" w16cid:durableId="1349600771">
    <w:abstractNumId w:val="1"/>
  </w:num>
  <w:num w:numId="8" w16cid:durableId="1675185808">
    <w:abstractNumId w:val="12"/>
  </w:num>
  <w:num w:numId="9" w16cid:durableId="2144230952">
    <w:abstractNumId w:val="25"/>
  </w:num>
  <w:num w:numId="10" w16cid:durableId="1023894677">
    <w:abstractNumId w:val="2"/>
  </w:num>
  <w:num w:numId="11" w16cid:durableId="1407654241">
    <w:abstractNumId w:val="18"/>
  </w:num>
  <w:num w:numId="12" w16cid:durableId="472213379">
    <w:abstractNumId w:val="3"/>
  </w:num>
  <w:num w:numId="13" w16cid:durableId="251353120">
    <w:abstractNumId w:val="17"/>
  </w:num>
  <w:num w:numId="14" w16cid:durableId="352877849">
    <w:abstractNumId w:val="8"/>
  </w:num>
  <w:num w:numId="15" w16cid:durableId="1906598853">
    <w:abstractNumId w:val="21"/>
  </w:num>
  <w:num w:numId="16" w16cid:durableId="389041218">
    <w:abstractNumId w:val="5"/>
  </w:num>
  <w:num w:numId="17" w16cid:durableId="169219973">
    <w:abstractNumId w:val="22"/>
  </w:num>
  <w:num w:numId="18" w16cid:durableId="1670718187">
    <w:abstractNumId w:val="14"/>
  </w:num>
  <w:num w:numId="19" w16cid:durableId="1581331013">
    <w:abstractNumId w:val="28"/>
  </w:num>
  <w:num w:numId="20" w16cid:durableId="928855005">
    <w:abstractNumId w:val="11"/>
  </w:num>
  <w:num w:numId="21" w16cid:durableId="448209257">
    <w:abstractNumId w:val="9"/>
  </w:num>
  <w:num w:numId="22" w16cid:durableId="1810244299">
    <w:abstractNumId w:val="13"/>
  </w:num>
  <w:num w:numId="23" w16cid:durableId="1644239749">
    <w:abstractNumId w:val="19"/>
  </w:num>
  <w:num w:numId="24" w16cid:durableId="1340890231">
    <w:abstractNumId w:val="26"/>
  </w:num>
  <w:num w:numId="25" w16cid:durableId="245309699">
    <w:abstractNumId w:val="4"/>
  </w:num>
  <w:num w:numId="26" w16cid:durableId="1175146549">
    <w:abstractNumId w:val="16"/>
  </w:num>
  <w:num w:numId="27" w16cid:durableId="274482989">
    <w:abstractNumId w:val="20"/>
  </w:num>
  <w:num w:numId="28" w16cid:durableId="626816706">
    <w:abstractNumId w:val="27"/>
  </w:num>
  <w:num w:numId="29" w16cid:durableId="492452827">
    <w:abstractNumId w:val="24"/>
  </w:num>
  <w:num w:numId="30" w16cid:durableId="1983121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zMzUwNTExMrIwMDJW0lEKTi0uzszPAykwrAUAkHJZPCwAAAA="/>
  </w:docVars>
  <w:rsids>
    <w:rsidRoot w:val="00AA6219"/>
    <w:rsid w:val="00000F8F"/>
    <w:rsid w:val="00030174"/>
    <w:rsid w:val="0004579C"/>
    <w:rsid w:val="00067B00"/>
    <w:rsid w:val="000A47FA"/>
    <w:rsid w:val="000A65D3"/>
    <w:rsid w:val="000B1E33"/>
    <w:rsid w:val="000D689F"/>
    <w:rsid w:val="000E7B7B"/>
    <w:rsid w:val="000E7D62"/>
    <w:rsid w:val="00103357"/>
    <w:rsid w:val="001172E2"/>
    <w:rsid w:val="00123C9F"/>
    <w:rsid w:val="00126190"/>
    <w:rsid w:val="00130F17"/>
    <w:rsid w:val="001320BF"/>
    <w:rsid w:val="00137CDA"/>
    <w:rsid w:val="0015247A"/>
    <w:rsid w:val="00163BC4"/>
    <w:rsid w:val="00177169"/>
    <w:rsid w:val="00180078"/>
    <w:rsid w:val="00180B73"/>
    <w:rsid w:val="00191062"/>
    <w:rsid w:val="00191BBC"/>
    <w:rsid w:val="00192B72"/>
    <w:rsid w:val="001A29D8"/>
    <w:rsid w:val="001A5CAA"/>
    <w:rsid w:val="001B0427"/>
    <w:rsid w:val="001D3A51"/>
    <w:rsid w:val="001E10D2"/>
    <w:rsid w:val="001E25B4"/>
    <w:rsid w:val="001E44FE"/>
    <w:rsid w:val="00200595"/>
    <w:rsid w:val="00204835"/>
    <w:rsid w:val="00216CF8"/>
    <w:rsid w:val="00231920"/>
    <w:rsid w:val="0023195C"/>
    <w:rsid w:val="0024282C"/>
    <w:rsid w:val="002460DC"/>
    <w:rsid w:val="00250985"/>
    <w:rsid w:val="002556F6"/>
    <w:rsid w:val="00283105"/>
    <w:rsid w:val="00284C4C"/>
    <w:rsid w:val="00287E68"/>
    <w:rsid w:val="00291161"/>
    <w:rsid w:val="00296529"/>
    <w:rsid w:val="002B27FB"/>
    <w:rsid w:val="002B413D"/>
    <w:rsid w:val="002B685A"/>
    <w:rsid w:val="002C57D2"/>
    <w:rsid w:val="002E0D56"/>
    <w:rsid w:val="00315186"/>
    <w:rsid w:val="00322E24"/>
    <w:rsid w:val="00331C7F"/>
    <w:rsid w:val="0033343E"/>
    <w:rsid w:val="00334F0B"/>
    <w:rsid w:val="003427F0"/>
    <w:rsid w:val="003512C2"/>
    <w:rsid w:val="00371FB6"/>
    <w:rsid w:val="00373A6C"/>
    <w:rsid w:val="003763C1"/>
    <w:rsid w:val="00376BBE"/>
    <w:rsid w:val="00390B7C"/>
    <w:rsid w:val="0039224F"/>
    <w:rsid w:val="003A083F"/>
    <w:rsid w:val="003A43A4"/>
    <w:rsid w:val="003A7E18"/>
    <w:rsid w:val="003B4722"/>
    <w:rsid w:val="003C4C86"/>
    <w:rsid w:val="003C6258"/>
    <w:rsid w:val="003E2904"/>
    <w:rsid w:val="003E39FE"/>
    <w:rsid w:val="00401927"/>
    <w:rsid w:val="0041027F"/>
    <w:rsid w:val="00412475"/>
    <w:rsid w:val="004169B7"/>
    <w:rsid w:val="00423789"/>
    <w:rsid w:val="004262A3"/>
    <w:rsid w:val="0043073A"/>
    <w:rsid w:val="00440F43"/>
    <w:rsid w:val="00441B6F"/>
    <w:rsid w:val="00446221"/>
    <w:rsid w:val="00450699"/>
    <w:rsid w:val="00450E62"/>
    <w:rsid w:val="004539DB"/>
    <w:rsid w:val="00471A80"/>
    <w:rsid w:val="0048643C"/>
    <w:rsid w:val="004D305E"/>
    <w:rsid w:val="004D4277"/>
    <w:rsid w:val="00502516"/>
    <w:rsid w:val="00505F06"/>
    <w:rsid w:val="00506828"/>
    <w:rsid w:val="0053056E"/>
    <w:rsid w:val="00554FDA"/>
    <w:rsid w:val="005772B4"/>
    <w:rsid w:val="005C2E34"/>
    <w:rsid w:val="005C784C"/>
    <w:rsid w:val="005D17F6"/>
    <w:rsid w:val="005E5539"/>
    <w:rsid w:val="00602BF5"/>
    <w:rsid w:val="00617FDD"/>
    <w:rsid w:val="00623948"/>
    <w:rsid w:val="00631851"/>
    <w:rsid w:val="00633614"/>
    <w:rsid w:val="00633F68"/>
    <w:rsid w:val="00636EB2"/>
    <w:rsid w:val="006375B8"/>
    <w:rsid w:val="0066510A"/>
    <w:rsid w:val="00672666"/>
    <w:rsid w:val="00673F9F"/>
    <w:rsid w:val="00686953"/>
    <w:rsid w:val="00687DEA"/>
    <w:rsid w:val="00687E67"/>
    <w:rsid w:val="006967F7"/>
    <w:rsid w:val="006A250C"/>
    <w:rsid w:val="006A598F"/>
    <w:rsid w:val="006B21D3"/>
    <w:rsid w:val="006B57D0"/>
    <w:rsid w:val="006D30FF"/>
    <w:rsid w:val="006D6940"/>
    <w:rsid w:val="006E7B08"/>
    <w:rsid w:val="006F0F68"/>
    <w:rsid w:val="006F11EC"/>
    <w:rsid w:val="006F7337"/>
    <w:rsid w:val="0070082C"/>
    <w:rsid w:val="007369E6"/>
    <w:rsid w:val="00746E59"/>
    <w:rsid w:val="00754C9A"/>
    <w:rsid w:val="0075599A"/>
    <w:rsid w:val="00756873"/>
    <w:rsid w:val="00761D52"/>
    <w:rsid w:val="0077749E"/>
    <w:rsid w:val="00790ADA"/>
    <w:rsid w:val="007D2288"/>
    <w:rsid w:val="007E088F"/>
    <w:rsid w:val="007F1901"/>
    <w:rsid w:val="007F7B32"/>
    <w:rsid w:val="00804BC2"/>
    <w:rsid w:val="0081431A"/>
    <w:rsid w:val="0083216F"/>
    <w:rsid w:val="008478FA"/>
    <w:rsid w:val="00856EF0"/>
    <w:rsid w:val="00860000"/>
    <w:rsid w:val="0086267A"/>
    <w:rsid w:val="00863BD3"/>
    <w:rsid w:val="008641ED"/>
    <w:rsid w:val="00866D66"/>
    <w:rsid w:val="008671C6"/>
    <w:rsid w:val="00875803"/>
    <w:rsid w:val="008A7CE8"/>
    <w:rsid w:val="008B459E"/>
    <w:rsid w:val="008E13AE"/>
    <w:rsid w:val="008E1506"/>
    <w:rsid w:val="008E710C"/>
    <w:rsid w:val="008F69D6"/>
    <w:rsid w:val="00901B35"/>
    <w:rsid w:val="00902823"/>
    <w:rsid w:val="0091592F"/>
    <w:rsid w:val="00915CA6"/>
    <w:rsid w:val="00916347"/>
    <w:rsid w:val="00927834"/>
    <w:rsid w:val="009421E4"/>
    <w:rsid w:val="009500A6"/>
    <w:rsid w:val="00957C18"/>
    <w:rsid w:val="009659BA"/>
    <w:rsid w:val="00967619"/>
    <w:rsid w:val="00972B6D"/>
    <w:rsid w:val="00983040"/>
    <w:rsid w:val="009948DA"/>
    <w:rsid w:val="009B2C00"/>
    <w:rsid w:val="009B3FB9"/>
    <w:rsid w:val="009B5508"/>
    <w:rsid w:val="009C2465"/>
    <w:rsid w:val="009D35A0"/>
    <w:rsid w:val="009D7EB7"/>
    <w:rsid w:val="009E048A"/>
    <w:rsid w:val="009E08E9"/>
    <w:rsid w:val="009E3DB9"/>
    <w:rsid w:val="009E6E35"/>
    <w:rsid w:val="009F0EDA"/>
    <w:rsid w:val="00A03B96"/>
    <w:rsid w:val="00A05888"/>
    <w:rsid w:val="00A05B19"/>
    <w:rsid w:val="00A1134E"/>
    <w:rsid w:val="00A24E7E"/>
    <w:rsid w:val="00A258C3"/>
    <w:rsid w:val="00A2737E"/>
    <w:rsid w:val="00A347C0"/>
    <w:rsid w:val="00A51431"/>
    <w:rsid w:val="00A539AD"/>
    <w:rsid w:val="00A837B0"/>
    <w:rsid w:val="00A94063"/>
    <w:rsid w:val="00AA6219"/>
    <w:rsid w:val="00AA74E0"/>
    <w:rsid w:val="00AB703F"/>
    <w:rsid w:val="00AC00EC"/>
    <w:rsid w:val="00AC51E9"/>
    <w:rsid w:val="00AC6BB8"/>
    <w:rsid w:val="00AD1795"/>
    <w:rsid w:val="00AD1CFF"/>
    <w:rsid w:val="00AE008F"/>
    <w:rsid w:val="00AE29E9"/>
    <w:rsid w:val="00B01FCD"/>
    <w:rsid w:val="00B12AFE"/>
    <w:rsid w:val="00B1776C"/>
    <w:rsid w:val="00B21702"/>
    <w:rsid w:val="00B449E5"/>
    <w:rsid w:val="00B52583"/>
    <w:rsid w:val="00B52896"/>
    <w:rsid w:val="00B95236"/>
    <w:rsid w:val="00B96BD9"/>
    <w:rsid w:val="00BA1B01"/>
    <w:rsid w:val="00BA2641"/>
    <w:rsid w:val="00BB37AA"/>
    <w:rsid w:val="00BB4FB4"/>
    <w:rsid w:val="00BC01B4"/>
    <w:rsid w:val="00BC2FBB"/>
    <w:rsid w:val="00BC53A0"/>
    <w:rsid w:val="00BE62AD"/>
    <w:rsid w:val="00BF121F"/>
    <w:rsid w:val="00BF1F80"/>
    <w:rsid w:val="00C166EF"/>
    <w:rsid w:val="00C17EB0"/>
    <w:rsid w:val="00C27F5F"/>
    <w:rsid w:val="00C30A0F"/>
    <w:rsid w:val="00C37E61"/>
    <w:rsid w:val="00C42ADE"/>
    <w:rsid w:val="00C70F1B"/>
    <w:rsid w:val="00C71A47"/>
    <w:rsid w:val="00C73207"/>
    <w:rsid w:val="00C7464C"/>
    <w:rsid w:val="00C85588"/>
    <w:rsid w:val="00C85D14"/>
    <w:rsid w:val="00C91C6E"/>
    <w:rsid w:val="00CD0A6C"/>
    <w:rsid w:val="00CD6755"/>
    <w:rsid w:val="00CD6856"/>
    <w:rsid w:val="00CE0089"/>
    <w:rsid w:val="00CE793C"/>
    <w:rsid w:val="00CF193C"/>
    <w:rsid w:val="00CF3697"/>
    <w:rsid w:val="00D14DC9"/>
    <w:rsid w:val="00D173F1"/>
    <w:rsid w:val="00D17FA9"/>
    <w:rsid w:val="00D50EE6"/>
    <w:rsid w:val="00D57CB1"/>
    <w:rsid w:val="00D6517A"/>
    <w:rsid w:val="00D74CB0"/>
    <w:rsid w:val="00D8295D"/>
    <w:rsid w:val="00D97ECF"/>
    <w:rsid w:val="00DC2A65"/>
    <w:rsid w:val="00DC546D"/>
    <w:rsid w:val="00DE15F0"/>
    <w:rsid w:val="00DE5663"/>
    <w:rsid w:val="00DE78AA"/>
    <w:rsid w:val="00DF120C"/>
    <w:rsid w:val="00DF48FC"/>
    <w:rsid w:val="00DF5EF0"/>
    <w:rsid w:val="00E053D0"/>
    <w:rsid w:val="00E15994"/>
    <w:rsid w:val="00E3114E"/>
    <w:rsid w:val="00E31A70"/>
    <w:rsid w:val="00E35B02"/>
    <w:rsid w:val="00E46864"/>
    <w:rsid w:val="00E66496"/>
    <w:rsid w:val="00E66B35"/>
    <w:rsid w:val="00E66E10"/>
    <w:rsid w:val="00E769F6"/>
    <w:rsid w:val="00E8407C"/>
    <w:rsid w:val="00E84F3C"/>
    <w:rsid w:val="00EA012C"/>
    <w:rsid w:val="00EC6A55"/>
    <w:rsid w:val="00ED0288"/>
    <w:rsid w:val="00ED66C1"/>
    <w:rsid w:val="00EE52CB"/>
    <w:rsid w:val="00EE554F"/>
    <w:rsid w:val="00EE6034"/>
    <w:rsid w:val="00EF581D"/>
    <w:rsid w:val="00EF6921"/>
    <w:rsid w:val="00EF745D"/>
    <w:rsid w:val="00EF7FD8"/>
    <w:rsid w:val="00F001C0"/>
    <w:rsid w:val="00F06F59"/>
    <w:rsid w:val="00F17988"/>
    <w:rsid w:val="00F31D9C"/>
    <w:rsid w:val="00F37798"/>
    <w:rsid w:val="00F469F0"/>
    <w:rsid w:val="00F53273"/>
    <w:rsid w:val="00F755E4"/>
    <w:rsid w:val="00F77D02"/>
    <w:rsid w:val="00F83651"/>
    <w:rsid w:val="00F902B0"/>
    <w:rsid w:val="00F912CE"/>
    <w:rsid w:val="00FA729E"/>
    <w:rsid w:val="00FB1354"/>
    <w:rsid w:val="00FB3A86"/>
    <w:rsid w:val="00FD36C8"/>
    <w:rsid w:val="00FD7976"/>
    <w:rsid w:val="00FF1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40D82CA2"/>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8617661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31604327">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5759/JAnmPlSci.v58-2.4" TargetMode="External"/><Relationship Id="rId26" Type="http://schemas.openxmlformats.org/officeDocument/2006/relationships/hyperlink" Target="https://doi.org/10.1007/s11250-016-1008-7" TargetMode="External"/><Relationship Id="rId39" Type="http://schemas.openxmlformats.org/officeDocument/2006/relationships/hyperlink" Target="https://doi.org/10.1002/fsn3.70185" TargetMode="External"/><Relationship Id="rId21" Type="http://schemas.openxmlformats.org/officeDocument/2006/relationships/hyperlink" Target="https://doi.org/10.24214/jcbps.B.15.4.77484" TargetMode="External"/><Relationship Id="rId34" Type="http://schemas.openxmlformats.org/officeDocument/2006/relationships/hyperlink" Target="https://doi.org/10.35759/JAnmPlSci.v45-1.3" TargetMode="External"/><Relationship Id="rId42" Type="http://schemas.openxmlformats.org/officeDocument/2006/relationships/hyperlink" Target="https://doi.org/10.14295/bjs.v3i7.607" TargetMode="External"/><Relationship Id="rId47" Type="http://schemas.openxmlformats.org/officeDocument/2006/relationships/hyperlink" Target="https://doi.org/10.1177/1973798X251400041" TargetMode="External"/><Relationship Id="rId50" Type="http://schemas.openxmlformats.org/officeDocument/2006/relationships/hyperlink" Target="https://doi.org/10.1016/j.anifeedsci.2025.116241"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gris.fao.org/search/en/providers/122535/records/65ddddbb0f3e94b9e5c657fc" TargetMode="External"/><Relationship Id="rId29" Type="http://schemas.openxmlformats.org/officeDocument/2006/relationships/hyperlink" Target="https://www.fao.org/4/i2441e/i2441e00.htm" TargetMode="External"/><Relationship Id="rId11" Type="http://schemas.openxmlformats.org/officeDocument/2006/relationships/footer" Target="footer2.xml"/><Relationship Id="rId24" Type="http://schemas.openxmlformats.org/officeDocument/2006/relationships/hyperlink" Target="https://doi.org/10.35759/JAnmPlSci.v51-1.1" TargetMode="External"/><Relationship Id="rId32" Type="http://schemas.openxmlformats.org/officeDocument/2006/relationships/hyperlink" Target="https://doi.org/10.1186/s40104-021-00576-0" TargetMode="External"/><Relationship Id="rId37" Type="http://schemas.openxmlformats.org/officeDocument/2006/relationships/hyperlink" Target="https://doi.org/10.1155/2022/6536826" TargetMode="External"/><Relationship Id="rId40" Type="http://schemas.openxmlformats.org/officeDocument/2006/relationships/hyperlink" Target="https://doi.org/10.1002/fsn3.70360" TargetMode="External"/><Relationship Id="rId45" Type="http://schemas.openxmlformats.org/officeDocument/2006/relationships/hyperlink" Target="https://doi.org/10.1016/j.heliyon.2022.e09528" TargetMode="External"/><Relationship Id="rId53" Type="http://schemas.openxmlformats.org/officeDocument/2006/relationships/hyperlink" Target="https://doi.org/10.1080/00439339.2021.1959277" TargetMode="External"/><Relationship Id="rId58" Type="http://schemas.openxmlformats.org/officeDocument/2006/relationships/header" Target="header6.xml"/><Relationship Id="rId5" Type="http://schemas.openxmlformats.org/officeDocument/2006/relationships/webSettings" Target="webSettings.xml"/><Relationship Id="rId19" Type="http://schemas.openxmlformats.org/officeDocument/2006/relationships/hyperlink" Target="https://doi.org/10.1021/acsomega.5c1161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yperlink" Target="https://ijisr.issr-journals.org/issue.php?issue=132" TargetMode="External"/><Relationship Id="rId27" Type="http://schemas.openxmlformats.org/officeDocument/2006/relationships/hyperlink" Target="https://doi.org/10.9790/2380-1602023146" TargetMode="External"/><Relationship Id="rId30" Type="http://schemas.openxmlformats.org/officeDocument/2006/relationships/hyperlink" Target="https://doi.org/10.4060/cd8035en" TargetMode="External"/><Relationship Id="rId35" Type="http://schemas.openxmlformats.org/officeDocument/2006/relationships/hyperlink" Target="https://doi.org/10.34007/jonas.v7i1.1110" TargetMode="External"/><Relationship Id="rId43" Type="http://schemas.openxmlformats.org/officeDocument/2006/relationships/hyperlink" Target="https://doi.org/10.56557/upjoz/2026/v47i65569" TargetMode="External"/><Relationship Id="rId48" Type="http://schemas.openxmlformats.org/officeDocument/2006/relationships/hyperlink" Target="https://doi.org/10.1016/j.psj.2021.101397" TargetMode="External"/><Relationship Id="rId56" Type="http://schemas.openxmlformats.org/officeDocument/2006/relationships/header" Target="header5.xml"/><Relationship Id="rId8" Type="http://schemas.openxmlformats.org/officeDocument/2006/relationships/header" Target="header1.xml"/><Relationship Id="rId51" Type="http://schemas.openxmlformats.org/officeDocument/2006/relationships/hyperlink" Target="https://doi.org/10.3382/ps.0501081"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sibr.nist.gov/record/official-methods-analysis-15th-edition-0" TargetMode="External"/><Relationship Id="rId25" Type="http://schemas.openxmlformats.org/officeDocument/2006/relationships/hyperlink" Target="https://doi.org/10.1016/j.psj.2020.01.026" TargetMode="External"/><Relationship Id="rId33" Type="http://schemas.openxmlformats.org/officeDocument/2006/relationships/hyperlink" Target="https://doi.org/10.3390/agriculture15050476" TargetMode="External"/><Relationship Id="rId38" Type="http://schemas.openxmlformats.org/officeDocument/2006/relationships/hyperlink" Target="https://doi.org/10.33826/ijmras/v06i01.5" TargetMode="External"/><Relationship Id="rId46" Type="http://schemas.openxmlformats.org/officeDocument/2006/relationships/hyperlink" Target="https://doi.org/10.1016/j.psj.2024.103957" TargetMode="External"/><Relationship Id="rId59" Type="http://schemas.openxmlformats.org/officeDocument/2006/relationships/fontTable" Target="fontTable.xml"/><Relationship Id="rId20" Type="http://schemas.openxmlformats.org/officeDocument/2006/relationships/hyperlink" Target="https://doi.org/10.1017/S1751731120001202" TargetMode="External"/><Relationship Id="rId41" Type="http://schemas.openxmlformats.org/officeDocument/2006/relationships/hyperlink" Target="https://doi.org/10.21071/az.v67i258.3651" TargetMode="External"/><Relationship Id="rId54" Type="http://schemas.openxmlformats.org/officeDocument/2006/relationships/hyperlink" Target="https://doi.org/10.3923/ijps.2026.8.1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90/ani15223323" TargetMode="External"/><Relationship Id="rId23" Type="http://schemas.openxmlformats.org/officeDocument/2006/relationships/hyperlink" Target="https://www.researchgate.net/publication/271965049_Methodes_et_Techniques_d%27elevage_du_Lapin_Elevage_du_lapin_en_milieu_tropical" TargetMode="External"/><Relationship Id="rId28" Type="http://schemas.openxmlformats.org/officeDocument/2006/relationships/hyperlink" Target="https://doi.org/10.1016/S0021-9258(18)64849-5" TargetMode="External"/><Relationship Id="rId36" Type="http://schemas.openxmlformats.org/officeDocument/2006/relationships/hyperlink" Target="https://doi.org/10.1016/S0921-4488(96)00953-4" TargetMode="External"/><Relationship Id="rId49" Type="http://schemas.openxmlformats.org/officeDocument/2006/relationships/hyperlink" Target="https://doi.org/10.5958/2231-6744.2020.00012.2" TargetMode="External"/><Relationship Id="rId57" Type="http://schemas.openxmlformats.org/officeDocument/2006/relationships/footer" Target="footer4.xml"/><Relationship Id="rId10" Type="http://schemas.openxmlformats.org/officeDocument/2006/relationships/footer" Target="footer1.xml"/><Relationship Id="rId31" Type="http://schemas.openxmlformats.org/officeDocument/2006/relationships/hyperlink" Target="https://doi.org/10.1002/fsn3.70836" TargetMode="External"/><Relationship Id="rId44" Type="http://schemas.openxmlformats.org/officeDocument/2006/relationships/hyperlink" Target="https://doi.org/10.9734/ajravs/2026/v9i3421" TargetMode="External"/><Relationship Id="rId52" Type="http://schemas.openxmlformats.org/officeDocument/2006/relationships/hyperlink" Target="https://doi.org/10.3389/fvets.2026.1694957" TargetMode="Externa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COURS%20UPGC\2024-2025\ENCADREMENT\PROTOCOLE%20M1%20ZADD%20ETUDIANT\REDACTION\DONNE%20BAGASSE%20(%20DEMBELE%20)%20-%20TRAITE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Poids!$L$191</c:f>
              <c:strCache>
                <c:ptCount val="1"/>
                <c:pt idx="0">
                  <c:v>At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Poids!$L$203:$L$208</c:f>
                <c:numCache>
                  <c:formatCode>General</c:formatCode>
                  <c:ptCount val="6"/>
                  <c:pt idx="0">
                    <c:v>16.844442623958443</c:v>
                  </c:pt>
                  <c:pt idx="1">
                    <c:v>25.758244883671306</c:v>
                  </c:pt>
                  <c:pt idx="2">
                    <c:v>32.081842456202779</c:v>
                  </c:pt>
                  <c:pt idx="3">
                    <c:v>34.004558517939877</c:v>
                  </c:pt>
                  <c:pt idx="4">
                    <c:v>37.072316715666275</c:v>
                  </c:pt>
                  <c:pt idx="5">
                    <c:v>38.151103085843573</c:v>
                  </c:pt>
                </c:numCache>
              </c:numRef>
            </c:plus>
            <c:minus>
              <c:numRef>
                <c:f>Poids!$L$203:$L$208</c:f>
                <c:numCache>
                  <c:formatCode>General</c:formatCode>
                  <c:ptCount val="6"/>
                  <c:pt idx="0">
                    <c:v>16.844442623958443</c:v>
                  </c:pt>
                  <c:pt idx="1">
                    <c:v>25.758244883671306</c:v>
                  </c:pt>
                  <c:pt idx="2">
                    <c:v>32.081842456202779</c:v>
                  </c:pt>
                  <c:pt idx="3">
                    <c:v>34.004558517939877</c:v>
                  </c:pt>
                  <c:pt idx="4">
                    <c:v>37.072316715666275</c:v>
                  </c:pt>
                  <c:pt idx="5">
                    <c:v>38.151103085843573</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Poids!$L$192:$L$198</c:f>
              <c:numCache>
                <c:formatCode>General</c:formatCode>
                <c:ptCount val="7"/>
                <c:pt idx="0">
                  <c:v>29.1</c:v>
                </c:pt>
                <c:pt idx="1">
                  <c:v>54.843303571428564</c:v>
                </c:pt>
                <c:pt idx="2">
                  <c:v>87.777777777777771</c:v>
                </c:pt>
                <c:pt idx="3">
                  <c:v>123.26923076923077</c:v>
                </c:pt>
                <c:pt idx="4">
                  <c:v>159.85650887573962</c:v>
                </c:pt>
                <c:pt idx="5">
                  <c:v>196.24</c:v>
                </c:pt>
                <c:pt idx="6">
                  <c:v>214.56</c:v>
                </c:pt>
              </c:numCache>
            </c:numRef>
          </c:val>
          <c:smooth val="0"/>
          <c:extLst>
            <c:ext xmlns:c16="http://schemas.microsoft.com/office/drawing/2014/chart" uri="{C3380CC4-5D6E-409C-BE32-E72D297353CC}">
              <c16:uniqueId val="{00000000-B84F-49B4-855B-BDCE5437DE0E}"/>
            </c:ext>
          </c:extLst>
        </c:ser>
        <c:ser>
          <c:idx val="1"/>
          <c:order val="1"/>
          <c:tx>
            <c:strRef>
              <c:f>Poids!$M$191</c:f>
              <c:strCache>
                <c:ptCount val="1"/>
                <c:pt idx="0">
                  <c:v>A25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Poids!$M$202:$M$208</c:f>
                <c:numCache>
                  <c:formatCode>General</c:formatCode>
                  <c:ptCount val="7"/>
                  <c:pt idx="0">
                    <c:v>8.208599826469241</c:v>
                  </c:pt>
                  <c:pt idx="1">
                    <c:v>13.557204838398716</c:v>
                  </c:pt>
                  <c:pt idx="2">
                    <c:v>18.179135228643048</c:v>
                  </c:pt>
                  <c:pt idx="3">
                    <c:v>27.764853624216958</c:v>
                  </c:pt>
                  <c:pt idx="4">
                    <c:v>33.643897336024999</c:v>
                  </c:pt>
                  <c:pt idx="5">
                    <c:v>39.035688110196773</c:v>
                  </c:pt>
                  <c:pt idx="6">
                    <c:v>40.429309074705458</c:v>
                  </c:pt>
                </c:numCache>
              </c:numRef>
            </c:plus>
            <c:minus>
              <c:numRef>
                <c:f>Poids!$M$202:$M$208</c:f>
                <c:numCache>
                  <c:formatCode>General</c:formatCode>
                  <c:ptCount val="7"/>
                  <c:pt idx="0">
                    <c:v>8.208599826469241</c:v>
                  </c:pt>
                  <c:pt idx="1">
                    <c:v>13.557204838398716</c:v>
                  </c:pt>
                  <c:pt idx="2">
                    <c:v>18.179135228643048</c:v>
                  </c:pt>
                  <c:pt idx="3">
                    <c:v>27.764853624216958</c:v>
                  </c:pt>
                  <c:pt idx="4">
                    <c:v>33.643897336024999</c:v>
                  </c:pt>
                  <c:pt idx="5">
                    <c:v>39.035688110196773</c:v>
                  </c:pt>
                  <c:pt idx="6">
                    <c:v>40.429309074705458</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Poids!$M$192:$M$198</c:f>
              <c:numCache>
                <c:formatCode>General</c:formatCode>
                <c:ptCount val="7"/>
                <c:pt idx="0">
                  <c:v>29.1</c:v>
                </c:pt>
                <c:pt idx="1">
                  <c:v>46.379411764705893</c:v>
                </c:pt>
                <c:pt idx="2">
                  <c:v>63.396874999999987</c:v>
                </c:pt>
                <c:pt idx="3">
                  <c:v>99.125</c:v>
                </c:pt>
                <c:pt idx="4">
                  <c:v>132.53515625</c:v>
                </c:pt>
                <c:pt idx="5">
                  <c:v>167.58064516129033</c:v>
                </c:pt>
                <c:pt idx="6">
                  <c:v>198.06451612903226</c:v>
                </c:pt>
              </c:numCache>
            </c:numRef>
          </c:val>
          <c:smooth val="0"/>
          <c:extLst>
            <c:ext xmlns:c16="http://schemas.microsoft.com/office/drawing/2014/chart" uri="{C3380CC4-5D6E-409C-BE32-E72D297353CC}">
              <c16:uniqueId val="{00000001-B84F-49B4-855B-BDCE5437DE0E}"/>
            </c:ext>
          </c:extLst>
        </c:ser>
        <c:ser>
          <c:idx val="2"/>
          <c:order val="2"/>
          <c:tx>
            <c:strRef>
              <c:f>Poids!$N$191</c:f>
              <c:strCache>
                <c:ptCount val="1"/>
                <c:pt idx="0">
                  <c:v>A50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Poids!$N$202:$N$208</c:f>
                <c:numCache>
                  <c:formatCode>General</c:formatCode>
                  <c:ptCount val="7"/>
                  <c:pt idx="0">
                    <c:v>6.4719835775882197</c:v>
                  </c:pt>
                  <c:pt idx="1">
                    <c:v>11.594780991314948</c:v>
                  </c:pt>
                  <c:pt idx="2">
                    <c:v>15.537694712834583</c:v>
                  </c:pt>
                  <c:pt idx="3">
                    <c:v>22.806843630851592</c:v>
                  </c:pt>
                  <c:pt idx="4">
                    <c:v>31.183493332374677</c:v>
                  </c:pt>
                  <c:pt idx="5">
                    <c:v>38.528303874297386</c:v>
                  </c:pt>
                  <c:pt idx="6">
                    <c:v>43.181832232093114</c:v>
                  </c:pt>
                </c:numCache>
              </c:numRef>
            </c:plus>
            <c:minus>
              <c:numRef>
                <c:f>Poids!$N$202:$N$208</c:f>
                <c:numCache>
                  <c:formatCode>General</c:formatCode>
                  <c:ptCount val="7"/>
                  <c:pt idx="0">
                    <c:v>6.4719835775882197</c:v>
                  </c:pt>
                  <c:pt idx="1">
                    <c:v>11.594780991314948</c:v>
                  </c:pt>
                  <c:pt idx="2">
                    <c:v>15.537694712834583</c:v>
                  </c:pt>
                  <c:pt idx="3">
                    <c:v>22.806843630851592</c:v>
                  </c:pt>
                  <c:pt idx="4">
                    <c:v>31.183493332374677</c:v>
                  </c:pt>
                  <c:pt idx="5">
                    <c:v>38.528303874297386</c:v>
                  </c:pt>
                  <c:pt idx="6">
                    <c:v>43.181832232093114</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Poids!$N$192:$N$198</c:f>
              <c:numCache>
                <c:formatCode>General</c:formatCode>
                <c:ptCount val="7"/>
                <c:pt idx="0">
                  <c:v>29.1</c:v>
                </c:pt>
                <c:pt idx="1">
                  <c:v>38.911979166666676</c:v>
                </c:pt>
                <c:pt idx="2">
                  <c:v>49.606451612903221</c:v>
                </c:pt>
                <c:pt idx="3">
                  <c:v>73.678571428571431</c:v>
                </c:pt>
                <c:pt idx="4">
                  <c:v>95.309948979591837</c:v>
                </c:pt>
                <c:pt idx="5">
                  <c:v>120.74074074074075</c:v>
                </c:pt>
                <c:pt idx="6">
                  <c:v>140.82142857142858</c:v>
                </c:pt>
              </c:numCache>
            </c:numRef>
          </c:val>
          <c:smooth val="0"/>
          <c:extLst>
            <c:ext xmlns:c16="http://schemas.microsoft.com/office/drawing/2014/chart" uri="{C3380CC4-5D6E-409C-BE32-E72D297353CC}">
              <c16:uniqueId val="{00000002-B84F-49B4-855B-BDCE5437DE0E}"/>
            </c:ext>
          </c:extLst>
        </c:ser>
        <c:dLbls>
          <c:showLegendKey val="0"/>
          <c:showVal val="0"/>
          <c:showCatName val="0"/>
          <c:showSerName val="0"/>
          <c:showPercent val="0"/>
          <c:showBubbleSize val="0"/>
        </c:dLbls>
        <c:marker val="1"/>
        <c:smooth val="0"/>
        <c:axId val="2103434511"/>
        <c:axId val="2103429519"/>
      </c:lineChart>
      <c:catAx>
        <c:axId val="210343451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Rearing period </a:t>
                </a:r>
              </a:p>
            </c:rich>
          </c:tx>
          <c:layout>
            <c:manualLayout>
              <c:xMode val="edge"/>
              <c:yMode val="edge"/>
              <c:x val="0.76226783177382973"/>
              <c:y val="0.8992348698118992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2103429519"/>
        <c:crosses val="autoZero"/>
        <c:auto val="1"/>
        <c:lblAlgn val="ctr"/>
        <c:lblOffset val="100"/>
        <c:noMultiLvlLbl val="0"/>
      </c:catAx>
      <c:valAx>
        <c:axId val="21034295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live weight (g)</a:t>
                </a:r>
              </a:p>
            </c:rich>
          </c:tx>
          <c:layout>
            <c:manualLayout>
              <c:xMode val="edge"/>
              <c:yMode val="edge"/>
              <c:x val="2.5243718225315449E-2"/>
              <c:y val="6.550928259157451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out"/>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21034345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502</TotalTime>
  <Pages>14</Pages>
  <Words>6420</Words>
  <Characters>36595</Characters>
  <Application>Microsoft Office Word</Application>
  <DocSecurity>0</DocSecurity>
  <Lines>304</Lines>
  <Paragraphs>85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42930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42</cp:revision>
  <cp:lastPrinted>1999-07-06T11:00:00Z</cp:lastPrinted>
  <dcterms:created xsi:type="dcterms:W3CDTF">2014-10-25T14:34:00Z</dcterms:created>
  <dcterms:modified xsi:type="dcterms:W3CDTF">2026-08-10T05:14:00Z</dcterms:modified>
</cp:coreProperties>
</file>