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1B580" w14:textId="630A046E" w:rsidR="00D544A9" w:rsidRDefault="00D544A9">
      <w:pPr>
        <w:pStyle w:val="Heading1"/>
        <w:spacing w:before="320" w:after="140" w:line="300" w:lineRule="auto"/>
        <w:rPr>
          <w:b/>
          <w:bCs/>
          <w:color w:val="auto"/>
        </w:rPr>
      </w:pPr>
      <w:r w:rsidRPr="00D544A9">
        <w:rPr>
          <w:b/>
          <w:bCs/>
          <w:color w:val="auto"/>
        </w:rPr>
        <w:t xml:space="preserve">Medicinal plants and human cognitive health: </w:t>
      </w:r>
      <w:r>
        <w:rPr>
          <w:b/>
          <w:bCs/>
          <w:color w:val="auto"/>
        </w:rPr>
        <w:t>A</w:t>
      </w:r>
      <w:r w:rsidRPr="00D544A9">
        <w:rPr>
          <w:b/>
          <w:bCs/>
          <w:color w:val="auto"/>
        </w:rPr>
        <w:t xml:space="preserve"> critical appraisal of mechanistic plausibility, clinical evidence and translational constraints</w:t>
      </w:r>
    </w:p>
    <w:p w14:paraId="7750FA15" w14:textId="03D4B789" w:rsidR="001B357C" w:rsidRDefault="00000000">
      <w:pPr>
        <w:pStyle w:val="Heading1"/>
        <w:spacing w:before="320" w:after="140" w:line="300" w:lineRule="auto"/>
      </w:pPr>
      <w:r>
        <w:rPr>
          <w:b/>
          <w:bCs/>
          <w:color w:val="000000"/>
          <w:sz w:val="28"/>
          <w:szCs w:val="28"/>
        </w:rPr>
        <w:t>Abstract</w:t>
      </w:r>
    </w:p>
    <w:p w14:paraId="7896F43B" w14:textId="77777777" w:rsidR="001B357C" w:rsidRDefault="00000000">
      <w:pPr>
        <w:spacing w:after="160" w:line="360" w:lineRule="auto"/>
        <w:jc w:val="both"/>
      </w:pPr>
      <w:r>
        <w:t xml:space="preserve">Plant-derived preparations occupy a prominent and expanding place in the self-management of memory complaints and age-related cognitive decline, yet the relationship between their pharmacological promise and their demonstrated clinical value remains poorly resolved. This critical narrative review examines the evidence for medicinal plants as interventions for cognitive health in adults, encompassing healthy ageing, subjective cognitive complaint, mild cognitive impairment and established dementia. Literature was identified through structured searching of biomedical and bibliographic indexes together with citation tracking and interrogation of institutional sources, and appraised against criteria appropriate to botanical intervention research rather than to conventional single-molecule pharmacology. The synthesis is organised around five interlocking problems: the conceptual instability of cognitive-enhancement terminology; the evidentiary asymmetry between mechanistic and clinical findings; species-level heterogeneity in trial quality and effect direction; the methodological features that generate apparently contradictory results; and the product-level determinants that make many trials functionally non-replicable. Evidence is strongest, though still modest in magnitude, for standardised extracts evaluated in symptomatic populations over sustained periods, and weakest for acute studies in cognitively intact adults where ceiling effects and outcome multiplicity dominate. Large long-term prevention trials have consistently failed to reproduce the benefits suggested by shorter symptomatic trials, an asymmetry that is better explained by differences in population, exposure and outcome sensitivity than by simple publication bias. Chemical characterisation of the tested material is frequently absent or inadequate, which converts nominally identical interventions into pharmacologically distinct entities and undermines pooled estimates. Botanical authentication failures, undeclared synthetic adulterants and limited systemic and central bioavailability further separate the material studied in trials from the products consumers obtain. Priorities for the field include mandatory extract characterisation, biomarker-anchored dose selection, adequately powered trials in defined symptomatic populations, and harmonised cognitive outcome sets. Present evidence supports continued rigorous investigation of a small number of well-characterised </w:t>
      </w:r>
      <w:r>
        <w:lastRenderedPageBreak/>
        <w:t>extracts, but does not support general claims of cognitive benefit for medicinal plants as a category.</w:t>
      </w:r>
    </w:p>
    <w:p w14:paraId="52247E55" w14:textId="77777777" w:rsidR="001B357C" w:rsidRDefault="00000000">
      <w:pPr>
        <w:pStyle w:val="Heading1"/>
        <w:spacing w:before="320" w:after="140" w:line="300" w:lineRule="auto"/>
      </w:pPr>
      <w:r>
        <w:rPr>
          <w:b/>
          <w:bCs/>
          <w:color w:val="000000"/>
          <w:sz w:val="28"/>
          <w:szCs w:val="28"/>
        </w:rPr>
        <w:t>Keywords</w:t>
      </w:r>
    </w:p>
    <w:p w14:paraId="5D0F694E" w14:textId="77777777" w:rsidR="001B357C" w:rsidRDefault="00000000">
      <w:pPr>
        <w:spacing w:after="160" w:line="360" w:lineRule="auto"/>
        <w:jc w:val="both"/>
      </w:pPr>
      <w:r>
        <w:rPr>
          <w:i/>
          <w:iCs/>
        </w:rPr>
        <w:t>Bacopa monnieri</w:t>
      </w:r>
      <w:r>
        <w:t>; botanical extract standardisation; cognitive ageing; herbal medicine; mild cognitive impairment; phytopharmacology; translational research</w:t>
      </w:r>
    </w:p>
    <w:p w14:paraId="3347BACA" w14:textId="77777777" w:rsidR="001B357C" w:rsidRDefault="00000000">
      <w:pPr>
        <w:pStyle w:val="Heading1"/>
        <w:spacing w:before="320" w:after="140" w:line="300" w:lineRule="auto"/>
      </w:pPr>
      <w:r>
        <w:rPr>
          <w:b/>
          <w:bCs/>
          <w:color w:val="000000"/>
          <w:sz w:val="28"/>
          <w:szCs w:val="28"/>
        </w:rPr>
        <w:t>1. Introduction</w:t>
      </w:r>
    </w:p>
    <w:p w14:paraId="61D5AEF9" w14:textId="77777777" w:rsidR="001B357C" w:rsidRDefault="00000000">
      <w:pPr>
        <w:spacing w:after="160" w:line="360" w:lineRule="auto"/>
        <w:jc w:val="both"/>
      </w:pPr>
      <w:r>
        <w:t>Cognitive decline in later life has become one of the defining health challenges of the present century. Global estimates derived from the Global Burden of Disease programme place the number of people living with dementia at approximately 57 million in 2019, with projections approaching 153 million by 2050 under current demographic and epidemiological assumptions (GBD 2019 Dementia Forecasting Collaborators, 2022). The distribution of that burden is uneven, with the steepest proportional increases anticipated in low-income and middle-income regions where diagnostic services and specialist care are least developed. Against this background, the identification of modifiable risk factors has acquired considerable policy weight, and successive expert syntheses have converged on the position that a substantial fraction of dementia cases is attributable to factors amenable to intervention across the life course (Livingston et al., 2024).</w:t>
      </w:r>
    </w:p>
    <w:p w14:paraId="5DA66D42" w14:textId="77777777" w:rsidR="001B357C" w:rsidRDefault="00000000">
      <w:pPr>
        <w:spacing w:after="160" w:line="360" w:lineRule="auto"/>
        <w:jc w:val="both"/>
      </w:pPr>
      <w:r>
        <w:t>Pharmacological options remain limited. Cholinesterase inhibition produces small average benefits on cognitive and global outcomes in Alzheimer's disease without altering the underlying disease trajectory (Birks &amp; Harvey, 2018), and disease-modifying approaches have yet to change the practical experience of most patients. This therapeutic gap, combined with a widespread cultural preference for interventions perceived as natural, has produced sustained demand for plant-based preparations marketed for memory, concentration and brain health. Traditional and complementary medicine is formally recognised within health systems in the large majority of countries that have reported to the World Health Organization, and herbal products constitute the most heavily regulated and most widely consumed component of that sector (World Health Organization, 2019b).</w:t>
      </w:r>
    </w:p>
    <w:p w14:paraId="54BA5EE8" w14:textId="77777777" w:rsidR="001B357C" w:rsidRDefault="00000000">
      <w:pPr>
        <w:spacing w:after="160" w:line="360" w:lineRule="auto"/>
        <w:jc w:val="both"/>
      </w:pPr>
      <w:r>
        <w:t xml:space="preserve">The scientific case for examining medicinal plants in this context is not merely commercial. Several drugs in current neurological use originate directly from plant sources, and the development of galantamine from Amaryllidaceae species illustrates how a locally transmitted observation about cognitive effects can be converted, through systematic phytochemical and </w:t>
      </w:r>
      <w:r>
        <w:lastRenderedPageBreak/>
        <w:t>clinical investigation, into a licensed medicine (Heinrich &amp; Lee Teoh, 2004). Plant secondary metabolites interact with cholinergic, monoaminergic, glutamatergic and endocannabinoid targets, modulate redox and inflammatory signalling, and influence cerebral perfusion, and this pharmacological breadth has been advanced as an argument for their suitability in a condition as mechanistically heterogeneous as cognitive ageing (Kennedy &amp; Wightman, 2011).</w:t>
      </w:r>
    </w:p>
    <w:p w14:paraId="0CD7D3A2" w14:textId="77777777" w:rsidR="001B357C" w:rsidRDefault="00000000">
      <w:pPr>
        <w:spacing w:after="160" w:line="360" w:lineRule="auto"/>
        <w:jc w:val="both"/>
      </w:pPr>
      <w:r>
        <w:t xml:space="preserve">Pharmacological breadth, though, has not translated cleanly into clinical certainty. The literature on medicinal plants and cognition presents a persistent and instructive pattern. Small trials in symptomatic populations frequently report benefit; large, long-duration trials in prevention settings frequently do not. The most extensively studied preparation in the field, a standardised leaf extract of </w:t>
      </w:r>
      <w:r>
        <w:rPr>
          <w:i/>
          <w:iCs/>
        </w:rPr>
        <w:t>Ginkgo biloba</w:t>
      </w:r>
      <w:r>
        <w:t xml:space="preserve"> L., has been evaluated in two multi-year prevention trials enrolling several thousand participants each, neither of which demonstrated a reduction in dementia incidence or in the rate of cognitive decline (DeKosky et al., 2008; Snitz et al., 2009; Vellas et al., 2012), while pooled analyses restricted to symptomatic patients continue to report statistically significant improvements (Riepe et al., 2025). Comparable divergences appear for </w:t>
      </w:r>
      <w:r>
        <w:rPr>
          <w:i/>
          <w:iCs/>
        </w:rPr>
        <w:t>Curcuma longa</w:t>
      </w:r>
      <w:r>
        <w:t xml:space="preserve"> L., where a positive eighteen-month trial in non-demented adults (Small et al., 2018) sits alongside a null twenty-four-week trial in Alzheimer's disease accompanied by direct evidence of poor systemic exposure (Ringman et al., 2012).</w:t>
      </w:r>
    </w:p>
    <w:p w14:paraId="4EDEB02A" w14:textId="26DE6E40" w:rsidR="001B357C" w:rsidRDefault="00000000">
      <w:pPr>
        <w:spacing w:after="160" w:line="360" w:lineRule="auto"/>
        <w:jc w:val="both"/>
      </w:pPr>
      <w:r>
        <w:t>Existing reviews have not adequately explained this pattern. Much of the published synthesis is organised taxonomically, proceeding species by species and summarising trial outcomes without interrogating why the outcomes differ. Species-specific systematic reviews and meta-analyses are numerous and often methodologically competent, yet each is necessarily confined to a single genus and therefore cannot identify the cross-cutting features that generate inconsistency across the field (Ayati et al., 2020; Kongkeaw et al., 2014; Ng et al., 2020; Zeng et al., 2024). Broader quantitative syntheses have begun to appear, including network meta-analyses that rank multiple plant-derived interventions against one another in healthy older adults (Feng et al., 202</w:t>
      </w:r>
      <w:r w:rsidR="0056258C">
        <w:t>6</w:t>
      </w:r>
      <w:r>
        <w:t>) and comprehensive systematic reviews of human trials of herbal treatments in dementia (Kaczmarek-Kryszak et al., 2026). These contribute valuable comparative estimates, but ranking procedures applied to heterogeneous and often uncharacterised interventions risk conferring apparent precision on comparisons that the underlying trials cannot support. Reviews framed around traditional systems of medicine similarly report encouraging pooled effects while conceding that most contributing trials carry appreciable risk of bias (Liu et al., 2024).</w:t>
      </w:r>
    </w:p>
    <w:p w14:paraId="50190B95" w14:textId="77777777" w:rsidR="00543D92" w:rsidRPr="009D6A43" w:rsidRDefault="00000000">
      <w:pPr>
        <w:spacing w:after="160" w:line="360" w:lineRule="auto"/>
        <w:jc w:val="both"/>
        <w:rPr>
          <w:bCs/>
        </w:rPr>
      </w:pPr>
      <w:r w:rsidRPr="009D6A43">
        <w:rPr>
          <w:bCs/>
          <w:highlight w:val="yellow"/>
        </w:rPr>
        <w:lastRenderedPageBreak/>
        <w:t>Recent syntheses spanning older adults with subjective cognitive concerns, patients with mild cognitive impairment or Alzheimer's disease, and cognitively healthy adults further indicate that conclusions differ across population definitions, intervention classes and cognitive outcome frameworks (Cave et al., 2023; Hoang et al., 2025; Wang et al., 2025). A recent network-pharmacology review also illustrates the continued emphasis on multi-target explanations for phytotherapy in neurocognitive disorders (Barth &amp; Efferth, 2025), reinforcing the need to distinguish mechanistic plausibility from clinical demonstration.</w:t>
      </w:r>
    </w:p>
    <w:p w14:paraId="6BDE222D" w14:textId="77777777" w:rsidR="001B357C" w:rsidRDefault="00000000">
      <w:pPr>
        <w:spacing w:after="160" w:line="360" w:lineRule="auto"/>
        <w:jc w:val="both"/>
      </w:pPr>
      <w:r>
        <w:t>A further limitation of the existing literature concerns the intervention itself. Guidance for the chemical characterisation of extracts used in pharmacological research has been available for some years and specifies the minimum information required for a botanical intervention to be interpretable or reproducible (Heinrich et al., 2022). Reporting standards for randomised trials of herbal products predate that guidance by more than a decade (Gagnier et al., 2006). Compliance nevertheless remains inconsistent, with the consequence that trials described in reviews as testing the same plant may have tested materials differing in extraction solvent, marker compound content, plant part and geographical origin. Reviews that pool such trials without addressing this heterogeneity produce estimates whose meaning is difficult to specify.</w:t>
      </w:r>
    </w:p>
    <w:p w14:paraId="43D20A63" w14:textId="77777777" w:rsidR="001B357C" w:rsidRDefault="00000000">
      <w:pPr>
        <w:pStyle w:val="Heading2"/>
        <w:spacing w:before="260" w:after="140" w:line="300" w:lineRule="auto"/>
      </w:pPr>
      <w:r>
        <w:rPr>
          <w:b/>
          <w:bCs/>
          <w:color w:val="000000"/>
        </w:rPr>
        <w:t>1.1 Scope, Research Gap and Objectives</w:t>
      </w:r>
    </w:p>
    <w:p w14:paraId="6BE5637C" w14:textId="77777777" w:rsidR="001B357C" w:rsidRDefault="00000000">
      <w:pPr>
        <w:spacing w:after="160" w:line="360" w:lineRule="auto"/>
        <w:jc w:val="both"/>
      </w:pPr>
      <w:r>
        <w:t>This review examines the evidence relating medicinal plants to cognitive function and cognitive health in adults. Populations of interest span cognitively intact adults, individuals reporting subjective cognitive complaint, individuals meeting criteria for mild cognitive impairment, and individuals with diagnosed dementia. Interventions of interest are orally administered preparations derived from whole plants or defined plant parts, including standardised extracts and isolated constituents where those constituents are used as proxies for the parent botanical. Outcomes of interest are objectively measured cognitive performance, global clinical status, functional capacity and, where reported, mechanistic biomarkers relevant to cognitive change.</w:t>
      </w:r>
    </w:p>
    <w:p w14:paraId="5A267EFC" w14:textId="77777777" w:rsidR="001B357C" w:rsidRDefault="00000000">
      <w:pPr>
        <w:spacing w:after="160" w:line="360" w:lineRule="auto"/>
        <w:jc w:val="both"/>
      </w:pPr>
      <w:r>
        <w:t xml:space="preserve">Certain areas fall outside the boundaries adopted here. Cannabis and its derivatives are excluded because the governing regulatory, safety and evidential frameworks differ substantially from those applicable to conventional herbal preparations. Nutritional interventions defined by whole foods or dietary patterns, purely preclinical investigations reported without accompanying human data, and preparations whose primary indication is psychiatric rather than cognitive are likewise excluded, although preclinical and mechanistic </w:t>
      </w:r>
      <w:r>
        <w:lastRenderedPageBreak/>
        <w:t>work is drawn upon where necessary to interpret human findings. Complex multi-herb formulations are considered only in aggregate, since attribution of effect to individual components is not achievable within such designs.</w:t>
      </w:r>
    </w:p>
    <w:p w14:paraId="11E27BF7" w14:textId="77777777" w:rsidR="001B357C" w:rsidRDefault="00000000">
      <w:pPr>
        <w:spacing w:after="160" w:line="360" w:lineRule="auto"/>
        <w:jc w:val="both"/>
      </w:pPr>
      <w:r>
        <w:t>The gap this review addresses is analytical rather than descriptive. Considerable effort has been devoted to establishing whether particular plants improve cognition, and comparatively little to establishing why the evidence for that proposition remains unstable after three decades of controlled investigation. No existing synthesis brings together, within a single critical framework, the conceptual, methodological, chemical and pharmacokinetic determinants of that instability, or evaluates how those determinants interact to produce the observed pattern of small positive symptomatic trials and null prevention trials.</w:t>
      </w:r>
    </w:p>
    <w:p w14:paraId="38BA7438" w14:textId="77777777" w:rsidR="001B357C" w:rsidRDefault="00000000">
      <w:pPr>
        <w:spacing w:after="160" w:line="360" w:lineRule="auto"/>
        <w:jc w:val="both"/>
      </w:pPr>
      <w:r>
        <w:t>Four objectives follow. The first is to establish which conclusions about medicinal plants and cognitive health are securely supported, which are provisional, and which are unsupported by the human evidence. The second is to evaluate the correspondence between mechanistic claims and clinical demonstration, identifying where mechanistic plausibility has been treated as a substitute for efficacy. The third is to identify the methodological and product-level features that most strongly determine trial outcomes and to assess their relative contribution to the inconsistency of the field. The fourth is to derive prioritised research recommendations that address those determinants directly rather than calling for further trials of unspecified design. The intended contribution is a diagnostic account of a field whose empirical output has grown considerably faster than its interpretability.</w:t>
      </w:r>
    </w:p>
    <w:p w14:paraId="640958BD" w14:textId="77777777" w:rsidR="001B357C" w:rsidRDefault="00000000">
      <w:pPr>
        <w:pStyle w:val="Heading1"/>
        <w:spacing w:before="320" w:after="140" w:line="300" w:lineRule="auto"/>
      </w:pPr>
      <w:r>
        <w:rPr>
          <w:b/>
          <w:bCs/>
          <w:color w:val="000000"/>
          <w:sz w:val="28"/>
          <w:szCs w:val="28"/>
        </w:rPr>
        <w:t>2. Methods for Literature Selection</w:t>
      </w:r>
    </w:p>
    <w:p w14:paraId="559E470A" w14:textId="77777777" w:rsidR="001B357C" w:rsidRDefault="00000000">
      <w:pPr>
        <w:pStyle w:val="Heading2"/>
        <w:spacing w:before="260" w:after="140" w:line="300" w:lineRule="auto"/>
      </w:pPr>
      <w:r>
        <w:rPr>
          <w:b/>
          <w:bCs/>
          <w:color w:val="000000"/>
        </w:rPr>
        <w:t>2.1 Review Design and Rationale</w:t>
      </w:r>
    </w:p>
    <w:p w14:paraId="3418388E" w14:textId="77777777" w:rsidR="001B357C" w:rsidRDefault="00000000">
      <w:pPr>
        <w:spacing w:after="160" w:line="360" w:lineRule="auto"/>
        <w:jc w:val="both"/>
      </w:pPr>
      <w:r>
        <w:t xml:space="preserve">A critical narrative design was selected in preference to a systematic review or meta-analysis. The rationale rests on the character of the evidence rather than on convenience. The question addressed spans multiple botanical taxa, four distinct clinical populations, heterogeneous outcome instruments and an intervention class whose chemical identity varies between studies nominally testing the same material. A systematic review answers a narrowly specified question by exhaustive retrieval; the present question concerns the structure and coherence of an evidence base and requires interpretive synthesis across domains that a single protocol-driven search would not integrate. Meta-analysis was inappropriate for the same reason, since </w:t>
      </w:r>
      <w:r>
        <w:lastRenderedPageBreak/>
        <w:t>pooling requires an assumption of intervention comparability that the underlying chemistry does not sustain.</w:t>
      </w:r>
    </w:p>
    <w:p w14:paraId="203E64F9" w14:textId="77777777" w:rsidR="001B357C" w:rsidRDefault="00000000">
      <w:pPr>
        <w:spacing w:after="160" w:line="360" w:lineRule="auto"/>
        <w:jc w:val="both"/>
      </w:pPr>
      <w:r>
        <w:t>Narrative synthesis is not exempt from methodological expectations. The design adopted here follows established guidance on the conduct and appraisal of narrative reviews, including explicit specification of search sources and selection reasoning (Ferrari, 2015; Sukhera, 2022), and the quality dimensions formalised in the Scale for the Assessment of Narrative Review Articles were used as an internal checklist during drafting (Baethge et al., 2019). The argument that narrative and systematic approaches serve different epistemic purposes, and that the former retains legitimacy where interpretive integration is required, informed the decision (Greenhalgh et al., 2018). Transparency of sources, explicit appraisal criteria and acknowledgement of selection bias are treated as obligations of the design rather than as optional features.</w:t>
      </w:r>
    </w:p>
    <w:p w14:paraId="14B45F94" w14:textId="77777777" w:rsidR="001B357C" w:rsidRDefault="00000000">
      <w:pPr>
        <w:pStyle w:val="Heading2"/>
        <w:spacing w:before="260" w:after="140" w:line="300" w:lineRule="auto"/>
      </w:pPr>
      <w:r>
        <w:rPr>
          <w:b/>
          <w:bCs/>
          <w:color w:val="000000"/>
        </w:rPr>
        <w:t>2.2 Information Sources</w:t>
      </w:r>
    </w:p>
    <w:p w14:paraId="66C3704E" w14:textId="77777777" w:rsidR="001B357C" w:rsidRDefault="00000000">
      <w:pPr>
        <w:spacing w:after="160" w:line="360" w:lineRule="auto"/>
        <w:jc w:val="both"/>
      </w:pPr>
      <w:r>
        <w:t>Three categories of source were interrogated. Biomedical literature was searched through PubMed, using the National Center for Biotechnology Information programmatic interface for both retrieval and record verification. Bibliographic metadata were searched and validated through Crossref Metadata Search. Europe PMC was searched to capture records indexed there and to confirm bibliographic details for recent items. Institutional evidence was obtained by direct searching of the World Health Organization publications repository. Reference lists of retrieved systematic reviews, meta-analyses and methodological guidance documents were examined for additional eligible studies, and forward citation relationships were followed where a foundational trial or guidance document had generated subsequent debate.</w:t>
      </w:r>
    </w:p>
    <w:p w14:paraId="72B83B5F" w14:textId="77777777" w:rsidR="001B357C" w:rsidRDefault="00000000">
      <w:pPr>
        <w:spacing w:after="160" w:line="360" w:lineRule="auto"/>
        <w:jc w:val="both"/>
      </w:pPr>
      <w:r>
        <w:t>Subscription-only platforms including Web of Science, Scopus and Embase were not accessible during the preparation of this review and were not searched. No claim is made regarding coverage of those platforms, and the implications of their absence are addressed in the Limitations section. Every reference retained was verified against at least one authoritative bibliographic record, and every digital object identifier was confirmed to resolve to the cited article.</w:t>
      </w:r>
    </w:p>
    <w:p w14:paraId="20CA9FF4" w14:textId="77777777" w:rsidR="001B357C" w:rsidRDefault="00000000">
      <w:pPr>
        <w:pStyle w:val="Heading2"/>
        <w:spacing w:before="260" w:after="140" w:line="300" w:lineRule="auto"/>
      </w:pPr>
      <w:r>
        <w:rPr>
          <w:b/>
          <w:bCs/>
          <w:color w:val="000000"/>
        </w:rPr>
        <w:t>2.3 Search Strategy and Search Period</w:t>
      </w:r>
    </w:p>
    <w:p w14:paraId="1867119C" w14:textId="77777777" w:rsidR="001B357C" w:rsidRDefault="00000000">
      <w:pPr>
        <w:spacing w:after="160" w:line="360" w:lineRule="auto"/>
        <w:jc w:val="both"/>
      </w:pPr>
      <w:r>
        <w:t xml:space="preserve">Search concepts were constructed around four axes: the botanical intervention, the cognitive outcome, the population, and the methodological or product-quality dimension. Representative </w:t>
      </w:r>
      <w:r>
        <w:lastRenderedPageBreak/>
        <w:t>strings combined controlled vocabulary with free-text terms, for example the intersection of terms for herbal medicine, plant extracts and named genera with terms for cognition, memory, executive function, mild cognitive impairment and dementia, restricted where appropriate to randomised controlled trials, systematic reviews and meta-analyses. Genus-specific searches were run separately for each taxon carried forward into the species-level appraisal, since combined searches returned superficial coverage of individual plants. Parallel strings addressed extract characterisation, botanical authentication, adulteration, bioavailability and herbal trial reporting standards, and a further set addressed the comparator literature on cholinesterase inhibition and multidomain lifestyle intervention.</w:t>
      </w:r>
    </w:p>
    <w:p w14:paraId="451B4977" w14:textId="77777777" w:rsidR="001B357C" w:rsidRDefault="00000000">
      <w:pPr>
        <w:spacing w:after="160" w:line="360" w:lineRule="auto"/>
        <w:jc w:val="both"/>
      </w:pPr>
      <w:r>
        <w:t>The search period extended from 1 January 1990 to 11 June 2026. The starting year reflects the point at which controlled clinical evaluation of chemically standardised botanical extracts for cognitive indications became established practice, following the introduction of defined extract specifications and the first generation of trials designed to contemporary standards. Publications preceding that date were included where necessary to document seminal pharmacological observations, historical drug development or nomenclatural questions.</w:t>
      </w:r>
    </w:p>
    <w:p w14:paraId="42DE321F" w14:textId="77777777" w:rsidR="001B357C" w:rsidRDefault="00000000">
      <w:pPr>
        <w:pStyle w:val="Heading2"/>
        <w:spacing w:before="260" w:after="140" w:line="300" w:lineRule="auto"/>
      </w:pPr>
      <w:r>
        <w:rPr>
          <w:b/>
          <w:bCs/>
          <w:color w:val="000000"/>
        </w:rPr>
        <w:t>2.4 Eligibility Criteria</w:t>
      </w:r>
    </w:p>
    <w:p w14:paraId="6135AB92" w14:textId="77777777" w:rsidR="001B357C" w:rsidRDefault="00000000">
      <w:pPr>
        <w:spacing w:after="160" w:line="360" w:lineRule="auto"/>
        <w:jc w:val="both"/>
      </w:pPr>
      <w:r>
        <w:t>Eligible publications comprised randomised controlled trials, controlled clinical trials, systematic reviews, meta-analyses, network meta-analyses, pharmacokinetic studies in humans, methodological guidance documents, analytical studies of product quality, and authoritative institutional reports. Studies were required to concern orally administered plant-derived preparations and to report cognitive, global clinical, functional or directly relevant biomarker outcomes in human participants, with the exception of methodological, chemical and product-quality sources retained for their bearing on interpretation. Publication in English was required.</w:t>
      </w:r>
    </w:p>
    <w:p w14:paraId="6303F7D9" w14:textId="77777777" w:rsidR="001B357C" w:rsidRDefault="00000000">
      <w:pPr>
        <w:spacing w:after="160" w:line="360" w:lineRule="auto"/>
        <w:jc w:val="both"/>
      </w:pPr>
      <w:r>
        <w:t>Excluded from consideration were preparations whose evidential base is confined to non-human models without corresponding human data, trade and promotional literature, non-peer-reviewed commentary, conference abstracts lacking full methodological reporting, and any source whose bibliographic identity could not be independently confirmed. Preprints were not used. Trials of complex multi-component formulations were retained only where the review question concerned the formulation as a whole. Studies of cannabis-derived preparations and of purely dietary interventions were excluded in accordance with the stated scope.</w:t>
      </w:r>
    </w:p>
    <w:p w14:paraId="2A482AAE" w14:textId="77777777" w:rsidR="001B357C" w:rsidRDefault="00000000">
      <w:pPr>
        <w:pStyle w:val="Heading2"/>
        <w:spacing w:before="260" w:after="140" w:line="300" w:lineRule="auto"/>
      </w:pPr>
      <w:r>
        <w:rPr>
          <w:b/>
          <w:bCs/>
          <w:color w:val="000000"/>
        </w:rPr>
        <w:lastRenderedPageBreak/>
        <w:t>2.5 Screening, Duplicate Handling and Study Selection</w:t>
      </w:r>
    </w:p>
    <w:p w14:paraId="2D9A2FCD" w14:textId="77777777" w:rsidR="001B357C" w:rsidRDefault="00000000">
      <w:pPr>
        <w:spacing w:after="160" w:line="360" w:lineRule="auto"/>
        <w:jc w:val="both"/>
      </w:pPr>
      <w:r>
        <w:t>Records retrieved from each source were assessed first by title and abstract against the eligibility criteria, and subsequently at full-text level for those passing the initial assessment. Duplicates arising from overlapping coverage between PubMed, Crossref and Europe PMC were identified by digital object identifier where available and by matched author, title and year where not, and were consolidated to a single record. Where bibliographic details conflicted between sources, the record confirmed by the publisher landing page or by Crossref deposit was adopted.</w:t>
      </w:r>
    </w:p>
    <w:p w14:paraId="0F28961B" w14:textId="77777777" w:rsidR="001B357C" w:rsidRDefault="00000000">
      <w:pPr>
        <w:spacing w:after="160" w:line="360" w:lineRule="auto"/>
        <w:jc w:val="both"/>
      </w:pPr>
      <w:r>
        <w:t>Sources that could not be retrieved in full, or whose metadata could not be independently confirmed, were not cited. Formal screening counts are not reported. The selection process was interpretive and iterative rather than exhaustively enumerated, and reporting numerical counts would misrepresent the design as systematic. A flow diagram is not presented for the same reason.</w:t>
      </w:r>
    </w:p>
    <w:p w14:paraId="231339FD" w14:textId="77777777" w:rsidR="001B357C" w:rsidRDefault="00000000">
      <w:pPr>
        <w:pStyle w:val="Heading2"/>
        <w:spacing w:before="260" w:after="140" w:line="300" w:lineRule="auto"/>
      </w:pPr>
      <w:r>
        <w:rPr>
          <w:b/>
          <w:bCs/>
          <w:color w:val="000000"/>
        </w:rPr>
        <w:t>2.6 Critical Appraisal and Evidence Synthesis</w:t>
      </w:r>
    </w:p>
    <w:p w14:paraId="33A470E2" w14:textId="77777777" w:rsidR="001B357C" w:rsidRDefault="00000000">
      <w:pPr>
        <w:spacing w:after="160" w:line="360" w:lineRule="auto"/>
        <w:jc w:val="both"/>
      </w:pPr>
      <w:r>
        <w:t>Appraisal criteria were selected for their relevance to botanical intervention research. Each clinical study was assessed for population definition and baseline cognitive status, randomisation and allocation concealment, adequacy of blinding and placebo comparability, sample size relative to the effect claimed, duration of exposure relative to the outcome assessed, specification of primary outcomes and handling of multiplicity, completeness of extract characterisation, and declaration of sponsorship. Reviews and meta-analyses were assessed additionally for search adequacy, treatment of heterogeneity, sensitivity analysis and the correspondence between reported effect sizes and stated conclusions. Formal risk-of-bias instruments were not applied de novo, since the information required for reliable scoring was frequently unavailable in primary reports; where included reviews had applied such instruments, their judgements are reported as those authors' assessments.</w:t>
      </w:r>
    </w:p>
    <w:p w14:paraId="468B5D00" w14:textId="77777777" w:rsidR="001B357C" w:rsidRDefault="00000000">
      <w:pPr>
        <w:spacing w:after="160" w:line="360" w:lineRule="auto"/>
        <w:jc w:val="both"/>
      </w:pPr>
      <w:r>
        <w:t xml:space="preserve">Themes were developed inductively from recurring points of disagreement in the literature rather than imposed in advance. Where studies conflicted, the analysis sought explanations in population characteristics, exposure duration, outcome selection, chemical composition and analytical approach before attributing divergence to chance or to bias. Convergent findings from independent research groups, in different populations and with different instruments, were weighted more heavily than repeated findings from a single group or sponsor. Consistency </w:t>
      </w:r>
      <w:r>
        <w:lastRenderedPageBreak/>
        <w:t>between mechanistic and clinical evidence was treated as supportive but not as decisive, and mechanistic plausibility alone was never treated as evidence of clinical effect.</w:t>
      </w:r>
    </w:p>
    <w:p w14:paraId="6B7BAD1A" w14:textId="77777777" w:rsidR="001B357C" w:rsidRDefault="00000000">
      <w:pPr>
        <w:pStyle w:val="Heading1"/>
        <w:spacing w:before="320" w:after="140" w:line="300" w:lineRule="auto"/>
      </w:pPr>
      <w:r>
        <w:rPr>
          <w:b/>
          <w:bCs/>
          <w:color w:val="000000"/>
          <w:sz w:val="28"/>
          <w:szCs w:val="28"/>
        </w:rPr>
        <w:t>3. Conceptual foundations and the problem of intervention identity</w:t>
      </w:r>
    </w:p>
    <w:p w14:paraId="02ACB210" w14:textId="77777777" w:rsidR="001B357C" w:rsidRDefault="00000000">
      <w:pPr>
        <w:pStyle w:val="Heading2"/>
        <w:spacing w:before="260" w:after="140" w:line="300" w:lineRule="auto"/>
      </w:pPr>
      <w:r>
        <w:rPr>
          <w:b/>
          <w:bCs/>
          <w:color w:val="000000"/>
        </w:rPr>
        <w:t>3.1 Terminological instability in the cognitive-enhancement literature</w:t>
      </w:r>
    </w:p>
    <w:p w14:paraId="3637CDC7" w14:textId="77777777" w:rsidR="001B357C" w:rsidRDefault="00000000">
      <w:pPr>
        <w:spacing w:after="160" w:line="360" w:lineRule="auto"/>
        <w:jc w:val="both"/>
      </w:pPr>
      <w:r>
        <w:t xml:space="preserve">Interpretation of this literature is complicated at the outset by imprecise and inconsistent vocabulary. Terms such as nootropic, cognitive enhancer, brain tonic, adaptogen and neuroprotectant circulate freely between traditional medical texts, pharmacological reviews, trial reports and product marketing, acquiring different meanings in each setting. An adaptogen, in its original formulation, denotes a substance increasing non-specific resistance to stressors; the term carries no implication of direct cognitive action, yet trials of </w:t>
      </w:r>
      <w:r>
        <w:rPr>
          <w:i/>
          <w:iCs/>
        </w:rPr>
        <w:t>Rhodiola rosea</w:t>
      </w:r>
      <w:r>
        <w:t xml:space="preserve"> L. and </w:t>
      </w:r>
      <w:r>
        <w:rPr>
          <w:i/>
          <w:iCs/>
        </w:rPr>
        <w:t>Withania somnifera</w:t>
      </w:r>
      <w:r>
        <w:t xml:space="preserve"> (L.) Dunal frequently move between stress-related and cognitive claims without acknowledging the transition (Hung et al., 2011; Ng et al., 2020). Neuroprotection likewise denotes prevention of neuronal injury, a construct demonstrable in cellular and animal systems but rarely measurable within the timescale of a human trial, where it is routinely inferred from short-term performance change.</w:t>
      </w:r>
    </w:p>
    <w:p w14:paraId="15DE2D74" w14:textId="77777777" w:rsidR="001B357C" w:rsidRDefault="00000000">
      <w:pPr>
        <w:spacing w:after="160" w:line="360" w:lineRule="auto"/>
        <w:jc w:val="both"/>
      </w:pPr>
      <w:r>
        <w:t xml:space="preserve">These conflations are consequential. A preparation that reduces perceived stress, improves sleep continuity or elevates subjective alertness may produce measurable gains on attention-dependent cognitive tasks without acting on memory systems at all. A recent trial of a </w:t>
      </w:r>
      <w:r>
        <w:rPr>
          <w:i/>
          <w:iCs/>
        </w:rPr>
        <w:t>Bacopa monnieri</w:t>
      </w:r>
      <w:r>
        <w:t xml:space="preserve"> (L.) Wettst. extract in adults reporting memory and attention difficulties illustrates the distinction with unusual clarity: primary cognitive outcomes covering verbal learning, attention and working memory showed no between-group difference, whereas secondary measures of stress reactivity and task-induced fatigue favoured the extract (Lopresti &amp; Smith, 2025). Reported as evidence of cognitive benefit, such a result would misrepresent its own primary analysis. Reported as evidence of stress modulation with possible downstream performance consequences, it is informative and testable.</w:t>
      </w:r>
    </w:p>
    <w:p w14:paraId="078283AD" w14:textId="77777777" w:rsidR="001B357C" w:rsidRDefault="00000000">
      <w:pPr>
        <w:spacing w:after="160" w:line="360" w:lineRule="auto"/>
        <w:jc w:val="both"/>
      </w:pPr>
      <w:r>
        <w:t xml:space="preserve">The distinction between enhancement and restoration is equally underspecified. Improving performance in a cognitively intact adult, restoring performance in an individual with acquired impairment, and slowing the rate of future decline are three different claims requiring three different designs, three different populations and three different outcome sets. Trials that recruit healthy volunteers, measure acute performance change over hours, and conclude that a preparation may protect against dementia commit an inferential leap that the design cannot </w:t>
      </w:r>
      <w:r>
        <w:lastRenderedPageBreak/>
        <w:t>support. This conflation recurs sufficiently often to constitute a structural weakness of the field rather than an occasional lapse.</w:t>
      </w:r>
    </w:p>
    <w:p w14:paraId="350230BB" w14:textId="77777777" w:rsidR="001B357C" w:rsidRDefault="00000000">
      <w:pPr>
        <w:pStyle w:val="Heading2"/>
        <w:spacing w:before="260" w:after="140" w:line="300" w:lineRule="auto"/>
      </w:pPr>
      <w:r>
        <w:rPr>
          <w:b/>
          <w:bCs/>
          <w:color w:val="000000"/>
        </w:rPr>
        <w:t>3.2 Botanical identity, nomenclature and the reproducibility of the intervention</w:t>
      </w:r>
    </w:p>
    <w:p w14:paraId="30144835" w14:textId="77777777" w:rsidR="001B357C" w:rsidRDefault="00000000">
      <w:pPr>
        <w:spacing w:after="160" w:line="360" w:lineRule="auto"/>
        <w:jc w:val="both"/>
      </w:pPr>
      <w:r>
        <w:t xml:space="preserve">A second conceptual problem concerns what is actually being tested. Accurate botanical nomenclature is a precondition for reproducibility in plant-based research, and imprecise or outdated naming has been shown to introduce ambiguity that propagates through subsequent literature (Bennett &amp; Balick, 2014; Rivera et al., 2014). Within the cognition literature, the sage used in the most frequently cited trial of monoterpenoid-rich extracts is reported as </w:t>
      </w:r>
      <w:r>
        <w:rPr>
          <w:i/>
          <w:iCs/>
        </w:rPr>
        <w:t>Salvia lavandulaefolia</w:t>
      </w:r>
      <w:r>
        <w:t xml:space="preserve">, an orthographic variant of the accepted </w:t>
      </w:r>
      <w:r>
        <w:rPr>
          <w:i/>
          <w:iCs/>
        </w:rPr>
        <w:t>Salvia lavandulifolia</w:t>
      </w:r>
      <w:r>
        <w:t xml:space="preserve"> Vahl, and is pharmacologically distinct from </w:t>
      </w:r>
      <w:r>
        <w:rPr>
          <w:i/>
          <w:iCs/>
        </w:rPr>
        <w:t>Salvia officinalis</w:t>
      </w:r>
      <w:r>
        <w:t xml:space="preserve"> L., which has been tested separately with different results (Kennedy et al., 2011; Wightman et al., 2021). Aggregating these under a single heading of sage, as several syntheses do, obscures a genuine chemical difference between a monoterpenoid-dominant and a phenolic-dominant material.</w:t>
      </w:r>
    </w:p>
    <w:p w14:paraId="1522DDAB" w14:textId="77777777" w:rsidR="001B357C" w:rsidRDefault="00000000">
      <w:pPr>
        <w:spacing w:after="160" w:line="360" w:lineRule="auto"/>
        <w:jc w:val="both"/>
      </w:pPr>
      <w:r>
        <w:t xml:space="preserve">Correct naming, though necessary, is not sufficient. Two extracts of the same species may differ in plant part, harvest stage, geographical provenance, extraction solvent, drying regime and marker compound content to a degree that produces materially different pharmacology. The best-characterised </w:t>
      </w:r>
      <w:r>
        <w:rPr>
          <w:i/>
          <w:iCs/>
        </w:rPr>
        <w:t>Bacopa monnieri</w:t>
      </w:r>
      <w:r>
        <w:t xml:space="preserve"> preparations used in controlled trials, including the extract designated CDRI 08, are defined by specified bacoside content and have generated a reasonably coherent body of findings (Downey et al., 2013; McPhee et al., 2021), whereas trials employing extracts described only by plant name contribute uninterpretable heterogeneity to any pooled estimate. Guidance issued specifically to address this problem sets out the minimum chemical information required for a botanical intervention to be reproducible (Heinrich et al., 2022), and its uneven adoption remains one of the principal obstacles to cumulative progress.</w:t>
      </w:r>
    </w:p>
    <w:p w14:paraId="759E9660" w14:textId="77777777" w:rsidR="001B357C" w:rsidRDefault="00000000">
      <w:pPr>
        <w:spacing w:after="160" w:line="360" w:lineRule="auto"/>
        <w:jc w:val="both"/>
      </w:pPr>
      <w:r>
        <w:t>The practical consequence is that the unit of analysis in this field is not the species but the characterised preparation. Reviews organised by species, including much of the syntheses cited throughout this article, therefore aggregate across a hidden layer of pharmacological variation. Table 1 sets out the working definitions adopted here and identifies the specific conflations that this review treats as distinct, since consistent use of these distinctions is a precondition for the appraisal that follows. The distinctions are not merely semantic: each corresponds to a design decision that determines what a trial can and cannot demonstrate.</w:t>
      </w:r>
    </w:p>
    <w:p w14:paraId="5FFBD5FC" w14:textId="77777777" w:rsidR="001B357C" w:rsidRDefault="00000000">
      <w:pPr>
        <w:spacing w:before="200" w:after="100" w:line="280" w:lineRule="auto"/>
      </w:pPr>
      <w:r>
        <w:rPr>
          <w:b/>
          <w:bCs/>
          <w:sz w:val="22"/>
          <w:szCs w:val="22"/>
        </w:rPr>
        <w:lastRenderedPageBreak/>
        <w:t>Table 1. Working definitions and conceptual distinctions adopted in this review</w:t>
      </w:r>
    </w:p>
    <w:tbl>
      <w:tblPr>
        <w:tblW w:w="5000" w:type="pct"/>
        <w:tblBorders>
          <w:top w:val="single" w:sz="4" w:space="0" w:color="000000"/>
          <w:left w:val="single" w:sz="4" w:space="0" w:color="000000"/>
          <w:bottom w:val="single" w:sz="4" w:space="0" w:color="000000"/>
          <w:right w:val="single" w:sz="4" w:space="0" w:color="000000"/>
          <w:insideH w:val="single" w:sz="2" w:space="0" w:color="808080"/>
          <w:insideV w:val="single" w:sz="2" w:space="0" w:color="808080"/>
        </w:tblBorders>
        <w:tblCellMar>
          <w:left w:w="10" w:type="dxa"/>
          <w:right w:w="10" w:type="dxa"/>
        </w:tblCellMar>
        <w:tblLook w:val="0000" w:firstRow="0" w:lastRow="0" w:firstColumn="0" w:lastColumn="0" w:noHBand="0" w:noVBand="0"/>
      </w:tblPr>
      <w:tblGrid>
        <w:gridCol w:w="2254"/>
        <w:gridCol w:w="2254"/>
        <w:gridCol w:w="2254"/>
        <w:gridCol w:w="2254"/>
      </w:tblGrid>
      <w:tr w:rsidR="001B357C" w14:paraId="6DF02DBC" w14:textId="77777777" w:rsidTr="002B6569">
        <w:trPr>
          <w:tblHeader/>
        </w:trPr>
        <w:tc>
          <w:tcPr>
            <w:tcW w:w="1250" w:type="pct"/>
            <w:shd w:val="clear" w:color="auto" w:fill="E8E8E8"/>
            <w:tcMar>
              <w:top w:w="60" w:type="dxa"/>
              <w:left w:w="90" w:type="dxa"/>
              <w:bottom w:w="60" w:type="dxa"/>
              <w:right w:w="90" w:type="dxa"/>
            </w:tcMar>
          </w:tcPr>
          <w:p w14:paraId="5B4D2127" w14:textId="77777777" w:rsidR="001B357C" w:rsidRDefault="00000000">
            <w:pPr>
              <w:spacing w:before="40" w:after="40"/>
            </w:pPr>
            <w:r>
              <w:rPr>
                <w:b/>
                <w:bCs/>
                <w:sz w:val="19"/>
                <w:szCs w:val="19"/>
              </w:rPr>
              <w:t>Term or construct</w:t>
            </w:r>
          </w:p>
        </w:tc>
        <w:tc>
          <w:tcPr>
            <w:tcW w:w="1250" w:type="pct"/>
            <w:shd w:val="clear" w:color="auto" w:fill="E8E8E8"/>
            <w:tcMar>
              <w:top w:w="60" w:type="dxa"/>
              <w:left w:w="90" w:type="dxa"/>
              <w:bottom w:w="60" w:type="dxa"/>
              <w:right w:w="90" w:type="dxa"/>
            </w:tcMar>
          </w:tcPr>
          <w:p w14:paraId="38FDB1A1" w14:textId="77777777" w:rsidR="001B357C" w:rsidRDefault="00000000">
            <w:pPr>
              <w:spacing w:before="40" w:after="40"/>
            </w:pPr>
            <w:r>
              <w:rPr>
                <w:b/>
                <w:bCs/>
                <w:sz w:val="19"/>
                <w:szCs w:val="19"/>
              </w:rPr>
              <w:t>Working definition adopted</w:t>
            </w:r>
          </w:p>
        </w:tc>
        <w:tc>
          <w:tcPr>
            <w:tcW w:w="1250" w:type="pct"/>
            <w:shd w:val="clear" w:color="auto" w:fill="E8E8E8"/>
            <w:tcMar>
              <w:top w:w="60" w:type="dxa"/>
              <w:left w:w="90" w:type="dxa"/>
              <w:bottom w:w="60" w:type="dxa"/>
              <w:right w:w="90" w:type="dxa"/>
            </w:tcMar>
          </w:tcPr>
          <w:p w14:paraId="77944CDE" w14:textId="77777777" w:rsidR="001B357C" w:rsidRDefault="00000000">
            <w:pPr>
              <w:spacing w:before="40" w:after="40"/>
            </w:pPr>
            <w:r>
              <w:rPr>
                <w:b/>
                <w:bCs/>
                <w:sz w:val="19"/>
                <w:szCs w:val="19"/>
              </w:rPr>
              <w:t>Conflation to be avoided</w:t>
            </w:r>
          </w:p>
        </w:tc>
        <w:tc>
          <w:tcPr>
            <w:tcW w:w="1250" w:type="pct"/>
            <w:shd w:val="clear" w:color="auto" w:fill="E8E8E8"/>
            <w:tcMar>
              <w:top w:w="60" w:type="dxa"/>
              <w:left w:w="90" w:type="dxa"/>
              <w:bottom w:w="60" w:type="dxa"/>
              <w:right w:w="90" w:type="dxa"/>
            </w:tcMar>
          </w:tcPr>
          <w:p w14:paraId="0F55E99F" w14:textId="77777777" w:rsidR="001B357C" w:rsidRDefault="00000000">
            <w:pPr>
              <w:spacing w:before="40" w:after="40"/>
            </w:pPr>
            <w:r>
              <w:rPr>
                <w:b/>
                <w:bCs/>
                <w:sz w:val="19"/>
                <w:szCs w:val="19"/>
              </w:rPr>
              <w:t>Supporting references</w:t>
            </w:r>
          </w:p>
        </w:tc>
      </w:tr>
      <w:tr w:rsidR="001B357C" w14:paraId="423D9003" w14:textId="77777777" w:rsidTr="002B6569">
        <w:tc>
          <w:tcPr>
            <w:tcW w:w="1250" w:type="pct"/>
            <w:tcMar>
              <w:top w:w="60" w:type="dxa"/>
              <w:left w:w="90" w:type="dxa"/>
              <w:bottom w:w="60" w:type="dxa"/>
              <w:right w:w="90" w:type="dxa"/>
            </w:tcMar>
          </w:tcPr>
          <w:p w14:paraId="32176F3F" w14:textId="77777777" w:rsidR="001B357C" w:rsidRDefault="00000000">
            <w:pPr>
              <w:spacing w:before="40" w:after="40"/>
            </w:pPr>
            <w:r>
              <w:rPr>
                <w:sz w:val="19"/>
                <w:szCs w:val="19"/>
              </w:rPr>
              <w:t>Cognitive enhancement</w:t>
            </w:r>
          </w:p>
        </w:tc>
        <w:tc>
          <w:tcPr>
            <w:tcW w:w="1250" w:type="pct"/>
            <w:tcMar>
              <w:top w:w="60" w:type="dxa"/>
              <w:left w:w="90" w:type="dxa"/>
              <w:bottom w:w="60" w:type="dxa"/>
              <w:right w:w="90" w:type="dxa"/>
            </w:tcMar>
          </w:tcPr>
          <w:p w14:paraId="481397BB" w14:textId="77777777" w:rsidR="001B357C" w:rsidRDefault="00000000">
            <w:pPr>
              <w:spacing w:before="40" w:after="40"/>
            </w:pPr>
            <w:r>
              <w:rPr>
                <w:sz w:val="19"/>
                <w:szCs w:val="19"/>
              </w:rPr>
              <w:t>Improvement in measured performance above an individual's unimpaired baseline</w:t>
            </w:r>
          </w:p>
        </w:tc>
        <w:tc>
          <w:tcPr>
            <w:tcW w:w="1250" w:type="pct"/>
            <w:tcMar>
              <w:top w:w="60" w:type="dxa"/>
              <w:left w:w="90" w:type="dxa"/>
              <w:bottom w:w="60" w:type="dxa"/>
              <w:right w:w="90" w:type="dxa"/>
            </w:tcMar>
          </w:tcPr>
          <w:p w14:paraId="32B0C497" w14:textId="77777777" w:rsidR="001B357C" w:rsidRDefault="00000000">
            <w:pPr>
              <w:spacing w:before="40" w:after="40"/>
            </w:pPr>
            <w:r>
              <w:rPr>
                <w:sz w:val="19"/>
                <w:szCs w:val="19"/>
              </w:rPr>
              <w:t>Treated as equivalent to restoration of impaired function or to prevention of future decline</w:t>
            </w:r>
          </w:p>
        </w:tc>
        <w:tc>
          <w:tcPr>
            <w:tcW w:w="1250" w:type="pct"/>
            <w:tcMar>
              <w:top w:w="60" w:type="dxa"/>
              <w:left w:w="90" w:type="dxa"/>
              <w:bottom w:w="60" w:type="dxa"/>
              <w:right w:w="90" w:type="dxa"/>
            </w:tcMar>
          </w:tcPr>
          <w:p w14:paraId="42729EA9" w14:textId="77777777" w:rsidR="001B357C" w:rsidRDefault="00000000">
            <w:pPr>
              <w:spacing w:before="40" w:after="40"/>
            </w:pPr>
            <w:r>
              <w:rPr>
                <w:sz w:val="19"/>
                <w:szCs w:val="19"/>
              </w:rPr>
              <w:t>Kennedy &amp; Wightman (2011); Kennedy &amp; Scholey (2006)</w:t>
            </w:r>
          </w:p>
        </w:tc>
      </w:tr>
      <w:tr w:rsidR="001B357C" w14:paraId="0E181694" w14:textId="77777777" w:rsidTr="002B6569">
        <w:tc>
          <w:tcPr>
            <w:tcW w:w="1250" w:type="pct"/>
            <w:tcMar>
              <w:top w:w="60" w:type="dxa"/>
              <w:left w:w="90" w:type="dxa"/>
              <w:bottom w:w="60" w:type="dxa"/>
              <w:right w:w="90" w:type="dxa"/>
            </w:tcMar>
          </w:tcPr>
          <w:p w14:paraId="4ECA9C07" w14:textId="77777777" w:rsidR="001B357C" w:rsidRDefault="00000000">
            <w:pPr>
              <w:spacing w:before="40" w:after="40"/>
            </w:pPr>
            <w:r>
              <w:rPr>
                <w:sz w:val="19"/>
                <w:szCs w:val="19"/>
              </w:rPr>
              <w:t>Symptomatic improvement</w:t>
            </w:r>
          </w:p>
        </w:tc>
        <w:tc>
          <w:tcPr>
            <w:tcW w:w="1250" w:type="pct"/>
            <w:tcMar>
              <w:top w:w="60" w:type="dxa"/>
              <w:left w:w="90" w:type="dxa"/>
              <w:bottom w:w="60" w:type="dxa"/>
              <w:right w:w="90" w:type="dxa"/>
            </w:tcMar>
          </w:tcPr>
          <w:p w14:paraId="4DD0A9AF" w14:textId="77777777" w:rsidR="001B357C" w:rsidRDefault="00000000">
            <w:pPr>
              <w:spacing w:before="40" w:after="40"/>
            </w:pPr>
            <w:r>
              <w:rPr>
                <w:sz w:val="19"/>
                <w:szCs w:val="19"/>
              </w:rPr>
              <w:t>Measurable gain in cognitive, global or functional status in a clinically defined impaired population</w:t>
            </w:r>
          </w:p>
        </w:tc>
        <w:tc>
          <w:tcPr>
            <w:tcW w:w="1250" w:type="pct"/>
            <w:tcMar>
              <w:top w:w="60" w:type="dxa"/>
              <w:left w:w="90" w:type="dxa"/>
              <w:bottom w:w="60" w:type="dxa"/>
              <w:right w:w="90" w:type="dxa"/>
            </w:tcMar>
          </w:tcPr>
          <w:p w14:paraId="590A830D" w14:textId="77777777" w:rsidR="001B357C" w:rsidRDefault="00000000">
            <w:pPr>
              <w:spacing w:before="40" w:after="40"/>
            </w:pPr>
            <w:r>
              <w:rPr>
                <w:sz w:val="19"/>
                <w:szCs w:val="19"/>
              </w:rPr>
              <w:t>Treated as evidence of disease modification</w:t>
            </w:r>
          </w:p>
        </w:tc>
        <w:tc>
          <w:tcPr>
            <w:tcW w:w="1250" w:type="pct"/>
            <w:tcMar>
              <w:top w:w="60" w:type="dxa"/>
              <w:left w:w="90" w:type="dxa"/>
              <w:bottom w:w="60" w:type="dxa"/>
              <w:right w:w="90" w:type="dxa"/>
            </w:tcMar>
          </w:tcPr>
          <w:p w14:paraId="035279D2" w14:textId="77777777" w:rsidR="001B357C" w:rsidRDefault="00000000">
            <w:pPr>
              <w:spacing w:before="40" w:after="40"/>
            </w:pPr>
            <w:r>
              <w:rPr>
                <w:sz w:val="19"/>
                <w:szCs w:val="19"/>
              </w:rPr>
              <w:t>Birks &amp; Harvey (2018); Wieland et al. (2026)</w:t>
            </w:r>
          </w:p>
        </w:tc>
      </w:tr>
      <w:tr w:rsidR="001B357C" w14:paraId="292ADD6F" w14:textId="77777777" w:rsidTr="002B6569">
        <w:tc>
          <w:tcPr>
            <w:tcW w:w="1250" w:type="pct"/>
            <w:tcMar>
              <w:top w:w="60" w:type="dxa"/>
              <w:left w:w="90" w:type="dxa"/>
              <w:bottom w:w="60" w:type="dxa"/>
              <w:right w:w="90" w:type="dxa"/>
            </w:tcMar>
          </w:tcPr>
          <w:p w14:paraId="4D26E277" w14:textId="77777777" w:rsidR="001B357C" w:rsidRDefault="00000000">
            <w:pPr>
              <w:spacing w:before="40" w:after="40"/>
            </w:pPr>
            <w:r>
              <w:rPr>
                <w:sz w:val="19"/>
                <w:szCs w:val="19"/>
              </w:rPr>
              <w:t>Risk reduction or prevention</w:t>
            </w:r>
          </w:p>
        </w:tc>
        <w:tc>
          <w:tcPr>
            <w:tcW w:w="1250" w:type="pct"/>
            <w:tcMar>
              <w:top w:w="60" w:type="dxa"/>
              <w:left w:w="90" w:type="dxa"/>
              <w:bottom w:w="60" w:type="dxa"/>
              <w:right w:w="90" w:type="dxa"/>
            </w:tcMar>
          </w:tcPr>
          <w:p w14:paraId="67CAD0A3" w14:textId="77777777" w:rsidR="001B357C" w:rsidRDefault="00000000">
            <w:pPr>
              <w:spacing w:before="40" w:after="40"/>
            </w:pPr>
            <w:r>
              <w:rPr>
                <w:sz w:val="19"/>
                <w:szCs w:val="19"/>
              </w:rPr>
              <w:t>Reduced incidence or slowed trajectory of decline over years in initially unimpaired individuals</w:t>
            </w:r>
          </w:p>
        </w:tc>
        <w:tc>
          <w:tcPr>
            <w:tcW w:w="1250" w:type="pct"/>
            <w:tcMar>
              <w:top w:w="60" w:type="dxa"/>
              <w:left w:w="90" w:type="dxa"/>
              <w:bottom w:w="60" w:type="dxa"/>
              <w:right w:w="90" w:type="dxa"/>
            </w:tcMar>
          </w:tcPr>
          <w:p w14:paraId="6AB2DC26" w14:textId="77777777" w:rsidR="001B357C" w:rsidRDefault="00000000">
            <w:pPr>
              <w:spacing w:before="40" w:after="40"/>
            </w:pPr>
            <w:r>
              <w:rPr>
                <w:sz w:val="19"/>
                <w:szCs w:val="19"/>
              </w:rPr>
              <w:t>Inferred from short-term performance trials in healthy volunteers</w:t>
            </w:r>
          </w:p>
        </w:tc>
        <w:tc>
          <w:tcPr>
            <w:tcW w:w="1250" w:type="pct"/>
            <w:tcMar>
              <w:top w:w="60" w:type="dxa"/>
              <w:left w:w="90" w:type="dxa"/>
              <w:bottom w:w="60" w:type="dxa"/>
              <w:right w:w="90" w:type="dxa"/>
            </w:tcMar>
          </w:tcPr>
          <w:p w14:paraId="6AB47CF6" w14:textId="77777777" w:rsidR="001B357C" w:rsidRDefault="00000000">
            <w:pPr>
              <w:spacing w:before="40" w:after="40"/>
            </w:pPr>
            <w:r w:rsidRPr="0056258C">
              <w:rPr>
                <w:sz w:val="19"/>
                <w:szCs w:val="19"/>
                <w:lang w:val="nl-BE"/>
              </w:rPr>
              <w:t xml:space="preserve">DeKosky et al. (2008); Vellas et al. </w:t>
            </w:r>
            <w:r>
              <w:rPr>
                <w:sz w:val="19"/>
                <w:szCs w:val="19"/>
              </w:rPr>
              <w:t>(2012)</w:t>
            </w:r>
          </w:p>
        </w:tc>
      </w:tr>
      <w:tr w:rsidR="001B357C" w14:paraId="6E697C5D" w14:textId="77777777" w:rsidTr="002B6569">
        <w:tc>
          <w:tcPr>
            <w:tcW w:w="1250" w:type="pct"/>
            <w:tcMar>
              <w:top w:w="60" w:type="dxa"/>
              <w:left w:w="90" w:type="dxa"/>
              <w:bottom w:w="60" w:type="dxa"/>
              <w:right w:w="90" w:type="dxa"/>
            </w:tcMar>
          </w:tcPr>
          <w:p w14:paraId="6C7DACA9" w14:textId="77777777" w:rsidR="001B357C" w:rsidRDefault="00000000">
            <w:pPr>
              <w:spacing w:before="40" w:after="40"/>
            </w:pPr>
            <w:r>
              <w:rPr>
                <w:sz w:val="19"/>
                <w:szCs w:val="19"/>
              </w:rPr>
              <w:t>Neuroprotection</w:t>
            </w:r>
          </w:p>
        </w:tc>
        <w:tc>
          <w:tcPr>
            <w:tcW w:w="1250" w:type="pct"/>
            <w:tcMar>
              <w:top w:w="60" w:type="dxa"/>
              <w:left w:w="90" w:type="dxa"/>
              <w:bottom w:w="60" w:type="dxa"/>
              <w:right w:w="90" w:type="dxa"/>
            </w:tcMar>
          </w:tcPr>
          <w:p w14:paraId="2C55B839" w14:textId="77777777" w:rsidR="001B357C" w:rsidRDefault="00000000">
            <w:pPr>
              <w:spacing w:before="40" w:after="40"/>
            </w:pPr>
            <w:r>
              <w:rPr>
                <w:sz w:val="19"/>
                <w:szCs w:val="19"/>
              </w:rPr>
              <w:t>Prevention of neuronal injury demonstrated by structural, biochemical or imaging evidence</w:t>
            </w:r>
          </w:p>
        </w:tc>
        <w:tc>
          <w:tcPr>
            <w:tcW w:w="1250" w:type="pct"/>
            <w:tcMar>
              <w:top w:w="60" w:type="dxa"/>
              <w:left w:w="90" w:type="dxa"/>
              <w:bottom w:w="60" w:type="dxa"/>
              <w:right w:w="90" w:type="dxa"/>
            </w:tcMar>
          </w:tcPr>
          <w:p w14:paraId="6F891AAD" w14:textId="77777777" w:rsidR="001B357C" w:rsidRDefault="00000000">
            <w:pPr>
              <w:spacing w:before="40" w:after="40"/>
            </w:pPr>
            <w:r>
              <w:rPr>
                <w:sz w:val="19"/>
                <w:szCs w:val="19"/>
              </w:rPr>
              <w:t>Inferred from behavioural performance change over weeks</w:t>
            </w:r>
          </w:p>
        </w:tc>
        <w:tc>
          <w:tcPr>
            <w:tcW w:w="1250" w:type="pct"/>
            <w:tcMar>
              <w:top w:w="60" w:type="dxa"/>
              <w:left w:w="90" w:type="dxa"/>
              <w:bottom w:w="60" w:type="dxa"/>
              <w:right w:w="90" w:type="dxa"/>
            </w:tcMar>
          </w:tcPr>
          <w:p w14:paraId="79D152FC" w14:textId="77777777" w:rsidR="001B357C" w:rsidRDefault="00000000">
            <w:pPr>
              <w:spacing w:before="40" w:after="40"/>
            </w:pPr>
            <w:r w:rsidRPr="0056258C">
              <w:rPr>
                <w:sz w:val="19"/>
                <w:szCs w:val="19"/>
                <w:lang w:val="nl-BE"/>
              </w:rPr>
              <w:t xml:space="preserve">Gray et al. (2018); Jiang et al. </w:t>
            </w:r>
            <w:r>
              <w:rPr>
                <w:sz w:val="19"/>
                <w:szCs w:val="19"/>
              </w:rPr>
              <w:t>(2025)</w:t>
            </w:r>
          </w:p>
        </w:tc>
      </w:tr>
      <w:tr w:rsidR="001B357C" w14:paraId="1EEDB509" w14:textId="77777777" w:rsidTr="002B6569">
        <w:tc>
          <w:tcPr>
            <w:tcW w:w="1250" w:type="pct"/>
            <w:tcMar>
              <w:top w:w="60" w:type="dxa"/>
              <w:left w:w="90" w:type="dxa"/>
              <w:bottom w:w="60" w:type="dxa"/>
              <w:right w:w="90" w:type="dxa"/>
            </w:tcMar>
          </w:tcPr>
          <w:p w14:paraId="5FD4EE80" w14:textId="77777777" w:rsidR="001B357C" w:rsidRDefault="00000000">
            <w:pPr>
              <w:spacing w:before="40" w:after="40"/>
            </w:pPr>
            <w:r>
              <w:rPr>
                <w:sz w:val="19"/>
                <w:szCs w:val="19"/>
              </w:rPr>
              <w:t>Adaptogenic action</w:t>
            </w:r>
          </w:p>
        </w:tc>
        <w:tc>
          <w:tcPr>
            <w:tcW w:w="1250" w:type="pct"/>
            <w:tcMar>
              <w:top w:w="60" w:type="dxa"/>
              <w:left w:w="90" w:type="dxa"/>
              <w:bottom w:w="60" w:type="dxa"/>
              <w:right w:w="90" w:type="dxa"/>
            </w:tcMar>
          </w:tcPr>
          <w:p w14:paraId="06CE81F0" w14:textId="77777777" w:rsidR="001B357C" w:rsidRDefault="00000000">
            <w:pPr>
              <w:spacing w:before="40" w:after="40"/>
            </w:pPr>
            <w:r>
              <w:rPr>
                <w:sz w:val="19"/>
                <w:szCs w:val="19"/>
              </w:rPr>
              <w:t>Modulation of non-specific stress resistance, without direct implication of cognitive action</w:t>
            </w:r>
          </w:p>
        </w:tc>
        <w:tc>
          <w:tcPr>
            <w:tcW w:w="1250" w:type="pct"/>
            <w:tcMar>
              <w:top w:w="60" w:type="dxa"/>
              <w:left w:w="90" w:type="dxa"/>
              <w:bottom w:w="60" w:type="dxa"/>
              <w:right w:w="90" w:type="dxa"/>
            </w:tcMar>
          </w:tcPr>
          <w:p w14:paraId="3B5B9B12" w14:textId="77777777" w:rsidR="001B357C" w:rsidRDefault="00000000">
            <w:pPr>
              <w:spacing w:before="40" w:after="40"/>
            </w:pPr>
            <w:r>
              <w:rPr>
                <w:sz w:val="19"/>
                <w:szCs w:val="19"/>
              </w:rPr>
              <w:t>Presented as a cognitive mechanism</w:t>
            </w:r>
          </w:p>
        </w:tc>
        <w:tc>
          <w:tcPr>
            <w:tcW w:w="1250" w:type="pct"/>
            <w:tcMar>
              <w:top w:w="60" w:type="dxa"/>
              <w:left w:w="90" w:type="dxa"/>
              <w:bottom w:w="60" w:type="dxa"/>
              <w:right w:w="90" w:type="dxa"/>
            </w:tcMar>
          </w:tcPr>
          <w:p w14:paraId="4458D4EF" w14:textId="77777777" w:rsidR="001B357C" w:rsidRDefault="00000000">
            <w:pPr>
              <w:spacing w:before="40" w:after="40"/>
            </w:pPr>
            <w:r>
              <w:rPr>
                <w:sz w:val="19"/>
                <w:szCs w:val="19"/>
              </w:rPr>
              <w:t>Hung et al. (2011); Lopresti &amp; Smith (2025)</w:t>
            </w:r>
          </w:p>
        </w:tc>
      </w:tr>
      <w:tr w:rsidR="001B357C" w14:paraId="772BB76F" w14:textId="77777777" w:rsidTr="002B6569">
        <w:tc>
          <w:tcPr>
            <w:tcW w:w="1250" w:type="pct"/>
            <w:tcMar>
              <w:top w:w="60" w:type="dxa"/>
              <w:left w:w="90" w:type="dxa"/>
              <w:bottom w:w="60" w:type="dxa"/>
              <w:right w:w="90" w:type="dxa"/>
            </w:tcMar>
          </w:tcPr>
          <w:p w14:paraId="2046D670" w14:textId="77777777" w:rsidR="001B357C" w:rsidRDefault="00000000">
            <w:pPr>
              <w:spacing w:before="40" w:after="40"/>
            </w:pPr>
            <w:r>
              <w:rPr>
                <w:sz w:val="19"/>
                <w:szCs w:val="19"/>
              </w:rPr>
              <w:t>Standardised extract</w:t>
            </w:r>
          </w:p>
        </w:tc>
        <w:tc>
          <w:tcPr>
            <w:tcW w:w="1250" w:type="pct"/>
            <w:tcMar>
              <w:top w:w="60" w:type="dxa"/>
              <w:left w:w="90" w:type="dxa"/>
              <w:bottom w:w="60" w:type="dxa"/>
              <w:right w:w="90" w:type="dxa"/>
            </w:tcMar>
          </w:tcPr>
          <w:p w14:paraId="589D5B0E" w14:textId="77777777" w:rsidR="001B357C" w:rsidRDefault="00000000">
            <w:pPr>
              <w:spacing w:before="40" w:after="40"/>
            </w:pPr>
            <w:r>
              <w:rPr>
                <w:sz w:val="19"/>
                <w:szCs w:val="19"/>
              </w:rPr>
              <w:t>Preparation defined by species, plant part, extraction procedure and quantified marker compounds</w:t>
            </w:r>
          </w:p>
        </w:tc>
        <w:tc>
          <w:tcPr>
            <w:tcW w:w="1250" w:type="pct"/>
            <w:tcMar>
              <w:top w:w="60" w:type="dxa"/>
              <w:left w:w="90" w:type="dxa"/>
              <w:bottom w:w="60" w:type="dxa"/>
              <w:right w:w="90" w:type="dxa"/>
            </w:tcMar>
          </w:tcPr>
          <w:p w14:paraId="27BB1628" w14:textId="77777777" w:rsidR="001B357C" w:rsidRDefault="00000000">
            <w:pPr>
              <w:spacing w:before="40" w:after="40"/>
            </w:pPr>
            <w:r>
              <w:rPr>
                <w:sz w:val="19"/>
                <w:szCs w:val="19"/>
              </w:rPr>
              <w:t>Any preparation identified only by the plant name</w:t>
            </w:r>
          </w:p>
        </w:tc>
        <w:tc>
          <w:tcPr>
            <w:tcW w:w="1250" w:type="pct"/>
            <w:tcMar>
              <w:top w:w="60" w:type="dxa"/>
              <w:left w:w="90" w:type="dxa"/>
              <w:bottom w:w="60" w:type="dxa"/>
              <w:right w:w="90" w:type="dxa"/>
            </w:tcMar>
          </w:tcPr>
          <w:p w14:paraId="4F4DCFDA" w14:textId="77777777" w:rsidR="001B357C" w:rsidRDefault="00000000">
            <w:pPr>
              <w:spacing w:before="40" w:after="40"/>
            </w:pPr>
            <w:r w:rsidRPr="0056258C">
              <w:rPr>
                <w:sz w:val="19"/>
                <w:szCs w:val="19"/>
                <w:lang w:val="nl-BE"/>
              </w:rPr>
              <w:t xml:space="preserve">Heinrich et al. (2022); Gagnier et al. </w:t>
            </w:r>
            <w:r>
              <w:rPr>
                <w:sz w:val="19"/>
                <w:szCs w:val="19"/>
              </w:rPr>
              <w:t>(2006)</w:t>
            </w:r>
          </w:p>
        </w:tc>
      </w:tr>
      <w:tr w:rsidR="001B357C" w14:paraId="6E807A7D" w14:textId="77777777" w:rsidTr="002B6569">
        <w:tc>
          <w:tcPr>
            <w:tcW w:w="1250" w:type="pct"/>
            <w:tcMar>
              <w:top w:w="60" w:type="dxa"/>
              <w:left w:w="90" w:type="dxa"/>
              <w:bottom w:w="60" w:type="dxa"/>
              <w:right w:w="90" w:type="dxa"/>
            </w:tcMar>
          </w:tcPr>
          <w:p w14:paraId="632903F9" w14:textId="77777777" w:rsidR="001B357C" w:rsidRDefault="00000000">
            <w:pPr>
              <w:spacing w:before="40" w:after="40"/>
            </w:pPr>
            <w:r>
              <w:rPr>
                <w:sz w:val="19"/>
                <w:szCs w:val="19"/>
              </w:rPr>
              <w:t>Botanical identity</w:t>
            </w:r>
          </w:p>
        </w:tc>
        <w:tc>
          <w:tcPr>
            <w:tcW w:w="1250" w:type="pct"/>
            <w:tcMar>
              <w:top w:w="60" w:type="dxa"/>
              <w:left w:w="90" w:type="dxa"/>
              <w:bottom w:w="60" w:type="dxa"/>
              <w:right w:w="90" w:type="dxa"/>
            </w:tcMar>
          </w:tcPr>
          <w:p w14:paraId="378A61F7" w14:textId="77777777" w:rsidR="001B357C" w:rsidRDefault="00000000">
            <w:pPr>
              <w:spacing w:before="40" w:after="40"/>
            </w:pPr>
            <w:r>
              <w:rPr>
                <w:sz w:val="19"/>
                <w:szCs w:val="19"/>
              </w:rPr>
              <w:t>Species determination consistent with accepted nomenclature and verified in the tested material</w:t>
            </w:r>
          </w:p>
        </w:tc>
        <w:tc>
          <w:tcPr>
            <w:tcW w:w="1250" w:type="pct"/>
            <w:tcMar>
              <w:top w:w="60" w:type="dxa"/>
              <w:left w:w="90" w:type="dxa"/>
              <w:bottom w:w="60" w:type="dxa"/>
              <w:right w:w="90" w:type="dxa"/>
            </w:tcMar>
          </w:tcPr>
          <w:p w14:paraId="52DD19E5" w14:textId="77777777" w:rsidR="001B357C" w:rsidRDefault="00000000">
            <w:pPr>
              <w:spacing w:before="40" w:after="40"/>
            </w:pPr>
            <w:r>
              <w:rPr>
                <w:sz w:val="19"/>
                <w:szCs w:val="19"/>
              </w:rPr>
              <w:t>Assumed from product labelling or from citation of prior work</w:t>
            </w:r>
          </w:p>
        </w:tc>
        <w:tc>
          <w:tcPr>
            <w:tcW w:w="1250" w:type="pct"/>
            <w:tcMar>
              <w:top w:w="60" w:type="dxa"/>
              <w:left w:w="90" w:type="dxa"/>
              <w:bottom w:w="60" w:type="dxa"/>
              <w:right w:w="90" w:type="dxa"/>
            </w:tcMar>
          </w:tcPr>
          <w:p w14:paraId="073745E1" w14:textId="77777777" w:rsidR="001B357C" w:rsidRDefault="00000000">
            <w:pPr>
              <w:spacing w:before="40" w:after="40"/>
            </w:pPr>
            <w:r>
              <w:rPr>
                <w:sz w:val="19"/>
                <w:szCs w:val="19"/>
              </w:rPr>
              <w:t>Bennett &amp; Balick (2014); Rivera et al. (2014)</w:t>
            </w:r>
          </w:p>
        </w:tc>
      </w:tr>
    </w:tbl>
    <w:p w14:paraId="51E7FEA0" w14:textId="77777777" w:rsidR="001B357C" w:rsidRDefault="00000000">
      <w:pPr>
        <w:spacing w:before="80" w:after="260" w:line="260" w:lineRule="auto"/>
      </w:pPr>
      <w:r>
        <w:rPr>
          <w:sz w:val="20"/>
          <w:szCs w:val="20"/>
        </w:rPr>
        <w:t>Note. Definitions reflect the usage adopted in this review and are applied consistently throughout the manuscript. Supporting references correspond to full entries in the reference list.</w:t>
      </w:r>
    </w:p>
    <w:p w14:paraId="4C202BA6" w14:textId="77777777" w:rsidR="001B357C" w:rsidRDefault="00000000">
      <w:pPr>
        <w:pStyle w:val="Heading1"/>
        <w:spacing w:before="320" w:after="140" w:line="300" w:lineRule="auto"/>
      </w:pPr>
      <w:r>
        <w:rPr>
          <w:b/>
          <w:bCs/>
          <w:color w:val="000000"/>
          <w:sz w:val="28"/>
          <w:szCs w:val="28"/>
        </w:rPr>
        <w:t>4. Mechanistic frameworks and their evidentiary status</w:t>
      </w:r>
    </w:p>
    <w:p w14:paraId="09374BE3" w14:textId="77777777" w:rsidR="001B357C" w:rsidRDefault="00000000">
      <w:pPr>
        <w:pStyle w:val="Heading2"/>
        <w:spacing w:before="260" w:after="140" w:line="300" w:lineRule="auto"/>
      </w:pPr>
      <w:r>
        <w:rPr>
          <w:b/>
          <w:bCs/>
          <w:color w:val="000000"/>
        </w:rPr>
        <w:t>4.1 Cholinergic mechanisms and the limits of target-based reasoning</w:t>
      </w:r>
    </w:p>
    <w:p w14:paraId="2966E901" w14:textId="77777777" w:rsidR="001B357C" w:rsidRDefault="00000000">
      <w:pPr>
        <w:spacing w:after="160" w:line="360" w:lineRule="auto"/>
        <w:jc w:val="both"/>
      </w:pPr>
      <w:r>
        <w:t xml:space="preserve">The cholinergic hypothesis has provided the most productive mechanistic framework for plant-derived cognitive interventions, and it retains a privileged status because it produced the only unambiguous clinical success in the field. Galantamine, an alkaloid originally isolated from Amaryllidaceae species and developed following observations of traditional use, became a licensed treatment for Alzheimer's disease through conventional pharmaceutical development (Heinrich &amp; Lee Teoh, 2004). Huperzine A, an alkaloid of </w:t>
      </w:r>
      <w:r>
        <w:rPr>
          <w:i/>
          <w:iCs/>
        </w:rPr>
        <w:t>Huperzia serrata</w:t>
      </w:r>
      <w:r>
        <w:t xml:space="preserve"> (Thunb.) Trevis., </w:t>
      </w:r>
      <w:r>
        <w:lastRenderedPageBreak/>
        <w:t>is a reversible acetylcholinesterase inhibitor with a comparable pharmacological rationale, and randomised trials have reported benefits on general cognitive function, activities of daily living and global clinical status in Alzheimer's disease (Li et al., 2008; Yang et al., 2013).</w:t>
      </w:r>
    </w:p>
    <w:p w14:paraId="6C05A546" w14:textId="77777777" w:rsidR="001B357C" w:rsidRDefault="00000000">
      <w:pPr>
        <w:spacing w:after="160" w:line="360" w:lineRule="auto"/>
        <w:jc w:val="both"/>
      </w:pPr>
      <w:r>
        <w:t>Two qualifications constrain the reach of this framework. The first is that cholinesterase inhibition has been demonstrated for isolated molecules rather than for the whole preparations that consumers use, and the potency achieved by whole extracts is typically orders of magnitude lower. Monoterpenoid sage extract inhibits cholinesterase in vitro and improved cognitive performance and mood in healthy adults in a controlled trial (Kennedy et al., 2011), but the causal chain from measured enzyme inhibition to behavioural change was not established within that study, and a subsequent sage trial employing a different preparation produced a different profile of effects (Wightman et al., 2021). The second qualification is that both huperzine A reviews rest predominantly on trials conducted within a single national research environment and judged by the reviewers themselves to be of limited methodological quality (Li et al., 2008; Yang et al., 2013). Consistency of direction across such a body of work provides weaker assurance than would an equivalent number of independent multinational trials, a concern with an established empirical basis in the observation that trials from certain research settings report positive findings at rates markedly exceeding those observed elsewhere (Vickers et al., 1998).</w:t>
      </w:r>
    </w:p>
    <w:p w14:paraId="2FA26D6F" w14:textId="77777777" w:rsidR="001B357C" w:rsidRDefault="00000000">
      <w:pPr>
        <w:pStyle w:val="Heading2"/>
        <w:spacing w:before="260" w:after="140" w:line="300" w:lineRule="auto"/>
      </w:pPr>
      <w:r>
        <w:rPr>
          <w:b/>
          <w:bCs/>
          <w:color w:val="000000"/>
        </w:rPr>
        <w:t>4.2 Redox, inflammatory and mitochondrial mechanisms</w:t>
      </w:r>
    </w:p>
    <w:p w14:paraId="054D10AC" w14:textId="77777777" w:rsidR="001B357C" w:rsidRDefault="00000000">
      <w:pPr>
        <w:spacing w:after="160" w:line="360" w:lineRule="auto"/>
        <w:jc w:val="both"/>
      </w:pPr>
      <w:r>
        <w:t xml:space="preserve">A substantial proportion of the mechanistic literature invokes antioxidant, anti-inflammatory or mitochondrial actions. Curcuminoids, triterpenes of </w:t>
      </w:r>
      <w:r>
        <w:rPr>
          <w:i/>
          <w:iCs/>
        </w:rPr>
        <w:t>Centella asiatica</w:t>
      </w:r>
      <w:r>
        <w:t xml:space="preserve"> (L.) Urb., withanolides and bacosides have all been characterised in these terms, with detailed pathway-level evidence in cellular and animal systems (Gray et al., 2018; Jiang et al., 2025). Reviews of Chinese herbal formulations for mild cognitive impairment attribute pooled clinical effects to antioxidant, anti-apoptotic and anti-inflammatory actions of constituent species (Liu et al., 2024).</w:t>
      </w:r>
    </w:p>
    <w:p w14:paraId="788545B0" w14:textId="77777777" w:rsidR="001B357C" w:rsidRDefault="00000000">
      <w:pPr>
        <w:spacing w:after="160" w:line="360" w:lineRule="auto"/>
        <w:jc w:val="both"/>
      </w:pPr>
      <w:r>
        <w:t xml:space="preserve">The evidentiary status of this framework in humans is considerably weaker than its prominence suggests. Demonstrating that a compound scavenges radicals in vitro establishes chemical reactivity, not physiological relevance, since the concentrations achieved in such systems commonly exceed those attainable in human plasma by large margins. Analysis of curcumin as a medicinal chemistry entity has documented properties characteristic of compounds that produce misleading assay results, including instability, reactivity across unrelated targets and </w:t>
      </w:r>
      <w:r>
        <w:lastRenderedPageBreak/>
        <w:t xml:space="preserve">poor absorption, and has argued that the accumulated in vitro literature substantially overstates its therapeutic potential (Nelson et al., 2017). Direct measurement in the clinical setting supports that caution: in a controlled trial in Alzheimer's disease, plasma concentrations of native curcumin were low and no clinical or biomarker benefit was detected (Ringman et al., 2012). Human target engagement has been demonstrated for </w:t>
      </w:r>
      <w:r>
        <w:rPr>
          <w:i/>
          <w:iCs/>
        </w:rPr>
        <w:t>Centella asiatica</w:t>
      </w:r>
      <w:r>
        <w:t>, where triterpene aglycones appeared in plasma and a temporal change in nuclear factor erythroid 2-related factor 2 gene expression was observed in peripheral blood mononuclear cells following administration of a standardised product (Wright et al., 2022), and this represents the appropriate evidential standard. Such studies remain uncommon.</w:t>
      </w:r>
    </w:p>
    <w:p w14:paraId="2BCF5B6A" w14:textId="77777777" w:rsidR="001B357C" w:rsidRDefault="00000000">
      <w:pPr>
        <w:pStyle w:val="Heading2"/>
        <w:spacing w:before="260" w:after="140" w:line="300" w:lineRule="auto"/>
      </w:pPr>
      <w:r>
        <w:rPr>
          <w:b/>
          <w:bCs/>
          <w:color w:val="000000"/>
        </w:rPr>
        <w:t>4.3 Cerebrovascular and haemodynamic mechanisms</w:t>
      </w:r>
    </w:p>
    <w:p w14:paraId="4CF2A954" w14:textId="77777777" w:rsidR="001B357C" w:rsidRDefault="00000000">
      <w:pPr>
        <w:spacing w:after="160" w:line="360" w:lineRule="auto"/>
        <w:jc w:val="both"/>
      </w:pPr>
      <w:r>
        <w:t xml:space="preserve">Cerebral perfusion offers a mechanistically attractive and readily measurable pathway. </w:t>
      </w:r>
      <w:r>
        <w:rPr>
          <w:i/>
          <w:iCs/>
        </w:rPr>
        <w:t>Ginkgo biloba</w:t>
      </w:r>
      <w:r>
        <w:t xml:space="preserve"> extracts have been associated with vasoregulatory and rheological effects, and this rationale underpins their use in vascular and mixed dementia. Green tea constituents and other polyphenol-rich preparations have been examined with similar reasoning, and pooled analysis of tea constituents indicates moderate acute effects on alertness and attentional switching within the first two hours after dosing, with dose–response patterns suggesting that caffeine contributes more strongly than L-theanine to the observed changes (Camfield et al., 2014). Systematic review of green tea and cognition reaches broadly consistent conclusions while noting the difficulty of separating the contributions of individual constituents (Mancini et al., 2017).</w:t>
      </w:r>
    </w:p>
    <w:p w14:paraId="1456E1B9" w14:textId="77777777" w:rsidR="001B357C" w:rsidRDefault="00000000">
      <w:pPr>
        <w:spacing w:after="160" w:line="360" w:lineRule="auto"/>
        <w:jc w:val="both"/>
      </w:pPr>
      <w:r>
        <w:t xml:space="preserve">Two problems limit the inferential value of this pathway. Acute haemodynamic change is not equivalent to sustained cognitive benefit, and the temporal profile of the effects reported for tea constituents is that of a stimulant rather than of a cognitive intervention. More fundamentally, if cerebral perfusion were the operative mechanism for </w:t>
      </w:r>
      <w:r>
        <w:rPr>
          <w:i/>
          <w:iCs/>
        </w:rPr>
        <w:t>Ginkgo biloba</w:t>
      </w:r>
      <w:r>
        <w:t>, sustained administration over several years in older adults should plausibly have altered the trajectory of cognitive decline. It did not, in either of the two large prevention trials conducted (DeKosky et al., 2008; Snitz et al., 2009; Vellas et al., 2012). Mechanistic plausibility and clinical demonstration diverge sharply at precisely the point where the mechanism predicts a testable long-term outcome.</w:t>
      </w:r>
    </w:p>
    <w:p w14:paraId="641E2064" w14:textId="77777777" w:rsidR="001B357C" w:rsidRDefault="00000000">
      <w:pPr>
        <w:pStyle w:val="Heading2"/>
        <w:spacing w:before="260" w:after="140" w:line="300" w:lineRule="auto"/>
      </w:pPr>
      <w:r>
        <w:rPr>
          <w:b/>
          <w:bCs/>
          <w:color w:val="000000"/>
        </w:rPr>
        <w:t>4.4 Neurotrophic, neuroplastic and proteostatic mechanisms</w:t>
      </w:r>
    </w:p>
    <w:p w14:paraId="72CD8048" w14:textId="77777777" w:rsidR="001B357C" w:rsidRDefault="00000000">
      <w:pPr>
        <w:spacing w:after="160" w:line="360" w:lineRule="auto"/>
        <w:jc w:val="both"/>
      </w:pPr>
      <w:r>
        <w:lastRenderedPageBreak/>
        <w:t xml:space="preserve">More recently proposed mechanisms include modulation of brain-derived neurotrophic factor signalling, enhancement of synaptic plasticity, promotion of mitochondrial biogenesis and interference with pathological protein aggregation. Preclinical evidence supports each of these for at least some preparations, and the mitochondrial and antioxidant response actions of </w:t>
      </w:r>
      <w:r>
        <w:rPr>
          <w:i/>
          <w:iCs/>
        </w:rPr>
        <w:t>Centella asiatica</w:t>
      </w:r>
      <w:r>
        <w:t xml:space="preserve"> extracts in models of ageing and Alzheimer's disease are among the better characterised examples (Gray et al., 2018; Wright et al., 2022). Trials incorporating imaging or fluid biomarkers offer partial human corroboration: an eighteen-month trial of a bioavailable curcumin formulation in non-demented adults reported memory and attention benefits accompanied by reduced positron emission tomography signal in amygdala and hypothalamus (Small et al., 2018), and a trial combining </w:t>
      </w:r>
      <w:r>
        <w:rPr>
          <w:i/>
          <w:iCs/>
        </w:rPr>
        <w:t>Bacopa monnieri</w:t>
      </w:r>
      <w:r>
        <w:t xml:space="preserve"> with cognitive training examined markers of brain microstructure directly (McPhee et al., 2021).</w:t>
      </w:r>
    </w:p>
    <w:p w14:paraId="50BF2FD5" w14:textId="77777777" w:rsidR="001B357C" w:rsidRDefault="00000000">
      <w:pPr>
        <w:spacing w:after="160" w:line="360" w:lineRule="auto"/>
        <w:jc w:val="both"/>
      </w:pPr>
      <w:r>
        <w:t>Confidence in these findings should be calibrated to their scale. The curcumin imaging trial randomised forty participants, of whom thirty contributed imaging data, and employed a tracer whose specificity for distinct proteinopathies has been debated. A single small trial reporting concordant behavioural and imaging change is a strong signal for replication rather than a demonstration of disease modification, and no such replication at adequate scale has been reported. The available human evidence for neurotrophic and proteostatic mechanisms is best characterised as hypothesis-generating.</w:t>
      </w:r>
    </w:p>
    <w:p w14:paraId="519AEAF3" w14:textId="77777777" w:rsidR="001B357C" w:rsidRDefault="00000000">
      <w:pPr>
        <w:pStyle w:val="Heading2"/>
        <w:spacing w:before="260" w:after="140" w:line="300" w:lineRule="auto"/>
      </w:pPr>
      <w:r>
        <w:rPr>
          <w:b/>
          <w:bCs/>
          <w:color w:val="000000"/>
        </w:rPr>
        <w:t>4.5 Stress-axis, sleep and mood pathways</w:t>
      </w:r>
    </w:p>
    <w:p w14:paraId="3F344DAF" w14:textId="77777777" w:rsidR="001B357C" w:rsidRDefault="00000000">
      <w:pPr>
        <w:spacing w:after="160" w:line="360" w:lineRule="auto"/>
        <w:jc w:val="both"/>
      </w:pPr>
      <w:r>
        <w:t xml:space="preserve">An indirect route to cognitive change operates through stress, sleep and affect. Chronic stress impairs hippocampal function, and preparations that reduce stress reactivity or improve sleep quality might therefore improve cognitive performance without any direct neuropharmacological action on memory systems. Evidence for this pathway is more consistent than is generally acknowledged. Withanolide-containing extracts have been associated with improvements in both stress-related and cognitive measures across a heterogeneous set of populations (Ng et al., 2020), and the </w:t>
      </w:r>
      <w:r>
        <w:rPr>
          <w:i/>
          <w:iCs/>
        </w:rPr>
        <w:t>Bacopa monnieri</w:t>
      </w:r>
      <w:r>
        <w:t xml:space="preserve"> trial discussed above found stress and fatigue effects in the absence of cognitive change (Lopresti &amp; Smith, 2025). Saffron preparations demonstrate effects across cognition, mood, anxiety and sleep in a manner suggesting a common upstream mechanism rather than several independent ones (Han et al., 2024).</w:t>
      </w:r>
    </w:p>
    <w:p w14:paraId="54951182" w14:textId="77777777" w:rsidR="001B357C" w:rsidRDefault="00000000">
      <w:pPr>
        <w:spacing w:after="160" w:line="360" w:lineRule="auto"/>
        <w:jc w:val="both"/>
      </w:pPr>
      <w:r>
        <w:t xml:space="preserve">Recognising this pathway has an important corollary. Effects mediated through stress and sleep are real and potentially valuable, but they are unlikely to modify the underlying </w:t>
      </w:r>
      <w:r>
        <w:lastRenderedPageBreak/>
        <w:t>neurodegenerative process, and their magnitude should be expected to depend on baseline stress and sleep status rather than on baseline cognitive status. Trials that do not measure these variables cannot distinguish direct from indirect action, and most do not measure them.</w:t>
      </w:r>
    </w:p>
    <w:p w14:paraId="75CD8762" w14:textId="77777777" w:rsidR="001B357C" w:rsidRDefault="00000000">
      <w:pPr>
        <w:pStyle w:val="Heading2"/>
        <w:spacing w:before="260" w:after="140" w:line="300" w:lineRule="auto"/>
      </w:pPr>
      <w:r>
        <w:rPr>
          <w:b/>
          <w:bCs/>
          <w:color w:val="000000"/>
        </w:rPr>
        <w:t>4.6 Why mechanistic breadth has not produced clinical convergence</w:t>
      </w:r>
    </w:p>
    <w:p w14:paraId="68CFAEAA" w14:textId="77777777" w:rsidR="001B357C" w:rsidRDefault="00000000">
      <w:pPr>
        <w:spacing w:after="160" w:line="360" w:lineRule="auto"/>
        <w:jc w:val="both"/>
      </w:pPr>
      <w:r>
        <w:t>Multi-target action is frequently presented as an advantage of botanical preparations relative to single-molecule drugs. The argument has intuitive appeal in a disorder as heterogeneous as cognitive ageing, yet it carries a substantial evidential cost. A preparation acting weakly at many targets is difficult to dose rationally, since no single pharmacodynamic marker guides selection; difficult to evaluate, since no defined biomarker confirms engagement; and difficult to reproduce, since the balance of activities shifts with extract composition. The consequence is visible throughout the field: dose selection in cognitive trials of medicinal plants is typically justified by reference to previous trials or to manufacturer recommendation rather than by demonstrated target engagement, and formal dose-ranging studies preceding efficacy trials are rare.</w:t>
      </w:r>
    </w:p>
    <w:p w14:paraId="026C978A" w14:textId="77777777" w:rsidR="001B357C" w:rsidRDefault="00000000">
      <w:pPr>
        <w:spacing w:after="160" w:line="360" w:lineRule="auto"/>
        <w:jc w:val="both"/>
      </w:pPr>
      <w:r>
        <w:t>Table 2 summarises the principal mechanistic frameworks, the taxa most closely associated with each, and the highest level of evidence currently available in humans. The pattern it displays is the central mechanistic finding of this review: preclinical support is extensive across every pathway, human target engagement has been demonstrated for very few, and clinical outcome evidence of adequate scale exists for fewer still. This asymmetry, rather than any deficiency in the underlying biology, accounts for much of the interpretive difficulty in the field.</w:t>
      </w:r>
    </w:p>
    <w:p w14:paraId="1AFE2C34" w14:textId="77777777" w:rsidR="001B357C" w:rsidRDefault="00000000">
      <w:pPr>
        <w:spacing w:before="200" w:after="100" w:line="280" w:lineRule="auto"/>
      </w:pPr>
      <w:r>
        <w:rPr>
          <w:b/>
          <w:bCs/>
          <w:sz w:val="22"/>
          <w:szCs w:val="22"/>
        </w:rPr>
        <w:t>Table 2. Mechanistic frameworks, exemplar taxa and the highest level of human evidence currently available</w:t>
      </w:r>
    </w:p>
    <w:tbl>
      <w:tblPr>
        <w:tblW w:w="9020" w:type="dxa"/>
        <w:tblBorders>
          <w:top w:val="single" w:sz="4" w:space="0" w:color="000000"/>
          <w:left w:val="single" w:sz="4" w:space="0" w:color="000000"/>
          <w:bottom w:val="single" w:sz="4" w:space="0" w:color="000000"/>
          <w:right w:val="single" w:sz="4" w:space="0" w:color="000000"/>
          <w:insideH w:val="single" w:sz="2" w:space="0" w:color="808080"/>
          <w:insideV w:val="single" w:sz="2" w:space="0" w:color="808080"/>
        </w:tblBorders>
        <w:tblCellMar>
          <w:left w:w="10" w:type="dxa"/>
          <w:right w:w="10" w:type="dxa"/>
        </w:tblCellMar>
        <w:tblLook w:val="0000" w:firstRow="0" w:lastRow="0" w:firstColumn="0" w:lastColumn="0" w:noHBand="0" w:noVBand="0"/>
      </w:tblPr>
      <w:tblGrid>
        <w:gridCol w:w="1804"/>
        <w:gridCol w:w="1804"/>
        <w:gridCol w:w="1804"/>
        <w:gridCol w:w="1804"/>
        <w:gridCol w:w="1804"/>
      </w:tblGrid>
      <w:tr w:rsidR="001B357C" w14:paraId="551677CE" w14:textId="77777777">
        <w:trPr>
          <w:tblHeader/>
        </w:trPr>
        <w:tc>
          <w:tcPr>
            <w:tcW w:w="1804" w:type="dxa"/>
            <w:shd w:val="clear" w:color="auto" w:fill="E8E8E8"/>
            <w:tcMar>
              <w:top w:w="60" w:type="dxa"/>
              <w:left w:w="90" w:type="dxa"/>
              <w:bottom w:w="60" w:type="dxa"/>
              <w:right w:w="90" w:type="dxa"/>
            </w:tcMar>
          </w:tcPr>
          <w:p w14:paraId="23F27AAC" w14:textId="77777777" w:rsidR="001B357C" w:rsidRDefault="00000000">
            <w:pPr>
              <w:spacing w:before="40" w:after="40"/>
            </w:pPr>
            <w:r>
              <w:rPr>
                <w:b/>
                <w:bCs/>
                <w:sz w:val="19"/>
                <w:szCs w:val="19"/>
              </w:rPr>
              <w:t>Mechanistic framework</w:t>
            </w:r>
          </w:p>
        </w:tc>
        <w:tc>
          <w:tcPr>
            <w:tcW w:w="1804" w:type="dxa"/>
            <w:shd w:val="clear" w:color="auto" w:fill="E8E8E8"/>
            <w:tcMar>
              <w:top w:w="60" w:type="dxa"/>
              <w:left w:w="90" w:type="dxa"/>
              <w:bottom w:w="60" w:type="dxa"/>
              <w:right w:w="90" w:type="dxa"/>
            </w:tcMar>
          </w:tcPr>
          <w:p w14:paraId="2858D04F" w14:textId="77777777" w:rsidR="001B357C" w:rsidRDefault="00000000">
            <w:pPr>
              <w:spacing w:before="40" w:after="40"/>
            </w:pPr>
            <w:r>
              <w:rPr>
                <w:b/>
                <w:bCs/>
                <w:sz w:val="19"/>
                <w:szCs w:val="19"/>
              </w:rPr>
              <w:t>Principal exemplar taxa or constituents</w:t>
            </w:r>
          </w:p>
        </w:tc>
        <w:tc>
          <w:tcPr>
            <w:tcW w:w="1804" w:type="dxa"/>
            <w:shd w:val="clear" w:color="auto" w:fill="E8E8E8"/>
            <w:tcMar>
              <w:top w:w="60" w:type="dxa"/>
              <w:left w:w="90" w:type="dxa"/>
              <w:bottom w:w="60" w:type="dxa"/>
              <w:right w:w="90" w:type="dxa"/>
            </w:tcMar>
          </w:tcPr>
          <w:p w14:paraId="723C2689" w14:textId="77777777" w:rsidR="001B357C" w:rsidRDefault="00000000">
            <w:pPr>
              <w:spacing w:before="40" w:after="40"/>
            </w:pPr>
            <w:r>
              <w:rPr>
                <w:b/>
                <w:bCs/>
                <w:sz w:val="19"/>
                <w:szCs w:val="19"/>
              </w:rPr>
              <w:t>Highest level of human evidence</w:t>
            </w:r>
          </w:p>
        </w:tc>
        <w:tc>
          <w:tcPr>
            <w:tcW w:w="1804" w:type="dxa"/>
            <w:shd w:val="clear" w:color="auto" w:fill="E8E8E8"/>
            <w:tcMar>
              <w:top w:w="60" w:type="dxa"/>
              <w:left w:w="90" w:type="dxa"/>
              <w:bottom w:w="60" w:type="dxa"/>
              <w:right w:w="90" w:type="dxa"/>
            </w:tcMar>
          </w:tcPr>
          <w:p w14:paraId="089F4CAF" w14:textId="77777777" w:rsidR="001B357C" w:rsidRDefault="00000000">
            <w:pPr>
              <w:spacing w:before="40" w:after="40"/>
            </w:pPr>
            <w:r>
              <w:rPr>
                <w:b/>
                <w:bCs/>
                <w:sz w:val="19"/>
                <w:szCs w:val="19"/>
              </w:rPr>
              <w:t>Principal evidentiary gap</w:t>
            </w:r>
          </w:p>
        </w:tc>
        <w:tc>
          <w:tcPr>
            <w:tcW w:w="1804" w:type="dxa"/>
            <w:shd w:val="clear" w:color="auto" w:fill="E8E8E8"/>
            <w:tcMar>
              <w:top w:w="60" w:type="dxa"/>
              <w:left w:w="90" w:type="dxa"/>
              <w:bottom w:w="60" w:type="dxa"/>
              <w:right w:w="90" w:type="dxa"/>
            </w:tcMar>
          </w:tcPr>
          <w:p w14:paraId="624D933D" w14:textId="77777777" w:rsidR="001B357C" w:rsidRDefault="00000000">
            <w:pPr>
              <w:spacing w:before="40" w:after="40"/>
            </w:pPr>
            <w:r>
              <w:rPr>
                <w:b/>
                <w:bCs/>
                <w:sz w:val="19"/>
                <w:szCs w:val="19"/>
              </w:rPr>
              <w:t>Supporting references</w:t>
            </w:r>
          </w:p>
        </w:tc>
      </w:tr>
      <w:tr w:rsidR="001B357C" w14:paraId="53710BC1" w14:textId="77777777">
        <w:tc>
          <w:tcPr>
            <w:tcW w:w="1804" w:type="dxa"/>
            <w:tcMar>
              <w:top w:w="60" w:type="dxa"/>
              <w:left w:w="90" w:type="dxa"/>
              <w:bottom w:w="60" w:type="dxa"/>
              <w:right w:w="90" w:type="dxa"/>
            </w:tcMar>
          </w:tcPr>
          <w:p w14:paraId="59FF0236" w14:textId="77777777" w:rsidR="001B357C" w:rsidRDefault="00000000">
            <w:pPr>
              <w:spacing w:before="40" w:after="40"/>
            </w:pPr>
            <w:r>
              <w:rPr>
                <w:sz w:val="19"/>
                <w:szCs w:val="19"/>
              </w:rPr>
              <w:t>Cholinesterase inhibition</w:t>
            </w:r>
          </w:p>
        </w:tc>
        <w:tc>
          <w:tcPr>
            <w:tcW w:w="1804" w:type="dxa"/>
            <w:tcMar>
              <w:top w:w="60" w:type="dxa"/>
              <w:left w:w="90" w:type="dxa"/>
              <w:bottom w:w="60" w:type="dxa"/>
              <w:right w:w="90" w:type="dxa"/>
            </w:tcMar>
          </w:tcPr>
          <w:p w14:paraId="2704AC6F" w14:textId="77777777" w:rsidR="001B357C" w:rsidRDefault="00000000">
            <w:pPr>
              <w:spacing w:before="40" w:after="40"/>
            </w:pPr>
            <w:r>
              <w:rPr>
                <w:i/>
                <w:iCs/>
                <w:sz w:val="19"/>
                <w:szCs w:val="19"/>
              </w:rPr>
              <w:t>Huperzia serrata</w:t>
            </w:r>
            <w:r>
              <w:rPr>
                <w:sz w:val="19"/>
                <w:szCs w:val="19"/>
              </w:rPr>
              <w:t xml:space="preserve"> (huperzine A); </w:t>
            </w:r>
            <w:r>
              <w:rPr>
                <w:i/>
                <w:iCs/>
                <w:sz w:val="19"/>
                <w:szCs w:val="19"/>
              </w:rPr>
              <w:t>Salvia lavandulifolia</w:t>
            </w:r>
            <w:r>
              <w:rPr>
                <w:sz w:val="19"/>
                <w:szCs w:val="19"/>
              </w:rPr>
              <w:t>; Galanthus and related genera (galantamine)</w:t>
            </w:r>
          </w:p>
        </w:tc>
        <w:tc>
          <w:tcPr>
            <w:tcW w:w="1804" w:type="dxa"/>
            <w:tcMar>
              <w:top w:w="60" w:type="dxa"/>
              <w:left w:w="90" w:type="dxa"/>
              <w:bottom w:w="60" w:type="dxa"/>
              <w:right w:w="90" w:type="dxa"/>
            </w:tcMar>
          </w:tcPr>
          <w:p w14:paraId="7957D77E" w14:textId="77777777" w:rsidR="001B357C" w:rsidRDefault="00000000">
            <w:pPr>
              <w:spacing w:before="40" w:after="40"/>
            </w:pPr>
            <w:r>
              <w:rPr>
                <w:sz w:val="19"/>
                <w:szCs w:val="19"/>
              </w:rPr>
              <w:t>Randomised trials with cognitive and global outcomes; one licensed medicine derived from the pathway</w:t>
            </w:r>
          </w:p>
        </w:tc>
        <w:tc>
          <w:tcPr>
            <w:tcW w:w="1804" w:type="dxa"/>
            <w:tcMar>
              <w:top w:w="60" w:type="dxa"/>
              <w:left w:w="90" w:type="dxa"/>
              <w:bottom w:w="60" w:type="dxa"/>
              <w:right w:w="90" w:type="dxa"/>
            </w:tcMar>
          </w:tcPr>
          <w:p w14:paraId="39F2ED51" w14:textId="77777777" w:rsidR="001B357C" w:rsidRDefault="00000000">
            <w:pPr>
              <w:spacing w:before="40" w:after="40"/>
            </w:pPr>
            <w:r>
              <w:rPr>
                <w:sz w:val="19"/>
                <w:szCs w:val="19"/>
              </w:rPr>
              <w:t>Enzyme inhibition rarely measured in the same participants in whom cognitive change is reported</w:t>
            </w:r>
          </w:p>
        </w:tc>
        <w:tc>
          <w:tcPr>
            <w:tcW w:w="1804" w:type="dxa"/>
            <w:tcMar>
              <w:top w:w="60" w:type="dxa"/>
              <w:left w:w="90" w:type="dxa"/>
              <w:bottom w:w="60" w:type="dxa"/>
              <w:right w:w="90" w:type="dxa"/>
            </w:tcMar>
          </w:tcPr>
          <w:p w14:paraId="37870FAC" w14:textId="77777777" w:rsidR="001B357C" w:rsidRDefault="00000000">
            <w:pPr>
              <w:spacing w:before="40" w:after="40"/>
            </w:pPr>
            <w:r w:rsidRPr="0056258C">
              <w:rPr>
                <w:sz w:val="19"/>
                <w:szCs w:val="19"/>
                <w:lang w:val="nl-BE"/>
              </w:rPr>
              <w:t xml:space="preserve">Heinrich &amp; Lee Teoh (2004); Kennedy et al. (2011); Li et al. (2008); Yang et al. </w:t>
            </w:r>
            <w:r>
              <w:rPr>
                <w:sz w:val="19"/>
                <w:szCs w:val="19"/>
              </w:rPr>
              <w:t>(2013)</w:t>
            </w:r>
          </w:p>
        </w:tc>
      </w:tr>
      <w:tr w:rsidR="001B357C" w14:paraId="50808BD3" w14:textId="77777777">
        <w:tc>
          <w:tcPr>
            <w:tcW w:w="1804" w:type="dxa"/>
            <w:tcMar>
              <w:top w:w="60" w:type="dxa"/>
              <w:left w:w="90" w:type="dxa"/>
              <w:bottom w:w="60" w:type="dxa"/>
              <w:right w:w="90" w:type="dxa"/>
            </w:tcMar>
          </w:tcPr>
          <w:p w14:paraId="32DCD5E3" w14:textId="77777777" w:rsidR="001B357C" w:rsidRDefault="00000000">
            <w:pPr>
              <w:spacing w:before="40" w:after="40"/>
            </w:pPr>
            <w:r>
              <w:rPr>
                <w:sz w:val="19"/>
                <w:szCs w:val="19"/>
              </w:rPr>
              <w:t>Redox and anti-inflammatory action</w:t>
            </w:r>
          </w:p>
        </w:tc>
        <w:tc>
          <w:tcPr>
            <w:tcW w:w="1804" w:type="dxa"/>
            <w:tcMar>
              <w:top w:w="60" w:type="dxa"/>
              <w:left w:w="90" w:type="dxa"/>
              <w:bottom w:w="60" w:type="dxa"/>
              <w:right w:w="90" w:type="dxa"/>
            </w:tcMar>
          </w:tcPr>
          <w:p w14:paraId="5D063915" w14:textId="77777777" w:rsidR="001B357C" w:rsidRDefault="00000000">
            <w:pPr>
              <w:spacing w:before="40" w:after="40"/>
            </w:pPr>
            <w:r>
              <w:rPr>
                <w:i/>
                <w:iCs/>
                <w:sz w:val="19"/>
                <w:szCs w:val="19"/>
              </w:rPr>
              <w:t>Curcuma longa</w:t>
            </w:r>
            <w:r>
              <w:rPr>
                <w:sz w:val="19"/>
                <w:szCs w:val="19"/>
              </w:rPr>
              <w:t xml:space="preserve">; </w:t>
            </w:r>
            <w:r>
              <w:rPr>
                <w:i/>
                <w:iCs/>
                <w:sz w:val="19"/>
                <w:szCs w:val="19"/>
              </w:rPr>
              <w:t>Centella asiatica</w:t>
            </w:r>
            <w:r>
              <w:rPr>
                <w:sz w:val="19"/>
                <w:szCs w:val="19"/>
              </w:rPr>
              <w:t xml:space="preserve">; </w:t>
            </w:r>
            <w:r>
              <w:rPr>
                <w:i/>
                <w:iCs/>
                <w:sz w:val="19"/>
                <w:szCs w:val="19"/>
              </w:rPr>
              <w:t>Bacopa monnieri</w:t>
            </w:r>
          </w:p>
        </w:tc>
        <w:tc>
          <w:tcPr>
            <w:tcW w:w="1804" w:type="dxa"/>
            <w:tcMar>
              <w:top w:w="60" w:type="dxa"/>
              <w:left w:w="90" w:type="dxa"/>
              <w:bottom w:w="60" w:type="dxa"/>
              <w:right w:w="90" w:type="dxa"/>
            </w:tcMar>
          </w:tcPr>
          <w:p w14:paraId="52C8CFBE" w14:textId="77777777" w:rsidR="001B357C" w:rsidRDefault="00000000">
            <w:pPr>
              <w:spacing w:before="40" w:after="40"/>
            </w:pPr>
            <w:r>
              <w:rPr>
                <w:sz w:val="19"/>
                <w:szCs w:val="19"/>
              </w:rPr>
              <w:t xml:space="preserve">Pharmacokinetic and pharmacodynamic demonstration of target engagement for </w:t>
            </w:r>
            <w:r>
              <w:rPr>
                <w:i/>
                <w:iCs/>
                <w:sz w:val="19"/>
                <w:szCs w:val="19"/>
              </w:rPr>
              <w:t>Centella asiatica</w:t>
            </w:r>
          </w:p>
        </w:tc>
        <w:tc>
          <w:tcPr>
            <w:tcW w:w="1804" w:type="dxa"/>
            <w:tcMar>
              <w:top w:w="60" w:type="dxa"/>
              <w:left w:w="90" w:type="dxa"/>
              <w:bottom w:w="60" w:type="dxa"/>
              <w:right w:w="90" w:type="dxa"/>
            </w:tcMar>
          </w:tcPr>
          <w:p w14:paraId="7CD68230" w14:textId="77777777" w:rsidR="001B357C" w:rsidRDefault="00000000">
            <w:pPr>
              <w:spacing w:before="40" w:after="40"/>
            </w:pPr>
            <w:r>
              <w:rPr>
                <w:sz w:val="19"/>
                <w:szCs w:val="19"/>
              </w:rPr>
              <w:t xml:space="preserve">In vitro concentrations frequently exceed attainable plasma exposure; assay </w:t>
            </w:r>
            <w:r>
              <w:rPr>
                <w:sz w:val="19"/>
                <w:szCs w:val="19"/>
              </w:rPr>
              <w:lastRenderedPageBreak/>
              <w:t>interference documented for curcuminoids</w:t>
            </w:r>
          </w:p>
        </w:tc>
        <w:tc>
          <w:tcPr>
            <w:tcW w:w="1804" w:type="dxa"/>
            <w:tcMar>
              <w:top w:w="60" w:type="dxa"/>
              <w:left w:w="90" w:type="dxa"/>
              <w:bottom w:w="60" w:type="dxa"/>
              <w:right w:w="90" w:type="dxa"/>
            </w:tcMar>
          </w:tcPr>
          <w:p w14:paraId="4C4D674B" w14:textId="77777777" w:rsidR="001B357C" w:rsidRDefault="00000000">
            <w:pPr>
              <w:spacing w:before="40" w:after="40"/>
            </w:pPr>
            <w:r w:rsidRPr="0056258C">
              <w:rPr>
                <w:sz w:val="19"/>
                <w:szCs w:val="19"/>
                <w:lang w:val="nl-BE"/>
              </w:rPr>
              <w:lastRenderedPageBreak/>
              <w:t xml:space="preserve">Gray et al. (2018); Nelson et al. (2017); Ringman et al. (2012); Wright et al. </w:t>
            </w:r>
            <w:r>
              <w:rPr>
                <w:sz w:val="19"/>
                <w:szCs w:val="19"/>
              </w:rPr>
              <w:t>(2022)</w:t>
            </w:r>
          </w:p>
        </w:tc>
      </w:tr>
      <w:tr w:rsidR="001B357C" w14:paraId="135580AE" w14:textId="77777777">
        <w:tc>
          <w:tcPr>
            <w:tcW w:w="1804" w:type="dxa"/>
            <w:tcMar>
              <w:top w:w="60" w:type="dxa"/>
              <w:left w:w="90" w:type="dxa"/>
              <w:bottom w:w="60" w:type="dxa"/>
              <w:right w:w="90" w:type="dxa"/>
            </w:tcMar>
          </w:tcPr>
          <w:p w14:paraId="6E8106D9" w14:textId="77777777" w:rsidR="001B357C" w:rsidRDefault="00000000">
            <w:pPr>
              <w:spacing w:before="40" w:after="40"/>
            </w:pPr>
            <w:r>
              <w:rPr>
                <w:sz w:val="19"/>
                <w:szCs w:val="19"/>
              </w:rPr>
              <w:t>Cerebrovascular and haemodynamic</w:t>
            </w:r>
          </w:p>
        </w:tc>
        <w:tc>
          <w:tcPr>
            <w:tcW w:w="1804" w:type="dxa"/>
            <w:tcMar>
              <w:top w:w="60" w:type="dxa"/>
              <w:left w:w="90" w:type="dxa"/>
              <w:bottom w:w="60" w:type="dxa"/>
              <w:right w:w="90" w:type="dxa"/>
            </w:tcMar>
          </w:tcPr>
          <w:p w14:paraId="66F0B3EE" w14:textId="77777777" w:rsidR="001B357C" w:rsidRDefault="00000000">
            <w:pPr>
              <w:spacing w:before="40" w:after="40"/>
            </w:pPr>
            <w:r>
              <w:rPr>
                <w:i/>
                <w:iCs/>
                <w:sz w:val="19"/>
                <w:szCs w:val="19"/>
              </w:rPr>
              <w:t>Ginkgo biloba</w:t>
            </w:r>
            <w:r>
              <w:rPr>
                <w:sz w:val="19"/>
                <w:szCs w:val="19"/>
              </w:rPr>
              <w:t xml:space="preserve">; </w:t>
            </w:r>
            <w:r>
              <w:rPr>
                <w:i/>
                <w:iCs/>
                <w:sz w:val="19"/>
                <w:szCs w:val="19"/>
              </w:rPr>
              <w:t>Camellia sinensis</w:t>
            </w:r>
            <w:r>
              <w:rPr>
                <w:sz w:val="19"/>
                <w:szCs w:val="19"/>
              </w:rPr>
              <w:t xml:space="preserve"> constituents</w:t>
            </w:r>
          </w:p>
        </w:tc>
        <w:tc>
          <w:tcPr>
            <w:tcW w:w="1804" w:type="dxa"/>
            <w:tcMar>
              <w:top w:w="60" w:type="dxa"/>
              <w:left w:w="90" w:type="dxa"/>
              <w:bottom w:w="60" w:type="dxa"/>
              <w:right w:w="90" w:type="dxa"/>
            </w:tcMar>
          </w:tcPr>
          <w:p w14:paraId="3B33B077" w14:textId="77777777" w:rsidR="001B357C" w:rsidRDefault="00000000">
            <w:pPr>
              <w:spacing w:before="40" w:after="40"/>
            </w:pPr>
            <w:r>
              <w:rPr>
                <w:sz w:val="19"/>
                <w:szCs w:val="19"/>
              </w:rPr>
              <w:t>Acute controlled trials showing attentional and alertness change; long-term prevention trials null</w:t>
            </w:r>
          </w:p>
        </w:tc>
        <w:tc>
          <w:tcPr>
            <w:tcW w:w="1804" w:type="dxa"/>
            <w:tcMar>
              <w:top w:w="60" w:type="dxa"/>
              <w:left w:w="90" w:type="dxa"/>
              <w:bottom w:w="60" w:type="dxa"/>
              <w:right w:w="90" w:type="dxa"/>
            </w:tcMar>
          </w:tcPr>
          <w:p w14:paraId="49059A80" w14:textId="77777777" w:rsidR="001B357C" w:rsidRDefault="00000000">
            <w:pPr>
              <w:spacing w:before="40" w:after="40"/>
            </w:pPr>
            <w:r>
              <w:rPr>
                <w:sz w:val="19"/>
                <w:szCs w:val="19"/>
              </w:rPr>
              <w:t>Acute perfusion change not linked to sustained cognitive trajectory</w:t>
            </w:r>
          </w:p>
        </w:tc>
        <w:tc>
          <w:tcPr>
            <w:tcW w:w="1804" w:type="dxa"/>
            <w:tcMar>
              <w:top w:w="60" w:type="dxa"/>
              <w:left w:w="90" w:type="dxa"/>
              <w:bottom w:w="60" w:type="dxa"/>
              <w:right w:w="90" w:type="dxa"/>
            </w:tcMar>
          </w:tcPr>
          <w:p w14:paraId="7704EF19" w14:textId="77777777" w:rsidR="001B357C" w:rsidRDefault="00000000">
            <w:pPr>
              <w:spacing w:before="40" w:after="40"/>
            </w:pPr>
            <w:r w:rsidRPr="0056258C">
              <w:rPr>
                <w:sz w:val="19"/>
                <w:szCs w:val="19"/>
                <w:lang w:val="nl-BE"/>
              </w:rPr>
              <w:t xml:space="preserve">Camfield et al. (2014); DeKosky et al. (2008); Mancini et al. (2017); Vellas et al. </w:t>
            </w:r>
            <w:r>
              <w:rPr>
                <w:sz w:val="19"/>
                <w:szCs w:val="19"/>
              </w:rPr>
              <w:t>(2012)</w:t>
            </w:r>
          </w:p>
        </w:tc>
      </w:tr>
      <w:tr w:rsidR="001B357C" w14:paraId="45EA3D14" w14:textId="77777777">
        <w:tc>
          <w:tcPr>
            <w:tcW w:w="1804" w:type="dxa"/>
            <w:tcMar>
              <w:top w:w="60" w:type="dxa"/>
              <w:left w:w="90" w:type="dxa"/>
              <w:bottom w:w="60" w:type="dxa"/>
              <w:right w:w="90" w:type="dxa"/>
            </w:tcMar>
          </w:tcPr>
          <w:p w14:paraId="52364A95" w14:textId="77777777" w:rsidR="001B357C" w:rsidRDefault="00000000">
            <w:pPr>
              <w:spacing w:before="40" w:after="40"/>
            </w:pPr>
            <w:r>
              <w:rPr>
                <w:sz w:val="19"/>
                <w:szCs w:val="19"/>
              </w:rPr>
              <w:t>Neurotrophic and proteostatic</w:t>
            </w:r>
          </w:p>
        </w:tc>
        <w:tc>
          <w:tcPr>
            <w:tcW w:w="1804" w:type="dxa"/>
            <w:tcMar>
              <w:top w:w="60" w:type="dxa"/>
              <w:left w:w="90" w:type="dxa"/>
              <w:bottom w:w="60" w:type="dxa"/>
              <w:right w:w="90" w:type="dxa"/>
            </w:tcMar>
          </w:tcPr>
          <w:p w14:paraId="07D818E3" w14:textId="77777777" w:rsidR="001B357C" w:rsidRDefault="00000000">
            <w:pPr>
              <w:spacing w:before="40" w:after="40"/>
            </w:pPr>
            <w:r>
              <w:rPr>
                <w:i/>
                <w:iCs/>
                <w:sz w:val="19"/>
                <w:szCs w:val="19"/>
              </w:rPr>
              <w:t>Curcuma longa</w:t>
            </w:r>
            <w:r>
              <w:rPr>
                <w:sz w:val="19"/>
                <w:szCs w:val="19"/>
              </w:rPr>
              <w:t xml:space="preserve">; </w:t>
            </w:r>
            <w:r>
              <w:rPr>
                <w:i/>
                <w:iCs/>
                <w:sz w:val="19"/>
                <w:szCs w:val="19"/>
              </w:rPr>
              <w:t>Centella asiatica</w:t>
            </w:r>
            <w:r>
              <w:rPr>
                <w:sz w:val="19"/>
                <w:szCs w:val="19"/>
              </w:rPr>
              <w:t xml:space="preserve">; </w:t>
            </w:r>
            <w:r>
              <w:rPr>
                <w:i/>
                <w:iCs/>
                <w:sz w:val="19"/>
                <w:szCs w:val="19"/>
              </w:rPr>
              <w:t>Bacopa monnieri</w:t>
            </w:r>
          </w:p>
        </w:tc>
        <w:tc>
          <w:tcPr>
            <w:tcW w:w="1804" w:type="dxa"/>
            <w:tcMar>
              <w:top w:w="60" w:type="dxa"/>
              <w:left w:w="90" w:type="dxa"/>
              <w:bottom w:w="60" w:type="dxa"/>
              <w:right w:w="90" w:type="dxa"/>
            </w:tcMar>
          </w:tcPr>
          <w:p w14:paraId="083F7F61" w14:textId="77777777" w:rsidR="001B357C" w:rsidRDefault="00000000">
            <w:pPr>
              <w:spacing w:before="40" w:after="40"/>
            </w:pPr>
            <w:r>
              <w:rPr>
                <w:sz w:val="19"/>
                <w:szCs w:val="19"/>
              </w:rPr>
              <w:t>Small imaging and biomarker trials with concordant behavioural findings</w:t>
            </w:r>
          </w:p>
        </w:tc>
        <w:tc>
          <w:tcPr>
            <w:tcW w:w="1804" w:type="dxa"/>
            <w:tcMar>
              <w:top w:w="60" w:type="dxa"/>
              <w:left w:w="90" w:type="dxa"/>
              <w:bottom w:w="60" w:type="dxa"/>
              <w:right w:w="90" w:type="dxa"/>
            </w:tcMar>
          </w:tcPr>
          <w:p w14:paraId="07066796" w14:textId="77777777" w:rsidR="001B357C" w:rsidRDefault="00000000">
            <w:pPr>
              <w:spacing w:before="40" w:after="40"/>
            </w:pPr>
            <w:r>
              <w:rPr>
                <w:sz w:val="19"/>
                <w:szCs w:val="19"/>
              </w:rPr>
              <w:t>No adequately powered replication; tracer and biomarker specificity contested</w:t>
            </w:r>
          </w:p>
        </w:tc>
        <w:tc>
          <w:tcPr>
            <w:tcW w:w="1804" w:type="dxa"/>
            <w:tcMar>
              <w:top w:w="60" w:type="dxa"/>
              <w:left w:w="90" w:type="dxa"/>
              <w:bottom w:w="60" w:type="dxa"/>
              <w:right w:w="90" w:type="dxa"/>
            </w:tcMar>
          </w:tcPr>
          <w:p w14:paraId="1BC09393" w14:textId="77777777" w:rsidR="001B357C" w:rsidRDefault="00000000">
            <w:pPr>
              <w:spacing w:before="40" w:after="40"/>
            </w:pPr>
            <w:r w:rsidRPr="0056258C">
              <w:rPr>
                <w:sz w:val="19"/>
                <w:szCs w:val="19"/>
                <w:lang w:val="nl-BE"/>
              </w:rPr>
              <w:t xml:space="preserve">McPhee et al. (2021); Small et al. </w:t>
            </w:r>
            <w:r>
              <w:rPr>
                <w:sz w:val="19"/>
                <w:szCs w:val="19"/>
              </w:rPr>
              <w:t>(2018)</w:t>
            </w:r>
          </w:p>
        </w:tc>
      </w:tr>
      <w:tr w:rsidR="001B357C" w14:paraId="27889F4A" w14:textId="77777777">
        <w:tc>
          <w:tcPr>
            <w:tcW w:w="1804" w:type="dxa"/>
            <w:tcMar>
              <w:top w:w="60" w:type="dxa"/>
              <w:left w:w="90" w:type="dxa"/>
              <w:bottom w:w="60" w:type="dxa"/>
              <w:right w:w="90" w:type="dxa"/>
            </w:tcMar>
          </w:tcPr>
          <w:p w14:paraId="4635F777" w14:textId="77777777" w:rsidR="001B357C" w:rsidRDefault="00000000">
            <w:pPr>
              <w:spacing w:before="40" w:after="40"/>
            </w:pPr>
            <w:r>
              <w:rPr>
                <w:sz w:val="19"/>
                <w:szCs w:val="19"/>
              </w:rPr>
              <w:t>Stress-axis, sleep and affective</w:t>
            </w:r>
          </w:p>
        </w:tc>
        <w:tc>
          <w:tcPr>
            <w:tcW w:w="1804" w:type="dxa"/>
            <w:tcMar>
              <w:top w:w="60" w:type="dxa"/>
              <w:left w:w="90" w:type="dxa"/>
              <w:bottom w:w="60" w:type="dxa"/>
              <w:right w:w="90" w:type="dxa"/>
            </w:tcMar>
          </w:tcPr>
          <w:p w14:paraId="1F6369D9" w14:textId="77777777" w:rsidR="001B357C" w:rsidRDefault="00000000">
            <w:pPr>
              <w:spacing w:before="40" w:after="40"/>
            </w:pPr>
            <w:r>
              <w:rPr>
                <w:i/>
                <w:iCs/>
                <w:sz w:val="19"/>
                <w:szCs w:val="19"/>
              </w:rPr>
              <w:t>Withania somnifera</w:t>
            </w:r>
            <w:r>
              <w:rPr>
                <w:sz w:val="19"/>
                <w:szCs w:val="19"/>
              </w:rPr>
              <w:t xml:space="preserve">; </w:t>
            </w:r>
            <w:r>
              <w:rPr>
                <w:i/>
                <w:iCs/>
                <w:sz w:val="19"/>
                <w:szCs w:val="19"/>
              </w:rPr>
              <w:t>Crocus sativus</w:t>
            </w:r>
            <w:r>
              <w:rPr>
                <w:sz w:val="19"/>
                <w:szCs w:val="19"/>
              </w:rPr>
              <w:t xml:space="preserve">; </w:t>
            </w:r>
            <w:r>
              <w:rPr>
                <w:i/>
                <w:iCs/>
                <w:sz w:val="19"/>
                <w:szCs w:val="19"/>
              </w:rPr>
              <w:t>Rhodiola rosea</w:t>
            </w:r>
          </w:p>
        </w:tc>
        <w:tc>
          <w:tcPr>
            <w:tcW w:w="1804" w:type="dxa"/>
            <w:tcMar>
              <w:top w:w="60" w:type="dxa"/>
              <w:left w:w="90" w:type="dxa"/>
              <w:bottom w:w="60" w:type="dxa"/>
              <w:right w:w="90" w:type="dxa"/>
            </w:tcMar>
          </w:tcPr>
          <w:p w14:paraId="43E06699" w14:textId="77777777" w:rsidR="001B357C" w:rsidRDefault="00000000">
            <w:pPr>
              <w:spacing w:before="40" w:after="40"/>
            </w:pPr>
            <w:r>
              <w:rPr>
                <w:sz w:val="19"/>
                <w:szCs w:val="19"/>
              </w:rPr>
              <w:t>Randomised trials showing stress, fatigue and mood change, sometimes without cognitive change</w:t>
            </w:r>
          </w:p>
        </w:tc>
        <w:tc>
          <w:tcPr>
            <w:tcW w:w="1804" w:type="dxa"/>
            <w:tcMar>
              <w:top w:w="60" w:type="dxa"/>
              <w:left w:w="90" w:type="dxa"/>
              <w:bottom w:w="60" w:type="dxa"/>
              <w:right w:w="90" w:type="dxa"/>
            </w:tcMar>
          </w:tcPr>
          <w:p w14:paraId="12CCE156" w14:textId="77777777" w:rsidR="001B357C" w:rsidRDefault="00000000">
            <w:pPr>
              <w:spacing w:before="40" w:after="40"/>
            </w:pPr>
            <w:r>
              <w:rPr>
                <w:sz w:val="19"/>
                <w:szCs w:val="19"/>
              </w:rPr>
              <w:t>Baseline stress and sleep rarely measured; direct and indirect action not separable</w:t>
            </w:r>
          </w:p>
        </w:tc>
        <w:tc>
          <w:tcPr>
            <w:tcW w:w="1804" w:type="dxa"/>
            <w:tcMar>
              <w:top w:w="60" w:type="dxa"/>
              <w:left w:w="90" w:type="dxa"/>
              <w:bottom w:w="60" w:type="dxa"/>
              <w:right w:w="90" w:type="dxa"/>
            </w:tcMar>
          </w:tcPr>
          <w:p w14:paraId="58ED6D58" w14:textId="77777777" w:rsidR="001B357C" w:rsidRDefault="00000000">
            <w:pPr>
              <w:spacing w:before="40" w:after="40"/>
            </w:pPr>
            <w:r w:rsidRPr="0056258C">
              <w:rPr>
                <w:sz w:val="19"/>
                <w:szCs w:val="19"/>
                <w:lang w:val="nl-BE"/>
              </w:rPr>
              <w:t xml:space="preserve">Han et al. (2024); Hung et al. </w:t>
            </w:r>
            <w:r>
              <w:rPr>
                <w:sz w:val="19"/>
                <w:szCs w:val="19"/>
              </w:rPr>
              <w:t>(2011); Lopresti &amp; Smith (2025); Ng et al. (2020)</w:t>
            </w:r>
          </w:p>
        </w:tc>
      </w:tr>
    </w:tbl>
    <w:p w14:paraId="3F5396F3" w14:textId="77777777" w:rsidR="001B357C" w:rsidRDefault="00000000">
      <w:pPr>
        <w:spacing w:before="80" w:after="260" w:line="260" w:lineRule="auto"/>
      </w:pPr>
      <w:r>
        <w:rPr>
          <w:sz w:val="20"/>
          <w:szCs w:val="20"/>
        </w:rPr>
        <w:t>Note. The highest level of human evidence refers to the strongest standard of evidence identified in human participants for that pathway, and not to the extent of preclinical support, which is substantial for every pathway listed. Supporting references correspond to full entries in the reference list.</w:t>
      </w:r>
    </w:p>
    <w:p w14:paraId="04D2C38B" w14:textId="77777777" w:rsidR="001B357C" w:rsidRDefault="00000000">
      <w:pPr>
        <w:pStyle w:val="Heading1"/>
        <w:spacing w:before="320" w:after="140" w:line="300" w:lineRule="auto"/>
      </w:pPr>
      <w:r>
        <w:rPr>
          <w:b/>
          <w:bCs/>
          <w:color w:val="000000"/>
          <w:sz w:val="28"/>
          <w:szCs w:val="28"/>
        </w:rPr>
        <w:t>5. Species-level appraisal of the clinical evidence</w:t>
      </w:r>
    </w:p>
    <w:p w14:paraId="24A4681D" w14:textId="77777777" w:rsidR="001B357C" w:rsidRDefault="00000000">
      <w:pPr>
        <w:pStyle w:val="Heading2"/>
        <w:spacing w:before="260" w:after="140" w:line="300" w:lineRule="auto"/>
      </w:pPr>
      <w:r>
        <w:rPr>
          <w:b/>
          <w:bCs/>
          <w:color w:val="000000"/>
        </w:rPr>
        <w:t>5.1 Ginkgo biloba</w:t>
      </w:r>
    </w:p>
    <w:p w14:paraId="523AF85A" w14:textId="77777777" w:rsidR="001B357C" w:rsidRDefault="00000000">
      <w:pPr>
        <w:spacing w:after="160" w:line="360" w:lineRule="auto"/>
        <w:jc w:val="both"/>
      </w:pPr>
      <w:r>
        <w:rPr>
          <w:i/>
          <w:iCs/>
        </w:rPr>
        <w:t>Ginkgo biloba</w:t>
      </w:r>
      <w:r>
        <w:t xml:space="preserve"> L. supports the largest and most methodologically informative evidence base in the field, and it is the only medicinal plant for which adequately powered long-term prevention trials exist. The Ginkgo Evaluation of Memory study randomised 3069 participants aged seventy-five years and older to a standardised leaf extract at 120 mg twice daily or placebo, with median follow-up exceeding six years, and found no reduction in the incidence of all-cause dementia or of Alzheimer's disease (DeKosky et al., 2008). Analysis of cognitive trajectories in the same cohort found no slowing of decline across multiple domains (Snitz et al., 2009). The GuidAge trial randomised 2854 participants reporting spontaneous memory complaint to the same extract for five years, with a similarly negative result on progression to Alzheimer's disease (Vellas et al., 2012). An earlier six-week trial in cognitively intact older adults found no measurable benefit on objective memory or on informant-rated performance (Solomon et al., 2002).</w:t>
      </w:r>
    </w:p>
    <w:p w14:paraId="3B566A0A" w14:textId="77777777" w:rsidR="001B357C" w:rsidRDefault="00000000">
      <w:pPr>
        <w:spacing w:after="160" w:line="360" w:lineRule="auto"/>
        <w:jc w:val="both"/>
      </w:pPr>
      <w:r>
        <w:t xml:space="preserve">Evidence in symptomatic populations is more favourable but less secure. The most recent comprehensive systematic review of the field included 82 studies with 10,613 participants and </w:t>
      </w:r>
      <w:r>
        <w:lastRenderedPageBreak/>
        <w:t>found that in dementia there may be small to moderate benefits at six months for global clinical status, cognition and activities of daily living, with the certainty of that evidence rated low and between-study heterogeneity extremely high; in mild cognitive impairment, the same review concluded that the extract probably has little or no effect on global status, cognition or function at six months, with moderate certainty (Wieland et al., 2026). A separate pooled analysis restricted to patients with mild dementia reported statistically significant superiority over placebo across cognition, global assessment, activities of daily living and quality of life (Riepe et al., 2025); two of its three authors are affiliated with the manufacturer of the extract concerned, and the analysis pooled subgroups drawn from four trials rather than complete trial populations.</w:t>
      </w:r>
    </w:p>
    <w:p w14:paraId="7D2ED733" w14:textId="77777777" w:rsidR="001B357C" w:rsidRDefault="00000000">
      <w:pPr>
        <w:spacing w:after="160" w:line="360" w:lineRule="auto"/>
        <w:jc w:val="both"/>
      </w:pPr>
      <w:r>
        <w:t xml:space="preserve">The pattern that emerges is coherent rather than contradictory. Benefit appears where impairment is established and outcomes are sensitive to symptomatic change, and disappears where the outcome is incidence of disease over years. This is the expected signature of a symptomatic rather than disease-modifying agent, and it aligns </w:t>
      </w:r>
      <w:r>
        <w:rPr>
          <w:i/>
          <w:iCs/>
        </w:rPr>
        <w:t>Ginkgo biloba</w:t>
      </w:r>
      <w:r>
        <w:t xml:space="preserve"> with cholinesterase inhibitors in kind while placing it below them in the strength of supporting evidence. Safety findings are reassuring, with no difference from placebo in serious adverse events in the dementia analyses, though trials of this size and duration cannot exclude rare harms.</w:t>
      </w:r>
    </w:p>
    <w:p w14:paraId="0902AA01" w14:textId="77777777" w:rsidR="001B357C" w:rsidRPr="0056258C" w:rsidRDefault="00000000">
      <w:pPr>
        <w:pStyle w:val="Heading2"/>
        <w:spacing w:before="260" w:after="140" w:line="300" w:lineRule="auto"/>
        <w:rPr>
          <w:lang w:val="nl-BE"/>
        </w:rPr>
      </w:pPr>
      <w:r w:rsidRPr="0056258C">
        <w:rPr>
          <w:b/>
          <w:bCs/>
          <w:color w:val="000000"/>
          <w:lang w:val="nl-BE"/>
        </w:rPr>
        <w:t>5.2 Bacopa monnieri</w:t>
      </w:r>
    </w:p>
    <w:p w14:paraId="4640A02F" w14:textId="77777777" w:rsidR="001B357C" w:rsidRDefault="00000000">
      <w:pPr>
        <w:spacing w:after="160" w:line="360" w:lineRule="auto"/>
        <w:jc w:val="both"/>
      </w:pPr>
      <w:r w:rsidRPr="0056258C">
        <w:rPr>
          <w:i/>
          <w:iCs/>
          <w:lang w:val="nl-BE"/>
        </w:rPr>
        <w:t>Bacopa monnieri</w:t>
      </w:r>
      <w:r w:rsidRPr="0056258C">
        <w:rPr>
          <w:lang w:val="nl-BE"/>
        </w:rPr>
        <w:t xml:space="preserve"> (L.) </w:t>
      </w:r>
      <w:r>
        <w:t>Wettst. occupies an intermediate position: better characterised chemically than most, tested repeatedly, but never at the scale required for confident conclusions. Meta-analysis restricted to randomised placebo-controlled trials of at least twelve weeks with standardised extracts and no co-medication included nine studies and 518 participants, and reported improvement on Trail Making Test B completion time and on choice reaction time, with the authors concluding that a large head-to-head trial against an existing medication would be required for definitive assessment (Kongkeaw et al., 2014). An earlier systematic review reached similar conclusions regarding chronic administration in healthy adults (Pase et al., 2012). Acute dosing studies with the CDRI 08 extract have reported effects on sustained cognitive performance (Downey et al., 2013), and a trial in older adults found no memory improvement (Morgan &amp; Stevens, 2010).</w:t>
      </w:r>
    </w:p>
    <w:p w14:paraId="384E1147" w14:textId="14EBCE20" w:rsidR="001B357C" w:rsidRDefault="00000000">
      <w:pPr>
        <w:spacing w:after="160" w:line="360" w:lineRule="auto"/>
        <w:jc w:val="both"/>
      </w:pPr>
      <w:r>
        <w:t xml:space="preserve">Two features of this evidence deserve emphasis. The domains most consistently affected are speed of processing and attention rather than memory consolidation, which is notable given </w:t>
      </w:r>
      <w:r>
        <w:lastRenderedPageBreak/>
        <w:t xml:space="preserve">that traditional use and marketing both emphasise memory. Network meta-analysis of plant-active substances in healthy older adults ranked a </w:t>
      </w:r>
      <w:r>
        <w:rPr>
          <w:i/>
          <w:iCs/>
        </w:rPr>
        <w:t>Bacopa monnieri</w:t>
      </w:r>
      <w:r>
        <w:t xml:space="preserve"> compound highest for executive function among ten interventions assessed, while finding effects on complex attention generally limited across the whole set of interventions (Feng et al., 202</w:t>
      </w:r>
      <w:r w:rsidR="0056258C">
        <w:t>6</w:t>
      </w:r>
      <w:r>
        <w:t>); the value of such rankings is constrained by the small number of trials contributing to each node. The second feature is the negative primary outcome of the most recent and largest single trial in adults reporting memory and attention problems, in which no between-group difference emerged on verbal learning, attention or working memory over twelve weeks (Lopresti &amp; Smith, 2025). That trial was conducted by a contract research organisation with declared industry funding relationships, which makes its null primary result difficult to attribute to sponsorship bias and correspondingly informative.</w:t>
      </w:r>
    </w:p>
    <w:p w14:paraId="25F9A158" w14:textId="77777777" w:rsidR="001B357C" w:rsidRDefault="00000000">
      <w:pPr>
        <w:pStyle w:val="Heading2"/>
        <w:spacing w:before="260" w:after="140" w:line="300" w:lineRule="auto"/>
      </w:pPr>
      <w:r>
        <w:rPr>
          <w:b/>
          <w:bCs/>
          <w:color w:val="000000"/>
        </w:rPr>
        <w:t>5.3 Withania somnifera</w:t>
      </w:r>
    </w:p>
    <w:p w14:paraId="74AF6A8F" w14:textId="77777777" w:rsidR="001B357C" w:rsidRDefault="00000000">
      <w:pPr>
        <w:spacing w:after="160" w:line="360" w:lineRule="auto"/>
        <w:jc w:val="both"/>
      </w:pPr>
      <w:r>
        <w:t xml:space="preserve">Clinical evaluation of </w:t>
      </w:r>
      <w:r>
        <w:rPr>
          <w:i/>
          <w:iCs/>
        </w:rPr>
        <w:t>Withania somnifera</w:t>
      </w:r>
      <w:r>
        <w:t xml:space="preserve"> (L.) Dunal for cognitive indications rests on a small number of trials in heterogeneous populations. Systematic review identified five clinical studies meeting eligibility criteria, sampling older adults with mild cognitive impairment alongside adults with schizophrenia, schizoaffective disorder and bipolar disorder, and reported improvements in cognitive task performance, executive function, attention and reaction time in most instances, with good tolerability (Ng et al., 2020). A trial in adults with self-reported memory impairment reported improvements in immediate and general memory, attention and information-processing speed (Choudhary et al., 2017), and a more recent randomised trial of a sominone-standardised extract in forty participants with mild cognitive impairment reported significant improvements across multiple memory scales at thirty and sixty days (Rai &amp; Mishra, 2025).</w:t>
      </w:r>
    </w:p>
    <w:p w14:paraId="0897D5A1" w14:textId="77777777" w:rsidR="001B357C" w:rsidRDefault="00000000">
      <w:pPr>
        <w:spacing w:after="160" w:line="360" w:lineRule="auto"/>
        <w:jc w:val="both"/>
      </w:pPr>
      <w:r>
        <w:t xml:space="preserve">Confidence in these findings is limited by three factors. Sample sizes are uniformly small, with the most recent trial randomising twenty participants per arm and describing itself as a pilot study; pooling across populations as clinically distinct as mild cognitive impairment and schizophrenia assumes a common mechanism that has not been demonstrated; and the extracts tested differ in their standardisation markers, with withanolide-standardised and sominone-standardised preparations not being pharmacologically interchangeable. A review of safety and clinical effectiveness across human conditions found the preparation generally well tolerated (Tandon &amp; Yadav, 2020), which supports continued investigation, but tolerability is not </w:t>
      </w:r>
      <w:r>
        <w:lastRenderedPageBreak/>
        <w:t xml:space="preserve">efficacy. The trajectory of this evidence resembles that of </w:t>
      </w:r>
      <w:r>
        <w:rPr>
          <w:i/>
          <w:iCs/>
        </w:rPr>
        <w:t>Bacopa monnieri</w:t>
      </w:r>
      <w:r>
        <w:t xml:space="preserve"> two decades ago, with promising small trials awaiting confirmation at scale.</w:t>
      </w:r>
    </w:p>
    <w:p w14:paraId="43EB47B2" w14:textId="77777777" w:rsidR="001B357C" w:rsidRDefault="00000000">
      <w:pPr>
        <w:pStyle w:val="Heading2"/>
        <w:spacing w:before="260" w:after="140" w:line="300" w:lineRule="auto"/>
      </w:pPr>
      <w:r>
        <w:rPr>
          <w:b/>
          <w:bCs/>
          <w:color w:val="000000"/>
        </w:rPr>
        <w:t>5.4 Curcuma longa</w:t>
      </w:r>
    </w:p>
    <w:p w14:paraId="342A5912" w14:textId="77777777" w:rsidR="001B357C" w:rsidRDefault="00000000">
      <w:pPr>
        <w:spacing w:after="160" w:line="360" w:lineRule="auto"/>
        <w:jc w:val="both"/>
      </w:pPr>
      <w:r>
        <w:t>The curcumin literature illustrates the consequences of pharmacokinetic neglect more clearly than any other example in the field. An eighteen-month randomised trial of a bioavailable formulation in forty non-demented adults reported improvements in verbal and visual memory and in attention relative to placebo, together with reduced tracer binding in amygdala and hypothalamus (Small et al., 2018). Trials of lipidated formulations in healthy older adults have reported benefits on working memory and mood, including a partial replication study (Cox et al., 2015; Cox et al., 2020). Against these, a twenty-four-week trial in mild-to-moderate Alzheimer's disease using a conventional curcuminoid complex found no difference from placebo on cognitive or biomarker outcomes, and measured plasma concentrations of native curcumin were low (Ringman et al., 2012).</w:t>
      </w:r>
    </w:p>
    <w:p w14:paraId="57A7E679" w14:textId="77777777" w:rsidR="001B357C" w:rsidRDefault="00000000">
      <w:pPr>
        <w:spacing w:after="160" w:line="360" w:lineRule="auto"/>
        <w:jc w:val="both"/>
      </w:pPr>
      <w:r>
        <w:t>Reading these results as contradictory would be an error. They differ systematically in formulation and therefore in exposure, and the trial reporting the lowest plasma concentrations is the trial reporting no effect. This coherence is instructive, but it does not establish efficacy for the bioavailable formulations, whose positive findings rest on small samples with multiple cognitive outcomes and, in the imaging trial, thirty participants contributing scans. The wider medicinal chemistry critique of curcumin as an unstable, promiscuous and poorly absorbed compound remains unrefuted (Nelson et al., 2017), and the field has responded largely by developing enhanced-delivery formulations rather than by resolving whether the parent compound has a genuine central target. Enhanced delivery of a compound whose central mechanism is unestablished does not by itself constitute therapeutic progress.</w:t>
      </w:r>
    </w:p>
    <w:p w14:paraId="5F418F1D" w14:textId="77777777" w:rsidR="001B357C" w:rsidRDefault="00000000">
      <w:pPr>
        <w:pStyle w:val="Heading2"/>
        <w:spacing w:before="260" w:after="140" w:line="300" w:lineRule="auto"/>
      </w:pPr>
      <w:r>
        <w:rPr>
          <w:b/>
          <w:bCs/>
          <w:color w:val="000000"/>
        </w:rPr>
        <w:t>5.5 Panax ginseng</w:t>
      </w:r>
    </w:p>
    <w:p w14:paraId="711C3F99" w14:textId="77777777" w:rsidR="001B357C" w:rsidRDefault="00000000">
      <w:pPr>
        <w:spacing w:after="160" w:line="360" w:lineRule="auto"/>
        <w:jc w:val="both"/>
      </w:pPr>
      <w:r>
        <w:t xml:space="preserve">Assessments of </w:t>
      </w:r>
      <w:r>
        <w:rPr>
          <w:i/>
          <w:iCs/>
        </w:rPr>
        <w:t>Panax ginseng</w:t>
      </w:r>
      <w:r>
        <w:t xml:space="preserve"> C.A.Mey. have moved from scepticism towards cautious and domain-specific optimism, though the underlying trial quality has improved less than the pooled estimates suggest. A systematic review conducted for the Cochrane Collaboration identified nine randomised, double-blind, placebo-controlled trials, was unable to pool data because of heterogeneity in outcome measures, duration and dosage, and concluded that convincing evidence of a cognitive-enhancing effect in healthy participants was lacking, with no high-quality evidence in dementia (Geng et al., 2010). Subsequent meta-analysis of fifteen </w:t>
      </w:r>
      <w:r>
        <w:lastRenderedPageBreak/>
        <w:t>trials with 671 participants found a small significant effect on memory, with a larger effect at high doses, and no effect on overall cognition, attention or executive function (Zeng et al., 2024). A further meta-analysis restricted to individuals with cognitive or memory impairment reported significant changes on the Mini-Mental State Examination and the cognitive subscale of the Alzheimer's Disease Assessment Scale (Kim et al., 2025).</w:t>
      </w:r>
    </w:p>
    <w:p w14:paraId="63C0B848" w14:textId="77777777" w:rsidR="001B357C" w:rsidRDefault="00000000">
      <w:pPr>
        <w:spacing w:after="160" w:line="360" w:lineRule="auto"/>
        <w:jc w:val="both"/>
      </w:pPr>
      <w:r>
        <w:t>Interpretation requires attention to what the pooled effects represent. The memory effect reported across fifteen trials was small in standardised terms and derived from a participant population encompassing healthy volunteers, cognitive impairment, schizophrenia and Alzheimer's disease, which is a degree of clinical heterogeneity that ordinarily precludes meaningful pooling. Substantial statistical heterogeneity accompanied the Mini-Mental State Examination estimate in the impairment-restricted analysis. Both syntheses draw heavily on trials conducted in a small number of countries where ginseng carries strong cultural and commercial significance, a pattern with recognised implications for the expected distribution of published results (Vickers et al., 1998).</w:t>
      </w:r>
    </w:p>
    <w:p w14:paraId="736A8AFA" w14:textId="77777777" w:rsidR="001B357C" w:rsidRDefault="00000000">
      <w:pPr>
        <w:pStyle w:val="Heading2"/>
        <w:spacing w:before="260" w:after="140" w:line="300" w:lineRule="auto"/>
      </w:pPr>
      <w:r>
        <w:rPr>
          <w:b/>
          <w:bCs/>
          <w:color w:val="000000"/>
        </w:rPr>
        <w:t>5.6 Crocus sativus</w:t>
      </w:r>
    </w:p>
    <w:p w14:paraId="59629D71" w14:textId="77777777" w:rsidR="001B357C" w:rsidRDefault="00000000">
      <w:pPr>
        <w:spacing w:after="160" w:line="360" w:lineRule="auto"/>
        <w:jc w:val="both"/>
      </w:pPr>
      <w:r>
        <w:t xml:space="preserve">Saffron, the dried stigma of </w:t>
      </w:r>
      <w:r>
        <w:rPr>
          <w:i/>
          <w:iCs/>
        </w:rPr>
        <w:t>Crocus sativus</w:t>
      </w:r>
      <w:r>
        <w:t xml:space="preserve"> L., presents an evidence base that is small, internally consistent and geographically concentrated. A twenty-two-week randomised double-blind trial reported benefit over placebo in mild-to-moderate Alzheimer's disease (Akhondzadeh et al., 2010), and a comparative trial found saffron non-inferior to memantine in moderate-to-severe disease (Farokhnia et al., 2014). A one-year single-blind trial in mild cognitive impairment reported favourable results (Tsolaki et al., 2016). Meta-analysis of four randomised trials found significant improvement on the cognitive subscale of the Alzheimer's Disease Assessment Scale and on the Clinical Dementia Rating Sum of Boxes, no significant difference from conventional medicines, and no serious adverse events, while concluding explicitly that the limited number of high-quality studies rendered the evidence insufficient for clinical recommendation (Ayati et al., 2020). A broader systematic review across neurological and psychiatric indications reached similar conclusions regarding tolerability and non-inferiority to conventional drugs (Han et al., 2024).</w:t>
      </w:r>
    </w:p>
    <w:p w14:paraId="373EE55F" w14:textId="77777777" w:rsidR="001B357C" w:rsidRDefault="00000000">
      <w:pPr>
        <w:spacing w:after="160" w:line="360" w:lineRule="auto"/>
        <w:jc w:val="both"/>
      </w:pPr>
      <w:r>
        <w:t xml:space="preserve">Consistency of direction across these trials is genuine and should not be dismissed. Its evidential weight is nevertheless limited by the small number of trials, their concentration within a small number of research groups and countries, the single-blind design of the mild cognitive impairment trial, and the absence of replication in an independent multinational </w:t>
      </w:r>
      <w:r>
        <w:lastRenderedPageBreak/>
        <w:t>setting. Non-inferiority to memantine, in particular, is a claim requiring far larger samples than those available before it can carry clinical weight, since a small trial will fail to detect a difference that a large trial would identify.</w:t>
      </w:r>
    </w:p>
    <w:p w14:paraId="02F247E1" w14:textId="77777777" w:rsidR="001B357C" w:rsidRDefault="00000000">
      <w:pPr>
        <w:pStyle w:val="Heading2"/>
        <w:spacing w:before="260" w:after="140" w:line="300" w:lineRule="auto"/>
      </w:pPr>
      <w:r>
        <w:rPr>
          <w:b/>
          <w:bCs/>
          <w:color w:val="000000"/>
        </w:rPr>
        <w:t>5.7 Cholinergically framed candidates: Centella asiatica, Salvia species and Melissa officinalis</w:t>
      </w:r>
    </w:p>
    <w:p w14:paraId="23BC3877" w14:textId="77777777" w:rsidR="001B357C" w:rsidRDefault="00000000">
      <w:pPr>
        <w:spacing w:after="160" w:line="360" w:lineRule="auto"/>
        <w:jc w:val="both"/>
      </w:pPr>
      <w:r>
        <w:t xml:space="preserve">Several taxa are grouped by a shared cholinergic or neuroprotective rationale and by evidence bases too small to support independent conclusions. </w:t>
      </w:r>
      <w:r>
        <w:rPr>
          <w:i/>
          <w:iCs/>
        </w:rPr>
        <w:t>Centella asiatica</w:t>
      </w:r>
      <w:r>
        <w:t xml:space="preserve"> (L.) Urb. has the most rigorous mechanistic development of the group, with detailed phytochemical characterisation, a coherent preclinical account of mitochondrial and antioxidant response mechanisms (Gray et al., 2018; Jiang et al., 2025), and a phase 1 pharmacokinetic and pharmacodynamic study in cognitively impaired older adults demonstrating that triterpene aglycones reach plasma and that a temporal change in antioxidant response gene expression follows administration (Wright et al., 2022). Efficacy evidence has not kept pace: the principal controlled cognitive trial reported positive modulation of cognition and mood in healthy older volunteers (Wattanathorn et al., 2008), and no adequately powered efficacy trial has followed. This constitutes the inverse of the usual problem in the field, with mechanism established in humans and efficacy untested.</w:t>
      </w:r>
    </w:p>
    <w:p w14:paraId="06CEE9C7" w14:textId="77777777" w:rsidR="001B357C" w:rsidRDefault="00000000">
      <w:pPr>
        <w:spacing w:after="160" w:line="360" w:lineRule="auto"/>
        <w:jc w:val="both"/>
      </w:pPr>
      <w:r>
        <w:t xml:space="preserve">Sage preparations present a different profile. Monoterpenoid extract of </w:t>
      </w:r>
      <w:r>
        <w:rPr>
          <w:i/>
          <w:iCs/>
        </w:rPr>
        <w:t>Salvia lavandulifolia</w:t>
      </w:r>
      <w:r>
        <w:t xml:space="preserve"> Vahl improved cognitive performance and mood in healthy adults in a controlled trial, with cholinesterase inhibition proposed as the mechanism (Kennedy et al., 2011), while a later study of a </w:t>
      </w:r>
      <w:r>
        <w:rPr>
          <w:i/>
          <w:iCs/>
        </w:rPr>
        <w:t>Salvia officinalis</w:t>
      </w:r>
      <w:r>
        <w:t xml:space="preserve"> L. extract examined both acute and chronic administration with a different outcome profile (Wightman et al., 2021). These are chemically distinct materials and should not be aggregated. </w:t>
      </w:r>
      <w:r>
        <w:rPr>
          <w:i/>
          <w:iCs/>
        </w:rPr>
        <w:t>Melissa officinalis</w:t>
      </w:r>
      <w:r>
        <w:t xml:space="preserve"> L. was evaluated in a four-month randomised placebo-controlled trial in mild-to-moderate Alzheimer's disease with reported benefit on cognitive outcomes (Akhondzadeh et al., 2003); the trial was small, has not been independently replicated at scale in the subsequent two decades, and the earlier synthesis of European cognition-enhancing herbs that framed this line of work identified the same replication deficit that persists today (Kennedy &amp; Scholey, 2006).</w:t>
      </w:r>
    </w:p>
    <w:p w14:paraId="4AEB38C8" w14:textId="77777777" w:rsidR="001B357C" w:rsidRDefault="00000000">
      <w:pPr>
        <w:pStyle w:val="Heading2"/>
        <w:spacing w:before="260" w:after="140" w:line="300" w:lineRule="auto"/>
      </w:pPr>
      <w:r>
        <w:rPr>
          <w:b/>
          <w:bCs/>
          <w:color w:val="000000"/>
        </w:rPr>
        <w:t>5.8 Huperzia serrata and the single-molecule exception</w:t>
      </w:r>
    </w:p>
    <w:p w14:paraId="3CEE210E" w14:textId="77777777" w:rsidR="001B357C" w:rsidRDefault="00000000">
      <w:pPr>
        <w:spacing w:after="160" w:line="360" w:lineRule="auto"/>
        <w:jc w:val="both"/>
      </w:pPr>
      <w:r>
        <w:rPr>
          <w:i/>
          <w:iCs/>
        </w:rPr>
        <w:t>Huperzia serrata</w:t>
      </w:r>
      <w:r>
        <w:t xml:space="preserve"> (Thunb.) Trevis. warrants separate treatment because the intervention studied is an isolated alkaloid rather than a botanical preparation. Systematic review identified six trials with 454 participants and reported benefits on general cognitive function, global clinical assessment, behavioural disturbance and functional performance, with the authors noting that </w:t>
      </w:r>
      <w:r>
        <w:lastRenderedPageBreak/>
        <w:t>only one study was of adequate quality and size and that the evidence was inadequate to support a recommendation (Li et al., 2008). A later and larger synthesis of twenty trials with 1823 participants reported beneficial effects on cognitive function, daily living activity and global clinical assessment, again with explicit caution regarding the high risk of bias in most included trials (Yang et al., 2013).</w:t>
      </w:r>
    </w:p>
    <w:p w14:paraId="1676EC1B" w14:textId="77777777" w:rsidR="001B357C" w:rsidRDefault="00000000">
      <w:pPr>
        <w:spacing w:after="160" w:line="360" w:lineRule="auto"/>
        <w:jc w:val="both"/>
      </w:pPr>
      <w:r>
        <w:t>Huperzine A is best understood as a pharmaceutical compound of plant origin rather than as evidence for herbal medicine. Its inclusion in reviews of medicinal plants tends to inflate the apparent strength of the botanical evidence base, since its pharmacology, dosing and target engagement are those of a defined drug. The geographical concentration of its trial literature and the quality concerns raised by both reviewing teams temper what would otherwise be the strongest efficacy signal in the field.</w:t>
      </w:r>
    </w:p>
    <w:p w14:paraId="6B4C8F5D" w14:textId="77777777" w:rsidR="001B357C" w:rsidRDefault="00000000">
      <w:pPr>
        <w:pStyle w:val="Heading2"/>
        <w:spacing w:before="260" w:after="140" w:line="300" w:lineRule="auto"/>
      </w:pPr>
      <w:r>
        <w:rPr>
          <w:b/>
          <w:bCs/>
          <w:color w:val="000000"/>
        </w:rPr>
        <w:t>5.9 Camellia sinensis, Rhodiola rosea and preparations with indirect rationales</w:t>
      </w:r>
    </w:p>
    <w:p w14:paraId="7324CE87" w14:textId="77777777" w:rsidR="001B357C" w:rsidRDefault="00000000">
      <w:pPr>
        <w:spacing w:after="160" w:line="360" w:lineRule="auto"/>
        <w:jc w:val="both"/>
      </w:pPr>
      <w:r>
        <w:t xml:space="preserve">Tea constituents and adaptogen-framed preparations complete the picture. Meta-analysis of eleven randomised placebo-controlled studies of L-theanine and epigallocatechin gallate, alone or with caffeine, found moderate effects on alertness and attentional switching accuracy in the first two hours after dosing, with moderator analysis indicating a stronger contribution from caffeine dose than from L-theanine dose (Camfield et al., 2014). Systematic review of green tea and cognition reported broadly consistent acute findings while noting difficulty in isolating constituent contributions (Mancini et al., 2017). </w:t>
      </w:r>
      <w:r>
        <w:rPr>
          <w:i/>
          <w:iCs/>
        </w:rPr>
        <w:t>Rhodiola rosea</w:t>
      </w:r>
      <w:r>
        <w:t xml:space="preserve"> L. has been assessed across eleven randomised placebo-controlled trials covering physical performance, mental performance and mental health conditions, with the reviewers concluding that beneficial effects may exist but that independent replication of individual studies is lacking (Hung et al., 2011); the frequently cited crossover study in physicians on night duty examined mental performance under fatigue rather than cognitive function under ordinary conditions (Darbinyan et al., 2000).</w:t>
      </w:r>
    </w:p>
    <w:p w14:paraId="66141909" w14:textId="77777777" w:rsidR="001B357C" w:rsidRDefault="00000000">
      <w:pPr>
        <w:spacing w:after="160" w:line="360" w:lineRule="auto"/>
        <w:jc w:val="both"/>
      </w:pPr>
      <w:r>
        <w:t>Neither line of evidence supports a claim of cognitive enhancement in the sense that matters for cognitive health. Acute alertness effects attributable substantially to caffeine, and performance preservation under acute fatigue, are pharmacologically real and practically useful, but they bear no established relationship to the trajectory of cognitive ageing. Their frequent inclusion in reviews of cognition-enhancing plants contributes to the impression of a larger supportive literature than actually exists for the outcomes of clinical concern.</w:t>
      </w:r>
    </w:p>
    <w:p w14:paraId="2C11622F" w14:textId="77777777" w:rsidR="001B357C" w:rsidRDefault="00000000">
      <w:pPr>
        <w:spacing w:after="160" w:line="360" w:lineRule="auto"/>
        <w:jc w:val="both"/>
      </w:pPr>
      <w:r>
        <w:t xml:space="preserve">Table 3 assembles the species-level evidence appraised above, identifying for each taxon the strongest available human evidence, its direction, and the principal factor limiting confidence. </w:t>
      </w:r>
      <w:r>
        <w:lastRenderedPageBreak/>
        <w:t>Read across rows, the table shows that the strength of evidence and the strength of public claim are close to inversely related in several cases, and that no taxon currently satisfies the combination of adequate sample size, independent multinational replication, demonstrated target engagement and full extract characterisation.</w:t>
      </w:r>
    </w:p>
    <w:p w14:paraId="31F07ED7" w14:textId="77777777" w:rsidR="001B357C" w:rsidRDefault="00000000">
      <w:pPr>
        <w:spacing w:before="200" w:after="100" w:line="280" w:lineRule="auto"/>
      </w:pPr>
      <w:r>
        <w:rPr>
          <w:b/>
          <w:bCs/>
          <w:sz w:val="22"/>
          <w:szCs w:val="22"/>
        </w:rPr>
        <w:t>Table 3. Representative human evidence by taxon, with direction of effect and principal limitation</w:t>
      </w:r>
    </w:p>
    <w:tbl>
      <w:tblPr>
        <w:tblW w:w="9020" w:type="dxa"/>
        <w:tblBorders>
          <w:top w:val="single" w:sz="4" w:space="0" w:color="000000"/>
          <w:left w:val="single" w:sz="4" w:space="0" w:color="000000"/>
          <w:bottom w:val="single" w:sz="4" w:space="0" w:color="000000"/>
          <w:right w:val="single" w:sz="4" w:space="0" w:color="000000"/>
          <w:insideH w:val="single" w:sz="2" w:space="0" w:color="808080"/>
          <w:insideV w:val="single" w:sz="2" w:space="0" w:color="808080"/>
        </w:tblBorders>
        <w:tblCellMar>
          <w:left w:w="10" w:type="dxa"/>
          <w:right w:w="10" w:type="dxa"/>
        </w:tblCellMar>
        <w:tblLook w:val="0000" w:firstRow="0" w:lastRow="0" w:firstColumn="0" w:lastColumn="0" w:noHBand="0" w:noVBand="0"/>
      </w:tblPr>
      <w:tblGrid>
        <w:gridCol w:w="1804"/>
        <w:gridCol w:w="1804"/>
        <w:gridCol w:w="1804"/>
        <w:gridCol w:w="1804"/>
        <w:gridCol w:w="1804"/>
      </w:tblGrid>
      <w:tr w:rsidR="001B357C" w14:paraId="4E3136D5" w14:textId="77777777">
        <w:trPr>
          <w:tblHeader/>
        </w:trPr>
        <w:tc>
          <w:tcPr>
            <w:tcW w:w="1804" w:type="dxa"/>
            <w:shd w:val="clear" w:color="auto" w:fill="E8E8E8"/>
            <w:tcMar>
              <w:top w:w="60" w:type="dxa"/>
              <w:left w:w="90" w:type="dxa"/>
              <w:bottom w:w="60" w:type="dxa"/>
              <w:right w:w="90" w:type="dxa"/>
            </w:tcMar>
          </w:tcPr>
          <w:p w14:paraId="723EC8CE" w14:textId="77777777" w:rsidR="001B357C" w:rsidRDefault="00000000">
            <w:pPr>
              <w:spacing w:before="40" w:after="40"/>
            </w:pPr>
            <w:r>
              <w:rPr>
                <w:b/>
                <w:bCs/>
                <w:sz w:val="19"/>
                <w:szCs w:val="19"/>
              </w:rPr>
              <w:t>Taxon and preparation</w:t>
            </w:r>
          </w:p>
        </w:tc>
        <w:tc>
          <w:tcPr>
            <w:tcW w:w="1804" w:type="dxa"/>
            <w:shd w:val="clear" w:color="auto" w:fill="E8E8E8"/>
            <w:tcMar>
              <w:top w:w="60" w:type="dxa"/>
              <w:left w:w="90" w:type="dxa"/>
              <w:bottom w:w="60" w:type="dxa"/>
              <w:right w:w="90" w:type="dxa"/>
            </w:tcMar>
          </w:tcPr>
          <w:p w14:paraId="6DAA8AB5" w14:textId="77777777" w:rsidR="001B357C" w:rsidRDefault="00000000">
            <w:pPr>
              <w:spacing w:before="40" w:after="40"/>
            </w:pPr>
            <w:r>
              <w:rPr>
                <w:b/>
                <w:bCs/>
                <w:sz w:val="19"/>
                <w:szCs w:val="19"/>
              </w:rPr>
              <w:t>Population and strongest design available</w:t>
            </w:r>
          </w:p>
        </w:tc>
        <w:tc>
          <w:tcPr>
            <w:tcW w:w="1804" w:type="dxa"/>
            <w:shd w:val="clear" w:color="auto" w:fill="E8E8E8"/>
            <w:tcMar>
              <w:top w:w="60" w:type="dxa"/>
              <w:left w:w="90" w:type="dxa"/>
              <w:bottom w:w="60" w:type="dxa"/>
              <w:right w:w="90" w:type="dxa"/>
            </w:tcMar>
          </w:tcPr>
          <w:p w14:paraId="429835F8" w14:textId="77777777" w:rsidR="001B357C" w:rsidRDefault="00000000">
            <w:pPr>
              <w:spacing w:before="40" w:after="40"/>
            </w:pPr>
            <w:r>
              <w:rPr>
                <w:b/>
                <w:bCs/>
                <w:sz w:val="19"/>
                <w:szCs w:val="19"/>
              </w:rPr>
              <w:t>Direction of principal finding</w:t>
            </w:r>
          </w:p>
        </w:tc>
        <w:tc>
          <w:tcPr>
            <w:tcW w:w="1804" w:type="dxa"/>
            <w:shd w:val="clear" w:color="auto" w:fill="E8E8E8"/>
            <w:tcMar>
              <w:top w:w="60" w:type="dxa"/>
              <w:left w:w="90" w:type="dxa"/>
              <w:bottom w:w="60" w:type="dxa"/>
              <w:right w:w="90" w:type="dxa"/>
            </w:tcMar>
          </w:tcPr>
          <w:p w14:paraId="645B3A71" w14:textId="77777777" w:rsidR="001B357C" w:rsidRDefault="00000000">
            <w:pPr>
              <w:spacing w:before="40" w:after="40"/>
            </w:pPr>
            <w:r>
              <w:rPr>
                <w:b/>
                <w:bCs/>
                <w:sz w:val="19"/>
                <w:szCs w:val="19"/>
              </w:rPr>
              <w:t>Principal factor limiting confidence</w:t>
            </w:r>
          </w:p>
        </w:tc>
        <w:tc>
          <w:tcPr>
            <w:tcW w:w="1804" w:type="dxa"/>
            <w:shd w:val="clear" w:color="auto" w:fill="E8E8E8"/>
            <w:tcMar>
              <w:top w:w="60" w:type="dxa"/>
              <w:left w:w="90" w:type="dxa"/>
              <w:bottom w:w="60" w:type="dxa"/>
              <w:right w:w="90" w:type="dxa"/>
            </w:tcMar>
          </w:tcPr>
          <w:p w14:paraId="1ADDE89B" w14:textId="77777777" w:rsidR="001B357C" w:rsidRDefault="00000000">
            <w:pPr>
              <w:spacing w:before="40" w:after="40"/>
            </w:pPr>
            <w:r>
              <w:rPr>
                <w:b/>
                <w:bCs/>
                <w:sz w:val="19"/>
                <w:szCs w:val="19"/>
              </w:rPr>
              <w:t>Supporting references</w:t>
            </w:r>
          </w:p>
        </w:tc>
      </w:tr>
      <w:tr w:rsidR="001B357C" w14:paraId="22E41B0A" w14:textId="77777777">
        <w:tc>
          <w:tcPr>
            <w:tcW w:w="1804" w:type="dxa"/>
            <w:tcMar>
              <w:top w:w="60" w:type="dxa"/>
              <w:left w:w="90" w:type="dxa"/>
              <w:bottom w:w="60" w:type="dxa"/>
              <w:right w:w="90" w:type="dxa"/>
            </w:tcMar>
          </w:tcPr>
          <w:p w14:paraId="51116FE1" w14:textId="77777777" w:rsidR="001B357C" w:rsidRDefault="00000000">
            <w:pPr>
              <w:spacing w:before="40" w:after="40"/>
            </w:pPr>
            <w:r>
              <w:rPr>
                <w:i/>
                <w:iCs/>
                <w:sz w:val="19"/>
                <w:szCs w:val="19"/>
              </w:rPr>
              <w:t>Ginkgo biloba</w:t>
            </w:r>
            <w:r>
              <w:rPr>
                <w:sz w:val="19"/>
                <w:szCs w:val="19"/>
              </w:rPr>
              <w:t xml:space="preserve"> L. (standardised leaf extract)</w:t>
            </w:r>
          </w:p>
        </w:tc>
        <w:tc>
          <w:tcPr>
            <w:tcW w:w="1804" w:type="dxa"/>
            <w:tcMar>
              <w:top w:w="60" w:type="dxa"/>
              <w:left w:w="90" w:type="dxa"/>
              <w:bottom w:w="60" w:type="dxa"/>
              <w:right w:w="90" w:type="dxa"/>
            </w:tcMar>
          </w:tcPr>
          <w:p w14:paraId="24FDF729" w14:textId="77777777" w:rsidR="001B357C" w:rsidRDefault="00000000">
            <w:pPr>
              <w:spacing w:before="40" w:after="40"/>
            </w:pPr>
            <w:r>
              <w:rPr>
                <w:sz w:val="19"/>
                <w:szCs w:val="19"/>
              </w:rPr>
              <w:t>Prevention trials with 2854 and 3069 participants over 5 to 6 years; systematic review of 82 studies with 10,613 participants</w:t>
            </w:r>
          </w:p>
        </w:tc>
        <w:tc>
          <w:tcPr>
            <w:tcW w:w="1804" w:type="dxa"/>
            <w:tcMar>
              <w:top w:w="60" w:type="dxa"/>
              <w:left w:w="90" w:type="dxa"/>
              <w:bottom w:w="60" w:type="dxa"/>
              <w:right w:w="90" w:type="dxa"/>
            </w:tcMar>
          </w:tcPr>
          <w:p w14:paraId="3DFFB35D" w14:textId="77777777" w:rsidR="001B357C" w:rsidRDefault="00000000">
            <w:pPr>
              <w:spacing w:before="40" w:after="40"/>
            </w:pPr>
            <w:r>
              <w:rPr>
                <w:sz w:val="19"/>
                <w:szCs w:val="19"/>
              </w:rPr>
              <w:t>Null for prevention and for mild cognitive impairment; small to moderate benefit in dementia at 6 months</w:t>
            </w:r>
          </w:p>
        </w:tc>
        <w:tc>
          <w:tcPr>
            <w:tcW w:w="1804" w:type="dxa"/>
            <w:tcMar>
              <w:top w:w="60" w:type="dxa"/>
              <w:left w:w="90" w:type="dxa"/>
              <w:bottom w:w="60" w:type="dxa"/>
              <w:right w:w="90" w:type="dxa"/>
            </w:tcMar>
          </w:tcPr>
          <w:p w14:paraId="1590DDF7" w14:textId="77777777" w:rsidR="001B357C" w:rsidRDefault="00000000">
            <w:pPr>
              <w:spacing w:before="40" w:after="40"/>
            </w:pPr>
            <w:r>
              <w:rPr>
                <w:sz w:val="19"/>
                <w:szCs w:val="19"/>
              </w:rPr>
              <w:t>Very high heterogeneity and low certainty for the dementia estimate; manufacturer affiliation in the most favourable pooled analysis</w:t>
            </w:r>
          </w:p>
        </w:tc>
        <w:tc>
          <w:tcPr>
            <w:tcW w:w="1804" w:type="dxa"/>
            <w:tcMar>
              <w:top w:w="60" w:type="dxa"/>
              <w:left w:w="90" w:type="dxa"/>
              <w:bottom w:w="60" w:type="dxa"/>
              <w:right w:w="90" w:type="dxa"/>
            </w:tcMar>
          </w:tcPr>
          <w:p w14:paraId="71A004C6" w14:textId="77777777" w:rsidR="001B357C" w:rsidRDefault="00000000">
            <w:pPr>
              <w:spacing w:before="40" w:after="40"/>
            </w:pPr>
            <w:r w:rsidRPr="0056258C">
              <w:rPr>
                <w:sz w:val="19"/>
                <w:szCs w:val="19"/>
                <w:lang w:val="nl-BE"/>
              </w:rPr>
              <w:t xml:space="preserve">DeKosky et al. (2008); Riepe et al. (2025); Snitz et al. (2009); Vellas et al. </w:t>
            </w:r>
            <w:r>
              <w:rPr>
                <w:sz w:val="19"/>
                <w:szCs w:val="19"/>
              </w:rPr>
              <w:t>(2012); Wieland et al. (2026)</w:t>
            </w:r>
          </w:p>
        </w:tc>
      </w:tr>
      <w:tr w:rsidR="001B357C" w14:paraId="3D096DDC" w14:textId="77777777">
        <w:tc>
          <w:tcPr>
            <w:tcW w:w="1804" w:type="dxa"/>
            <w:tcMar>
              <w:top w:w="60" w:type="dxa"/>
              <w:left w:w="90" w:type="dxa"/>
              <w:bottom w:w="60" w:type="dxa"/>
              <w:right w:w="90" w:type="dxa"/>
            </w:tcMar>
          </w:tcPr>
          <w:p w14:paraId="23EE12E5" w14:textId="77777777" w:rsidR="001B357C" w:rsidRDefault="00000000">
            <w:pPr>
              <w:spacing w:before="40" w:after="40"/>
            </w:pPr>
            <w:r>
              <w:rPr>
                <w:i/>
                <w:iCs/>
                <w:sz w:val="19"/>
                <w:szCs w:val="19"/>
              </w:rPr>
              <w:t>Bacopa monnieri</w:t>
            </w:r>
            <w:r>
              <w:rPr>
                <w:sz w:val="19"/>
                <w:szCs w:val="19"/>
              </w:rPr>
              <w:t xml:space="preserve"> (L.) Wettst. (bacoside-standardised extract)</w:t>
            </w:r>
          </w:p>
        </w:tc>
        <w:tc>
          <w:tcPr>
            <w:tcW w:w="1804" w:type="dxa"/>
            <w:tcMar>
              <w:top w:w="60" w:type="dxa"/>
              <w:left w:w="90" w:type="dxa"/>
              <w:bottom w:w="60" w:type="dxa"/>
              <w:right w:w="90" w:type="dxa"/>
            </w:tcMar>
          </w:tcPr>
          <w:p w14:paraId="7F57A0DF" w14:textId="77777777" w:rsidR="001B357C" w:rsidRDefault="00000000">
            <w:pPr>
              <w:spacing w:before="40" w:after="40"/>
            </w:pPr>
            <w:r>
              <w:rPr>
                <w:sz w:val="19"/>
                <w:szCs w:val="19"/>
              </w:rPr>
              <w:t>Meta-analysis of 9 trials with 518 participants; recent 12-week trial with 101 participants randomised</w:t>
            </w:r>
          </w:p>
        </w:tc>
        <w:tc>
          <w:tcPr>
            <w:tcW w:w="1804" w:type="dxa"/>
            <w:tcMar>
              <w:top w:w="60" w:type="dxa"/>
              <w:left w:w="90" w:type="dxa"/>
              <w:bottom w:w="60" w:type="dxa"/>
              <w:right w:w="90" w:type="dxa"/>
            </w:tcMar>
          </w:tcPr>
          <w:p w14:paraId="5FC3885D" w14:textId="77777777" w:rsidR="001B357C" w:rsidRDefault="00000000">
            <w:pPr>
              <w:spacing w:before="40" w:after="40"/>
            </w:pPr>
            <w:r>
              <w:rPr>
                <w:sz w:val="19"/>
                <w:szCs w:val="19"/>
              </w:rPr>
              <w:t>Benefit on processing speed and attention in pooled analysis; null primary cognitive outcome in the most recent trial</w:t>
            </w:r>
          </w:p>
        </w:tc>
        <w:tc>
          <w:tcPr>
            <w:tcW w:w="1804" w:type="dxa"/>
            <w:tcMar>
              <w:top w:w="60" w:type="dxa"/>
              <w:left w:w="90" w:type="dxa"/>
              <w:bottom w:w="60" w:type="dxa"/>
              <w:right w:w="90" w:type="dxa"/>
            </w:tcMar>
          </w:tcPr>
          <w:p w14:paraId="6B5353A4" w14:textId="77777777" w:rsidR="001B357C" w:rsidRDefault="00000000">
            <w:pPr>
              <w:spacing w:before="40" w:after="40"/>
            </w:pPr>
            <w:r>
              <w:rPr>
                <w:sz w:val="19"/>
                <w:szCs w:val="19"/>
              </w:rPr>
              <w:t>Small individual trials; memory domain less consistently affected than marketing implies</w:t>
            </w:r>
          </w:p>
        </w:tc>
        <w:tc>
          <w:tcPr>
            <w:tcW w:w="1804" w:type="dxa"/>
            <w:tcMar>
              <w:top w:w="60" w:type="dxa"/>
              <w:left w:w="90" w:type="dxa"/>
              <w:bottom w:w="60" w:type="dxa"/>
              <w:right w:w="90" w:type="dxa"/>
            </w:tcMar>
          </w:tcPr>
          <w:p w14:paraId="76BC9E14" w14:textId="40DC6878" w:rsidR="001B357C" w:rsidRDefault="00000000">
            <w:pPr>
              <w:spacing w:before="40" w:after="40"/>
            </w:pPr>
            <w:r w:rsidRPr="0056258C">
              <w:rPr>
                <w:sz w:val="19"/>
                <w:szCs w:val="19"/>
                <w:lang w:val="nl-BE"/>
              </w:rPr>
              <w:t>Downey et al. (2013); Feng et al. (202</w:t>
            </w:r>
            <w:r w:rsidR="0056258C">
              <w:rPr>
                <w:sz w:val="19"/>
                <w:szCs w:val="19"/>
                <w:lang w:val="nl-BE"/>
              </w:rPr>
              <w:t>6</w:t>
            </w:r>
            <w:r w:rsidRPr="0056258C">
              <w:rPr>
                <w:sz w:val="19"/>
                <w:szCs w:val="19"/>
                <w:lang w:val="nl-BE"/>
              </w:rPr>
              <w:t xml:space="preserve">); Kongkeaw et al. (2014); Lopresti &amp; Smith (2025); Pase et al. </w:t>
            </w:r>
            <w:r>
              <w:rPr>
                <w:sz w:val="19"/>
                <w:szCs w:val="19"/>
              </w:rPr>
              <w:t>(2012)</w:t>
            </w:r>
          </w:p>
        </w:tc>
      </w:tr>
      <w:tr w:rsidR="001B357C" w14:paraId="2B483D73" w14:textId="77777777">
        <w:tc>
          <w:tcPr>
            <w:tcW w:w="1804" w:type="dxa"/>
            <w:tcMar>
              <w:top w:w="60" w:type="dxa"/>
              <w:left w:w="90" w:type="dxa"/>
              <w:bottom w:w="60" w:type="dxa"/>
              <w:right w:w="90" w:type="dxa"/>
            </w:tcMar>
          </w:tcPr>
          <w:p w14:paraId="2DC86FDC" w14:textId="77777777" w:rsidR="001B357C" w:rsidRDefault="00000000">
            <w:pPr>
              <w:spacing w:before="40" w:after="40"/>
            </w:pPr>
            <w:r>
              <w:rPr>
                <w:i/>
                <w:iCs/>
                <w:sz w:val="19"/>
                <w:szCs w:val="19"/>
              </w:rPr>
              <w:t>Withania somnifera</w:t>
            </w:r>
            <w:r>
              <w:rPr>
                <w:sz w:val="19"/>
                <w:szCs w:val="19"/>
              </w:rPr>
              <w:t xml:space="preserve"> (L.) Dunal (withanolide- or sominone-standardised extract)</w:t>
            </w:r>
          </w:p>
        </w:tc>
        <w:tc>
          <w:tcPr>
            <w:tcW w:w="1804" w:type="dxa"/>
            <w:tcMar>
              <w:top w:w="60" w:type="dxa"/>
              <w:left w:w="90" w:type="dxa"/>
              <w:bottom w:w="60" w:type="dxa"/>
              <w:right w:w="90" w:type="dxa"/>
            </w:tcMar>
          </w:tcPr>
          <w:p w14:paraId="7D7803B7" w14:textId="77777777" w:rsidR="001B357C" w:rsidRDefault="00000000">
            <w:pPr>
              <w:spacing w:before="40" w:after="40"/>
            </w:pPr>
            <w:r>
              <w:rPr>
                <w:sz w:val="19"/>
                <w:szCs w:val="19"/>
              </w:rPr>
              <w:t>Systematic review of 5 clinical studies; pilot trial with 40 participants in mild cognitive impairment</w:t>
            </w:r>
          </w:p>
        </w:tc>
        <w:tc>
          <w:tcPr>
            <w:tcW w:w="1804" w:type="dxa"/>
            <w:tcMar>
              <w:top w:w="60" w:type="dxa"/>
              <w:left w:w="90" w:type="dxa"/>
              <w:bottom w:w="60" w:type="dxa"/>
              <w:right w:w="90" w:type="dxa"/>
            </w:tcMar>
          </w:tcPr>
          <w:p w14:paraId="0033778C" w14:textId="77777777" w:rsidR="001B357C" w:rsidRDefault="00000000">
            <w:pPr>
              <w:spacing w:before="40" w:after="40"/>
            </w:pPr>
            <w:r>
              <w:rPr>
                <w:sz w:val="19"/>
                <w:szCs w:val="19"/>
              </w:rPr>
              <w:t>Benefit on attention, executive function and memory measures across small trials</w:t>
            </w:r>
          </w:p>
        </w:tc>
        <w:tc>
          <w:tcPr>
            <w:tcW w:w="1804" w:type="dxa"/>
            <w:tcMar>
              <w:top w:w="60" w:type="dxa"/>
              <w:left w:w="90" w:type="dxa"/>
              <w:bottom w:w="60" w:type="dxa"/>
              <w:right w:w="90" w:type="dxa"/>
            </w:tcMar>
          </w:tcPr>
          <w:p w14:paraId="517DF745" w14:textId="77777777" w:rsidR="001B357C" w:rsidRDefault="00000000">
            <w:pPr>
              <w:spacing w:before="40" w:after="40"/>
            </w:pPr>
            <w:r>
              <w:rPr>
                <w:sz w:val="19"/>
                <w:szCs w:val="19"/>
              </w:rPr>
              <w:t>Very small samples; clinically disparate populations pooled; standardisation markers not interchangeable</w:t>
            </w:r>
          </w:p>
        </w:tc>
        <w:tc>
          <w:tcPr>
            <w:tcW w:w="1804" w:type="dxa"/>
            <w:tcMar>
              <w:top w:w="60" w:type="dxa"/>
              <w:left w:w="90" w:type="dxa"/>
              <w:bottom w:w="60" w:type="dxa"/>
              <w:right w:w="90" w:type="dxa"/>
            </w:tcMar>
          </w:tcPr>
          <w:p w14:paraId="688401DC" w14:textId="77777777" w:rsidR="001B357C" w:rsidRDefault="00000000">
            <w:pPr>
              <w:spacing w:before="40" w:after="40"/>
            </w:pPr>
            <w:r w:rsidRPr="0056258C">
              <w:rPr>
                <w:sz w:val="19"/>
                <w:szCs w:val="19"/>
                <w:lang w:val="nl-BE"/>
              </w:rPr>
              <w:t xml:space="preserve">Choudhary et al. (2017); Ng et al. </w:t>
            </w:r>
            <w:r>
              <w:rPr>
                <w:sz w:val="19"/>
                <w:szCs w:val="19"/>
              </w:rPr>
              <w:t>(2020); Rai &amp; Mishra (2025); Tandon &amp; Yadav (2020)</w:t>
            </w:r>
          </w:p>
        </w:tc>
      </w:tr>
      <w:tr w:rsidR="001B357C" w14:paraId="7710278F" w14:textId="77777777">
        <w:tc>
          <w:tcPr>
            <w:tcW w:w="1804" w:type="dxa"/>
            <w:tcMar>
              <w:top w:w="60" w:type="dxa"/>
              <w:left w:w="90" w:type="dxa"/>
              <w:bottom w:w="60" w:type="dxa"/>
              <w:right w:w="90" w:type="dxa"/>
            </w:tcMar>
          </w:tcPr>
          <w:p w14:paraId="0D6A272B" w14:textId="77777777" w:rsidR="001B357C" w:rsidRDefault="00000000">
            <w:pPr>
              <w:spacing w:before="40" w:after="40"/>
            </w:pPr>
            <w:r>
              <w:rPr>
                <w:i/>
                <w:iCs/>
                <w:sz w:val="19"/>
                <w:szCs w:val="19"/>
              </w:rPr>
              <w:t>Curcuma longa</w:t>
            </w:r>
            <w:r>
              <w:rPr>
                <w:sz w:val="19"/>
                <w:szCs w:val="19"/>
              </w:rPr>
              <w:t xml:space="preserve"> L. (curcuminoid preparations)</w:t>
            </w:r>
          </w:p>
        </w:tc>
        <w:tc>
          <w:tcPr>
            <w:tcW w:w="1804" w:type="dxa"/>
            <w:tcMar>
              <w:top w:w="60" w:type="dxa"/>
              <w:left w:w="90" w:type="dxa"/>
              <w:bottom w:w="60" w:type="dxa"/>
              <w:right w:w="90" w:type="dxa"/>
            </w:tcMar>
          </w:tcPr>
          <w:p w14:paraId="3C6D4D8D" w14:textId="77777777" w:rsidR="001B357C" w:rsidRDefault="00000000">
            <w:pPr>
              <w:spacing w:before="40" w:after="40"/>
            </w:pPr>
            <w:r>
              <w:rPr>
                <w:sz w:val="19"/>
                <w:szCs w:val="19"/>
              </w:rPr>
              <w:t>18-month trial with 40 participants and imaging substudy; 24-week trial in Alzheimer's disease</w:t>
            </w:r>
          </w:p>
        </w:tc>
        <w:tc>
          <w:tcPr>
            <w:tcW w:w="1804" w:type="dxa"/>
            <w:tcMar>
              <w:top w:w="60" w:type="dxa"/>
              <w:left w:w="90" w:type="dxa"/>
              <w:bottom w:w="60" w:type="dxa"/>
              <w:right w:w="90" w:type="dxa"/>
            </w:tcMar>
          </w:tcPr>
          <w:p w14:paraId="4844E527" w14:textId="77777777" w:rsidR="001B357C" w:rsidRDefault="00000000">
            <w:pPr>
              <w:spacing w:before="40" w:after="40"/>
            </w:pPr>
            <w:r>
              <w:rPr>
                <w:sz w:val="19"/>
                <w:szCs w:val="19"/>
              </w:rPr>
              <w:t>Benefit with bioavailability-enhanced formulations; null with conventional curcuminoid complex and low measured plasma exposure</w:t>
            </w:r>
          </w:p>
        </w:tc>
        <w:tc>
          <w:tcPr>
            <w:tcW w:w="1804" w:type="dxa"/>
            <w:tcMar>
              <w:top w:w="60" w:type="dxa"/>
              <w:left w:w="90" w:type="dxa"/>
              <w:bottom w:w="60" w:type="dxa"/>
              <w:right w:w="90" w:type="dxa"/>
            </w:tcMar>
          </w:tcPr>
          <w:p w14:paraId="1617D539" w14:textId="77777777" w:rsidR="001B357C" w:rsidRDefault="00000000">
            <w:pPr>
              <w:spacing w:before="40" w:after="40"/>
            </w:pPr>
            <w:r>
              <w:rPr>
                <w:sz w:val="19"/>
                <w:szCs w:val="19"/>
              </w:rPr>
              <w:t>Small samples with multiple outcomes; central mechanism unestablished; documented assay interference for curcuminoids</w:t>
            </w:r>
          </w:p>
        </w:tc>
        <w:tc>
          <w:tcPr>
            <w:tcW w:w="1804" w:type="dxa"/>
            <w:tcMar>
              <w:top w:w="60" w:type="dxa"/>
              <w:left w:w="90" w:type="dxa"/>
              <w:bottom w:w="60" w:type="dxa"/>
              <w:right w:w="90" w:type="dxa"/>
            </w:tcMar>
          </w:tcPr>
          <w:p w14:paraId="2B5BAD32" w14:textId="77777777" w:rsidR="001B357C" w:rsidRDefault="00000000">
            <w:pPr>
              <w:spacing w:before="40" w:after="40"/>
            </w:pPr>
            <w:r w:rsidRPr="0056258C">
              <w:rPr>
                <w:sz w:val="19"/>
                <w:szCs w:val="19"/>
                <w:lang w:val="nl-BE"/>
              </w:rPr>
              <w:t xml:space="preserve">Cox et al. (2015); Cox et al. (2020); Nelson et al. (2017); Ringman et al. </w:t>
            </w:r>
            <w:r>
              <w:rPr>
                <w:sz w:val="19"/>
                <w:szCs w:val="19"/>
              </w:rPr>
              <w:t>(2012); Small et al. (2018)</w:t>
            </w:r>
          </w:p>
        </w:tc>
      </w:tr>
      <w:tr w:rsidR="001B357C" w14:paraId="21870DE2" w14:textId="77777777">
        <w:tc>
          <w:tcPr>
            <w:tcW w:w="1804" w:type="dxa"/>
            <w:tcMar>
              <w:top w:w="60" w:type="dxa"/>
              <w:left w:w="90" w:type="dxa"/>
              <w:bottom w:w="60" w:type="dxa"/>
              <w:right w:w="90" w:type="dxa"/>
            </w:tcMar>
          </w:tcPr>
          <w:p w14:paraId="41CA9555" w14:textId="77777777" w:rsidR="001B357C" w:rsidRDefault="00000000">
            <w:pPr>
              <w:spacing w:before="40" w:after="40"/>
            </w:pPr>
            <w:r>
              <w:rPr>
                <w:i/>
                <w:iCs/>
                <w:sz w:val="19"/>
                <w:szCs w:val="19"/>
              </w:rPr>
              <w:t>Panax ginseng</w:t>
            </w:r>
            <w:r>
              <w:rPr>
                <w:sz w:val="19"/>
                <w:szCs w:val="19"/>
              </w:rPr>
              <w:t xml:space="preserve"> C.A.Mey.</w:t>
            </w:r>
          </w:p>
        </w:tc>
        <w:tc>
          <w:tcPr>
            <w:tcW w:w="1804" w:type="dxa"/>
            <w:tcMar>
              <w:top w:w="60" w:type="dxa"/>
              <w:left w:w="90" w:type="dxa"/>
              <w:bottom w:w="60" w:type="dxa"/>
              <w:right w:w="90" w:type="dxa"/>
            </w:tcMar>
          </w:tcPr>
          <w:p w14:paraId="13CFA570" w14:textId="77777777" w:rsidR="001B357C" w:rsidRDefault="00000000">
            <w:pPr>
              <w:spacing w:before="40" w:after="40"/>
            </w:pPr>
            <w:r>
              <w:rPr>
                <w:sz w:val="19"/>
                <w:szCs w:val="19"/>
              </w:rPr>
              <w:t>Systematic review unable to pool 9 trials; later meta-analyses of 15 trials with 671 participants and of 8 trials in impaired populations</w:t>
            </w:r>
          </w:p>
        </w:tc>
        <w:tc>
          <w:tcPr>
            <w:tcW w:w="1804" w:type="dxa"/>
            <w:tcMar>
              <w:top w:w="60" w:type="dxa"/>
              <w:left w:w="90" w:type="dxa"/>
              <w:bottom w:w="60" w:type="dxa"/>
              <w:right w:w="90" w:type="dxa"/>
            </w:tcMar>
          </w:tcPr>
          <w:p w14:paraId="200A7F13" w14:textId="77777777" w:rsidR="001B357C" w:rsidRDefault="00000000">
            <w:pPr>
              <w:spacing w:before="40" w:after="40"/>
            </w:pPr>
            <w:r>
              <w:rPr>
                <w:sz w:val="19"/>
                <w:szCs w:val="19"/>
              </w:rPr>
              <w:t>Small benefit on memory and on scale scores in impaired populations; no effect on attention or executive function</w:t>
            </w:r>
          </w:p>
        </w:tc>
        <w:tc>
          <w:tcPr>
            <w:tcW w:w="1804" w:type="dxa"/>
            <w:tcMar>
              <w:top w:w="60" w:type="dxa"/>
              <w:left w:w="90" w:type="dxa"/>
              <w:bottom w:w="60" w:type="dxa"/>
              <w:right w:w="90" w:type="dxa"/>
            </w:tcMar>
          </w:tcPr>
          <w:p w14:paraId="4DB9B705" w14:textId="77777777" w:rsidR="001B357C" w:rsidRDefault="00000000">
            <w:pPr>
              <w:spacing w:before="40" w:after="40"/>
            </w:pPr>
            <w:r>
              <w:rPr>
                <w:sz w:val="19"/>
                <w:szCs w:val="19"/>
              </w:rPr>
              <w:t>Clinically heterogeneous populations pooled; substantial statistical heterogeneity; geographical concentration of trials</w:t>
            </w:r>
          </w:p>
        </w:tc>
        <w:tc>
          <w:tcPr>
            <w:tcW w:w="1804" w:type="dxa"/>
            <w:tcMar>
              <w:top w:w="60" w:type="dxa"/>
              <w:left w:w="90" w:type="dxa"/>
              <w:bottom w:w="60" w:type="dxa"/>
              <w:right w:w="90" w:type="dxa"/>
            </w:tcMar>
          </w:tcPr>
          <w:p w14:paraId="68AF20B7" w14:textId="77777777" w:rsidR="001B357C" w:rsidRDefault="00000000">
            <w:pPr>
              <w:spacing w:before="40" w:after="40"/>
            </w:pPr>
            <w:r w:rsidRPr="0056258C">
              <w:rPr>
                <w:sz w:val="19"/>
                <w:szCs w:val="19"/>
                <w:lang w:val="nl-BE"/>
              </w:rPr>
              <w:t xml:space="preserve">Geng et al. (2010); Kim et al. (2025); Vickers et al. (1998); Zeng et al. </w:t>
            </w:r>
            <w:r>
              <w:rPr>
                <w:sz w:val="19"/>
                <w:szCs w:val="19"/>
              </w:rPr>
              <w:t>(2024)</w:t>
            </w:r>
          </w:p>
        </w:tc>
      </w:tr>
      <w:tr w:rsidR="001B357C" w14:paraId="688877CE" w14:textId="77777777">
        <w:tc>
          <w:tcPr>
            <w:tcW w:w="1804" w:type="dxa"/>
            <w:tcMar>
              <w:top w:w="60" w:type="dxa"/>
              <w:left w:w="90" w:type="dxa"/>
              <w:bottom w:w="60" w:type="dxa"/>
              <w:right w:w="90" w:type="dxa"/>
            </w:tcMar>
          </w:tcPr>
          <w:p w14:paraId="552C652D" w14:textId="77777777" w:rsidR="001B357C" w:rsidRDefault="00000000">
            <w:pPr>
              <w:spacing w:before="40" w:after="40"/>
            </w:pPr>
            <w:r>
              <w:rPr>
                <w:i/>
                <w:iCs/>
                <w:sz w:val="19"/>
                <w:szCs w:val="19"/>
              </w:rPr>
              <w:t>Crocus sativus</w:t>
            </w:r>
            <w:r>
              <w:rPr>
                <w:sz w:val="19"/>
                <w:szCs w:val="19"/>
              </w:rPr>
              <w:t xml:space="preserve"> L. (stigma extract)</w:t>
            </w:r>
          </w:p>
        </w:tc>
        <w:tc>
          <w:tcPr>
            <w:tcW w:w="1804" w:type="dxa"/>
            <w:tcMar>
              <w:top w:w="60" w:type="dxa"/>
              <w:left w:w="90" w:type="dxa"/>
              <w:bottom w:w="60" w:type="dxa"/>
              <w:right w:w="90" w:type="dxa"/>
            </w:tcMar>
          </w:tcPr>
          <w:p w14:paraId="23325387" w14:textId="77777777" w:rsidR="001B357C" w:rsidRDefault="00000000">
            <w:pPr>
              <w:spacing w:before="40" w:after="40"/>
            </w:pPr>
            <w:r>
              <w:rPr>
                <w:sz w:val="19"/>
                <w:szCs w:val="19"/>
              </w:rPr>
              <w:t xml:space="preserve">Meta-analysis of 4 randomised trials; comparative trial against memantine; </w:t>
            </w:r>
            <w:r>
              <w:rPr>
                <w:sz w:val="19"/>
                <w:szCs w:val="19"/>
              </w:rPr>
              <w:lastRenderedPageBreak/>
              <w:t>1-year trial in mild cognitive impairment</w:t>
            </w:r>
          </w:p>
        </w:tc>
        <w:tc>
          <w:tcPr>
            <w:tcW w:w="1804" w:type="dxa"/>
            <w:tcMar>
              <w:top w:w="60" w:type="dxa"/>
              <w:left w:w="90" w:type="dxa"/>
              <w:bottom w:w="60" w:type="dxa"/>
              <w:right w:w="90" w:type="dxa"/>
            </w:tcMar>
          </w:tcPr>
          <w:p w14:paraId="5CBB3643" w14:textId="77777777" w:rsidR="001B357C" w:rsidRDefault="00000000">
            <w:pPr>
              <w:spacing w:before="40" w:after="40"/>
            </w:pPr>
            <w:r>
              <w:rPr>
                <w:sz w:val="19"/>
                <w:szCs w:val="19"/>
              </w:rPr>
              <w:lastRenderedPageBreak/>
              <w:t xml:space="preserve">Consistent benefit on cognitive scales; non-inferiority to </w:t>
            </w:r>
            <w:r>
              <w:rPr>
                <w:sz w:val="19"/>
                <w:szCs w:val="19"/>
              </w:rPr>
              <w:lastRenderedPageBreak/>
              <w:t>conventional drugs reported</w:t>
            </w:r>
          </w:p>
        </w:tc>
        <w:tc>
          <w:tcPr>
            <w:tcW w:w="1804" w:type="dxa"/>
            <w:tcMar>
              <w:top w:w="60" w:type="dxa"/>
              <w:left w:w="90" w:type="dxa"/>
              <w:bottom w:w="60" w:type="dxa"/>
              <w:right w:w="90" w:type="dxa"/>
            </w:tcMar>
          </w:tcPr>
          <w:p w14:paraId="151D887A" w14:textId="77777777" w:rsidR="001B357C" w:rsidRDefault="00000000">
            <w:pPr>
              <w:spacing w:before="40" w:after="40"/>
            </w:pPr>
            <w:r>
              <w:rPr>
                <w:sz w:val="19"/>
                <w:szCs w:val="19"/>
              </w:rPr>
              <w:lastRenderedPageBreak/>
              <w:t xml:space="preserve">Few trials from a small number of groups and countries; one key </w:t>
            </w:r>
            <w:r>
              <w:rPr>
                <w:sz w:val="19"/>
                <w:szCs w:val="19"/>
              </w:rPr>
              <w:lastRenderedPageBreak/>
              <w:t>trial single-blind; non-inferiority underpowered</w:t>
            </w:r>
          </w:p>
        </w:tc>
        <w:tc>
          <w:tcPr>
            <w:tcW w:w="1804" w:type="dxa"/>
            <w:tcMar>
              <w:top w:w="60" w:type="dxa"/>
              <w:left w:w="90" w:type="dxa"/>
              <w:bottom w:w="60" w:type="dxa"/>
              <w:right w:w="90" w:type="dxa"/>
            </w:tcMar>
          </w:tcPr>
          <w:p w14:paraId="29096585" w14:textId="77777777" w:rsidR="001B357C" w:rsidRDefault="00000000">
            <w:pPr>
              <w:spacing w:before="40" w:after="40"/>
            </w:pPr>
            <w:r w:rsidRPr="0056258C">
              <w:rPr>
                <w:sz w:val="19"/>
                <w:szCs w:val="19"/>
                <w:lang w:val="nl-BE"/>
              </w:rPr>
              <w:lastRenderedPageBreak/>
              <w:t xml:space="preserve">Akhondzadeh et al. (2010); Ayati et al. (2020); Farokhnia et al. (2014); Han et al. </w:t>
            </w:r>
            <w:r>
              <w:rPr>
                <w:sz w:val="19"/>
                <w:szCs w:val="19"/>
              </w:rPr>
              <w:lastRenderedPageBreak/>
              <w:t>(2024); Tsolaki et al. (2016)</w:t>
            </w:r>
          </w:p>
        </w:tc>
      </w:tr>
      <w:tr w:rsidR="001B357C" w14:paraId="6DE9E802" w14:textId="77777777">
        <w:tc>
          <w:tcPr>
            <w:tcW w:w="1804" w:type="dxa"/>
            <w:tcMar>
              <w:top w:w="60" w:type="dxa"/>
              <w:left w:w="90" w:type="dxa"/>
              <w:bottom w:w="60" w:type="dxa"/>
              <w:right w:w="90" w:type="dxa"/>
            </w:tcMar>
          </w:tcPr>
          <w:p w14:paraId="56690788" w14:textId="77777777" w:rsidR="001B357C" w:rsidRDefault="00000000">
            <w:pPr>
              <w:spacing w:before="40" w:after="40"/>
            </w:pPr>
            <w:r>
              <w:rPr>
                <w:i/>
                <w:iCs/>
                <w:sz w:val="19"/>
                <w:szCs w:val="19"/>
              </w:rPr>
              <w:lastRenderedPageBreak/>
              <w:t>Centella asiatica</w:t>
            </w:r>
            <w:r>
              <w:rPr>
                <w:sz w:val="19"/>
                <w:szCs w:val="19"/>
              </w:rPr>
              <w:t xml:space="preserve"> (L.) Urb.</w:t>
            </w:r>
          </w:p>
        </w:tc>
        <w:tc>
          <w:tcPr>
            <w:tcW w:w="1804" w:type="dxa"/>
            <w:tcMar>
              <w:top w:w="60" w:type="dxa"/>
              <w:left w:w="90" w:type="dxa"/>
              <w:bottom w:w="60" w:type="dxa"/>
              <w:right w:w="90" w:type="dxa"/>
            </w:tcMar>
          </w:tcPr>
          <w:p w14:paraId="1652C340" w14:textId="77777777" w:rsidR="001B357C" w:rsidRDefault="00000000">
            <w:pPr>
              <w:spacing w:before="40" w:after="40"/>
            </w:pPr>
            <w:r>
              <w:rPr>
                <w:sz w:val="19"/>
                <w:szCs w:val="19"/>
              </w:rPr>
              <w:t>Phase 1 pharmacokinetic and pharmacodynamic trial in cognitively impaired older adults; one controlled cognitive trial in healthy volunteers</w:t>
            </w:r>
          </w:p>
        </w:tc>
        <w:tc>
          <w:tcPr>
            <w:tcW w:w="1804" w:type="dxa"/>
            <w:tcMar>
              <w:top w:w="60" w:type="dxa"/>
              <w:left w:w="90" w:type="dxa"/>
              <w:bottom w:w="60" w:type="dxa"/>
              <w:right w:w="90" w:type="dxa"/>
            </w:tcMar>
          </w:tcPr>
          <w:p w14:paraId="001935BC" w14:textId="77777777" w:rsidR="001B357C" w:rsidRDefault="00000000">
            <w:pPr>
              <w:spacing w:before="40" w:after="40"/>
            </w:pPr>
            <w:r>
              <w:rPr>
                <w:sz w:val="19"/>
                <w:szCs w:val="19"/>
              </w:rPr>
              <w:t>Human target engagement demonstrated; cognitive efficacy untested at adequate scale</w:t>
            </w:r>
          </w:p>
        </w:tc>
        <w:tc>
          <w:tcPr>
            <w:tcW w:w="1804" w:type="dxa"/>
            <w:tcMar>
              <w:top w:w="60" w:type="dxa"/>
              <w:left w:w="90" w:type="dxa"/>
              <w:bottom w:w="60" w:type="dxa"/>
              <w:right w:w="90" w:type="dxa"/>
            </w:tcMar>
          </w:tcPr>
          <w:p w14:paraId="622F2BB6" w14:textId="77777777" w:rsidR="001B357C" w:rsidRDefault="00000000">
            <w:pPr>
              <w:spacing w:before="40" w:after="40"/>
            </w:pPr>
            <w:r>
              <w:rPr>
                <w:sz w:val="19"/>
                <w:szCs w:val="19"/>
              </w:rPr>
              <w:t>Mechanism established ahead of efficacy; no powered efficacy trial available</w:t>
            </w:r>
          </w:p>
        </w:tc>
        <w:tc>
          <w:tcPr>
            <w:tcW w:w="1804" w:type="dxa"/>
            <w:tcMar>
              <w:top w:w="60" w:type="dxa"/>
              <w:left w:w="90" w:type="dxa"/>
              <w:bottom w:w="60" w:type="dxa"/>
              <w:right w:w="90" w:type="dxa"/>
            </w:tcMar>
          </w:tcPr>
          <w:p w14:paraId="46ACCAB9" w14:textId="77777777" w:rsidR="001B357C" w:rsidRDefault="00000000">
            <w:pPr>
              <w:spacing w:before="40" w:after="40"/>
            </w:pPr>
            <w:r w:rsidRPr="0056258C">
              <w:rPr>
                <w:sz w:val="19"/>
                <w:szCs w:val="19"/>
                <w:lang w:val="nl-BE"/>
              </w:rPr>
              <w:t xml:space="preserve">Gray et al. (2018); Jiang et al. (2025); Wattanathorn et al. (2008); Wright et al. </w:t>
            </w:r>
            <w:r>
              <w:rPr>
                <w:sz w:val="19"/>
                <w:szCs w:val="19"/>
              </w:rPr>
              <w:t>(2022)</w:t>
            </w:r>
          </w:p>
        </w:tc>
      </w:tr>
      <w:tr w:rsidR="001B357C" w14:paraId="1273EF54" w14:textId="77777777">
        <w:tc>
          <w:tcPr>
            <w:tcW w:w="1804" w:type="dxa"/>
            <w:tcMar>
              <w:top w:w="60" w:type="dxa"/>
              <w:left w:w="90" w:type="dxa"/>
              <w:bottom w:w="60" w:type="dxa"/>
              <w:right w:w="90" w:type="dxa"/>
            </w:tcMar>
          </w:tcPr>
          <w:p w14:paraId="41767589" w14:textId="77777777" w:rsidR="001B357C" w:rsidRDefault="00000000">
            <w:pPr>
              <w:spacing w:before="40" w:after="40"/>
            </w:pPr>
            <w:r>
              <w:rPr>
                <w:i/>
                <w:iCs/>
                <w:sz w:val="19"/>
                <w:szCs w:val="19"/>
              </w:rPr>
              <w:t>Salvia lavandulifolia</w:t>
            </w:r>
            <w:r>
              <w:rPr>
                <w:sz w:val="19"/>
                <w:szCs w:val="19"/>
              </w:rPr>
              <w:t xml:space="preserve"> Vahl and </w:t>
            </w:r>
            <w:r>
              <w:rPr>
                <w:i/>
                <w:iCs/>
                <w:sz w:val="19"/>
                <w:szCs w:val="19"/>
              </w:rPr>
              <w:t>Salvia officinalis</w:t>
            </w:r>
            <w:r>
              <w:rPr>
                <w:sz w:val="19"/>
                <w:szCs w:val="19"/>
              </w:rPr>
              <w:t xml:space="preserve"> L.</w:t>
            </w:r>
          </w:p>
        </w:tc>
        <w:tc>
          <w:tcPr>
            <w:tcW w:w="1804" w:type="dxa"/>
            <w:tcMar>
              <w:top w:w="60" w:type="dxa"/>
              <w:left w:w="90" w:type="dxa"/>
              <w:bottom w:w="60" w:type="dxa"/>
              <w:right w:w="90" w:type="dxa"/>
            </w:tcMar>
          </w:tcPr>
          <w:p w14:paraId="7887D651" w14:textId="77777777" w:rsidR="001B357C" w:rsidRDefault="00000000">
            <w:pPr>
              <w:spacing w:before="40" w:after="40"/>
            </w:pPr>
            <w:r>
              <w:rPr>
                <w:sz w:val="19"/>
                <w:szCs w:val="19"/>
              </w:rPr>
              <w:t>Controlled trials in healthy adults, acute and chronic administration</w:t>
            </w:r>
          </w:p>
        </w:tc>
        <w:tc>
          <w:tcPr>
            <w:tcW w:w="1804" w:type="dxa"/>
            <w:tcMar>
              <w:top w:w="60" w:type="dxa"/>
              <w:left w:w="90" w:type="dxa"/>
              <w:bottom w:w="60" w:type="dxa"/>
              <w:right w:w="90" w:type="dxa"/>
            </w:tcMar>
          </w:tcPr>
          <w:p w14:paraId="0E35E18E" w14:textId="77777777" w:rsidR="001B357C" w:rsidRDefault="00000000">
            <w:pPr>
              <w:spacing w:before="40" w:after="40"/>
            </w:pPr>
            <w:r>
              <w:rPr>
                <w:sz w:val="19"/>
                <w:szCs w:val="19"/>
              </w:rPr>
              <w:t>Improved performance and mood with monoterpenoid extract; different profile with the phenolic-dominant species</w:t>
            </w:r>
          </w:p>
        </w:tc>
        <w:tc>
          <w:tcPr>
            <w:tcW w:w="1804" w:type="dxa"/>
            <w:tcMar>
              <w:top w:w="60" w:type="dxa"/>
              <w:left w:w="90" w:type="dxa"/>
              <w:bottom w:w="60" w:type="dxa"/>
              <w:right w:w="90" w:type="dxa"/>
            </w:tcMar>
          </w:tcPr>
          <w:p w14:paraId="441ACF70" w14:textId="77777777" w:rsidR="001B357C" w:rsidRDefault="00000000">
            <w:pPr>
              <w:spacing w:before="40" w:after="40"/>
            </w:pPr>
            <w:r>
              <w:rPr>
                <w:sz w:val="19"/>
                <w:szCs w:val="19"/>
              </w:rPr>
              <w:t>Chemically distinct materials frequently aggregated; small samples; no clinical population data</w:t>
            </w:r>
          </w:p>
        </w:tc>
        <w:tc>
          <w:tcPr>
            <w:tcW w:w="1804" w:type="dxa"/>
            <w:tcMar>
              <w:top w:w="60" w:type="dxa"/>
              <w:left w:w="90" w:type="dxa"/>
              <w:bottom w:w="60" w:type="dxa"/>
              <w:right w:w="90" w:type="dxa"/>
            </w:tcMar>
          </w:tcPr>
          <w:p w14:paraId="5394E722" w14:textId="77777777" w:rsidR="001B357C" w:rsidRDefault="00000000">
            <w:pPr>
              <w:spacing w:before="40" w:after="40"/>
            </w:pPr>
            <w:r w:rsidRPr="0056258C">
              <w:rPr>
                <w:sz w:val="19"/>
                <w:szCs w:val="19"/>
                <w:lang w:val="nl-BE"/>
              </w:rPr>
              <w:t xml:space="preserve">Kennedy &amp; Scholey (2006); Kennedy et al. </w:t>
            </w:r>
            <w:r>
              <w:rPr>
                <w:sz w:val="19"/>
                <w:szCs w:val="19"/>
              </w:rPr>
              <w:t>(2011); Wightman et al. (2021)</w:t>
            </w:r>
          </w:p>
        </w:tc>
      </w:tr>
      <w:tr w:rsidR="001B357C" w:rsidRPr="0056258C" w14:paraId="6CF0F747" w14:textId="77777777">
        <w:tc>
          <w:tcPr>
            <w:tcW w:w="1804" w:type="dxa"/>
            <w:tcMar>
              <w:top w:w="60" w:type="dxa"/>
              <w:left w:w="90" w:type="dxa"/>
              <w:bottom w:w="60" w:type="dxa"/>
              <w:right w:w="90" w:type="dxa"/>
            </w:tcMar>
          </w:tcPr>
          <w:p w14:paraId="04B1132E" w14:textId="77777777" w:rsidR="001B357C" w:rsidRDefault="00000000">
            <w:pPr>
              <w:spacing w:before="40" w:after="40"/>
            </w:pPr>
            <w:r>
              <w:rPr>
                <w:i/>
                <w:iCs/>
                <w:sz w:val="19"/>
                <w:szCs w:val="19"/>
              </w:rPr>
              <w:t>Melissa officinalis</w:t>
            </w:r>
            <w:r>
              <w:rPr>
                <w:sz w:val="19"/>
                <w:szCs w:val="19"/>
              </w:rPr>
              <w:t xml:space="preserve"> L.</w:t>
            </w:r>
          </w:p>
        </w:tc>
        <w:tc>
          <w:tcPr>
            <w:tcW w:w="1804" w:type="dxa"/>
            <w:tcMar>
              <w:top w:w="60" w:type="dxa"/>
              <w:left w:w="90" w:type="dxa"/>
              <w:bottom w:w="60" w:type="dxa"/>
              <w:right w:w="90" w:type="dxa"/>
            </w:tcMar>
          </w:tcPr>
          <w:p w14:paraId="18397EE4" w14:textId="77777777" w:rsidR="001B357C" w:rsidRDefault="00000000">
            <w:pPr>
              <w:spacing w:before="40" w:after="40"/>
            </w:pPr>
            <w:r>
              <w:rPr>
                <w:sz w:val="19"/>
                <w:szCs w:val="19"/>
              </w:rPr>
              <w:t>4-month randomised placebo-controlled trial in mild-to-moderate Alzheimer's disease</w:t>
            </w:r>
          </w:p>
        </w:tc>
        <w:tc>
          <w:tcPr>
            <w:tcW w:w="1804" w:type="dxa"/>
            <w:tcMar>
              <w:top w:w="60" w:type="dxa"/>
              <w:left w:w="90" w:type="dxa"/>
              <w:bottom w:w="60" w:type="dxa"/>
              <w:right w:w="90" w:type="dxa"/>
            </w:tcMar>
          </w:tcPr>
          <w:p w14:paraId="70C5A6A0" w14:textId="77777777" w:rsidR="001B357C" w:rsidRDefault="00000000">
            <w:pPr>
              <w:spacing w:before="40" w:after="40"/>
            </w:pPr>
            <w:r>
              <w:rPr>
                <w:sz w:val="19"/>
                <w:szCs w:val="19"/>
              </w:rPr>
              <w:t>Benefit on cognitive outcomes reported</w:t>
            </w:r>
          </w:p>
        </w:tc>
        <w:tc>
          <w:tcPr>
            <w:tcW w:w="1804" w:type="dxa"/>
            <w:tcMar>
              <w:top w:w="60" w:type="dxa"/>
              <w:left w:w="90" w:type="dxa"/>
              <w:bottom w:w="60" w:type="dxa"/>
              <w:right w:w="90" w:type="dxa"/>
            </w:tcMar>
          </w:tcPr>
          <w:p w14:paraId="699631FF" w14:textId="77777777" w:rsidR="001B357C" w:rsidRDefault="00000000">
            <w:pPr>
              <w:spacing w:before="40" w:after="40"/>
            </w:pPr>
            <w:r>
              <w:rPr>
                <w:sz w:val="19"/>
                <w:szCs w:val="19"/>
              </w:rPr>
              <w:t>Single small trial without independent replication at scale over two decades</w:t>
            </w:r>
          </w:p>
        </w:tc>
        <w:tc>
          <w:tcPr>
            <w:tcW w:w="1804" w:type="dxa"/>
            <w:tcMar>
              <w:top w:w="60" w:type="dxa"/>
              <w:left w:w="90" w:type="dxa"/>
              <w:bottom w:w="60" w:type="dxa"/>
              <w:right w:w="90" w:type="dxa"/>
            </w:tcMar>
          </w:tcPr>
          <w:p w14:paraId="4208F6CD" w14:textId="77777777" w:rsidR="001B357C" w:rsidRPr="0056258C" w:rsidRDefault="00000000">
            <w:pPr>
              <w:spacing w:before="40" w:after="40"/>
              <w:rPr>
                <w:lang w:val="nl-BE"/>
              </w:rPr>
            </w:pPr>
            <w:r w:rsidRPr="0056258C">
              <w:rPr>
                <w:sz w:val="19"/>
                <w:szCs w:val="19"/>
                <w:lang w:val="nl-BE"/>
              </w:rPr>
              <w:t>Akhondzadeh et al. (2003); Kennedy &amp; Scholey (2006)</w:t>
            </w:r>
          </w:p>
        </w:tc>
      </w:tr>
      <w:tr w:rsidR="001B357C" w14:paraId="6CA275FE" w14:textId="77777777">
        <w:tc>
          <w:tcPr>
            <w:tcW w:w="1804" w:type="dxa"/>
            <w:tcMar>
              <w:top w:w="60" w:type="dxa"/>
              <w:left w:w="90" w:type="dxa"/>
              <w:bottom w:w="60" w:type="dxa"/>
              <w:right w:w="90" w:type="dxa"/>
            </w:tcMar>
          </w:tcPr>
          <w:p w14:paraId="734B52B4" w14:textId="77777777" w:rsidR="001B357C" w:rsidRDefault="00000000">
            <w:pPr>
              <w:spacing w:before="40" w:after="40"/>
            </w:pPr>
            <w:r>
              <w:rPr>
                <w:i/>
                <w:iCs/>
                <w:sz w:val="19"/>
                <w:szCs w:val="19"/>
              </w:rPr>
              <w:t>Huperzia serrata</w:t>
            </w:r>
            <w:r>
              <w:rPr>
                <w:sz w:val="19"/>
                <w:szCs w:val="19"/>
              </w:rPr>
              <w:t xml:space="preserve"> (Thunb.) Trevis. (huperzine A)</w:t>
            </w:r>
          </w:p>
        </w:tc>
        <w:tc>
          <w:tcPr>
            <w:tcW w:w="1804" w:type="dxa"/>
            <w:tcMar>
              <w:top w:w="60" w:type="dxa"/>
              <w:left w:w="90" w:type="dxa"/>
              <w:bottom w:w="60" w:type="dxa"/>
              <w:right w:w="90" w:type="dxa"/>
            </w:tcMar>
          </w:tcPr>
          <w:p w14:paraId="2BB0C398" w14:textId="77777777" w:rsidR="001B357C" w:rsidRDefault="00000000">
            <w:pPr>
              <w:spacing w:before="40" w:after="40"/>
            </w:pPr>
            <w:r>
              <w:rPr>
                <w:sz w:val="19"/>
                <w:szCs w:val="19"/>
              </w:rPr>
              <w:t>Systematic reviews of 6 trials with 454 participants and of 20 trials with 1823 participants</w:t>
            </w:r>
          </w:p>
        </w:tc>
        <w:tc>
          <w:tcPr>
            <w:tcW w:w="1804" w:type="dxa"/>
            <w:tcMar>
              <w:top w:w="60" w:type="dxa"/>
              <w:left w:w="90" w:type="dxa"/>
              <w:bottom w:w="60" w:type="dxa"/>
              <w:right w:w="90" w:type="dxa"/>
            </w:tcMar>
          </w:tcPr>
          <w:p w14:paraId="374C6FF7" w14:textId="77777777" w:rsidR="001B357C" w:rsidRDefault="00000000">
            <w:pPr>
              <w:spacing w:before="40" w:after="40"/>
            </w:pPr>
            <w:r>
              <w:rPr>
                <w:sz w:val="19"/>
                <w:szCs w:val="19"/>
              </w:rPr>
              <w:t>Benefit on cognition, function and global status in Alzheimer's disease</w:t>
            </w:r>
          </w:p>
        </w:tc>
        <w:tc>
          <w:tcPr>
            <w:tcW w:w="1804" w:type="dxa"/>
            <w:tcMar>
              <w:top w:w="60" w:type="dxa"/>
              <w:left w:w="90" w:type="dxa"/>
              <w:bottom w:w="60" w:type="dxa"/>
              <w:right w:w="90" w:type="dxa"/>
            </w:tcMar>
          </w:tcPr>
          <w:p w14:paraId="0A703718" w14:textId="77777777" w:rsidR="001B357C" w:rsidRDefault="00000000">
            <w:pPr>
              <w:spacing w:before="40" w:after="40"/>
            </w:pPr>
            <w:r>
              <w:rPr>
                <w:sz w:val="19"/>
                <w:szCs w:val="19"/>
              </w:rPr>
              <w:t>Isolated alkaloid rather than botanical preparation; high risk of bias in most trials; geographical concentration</w:t>
            </w:r>
          </w:p>
        </w:tc>
        <w:tc>
          <w:tcPr>
            <w:tcW w:w="1804" w:type="dxa"/>
            <w:tcMar>
              <w:top w:w="60" w:type="dxa"/>
              <w:left w:w="90" w:type="dxa"/>
              <w:bottom w:w="60" w:type="dxa"/>
              <w:right w:w="90" w:type="dxa"/>
            </w:tcMar>
          </w:tcPr>
          <w:p w14:paraId="0DFE3777" w14:textId="77777777" w:rsidR="001B357C" w:rsidRDefault="00000000">
            <w:pPr>
              <w:spacing w:before="40" w:after="40"/>
            </w:pPr>
            <w:r w:rsidRPr="0056258C">
              <w:rPr>
                <w:sz w:val="19"/>
                <w:szCs w:val="19"/>
                <w:lang w:val="nl-BE"/>
              </w:rPr>
              <w:t xml:space="preserve">Li et al. (2008); Vickers et al. </w:t>
            </w:r>
            <w:r>
              <w:rPr>
                <w:sz w:val="19"/>
                <w:szCs w:val="19"/>
              </w:rPr>
              <w:t>(1998); Yang et al. (2013)</w:t>
            </w:r>
          </w:p>
        </w:tc>
      </w:tr>
      <w:tr w:rsidR="001B357C" w14:paraId="06897007" w14:textId="77777777">
        <w:tc>
          <w:tcPr>
            <w:tcW w:w="1804" w:type="dxa"/>
            <w:tcMar>
              <w:top w:w="60" w:type="dxa"/>
              <w:left w:w="90" w:type="dxa"/>
              <w:bottom w:w="60" w:type="dxa"/>
              <w:right w:w="90" w:type="dxa"/>
            </w:tcMar>
          </w:tcPr>
          <w:p w14:paraId="2F958018" w14:textId="77777777" w:rsidR="001B357C" w:rsidRDefault="00000000">
            <w:pPr>
              <w:spacing w:before="40" w:after="40"/>
            </w:pPr>
            <w:r>
              <w:rPr>
                <w:i/>
                <w:iCs/>
                <w:sz w:val="19"/>
                <w:szCs w:val="19"/>
              </w:rPr>
              <w:t>Camellia sinensis</w:t>
            </w:r>
            <w:r>
              <w:rPr>
                <w:sz w:val="19"/>
                <w:szCs w:val="19"/>
              </w:rPr>
              <w:t xml:space="preserve"> (L.) Kuntze constituents and </w:t>
            </w:r>
            <w:r>
              <w:rPr>
                <w:i/>
                <w:iCs/>
                <w:sz w:val="19"/>
                <w:szCs w:val="19"/>
              </w:rPr>
              <w:t>Rhodiola rosea</w:t>
            </w:r>
            <w:r>
              <w:rPr>
                <w:sz w:val="19"/>
                <w:szCs w:val="19"/>
              </w:rPr>
              <w:t xml:space="preserve"> L.</w:t>
            </w:r>
          </w:p>
        </w:tc>
        <w:tc>
          <w:tcPr>
            <w:tcW w:w="1804" w:type="dxa"/>
            <w:tcMar>
              <w:top w:w="60" w:type="dxa"/>
              <w:left w:w="90" w:type="dxa"/>
              <w:bottom w:w="60" w:type="dxa"/>
              <w:right w:w="90" w:type="dxa"/>
            </w:tcMar>
          </w:tcPr>
          <w:p w14:paraId="155FE513" w14:textId="77777777" w:rsidR="001B357C" w:rsidRDefault="00000000">
            <w:pPr>
              <w:spacing w:before="40" w:after="40"/>
            </w:pPr>
            <w:r>
              <w:rPr>
                <w:sz w:val="19"/>
                <w:szCs w:val="19"/>
              </w:rPr>
              <w:t>Meta-analysis of 11 acute studies; systematic review of 11 randomised trials</w:t>
            </w:r>
          </w:p>
        </w:tc>
        <w:tc>
          <w:tcPr>
            <w:tcW w:w="1804" w:type="dxa"/>
            <w:tcMar>
              <w:top w:w="60" w:type="dxa"/>
              <w:left w:w="90" w:type="dxa"/>
              <w:bottom w:w="60" w:type="dxa"/>
              <w:right w:w="90" w:type="dxa"/>
            </w:tcMar>
          </w:tcPr>
          <w:p w14:paraId="1AE3C0E7" w14:textId="77777777" w:rsidR="001B357C" w:rsidRDefault="00000000">
            <w:pPr>
              <w:spacing w:before="40" w:after="40"/>
            </w:pPr>
            <w:r>
              <w:rPr>
                <w:sz w:val="19"/>
                <w:szCs w:val="19"/>
              </w:rPr>
              <w:t>Acute alertness and attentional effects; performance preservation under fatigue</w:t>
            </w:r>
          </w:p>
        </w:tc>
        <w:tc>
          <w:tcPr>
            <w:tcW w:w="1804" w:type="dxa"/>
            <w:tcMar>
              <w:top w:w="60" w:type="dxa"/>
              <w:left w:w="90" w:type="dxa"/>
              <w:bottom w:w="60" w:type="dxa"/>
              <w:right w:w="90" w:type="dxa"/>
            </w:tcMar>
          </w:tcPr>
          <w:p w14:paraId="2E6C1DD5" w14:textId="77777777" w:rsidR="001B357C" w:rsidRDefault="00000000">
            <w:pPr>
              <w:spacing w:before="40" w:after="40"/>
            </w:pPr>
            <w:r>
              <w:rPr>
                <w:sz w:val="19"/>
                <w:szCs w:val="19"/>
              </w:rPr>
              <w:t>Effects largely acute and partly attributable to caffeine; no established link to cognitive ageing trajectory</w:t>
            </w:r>
          </w:p>
        </w:tc>
        <w:tc>
          <w:tcPr>
            <w:tcW w:w="1804" w:type="dxa"/>
            <w:tcMar>
              <w:top w:w="60" w:type="dxa"/>
              <w:left w:w="90" w:type="dxa"/>
              <w:bottom w:w="60" w:type="dxa"/>
              <w:right w:w="90" w:type="dxa"/>
            </w:tcMar>
          </w:tcPr>
          <w:p w14:paraId="04C14BE6" w14:textId="77777777" w:rsidR="001B357C" w:rsidRDefault="00000000">
            <w:pPr>
              <w:spacing w:before="40" w:after="40"/>
            </w:pPr>
            <w:r w:rsidRPr="0056258C">
              <w:rPr>
                <w:sz w:val="19"/>
                <w:szCs w:val="19"/>
                <w:lang w:val="nl-BE"/>
              </w:rPr>
              <w:t xml:space="preserve">Camfield et al. (2014); Darbinyan et al. (2000); Hung et al. (2011); Mancini et al. </w:t>
            </w:r>
            <w:r>
              <w:rPr>
                <w:sz w:val="19"/>
                <w:szCs w:val="19"/>
              </w:rPr>
              <w:t>(2017)</w:t>
            </w:r>
          </w:p>
        </w:tc>
      </w:tr>
    </w:tbl>
    <w:p w14:paraId="619B7C3B" w14:textId="77777777" w:rsidR="001B357C" w:rsidRDefault="00000000">
      <w:pPr>
        <w:spacing w:before="80" w:after="260" w:line="260" w:lineRule="auto"/>
      </w:pPr>
      <w:r>
        <w:rPr>
          <w:sz w:val="20"/>
          <w:szCs w:val="20"/>
        </w:rPr>
        <w:t>Note. Participant numbers, trial durations and effect directions are those reported in the cited sources. Direction of the principal finding does not indicate the certainty of that finding, which is addressed in the accompanying text. Supporting references correspond to full entries in the reference list.</w:t>
      </w:r>
    </w:p>
    <w:p w14:paraId="24F9CC69" w14:textId="77777777" w:rsidR="001B357C" w:rsidRDefault="00000000">
      <w:pPr>
        <w:pStyle w:val="Heading1"/>
        <w:spacing w:before="320" w:after="140" w:line="300" w:lineRule="auto"/>
      </w:pPr>
      <w:r>
        <w:rPr>
          <w:b/>
          <w:bCs/>
          <w:color w:val="000000"/>
          <w:sz w:val="28"/>
          <w:szCs w:val="28"/>
        </w:rPr>
        <w:t>6. Methodological determinants of the inconsistent evidence base</w:t>
      </w:r>
    </w:p>
    <w:p w14:paraId="1E239DFB" w14:textId="77777777" w:rsidR="001B357C" w:rsidRDefault="00000000">
      <w:pPr>
        <w:pStyle w:val="Heading2"/>
        <w:spacing w:before="260" w:after="140" w:line="300" w:lineRule="auto"/>
      </w:pPr>
      <w:r>
        <w:rPr>
          <w:b/>
          <w:bCs/>
          <w:color w:val="000000"/>
        </w:rPr>
        <w:t>6.1 Population definition and baseline cognitive status</w:t>
      </w:r>
    </w:p>
    <w:p w14:paraId="577064BF" w14:textId="77777777" w:rsidR="001B357C" w:rsidRDefault="00000000">
      <w:pPr>
        <w:spacing w:after="160" w:line="360" w:lineRule="auto"/>
        <w:jc w:val="both"/>
      </w:pPr>
      <w:r>
        <w:t xml:space="preserve">Baseline cognitive status exerts a stronger influence on trial outcomes than any other design variable in this literature, and it is frequently underspecified. Cognitively intact adults perform near ceiling on many standard instruments, leaving limited room for measurable improvement </w:t>
      </w:r>
      <w:r>
        <w:lastRenderedPageBreak/>
        <w:t>and forcing reliance on computerised tasks whose reliability and clinical meaning are variable. Individuals with established dementia, at the opposite extreme, may have insufficient residual cholinergic or synaptic capacity for symptomatic agents to act upon. The intermediate territory of mild cognitive impairment and subjective cognitive complaint, where most commercial interest lies, is heterogeneous in aetiology and prognosis, encompassing individuals who will progress to dementia alongside individuals who will revert to normal cognition.</w:t>
      </w:r>
    </w:p>
    <w:p w14:paraId="0DD5E6EE" w14:textId="77777777" w:rsidR="001B357C" w:rsidRDefault="00000000">
      <w:pPr>
        <w:spacing w:after="160" w:line="360" w:lineRule="auto"/>
        <w:jc w:val="both"/>
      </w:pPr>
      <w:r>
        <w:t xml:space="preserve">The consequences are visible in the most rigorously conducted evidence. The comprehensive systematic review of </w:t>
      </w:r>
      <w:r>
        <w:rPr>
          <w:i/>
          <w:iCs/>
        </w:rPr>
        <w:t>Ginkgo biloba</w:t>
      </w:r>
      <w:r>
        <w:t xml:space="preserve"> stratified by clinical condition and reached materially different conclusions for subjective cognitive impairment, mild cognitive impairment and dementia within a single analysis (Wieland et al., 2026). Reviews that do not stratify in this way generate pooled estimates that describe no actual population. Recruitment on the basis of self-reported memory difficulty, a common approach in commercially sponsored trials, produces samples whose objective cognitive status is unknown and whose expected trajectory cannot be specified.</w:t>
      </w:r>
    </w:p>
    <w:p w14:paraId="6208EF62" w14:textId="77777777" w:rsidR="001B357C" w:rsidRDefault="00000000">
      <w:pPr>
        <w:pStyle w:val="Heading2"/>
        <w:spacing w:before="260" w:after="140" w:line="300" w:lineRule="auto"/>
      </w:pPr>
      <w:r>
        <w:rPr>
          <w:b/>
          <w:bCs/>
          <w:color w:val="000000"/>
        </w:rPr>
        <w:t>6.2 Outcome selection, multiplicity and clinical meaningfulness</w:t>
      </w:r>
    </w:p>
    <w:p w14:paraId="0BD461EA" w14:textId="77777777" w:rsidR="001B357C" w:rsidRDefault="00000000">
      <w:pPr>
        <w:spacing w:after="160" w:line="360" w:lineRule="auto"/>
        <w:jc w:val="both"/>
      </w:pPr>
      <w:r>
        <w:t>Cognitive assessment offers an unusually large number of candidate outcomes. A single computerised battery may generate dozens of accuracy and latency variables across attention, working memory, episodic memory, executive function and processing speed, and combining several instruments multiplies the total further. Without pre-specification and correction, this abundance guarantees that some measures will favour the intervention. The pattern of reporting across the field is consistent with this concern: positive findings frequently appear on a small subset of measures, with the affected domains varying between trials of the same preparation.</w:t>
      </w:r>
    </w:p>
    <w:p w14:paraId="6DBD0348" w14:textId="46B61DA5" w:rsidR="001B357C" w:rsidRDefault="00000000">
      <w:pPr>
        <w:spacing w:after="160" w:line="360" w:lineRule="auto"/>
        <w:jc w:val="both"/>
      </w:pPr>
      <w:r>
        <w:t xml:space="preserve">Two illustrations from the evidence appraised above make the point. Pooled analysis of </w:t>
      </w:r>
      <w:r>
        <w:rPr>
          <w:i/>
          <w:iCs/>
        </w:rPr>
        <w:t>Bacopa monnieri</w:t>
      </w:r>
      <w:r>
        <w:t xml:space="preserve"> trials identified benefit specifically on Trail Making Test B and choice reaction time (Kongkeaw et al., 2014), domains that differ from those emphasised in traditional and commercial claims. Network meta-analysis of plant-active substances in healthy older adults found effects on complex attention generally limited across ten interventions while ranking different interventions highest in different domains (Feng et al., 202</w:t>
      </w:r>
      <w:r w:rsidR="0056258C">
        <w:t>6</w:t>
      </w:r>
      <w:r>
        <w:t xml:space="preserve">), a pattern more consistent with domain-specific noise than with coherent pharmacology. Clinical meaningfulness is a further and largely unaddressed question: a statistically significant change of one or two points on a global screening instrument may fall below the threshold at which </w:t>
      </w:r>
      <w:r>
        <w:lastRenderedPageBreak/>
        <w:t>patients or clinicians would notice any difference, and few trials in this field report anchor-based estimates of meaningful change.</w:t>
      </w:r>
    </w:p>
    <w:p w14:paraId="0733C09E" w14:textId="77777777" w:rsidR="001B357C" w:rsidRDefault="00000000">
      <w:pPr>
        <w:pStyle w:val="Heading2"/>
        <w:spacing w:before="260" w:after="140" w:line="300" w:lineRule="auto"/>
      </w:pPr>
      <w:r>
        <w:rPr>
          <w:b/>
          <w:bCs/>
          <w:color w:val="000000"/>
        </w:rPr>
        <w:t>6.3 Exposure duration, dose selection and target engagement</w:t>
      </w:r>
    </w:p>
    <w:p w14:paraId="677130C2" w14:textId="77777777" w:rsidR="001B357C" w:rsidRDefault="00000000">
      <w:pPr>
        <w:spacing w:after="160" w:line="360" w:lineRule="auto"/>
        <w:jc w:val="both"/>
      </w:pPr>
      <w:r>
        <w:t>Trial duration in this literature is determined more often by feasibility and cost than by the biology of the outcome. Acute studies lasting hours can detect stimulant-like or haemodynamic effects but cannot detect neuroprotection. Twelve-week trials, the modal duration for commercially sponsored studies, are adequate for symptomatic change but not for structural or trajectory-level effects. The two trials that did extend to years were both prevention trials of a single preparation, and both were null (DeKosky et al., 2008; Vellas et al., 2012).</w:t>
      </w:r>
    </w:p>
    <w:p w14:paraId="7C6867A0" w14:textId="77777777" w:rsidR="001B357C" w:rsidRDefault="00000000">
      <w:pPr>
        <w:spacing w:after="160" w:line="360" w:lineRule="auto"/>
        <w:jc w:val="both"/>
      </w:pPr>
      <w:r>
        <w:t xml:space="preserve">Dose selection is weaker still. Formal dose-ranging studies preceding efficacy trials are uncommon in this field, and doses are typically justified by reference to prior trials or manufacturer recommendation. The consequence is that a null result cannot be distinguished from an inadequate dose, and a positive result cannot be attributed to a defined exposure. The exception proves the rule: the </w:t>
      </w:r>
      <w:r>
        <w:rPr>
          <w:i/>
          <w:iCs/>
        </w:rPr>
        <w:t>Centella asiatica</w:t>
      </w:r>
      <w:r>
        <w:t xml:space="preserve"> phase 1 study characterised plasma appearance of triterpene aglycones and linked it temporally to antioxidant response gene expression, providing a rational basis for subsequent dose selection (Wright et al., 2022), and the Alzheimer's disease curcumin trial measured plasma exposure and thereby made its own null result interpretable (Ringman et al., 2012). Trials that measure neither leave their findings, positive or negative, without mechanistic anchorage.</w:t>
      </w:r>
    </w:p>
    <w:p w14:paraId="4C5C6D92" w14:textId="77777777" w:rsidR="001B357C" w:rsidRDefault="00000000">
      <w:pPr>
        <w:pStyle w:val="Heading2"/>
        <w:spacing w:before="260" w:after="140" w:line="300" w:lineRule="auto"/>
      </w:pPr>
      <w:r>
        <w:rPr>
          <w:b/>
          <w:bCs/>
          <w:color w:val="000000"/>
        </w:rPr>
        <w:t>6.4 Blinding, placebo comparability and expectancy</w:t>
      </w:r>
    </w:p>
    <w:p w14:paraId="10E44B0A" w14:textId="77777777" w:rsidR="001B357C" w:rsidRDefault="00000000">
      <w:pPr>
        <w:spacing w:after="160" w:line="360" w:lineRule="auto"/>
        <w:jc w:val="both"/>
      </w:pPr>
      <w:r>
        <w:t xml:space="preserve">Adequate blinding is harder to achieve with botanical preparations than with conventional tablets. Extracts frequently possess characteristic taste, odour or colour, and gastrointestinal effects may differ detectably from placebo; the recent </w:t>
      </w:r>
      <w:r>
        <w:rPr>
          <w:i/>
          <w:iCs/>
        </w:rPr>
        <w:t>Bacopa monnieri</w:t>
      </w:r>
      <w:r>
        <w:t xml:space="preserve"> trial recorded a significantly higher frequency of self-reported adverse reactions in the active group, predominantly digestive complaints and headaches (Lopresti &amp; Smith, 2025), which is precisely the kind of difference that can compromise blinding. Trials rarely test the integrity of blinding by asking participants to guess allocation.</w:t>
      </w:r>
    </w:p>
    <w:p w14:paraId="211F7FAC" w14:textId="77777777" w:rsidR="001B357C" w:rsidRDefault="00000000">
      <w:pPr>
        <w:spacing w:after="160" w:line="360" w:lineRule="auto"/>
        <w:jc w:val="both"/>
      </w:pPr>
      <w:r>
        <w:t xml:space="preserve">Expectancy effects are substantial in this domain because participants who volunteer for trials of natural cognitive enhancers commonly hold prior beliefs about them. Self-reported outcomes are the most susceptible, and objective performance measures are not immune, since motivation and effort influence performance on speeded tasks. Single-blind designs, such as </w:t>
      </w:r>
      <w:r>
        <w:lastRenderedPageBreak/>
        <w:t>that used in the one-year saffron trial in mild cognitive impairment (Tsolaki et al., 2016), leave the effect unquantifiable. Where an active comparator is used, as in the saffron trial against memantine (Farokhnia et al., 2014), expectancy is partly controlled but statistical power for an equivalence claim becomes the binding constraint.</w:t>
      </w:r>
    </w:p>
    <w:p w14:paraId="5071B66F" w14:textId="77777777" w:rsidR="001B357C" w:rsidRDefault="00000000">
      <w:pPr>
        <w:pStyle w:val="Heading2"/>
        <w:spacing w:before="260" w:after="140" w:line="300" w:lineRule="auto"/>
      </w:pPr>
      <w:r>
        <w:rPr>
          <w:b/>
          <w:bCs/>
          <w:color w:val="000000"/>
        </w:rPr>
        <w:t>6.5 Geographical concentration, sponsorship and reporting</w:t>
      </w:r>
    </w:p>
    <w:p w14:paraId="3570AF12" w14:textId="77777777" w:rsidR="001B357C" w:rsidRDefault="00000000">
      <w:pPr>
        <w:spacing w:after="160" w:line="360" w:lineRule="auto"/>
        <w:jc w:val="both"/>
      </w:pPr>
      <w:r>
        <w:t>Several of the most favourable evidence bases in this field are concentrated within a small number of national research environments, a pattern with documented consequences for the expected distribution of published results (Vickers et al., 1998). Huperzine A trials, Chinese herbal medicine trials for mild cognitive impairment (Liu et al., 2024), ginseng trials and saffron trials each cluster in this way. Concentration is not evidence of misconduct, and traditions with long-standing use of a preparation naturally generate the greatest research interest in it. The methodological point is that consistency of direction within a geographically concentrated literature provides weaker assurance than equivalent consistency across independent settings, and that independent multinational replication is the appropriate remedy.</w:t>
      </w:r>
    </w:p>
    <w:p w14:paraId="3EF90AD9" w14:textId="77777777" w:rsidR="001B357C" w:rsidRDefault="00000000">
      <w:pPr>
        <w:spacing w:after="160" w:line="360" w:lineRule="auto"/>
        <w:jc w:val="both"/>
      </w:pPr>
      <w:r>
        <w:t xml:space="preserve">Sponsorship operates in both directions and requires symmetrical treatment. The pooled analysis of mild dementia subgroups reporting favourable results for a standardised </w:t>
      </w:r>
      <w:r>
        <w:rPr>
          <w:i/>
          <w:iCs/>
        </w:rPr>
        <w:t>Ginkgo biloba</w:t>
      </w:r>
      <w:r>
        <w:t xml:space="preserve"> extract includes authors affiliated with its manufacturer (Riepe et al., 2025), which warrants caution. The same principle indicates that the null primary outcome of the industry-funded </w:t>
      </w:r>
      <w:r>
        <w:rPr>
          <w:i/>
          <w:iCs/>
        </w:rPr>
        <w:t>Bacopa monnieri</w:t>
      </w:r>
      <w:r>
        <w:t xml:space="preserve"> trial (Lopresti &amp; Smith, 2025) carries additional weight rather than less, since the result runs contrary to sponsor interest. Reporting standards specific to herbal trials have been available since 2006 and specify the intervention details required for interpretation (Gagnier et al., 2006); their incomplete uptake remains a substantial contributor to the difficulty of comparing trials.</w:t>
      </w:r>
    </w:p>
    <w:p w14:paraId="73220158" w14:textId="77777777" w:rsidR="001B357C" w:rsidRDefault="00000000">
      <w:pPr>
        <w:spacing w:after="160" w:line="360" w:lineRule="auto"/>
        <w:jc w:val="both"/>
      </w:pPr>
      <w:r>
        <w:t>Table 4 summarises these methodological determinants, the form each takes in this literature and its consequence for inference. The determinants are not independent: underspecified populations interact with insensitive outcomes, and inadequate exposure characterisation compounds both. Their joint operation, rather than any single deficiency, explains why the field has accumulated a large volume of trials without a corresponding gain in certainty.</w:t>
      </w:r>
    </w:p>
    <w:p w14:paraId="7A9A76FD" w14:textId="77777777" w:rsidR="001B357C" w:rsidRDefault="00000000">
      <w:pPr>
        <w:spacing w:before="200" w:after="100" w:line="280" w:lineRule="auto"/>
      </w:pPr>
      <w:r>
        <w:rPr>
          <w:b/>
          <w:bCs/>
          <w:sz w:val="22"/>
          <w:szCs w:val="22"/>
        </w:rPr>
        <w:t>Table 4. Methodological determinants of inconsistency, their manifestation and consequences for inference</w:t>
      </w:r>
    </w:p>
    <w:tbl>
      <w:tblPr>
        <w:tblW w:w="9020" w:type="dxa"/>
        <w:tblBorders>
          <w:top w:val="single" w:sz="4" w:space="0" w:color="000000"/>
          <w:left w:val="single" w:sz="4" w:space="0" w:color="000000"/>
          <w:bottom w:val="single" w:sz="4" w:space="0" w:color="000000"/>
          <w:right w:val="single" w:sz="4" w:space="0" w:color="000000"/>
          <w:insideH w:val="single" w:sz="2" w:space="0" w:color="808080"/>
          <w:insideV w:val="single" w:sz="2" w:space="0" w:color="808080"/>
        </w:tblBorders>
        <w:tblCellMar>
          <w:left w:w="10" w:type="dxa"/>
          <w:right w:w="10" w:type="dxa"/>
        </w:tblCellMar>
        <w:tblLook w:val="0000" w:firstRow="0" w:lastRow="0" w:firstColumn="0" w:lastColumn="0" w:noHBand="0" w:noVBand="0"/>
      </w:tblPr>
      <w:tblGrid>
        <w:gridCol w:w="2255"/>
        <w:gridCol w:w="2255"/>
        <w:gridCol w:w="2255"/>
        <w:gridCol w:w="2255"/>
      </w:tblGrid>
      <w:tr w:rsidR="001B357C" w14:paraId="51B4C202" w14:textId="77777777">
        <w:trPr>
          <w:tblHeader/>
        </w:trPr>
        <w:tc>
          <w:tcPr>
            <w:tcW w:w="2255" w:type="dxa"/>
            <w:shd w:val="clear" w:color="auto" w:fill="E8E8E8"/>
            <w:tcMar>
              <w:top w:w="60" w:type="dxa"/>
              <w:left w:w="90" w:type="dxa"/>
              <w:bottom w:w="60" w:type="dxa"/>
              <w:right w:w="90" w:type="dxa"/>
            </w:tcMar>
          </w:tcPr>
          <w:p w14:paraId="12D3C904" w14:textId="77777777" w:rsidR="001B357C" w:rsidRDefault="00000000">
            <w:pPr>
              <w:spacing w:before="40" w:after="40"/>
            </w:pPr>
            <w:r>
              <w:rPr>
                <w:b/>
                <w:bCs/>
                <w:sz w:val="19"/>
                <w:szCs w:val="19"/>
              </w:rPr>
              <w:lastRenderedPageBreak/>
              <w:t>Determinant</w:t>
            </w:r>
          </w:p>
        </w:tc>
        <w:tc>
          <w:tcPr>
            <w:tcW w:w="2255" w:type="dxa"/>
            <w:shd w:val="clear" w:color="auto" w:fill="E8E8E8"/>
            <w:tcMar>
              <w:top w:w="60" w:type="dxa"/>
              <w:left w:w="90" w:type="dxa"/>
              <w:bottom w:w="60" w:type="dxa"/>
              <w:right w:w="90" w:type="dxa"/>
            </w:tcMar>
          </w:tcPr>
          <w:p w14:paraId="61D350BA" w14:textId="77777777" w:rsidR="001B357C" w:rsidRDefault="00000000">
            <w:pPr>
              <w:spacing w:before="40" w:after="40"/>
            </w:pPr>
            <w:r>
              <w:rPr>
                <w:b/>
                <w:bCs/>
                <w:sz w:val="19"/>
                <w:szCs w:val="19"/>
              </w:rPr>
              <w:t>Manifestation in this literature</w:t>
            </w:r>
          </w:p>
        </w:tc>
        <w:tc>
          <w:tcPr>
            <w:tcW w:w="2255" w:type="dxa"/>
            <w:shd w:val="clear" w:color="auto" w:fill="E8E8E8"/>
            <w:tcMar>
              <w:top w:w="60" w:type="dxa"/>
              <w:left w:w="90" w:type="dxa"/>
              <w:bottom w:w="60" w:type="dxa"/>
              <w:right w:w="90" w:type="dxa"/>
            </w:tcMar>
          </w:tcPr>
          <w:p w14:paraId="02CCEB35" w14:textId="77777777" w:rsidR="001B357C" w:rsidRDefault="00000000">
            <w:pPr>
              <w:spacing w:before="40" w:after="40"/>
            </w:pPr>
            <w:r>
              <w:rPr>
                <w:b/>
                <w:bCs/>
                <w:sz w:val="19"/>
                <w:szCs w:val="19"/>
              </w:rPr>
              <w:t>Consequence for inference</w:t>
            </w:r>
          </w:p>
        </w:tc>
        <w:tc>
          <w:tcPr>
            <w:tcW w:w="2255" w:type="dxa"/>
            <w:shd w:val="clear" w:color="auto" w:fill="E8E8E8"/>
            <w:tcMar>
              <w:top w:w="60" w:type="dxa"/>
              <w:left w:w="90" w:type="dxa"/>
              <w:bottom w:w="60" w:type="dxa"/>
              <w:right w:w="90" w:type="dxa"/>
            </w:tcMar>
          </w:tcPr>
          <w:p w14:paraId="0A67F87E" w14:textId="77777777" w:rsidR="001B357C" w:rsidRDefault="00000000">
            <w:pPr>
              <w:spacing w:before="40" w:after="40"/>
            </w:pPr>
            <w:r>
              <w:rPr>
                <w:b/>
                <w:bCs/>
                <w:sz w:val="19"/>
                <w:szCs w:val="19"/>
              </w:rPr>
              <w:t>Supporting references</w:t>
            </w:r>
          </w:p>
        </w:tc>
      </w:tr>
      <w:tr w:rsidR="001B357C" w14:paraId="29D34BA0" w14:textId="77777777">
        <w:tc>
          <w:tcPr>
            <w:tcW w:w="2255" w:type="dxa"/>
            <w:tcMar>
              <w:top w:w="60" w:type="dxa"/>
              <w:left w:w="90" w:type="dxa"/>
              <w:bottom w:w="60" w:type="dxa"/>
              <w:right w:w="90" w:type="dxa"/>
            </w:tcMar>
          </w:tcPr>
          <w:p w14:paraId="1E839518" w14:textId="77777777" w:rsidR="001B357C" w:rsidRDefault="00000000">
            <w:pPr>
              <w:spacing w:before="40" w:after="40"/>
            </w:pPr>
            <w:r>
              <w:rPr>
                <w:sz w:val="19"/>
                <w:szCs w:val="19"/>
              </w:rPr>
              <w:t>Population definition</w:t>
            </w:r>
          </w:p>
        </w:tc>
        <w:tc>
          <w:tcPr>
            <w:tcW w:w="2255" w:type="dxa"/>
            <w:tcMar>
              <w:top w:w="60" w:type="dxa"/>
              <w:left w:w="90" w:type="dxa"/>
              <w:bottom w:w="60" w:type="dxa"/>
              <w:right w:w="90" w:type="dxa"/>
            </w:tcMar>
          </w:tcPr>
          <w:p w14:paraId="38FB8420" w14:textId="77777777" w:rsidR="001B357C" w:rsidRDefault="00000000">
            <w:pPr>
              <w:spacing w:before="40" w:after="40"/>
            </w:pPr>
            <w:r>
              <w:rPr>
                <w:sz w:val="19"/>
                <w:szCs w:val="19"/>
              </w:rPr>
              <w:t>Recruitment by self-reported memory complaint without objective staging; pooling of mild cognitive impairment with psychiatric populations</w:t>
            </w:r>
          </w:p>
        </w:tc>
        <w:tc>
          <w:tcPr>
            <w:tcW w:w="2255" w:type="dxa"/>
            <w:tcMar>
              <w:top w:w="60" w:type="dxa"/>
              <w:left w:w="90" w:type="dxa"/>
              <w:bottom w:w="60" w:type="dxa"/>
              <w:right w:w="90" w:type="dxa"/>
            </w:tcMar>
          </w:tcPr>
          <w:p w14:paraId="24088144" w14:textId="77777777" w:rsidR="001B357C" w:rsidRDefault="00000000">
            <w:pPr>
              <w:spacing w:before="40" w:after="40"/>
            </w:pPr>
            <w:r>
              <w:rPr>
                <w:sz w:val="19"/>
                <w:szCs w:val="19"/>
              </w:rPr>
              <w:t>Pooled estimates describe no identifiable clinical group; effect direction varies with unmeasured baseline status</w:t>
            </w:r>
          </w:p>
        </w:tc>
        <w:tc>
          <w:tcPr>
            <w:tcW w:w="2255" w:type="dxa"/>
            <w:tcMar>
              <w:top w:w="60" w:type="dxa"/>
              <w:left w:w="90" w:type="dxa"/>
              <w:bottom w:w="60" w:type="dxa"/>
              <w:right w:w="90" w:type="dxa"/>
            </w:tcMar>
          </w:tcPr>
          <w:p w14:paraId="7553C5AC" w14:textId="77777777" w:rsidR="001B357C" w:rsidRDefault="00000000">
            <w:pPr>
              <w:spacing w:before="40" w:after="40"/>
            </w:pPr>
            <w:r w:rsidRPr="0056258C">
              <w:rPr>
                <w:sz w:val="19"/>
                <w:szCs w:val="19"/>
                <w:lang w:val="nl-BE"/>
              </w:rPr>
              <w:t xml:space="preserve">Ng et al. (2020); Wieland et al. </w:t>
            </w:r>
            <w:r>
              <w:rPr>
                <w:sz w:val="19"/>
                <w:szCs w:val="19"/>
              </w:rPr>
              <w:t>(2026)</w:t>
            </w:r>
          </w:p>
        </w:tc>
      </w:tr>
      <w:tr w:rsidR="001B357C" w14:paraId="18FAFDBF" w14:textId="77777777">
        <w:tc>
          <w:tcPr>
            <w:tcW w:w="2255" w:type="dxa"/>
            <w:tcMar>
              <w:top w:w="60" w:type="dxa"/>
              <w:left w:w="90" w:type="dxa"/>
              <w:bottom w:w="60" w:type="dxa"/>
              <w:right w:w="90" w:type="dxa"/>
            </w:tcMar>
          </w:tcPr>
          <w:p w14:paraId="2A090195" w14:textId="77777777" w:rsidR="001B357C" w:rsidRDefault="00000000">
            <w:pPr>
              <w:spacing w:before="40" w:after="40"/>
            </w:pPr>
            <w:r>
              <w:rPr>
                <w:sz w:val="19"/>
                <w:szCs w:val="19"/>
              </w:rPr>
              <w:t>Outcome multiplicity</w:t>
            </w:r>
          </w:p>
        </w:tc>
        <w:tc>
          <w:tcPr>
            <w:tcW w:w="2255" w:type="dxa"/>
            <w:tcMar>
              <w:top w:w="60" w:type="dxa"/>
              <w:left w:w="90" w:type="dxa"/>
              <w:bottom w:w="60" w:type="dxa"/>
              <w:right w:w="90" w:type="dxa"/>
            </w:tcMar>
          </w:tcPr>
          <w:p w14:paraId="368E7D68" w14:textId="77777777" w:rsidR="001B357C" w:rsidRDefault="00000000">
            <w:pPr>
              <w:spacing w:before="40" w:after="40"/>
            </w:pPr>
            <w:r>
              <w:rPr>
                <w:sz w:val="19"/>
                <w:szCs w:val="19"/>
              </w:rPr>
              <w:t>Large computerised batteries without pre-specification or correction; affected domains differ between trials of the same preparation</w:t>
            </w:r>
          </w:p>
        </w:tc>
        <w:tc>
          <w:tcPr>
            <w:tcW w:w="2255" w:type="dxa"/>
            <w:tcMar>
              <w:top w:w="60" w:type="dxa"/>
              <w:left w:w="90" w:type="dxa"/>
              <w:bottom w:w="60" w:type="dxa"/>
              <w:right w:w="90" w:type="dxa"/>
            </w:tcMar>
          </w:tcPr>
          <w:p w14:paraId="136DD52D" w14:textId="77777777" w:rsidR="001B357C" w:rsidRDefault="00000000">
            <w:pPr>
              <w:spacing w:before="40" w:after="40"/>
            </w:pPr>
            <w:r>
              <w:rPr>
                <w:sz w:val="19"/>
                <w:szCs w:val="19"/>
              </w:rPr>
              <w:t>Selective significance is expected by chance; domain-level findings do not replicate</w:t>
            </w:r>
          </w:p>
        </w:tc>
        <w:tc>
          <w:tcPr>
            <w:tcW w:w="2255" w:type="dxa"/>
            <w:tcMar>
              <w:top w:w="60" w:type="dxa"/>
              <w:left w:w="90" w:type="dxa"/>
              <w:bottom w:w="60" w:type="dxa"/>
              <w:right w:w="90" w:type="dxa"/>
            </w:tcMar>
          </w:tcPr>
          <w:p w14:paraId="7797E361" w14:textId="661DEA3B" w:rsidR="001B357C" w:rsidRDefault="00000000">
            <w:pPr>
              <w:spacing w:before="40" w:after="40"/>
            </w:pPr>
            <w:r w:rsidRPr="0056258C">
              <w:rPr>
                <w:sz w:val="19"/>
                <w:szCs w:val="19"/>
                <w:lang w:val="nl-BE"/>
              </w:rPr>
              <w:t>Feng et al. (20</w:t>
            </w:r>
            <w:r w:rsidR="0056258C">
              <w:rPr>
                <w:sz w:val="19"/>
                <w:szCs w:val="19"/>
                <w:lang w:val="nl-BE"/>
              </w:rPr>
              <w:t>26</w:t>
            </w:r>
            <w:r w:rsidRPr="0056258C">
              <w:rPr>
                <w:sz w:val="19"/>
                <w:szCs w:val="19"/>
                <w:lang w:val="nl-BE"/>
              </w:rPr>
              <w:t xml:space="preserve">); Kongkeaw et al. </w:t>
            </w:r>
            <w:r>
              <w:rPr>
                <w:sz w:val="19"/>
                <w:szCs w:val="19"/>
              </w:rPr>
              <w:t>(2014)</w:t>
            </w:r>
          </w:p>
        </w:tc>
      </w:tr>
      <w:tr w:rsidR="001B357C" w14:paraId="04A89C24" w14:textId="77777777">
        <w:tc>
          <w:tcPr>
            <w:tcW w:w="2255" w:type="dxa"/>
            <w:tcMar>
              <w:top w:w="60" w:type="dxa"/>
              <w:left w:w="90" w:type="dxa"/>
              <w:bottom w:w="60" w:type="dxa"/>
              <w:right w:w="90" w:type="dxa"/>
            </w:tcMar>
          </w:tcPr>
          <w:p w14:paraId="6FE54573" w14:textId="77777777" w:rsidR="001B357C" w:rsidRDefault="00000000">
            <w:pPr>
              <w:spacing w:before="40" w:after="40"/>
            </w:pPr>
            <w:r>
              <w:rPr>
                <w:sz w:val="19"/>
                <w:szCs w:val="19"/>
              </w:rPr>
              <w:t>Clinical meaningfulness</w:t>
            </w:r>
          </w:p>
        </w:tc>
        <w:tc>
          <w:tcPr>
            <w:tcW w:w="2255" w:type="dxa"/>
            <w:tcMar>
              <w:top w:w="60" w:type="dxa"/>
              <w:left w:w="90" w:type="dxa"/>
              <w:bottom w:w="60" w:type="dxa"/>
              <w:right w:w="90" w:type="dxa"/>
            </w:tcMar>
          </w:tcPr>
          <w:p w14:paraId="49A64E67" w14:textId="77777777" w:rsidR="001B357C" w:rsidRDefault="00000000">
            <w:pPr>
              <w:spacing w:before="40" w:after="40"/>
            </w:pPr>
            <w:r>
              <w:rPr>
                <w:sz w:val="19"/>
                <w:szCs w:val="19"/>
              </w:rPr>
              <w:t>Statistical significance reported on screening scales without anchor-based thresholds</w:t>
            </w:r>
          </w:p>
        </w:tc>
        <w:tc>
          <w:tcPr>
            <w:tcW w:w="2255" w:type="dxa"/>
            <w:tcMar>
              <w:top w:w="60" w:type="dxa"/>
              <w:left w:w="90" w:type="dxa"/>
              <w:bottom w:w="60" w:type="dxa"/>
              <w:right w:w="90" w:type="dxa"/>
            </w:tcMar>
          </w:tcPr>
          <w:p w14:paraId="0C1AA88D" w14:textId="77777777" w:rsidR="001B357C" w:rsidRDefault="00000000">
            <w:pPr>
              <w:spacing w:before="40" w:after="40"/>
            </w:pPr>
            <w:r>
              <w:rPr>
                <w:sz w:val="19"/>
                <w:szCs w:val="19"/>
              </w:rPr>
              <w:t>Statistically detectable change may be imperceptible to patients and clinicians</w:t>
            </w:r>
          </w:p>
        </w:tc>
        <w:tc>
          <w:tcPr>
            <w:tcW w:w="2255" w:type="dxa"/>
            <w:tcMar>
              <w:top w:w="60" w:type="dxa"/>
              <w:left w:w="90" w:type="dxa"/>
              <w:bottom w:w="60" w:type="dxa"/>
              <w:right w:w="90" w:type="dxa"/>
            </w:tcMar>
          </w:tcPr>
          <w:p w14:paraId="75C0E89C" w14:textId="77777777" w:rsidR="001B357C" w:rsidRDefault="00000000">
            <w:pPr>
              <w:spacing w:before="40" w:after="40"/>
            </w:pPr>
            <w:r>
              <w:rPr>
                <w:sz w:val="19"/>
                <w:szCs w:val="19"/>
              </w:rPr>
              <w:t>Birks &amp; Harvey (2018); Kim et al. (2025)</w:t>
            </w:r>
          </w:p>
        </w:tc>
      </w:tr>
      <w:tr w:rsidR="001B357C" w14:paraId="247D35A8" w14:textId="77777777">
        <w:tc>
          <w:tcPr>
            <w:tcW w:w="2255" w:type="dxa"/>
            <w:tcMar>
              <w:top w:w="60" w:type="dxa"/>
              <w:left w:w="90" w:type="dxa"/>
              <w:bottom w:w="60" w:type="dxa"/>
              <w:right w:w="90" w:type="dxa"/>
            </w:tcMar>
          </w:tcPr>
          <w:p w14:paraId="537AC11B" w14:textId="77777777" w:rsidR="001B357C" w:rsidRDefault="00000000">
            <w:pPr>
              <w:spacing w:before="40" w:after="40"/>
            </w:pPr>
            <w:r>
              <w:rPr>
                <w:sz w:val="19"/>
                <w:szCs w:val="19"/>
              </w:rPr>
              <w:t>Exposure duration</w:t>
            </w:r>
          </w:p>
        </w:tc>
        <w:tc>
          <w:tcPr>
            <w:tcW w:w="2255" w:type="dxa"/>
            <w:tcMar>
              <w:top w:w="60" w:type="dxa"/>
              <w:left w:w="90" w:type="dxa"/>
              <w:bottom w:w="60" w:type="dxa"/>
              <w:right w:w="90" w:type="dxa"/>
            </w:tcMar>
          </w:tcPr>
          <w:p w14:paraId="274F1335" w14:textId="77777777" w:rsidR="001B357C" w:rsidRDefault="00000000">
            <w:pPr>
              <w:spacing w:before="40" w:after="40"/>
            </w:pPr>
            <w:r>
              <w:rPr>
                <w:sz w:val="19"/>
                <w:szCs w:val="19"/>
              </w:rPr>
              <w:t>Acute and 12-week designs predominate; multi-year designs confined to one preparation</w:t>
            </w:r>
          </w:p>
        </w:tc>
        <w:tc>
          <w:tcPr>
            <w:tcW w:w="2255" w:type="dxa"/>
            <w:tcMar>
              <w:top w:w="60" w:type="dxa"/>
              <w:left w:w="90" w:type="dxa"/>
              <w:bottom w:w="60" w:type="dxa"/>
              <w:right w:w="90" w:type="dxa"/>
            </w:tcMar>
          </w:tcPr>
          <w:p w14:paraId="1FA0AF66" w14:textId="77777777" w:rsidR="001B357C" w:rsidRDefault="00000000">
            <w:pPr>
              <w:spacing w:before="40" w:after="40"/>
            </w:pPr>
            <w:r>
              <w:rPr>
                <w:sz w:val="19"/>
                <w:szCs w:val="19"/>
              </w:rPr>
              <w:t>Symptomatic and trajectory-level questions are conflated; prevention claims rest on short-term data</w:t>
            </w:r>
          </w:p>
        </w:tc>
        <w:tc>
          <w:tcPr>
            <w:tcW w:w="2255" w:type="dxa"/>
            <w:tcMar>
              <w:top w:w="60" w:type="dxa"/>
              <w:left w:w="90" w:type="dxa"/>
              <w:bottom w:w="60" w:type="dxa"/>
              <w:right w:w="90" w:type="dxa"/>
            </w:tcMar>
          </w:tcPr>
          <w:p w14:paraId="7275990B" w14:textId="77777777" w:rsidR="001B357C" w:rsidRDefault="00000000">
            <w:pPr>
              <w:spacing w:before="40" w:after="40"/>
            </w:pPr>
            <w:r w:rsidRPr="0056258C">
              <w:rPr>
                <w:sz w:val="19"/>
                <w:szCs w:val="19"/>
                <w:lang w:val="nl-BE"/>
              </w:rPr>
              <w:t xml:space="preserve">DeKosky et al. (2008); Vellas et al. </w:t>
            </w:r>
            <w:r>
              <w:rPr>
                <w:sz w:val="19"/>
                <w:szCs w:val="19"/>
              </w:rPr>
              <w:t>(2012)</w:t>
            </w:r>
          </w:p>
        </w:tc>
      </w:tr>
      <w:tr w:rsidR="001B357C" w14:paraId="6580B783" w14:textId="77777777">
        <w:tc>
          <w:tcPr>
            <w:tcW w:w="2255" w:type="dxa"/>
            <w:tcMar>
              <w:top w:w="60" w:type="dxa"/>
              <w:left w:w="90" w:type="dxa"/>
              <w:bottom w:w="60" w:type="dxa"/>
              <w:right w:w="90" w:type="dxa"/>
            </w:tcMar>
          </w:tcPr>
          <w:p w14:paraId="72802ED7" w14:textId="77777777" w:rsidR="001B357C" w:rsidRDefault="00000000">
            <w:pPr>
              <w:spacing w:before="40" w:after="40"/>
            </w:pPr>
            <w:r>
              <w:rPr>
                <w:sz w:val="19"/>
                <w:szCs w:val="19"/>
              </w:rPr>
              <w:t>Dose justification and target engagement</w:t>
            </w:r>
          </w:p>
        </w:tc>
        <w:tc>
          <w:tcPr>
            <w:tcW w:w="2255" w:type="dxa"/>
            <w:tcMar>
              <w:top w:w="60" w:type="dxa"/>
              <w:left w:w="90" w:type="dxa"/>
              <w:bottom w:w="60" w:type="dxa"/>
              <w:right w:w="90" w:type="dxa"/>
            </w:tcMar>
          </w:tcPr>
          <w:p w14:paraId="3A91F2E1" w14:textId="77777777" w:rsidR="001B357C" w:rsidRDefault="00000000">
            <w:pPr>
              <w:spacing w:before="40" w:after="40"/>
            </w:pPr>
            <w:r>
              <w:rPr>
                <w:sz w:val="19"/>
                <w:szCs w:val="19"/>
              </w:rPr>
              <w:t>Doses taken from prior trials or manufacturer recommendation; pharmacodynamic markers rarely measured</w:t>
            </w:r>
          </w:p>
        </w:tc>
        <w:tc>
          <w:tcPr>
            <w:tcW w:w="2255" w:type="dxa"/>
            <w:tcMar>
              <w:top w:w="60" w:type="dxa"/>
              <w:left w:w="90" w:type="dxa"/>
              <w:bottom w:w="60" w:type="dxa"/>
              <w:right w:w="90" w:type="dxa"/>
            </w:tcMar>
          </w:tcPr>
          <w:p w14:paraId="0C1F767C" w14:textId="77777777" w:rsidR="001B357C" w:rsidRDefault="00000000">
            <w:pPr>
              <w:spacing w:before="40" w:after="40"/>
            </w:pPr>
            <w:r>
              <w:rPr>
                <w:sz w:val="19"/>
                <w:szCs w:val="19"/>
              </w:rPr>
              <w:t>Null results cannot be distinguished from inadequate exposure; positive results lack mechanistic anchorage</w:t>
            </w:r>
          </w:p>
        </w:tc>
        <w:tc>
          <w:tcPr>
            <w:tcW w:w="2255" w:type="dxa"/>
            <w:tcMar>
              <w:top w:w="60" w:type="dxa"/>
              <w:left w:w="90" w:type="dxa"/>
              <w:bottom w:w="60" w:type="dxa"/>
              <w:right w:w="90" w:type="dxa"/>
            </w:tcMar>
          </w:tcPr>
          <w:p w14:paraId="2E11373C" w14:textId="77777777" w:rsidR="001B357C" w:rsidRDefault="00000000">
            <w:pPr>
              <w:spacing w:before="40" w:after="40"/>
            </w:pPr>
            <w:r w:rsidRPr="0056258C">
              <w:rPr>
                <w:sz w:val="19"/>
                <w:szCs w:val="19"/>
                <w:lang w:val="nl-BE"/>
              </w:rPr>
              <w:t xml:space="preserve">Ringman et al. (2012); Wright et al. </w:t>
            </w:r>
            <w:r>
              <w:rPr>
                <w:sz w:val="19"/>
                <w:szCs w:val="19"/>
              </w:rPr>
              <w:t>(2022)</w:t>
            </w:r>
          </w:p>
        </w:tc>
      </w:tr>
      <w:tr w:rsidR="001B357C" w14:paraId="1D7E0DC7" w14:textId="77777777">
        <w:tc>
          <w:tcPr>
            <w:tcW w:w="2255" w:type="dxa"/>
            <w:tcMar>
              <w:top w:w="60" w:type="dxa"/>
              <w:left w:w="90" w:type="dxa"/>
              <w:bottom w:w="60" w:type="dxa"/>
              <w:right w:w="90" w:type="dxa"/>
            </w:tcMar>
          </w:tcPr>
          <w:p w14:paraId="160CF7B5" w14:textId="77777777" w:rsidR="001B357C" w:rsidRDefault="00000000">
            <w:pPr>
              <w:spacing w:before="40" w:after="40"/>
            </w:pPr>
            <w:r>
              <w:rPr>
                <w:sz w:val="19"/>
                <w:szCs w:val="19"/>
              </w:rPr>
              <w:t>Blinding integrity</w:t>
            </w:r>
          </w:p>
        </w:tc>
        <w:tc>
          <w:tcPr>
            <w:tcW w:w="2255" w:type="dxa"/>
            <w:tcMar>
              <w:top w:w="60" w:type="dxa"/>
              <w:left w:w="90" w:type="dxa"/>
              <w:bottom w:w="60" w:type="dxa"/>
              <w:right w:w="90" w:type="dxa"/>
            </w:tcMar>
          </w:tcPr>
          <w:p w14:paraId="0A878970" w14:textId="77777777" w:rsidR="001B357C" w:rsidRDefault="00000000">
            <w:pPr>
              <w:spacing w:before="40" w:after="40"/>
            </w:pPr>
            <w:r>
              <w:rPr>
                <w:sz w:val="19"/>
                <w:szCs w:val="19"/>
              </w:rPr>
              <w:t>Distinctive sensory characteristics and differential gastrointestinal effects; blinding rarely tested</w:t>
            </w:r>
          </w:p>
        </w:tc>
        <w:tc>
          <w:tcPr>
            <w:tcW w:w="2255" w:type="dxa"/>
            <w:tcMar>
              <w:top w:w="60" w:type="dxa"/>
              <w:left w:w="90" w:type="dxa"/>
              <w:bottom w:w="60" w:type="dxa"/>
              <w:right w:w="90" w:type="dxa"/>
            </w:tcMar>
          </w:tcPr>
          <w:p w14:paraId="0CB04763" w14:textId="77777777" w:rsidR="001B357C" w:rsidRDefault="00000000">
            <w:pPr>
              <w:spacing w:before="40" w:after="40"/>
            </w:pPr>
            <w:r>
              <w:rPr>
                <w:sz w:val="19"/>
                <w:szCs w:val="19"/>
              </w:rPr>
              <w:t>Unblinding plausible, particularly for self-reported outcomes</w:t>
            </w:r>
          </w:p>
        </w:tc>
        <w:tc>
          <w:tcPr>
            <w:tcW w:w="2255" w:type="dxa"/>
            <w:tcMar>
              <w:top w:w="60" w:type="dxa"/>
              <w:left w:w="90" w:type="dxa"/>
              <w:bottom w:w="60" w:type="dxa"/>
              <w:right w:w="90" w:type="dxa"/>
            </w:tcMar>
          </w:tcPr>
          <w:p w14:paraId="61AF4F32" w14:textId="77777777" w:rsidR="001B357C" w:rsidRDefault="00000000">
            <w:pPr>
              <w:spacing w:before="40" w:after="40"/>
            </w:pPr>
            <w:r w:rsidRPr="0056258C">
              <w:rPr>
                <w:sz w:val="19"/>
                <w:szCs w:val="19"/>
                <w:lang w:val="nl-BE"/>
              </w:rPr>
              <w:t xml:space="preserve">Lopresti &amp; Smith (2025); Tsolaki et al. </w:t>
            </w:r>
            <w:r>
              <w:rPr>
                <w:sz w:val="19"/>
                <w:szCs w:val="19"/>
              </w:rPr>
              <w:t>(2016)</w:t>
            </w:r>
          </w:p>
        </w:tc>
      </w:tr>
      <w:tr w:rsidR="001B357C" w14:paraId="6D968C77" w14:textId="77777777">
        <w:tc>
          <w:tcPr>
            <w:tcW w:w="2255" w:type="dxa"/>
            <w:tcMar>
              <w:top w:w="60" w:type="dxa"/>
              <w:left w:w="90" w:type="dxa"/>
              <w:bottom w:w="60" w:type="dxa"/>
              <w:right w:w="90" w:type="dxa"/>
            </w:tcMar>
          </w:tcPr>
          <w:p w14:paraId="07E35241" w14:textId="77777777" w:rsidR="001B357C" w:rsidRDefault="00000000">
            <w:pPr>
              <w:spacing w:before="40" w:after="40"/>
            </w:pPr>
            <w:r>
              <w:rPr>
                <w:sz w:val="19"/>
                <w:szCs w:val="19"/>
              </w:rPr>
              <w:t>Geographical concentration</w:t>
            </w:r>
          </w:p>
        </w:tc>
        <w:tc>
          <w:tcPr>
            <w:tcW w:w="2255" w:type="dxa"/>
            <w:tcMar>
              <w:top w:w="60" w:type="dxa"/>
              <w:left w:w="90" w:type="dxa"/>
              <w:bottom w:w="60" w:type="dxa"/>
              <w:right w:w="90" w:type="dxa"/>
            </w:tcMar>
          </w:tcPr>
          <w:p w14:paraId="36D73B9D" w14:textId="77777777" w:rsidR="001B357C" w:rsidRDefault="00000000">
            <w:pPr>
              <w:spacing w:before="40" w:after="40"/>
            </w:pPr>
            <w:r>
              <w:rPr>
                <w:sz w:val="19"/>
                <w:szCs w:val="19"/>
              </w:rPr>
              <w:t>Favourable evidence bases clustered within few national research settings</w:t>
            </w:r>
          </w:p>
        </w:tc>
        <w:tc>
          <w:tcPr>
            <w:tcW w:w="2255" w:type="dxa"/>
            <w:tcMar>
              <w:top w:w="60" w:type="dxa"/>
              <w:left w:w="90" w:type="dxa"/>
              <w:bottom w:w="60" w:type="dxa"/>
              <w:right w:w="90" w:type="dxa"/>
            </w:tcMar>
          </w:tcPr>
          <w:p w14:paraId="7A16D21E" w14:textId="77777777" w:rsidR="001B357C" w:rsidRDefault="00000000">
            <w:pPr>
              <w:spacing w:before="40" w:after="40"/>
            </w:pPr>
            <w:r>
              <w:rPr>
                <w:sz w:val="19"/>
                <w:szCs w:val="19"/>
              </w:rPr>
              <w:t>Consistency of direction provides weaker assurance than independent multinational replication</w:t>
            </w:r>
          </w:p>
        </w:tc>
        <w:tc>
          <w:tcPr>
            <w:tcW w:w="2255" w:type="dxa"/>
            <w:tcMar>
              <w:top w:w="60" w:type="dxa"/>
              <w:left w:w="90" w:type="dxa"/>
              <w:bottom w:w="60" w:type="dxa"/>
              <w:right w:w="90" w:type="dxa"/>
            </w:tcMar>
          </w:tcPr>
          <w:p w14:paraId="5887D22A" w14:textId="77777777" w:rsidR="001B357C" w:rsidRDefault="00000000">
            <w:pPr>
              <w:spacing w:before="40" w:after="40"/>
            </w:pPr>
            <w:r w:rsidRPr="0056258C">
              <w:rPr>
                <w:sz w:val="19"/>
                <w:szCs w:val="19"/>
                <w:lang w:val="nl-BE"/>
              </w:rPr>
              <w:t xml:space="preserve">Liu et al. (2024); Vickers et al. </w:t>
            </w:r>
            <w:r>
              <w:rPr>
                <w:sz w:val="19"/>
                <w:szCs w:val="19"/>
              </w:rPr>
              <w:t>(1998); Yang et al. (2013)</w:t>
            </w:r>
          </w:p>
        </w:tc>
      </w:tr>
      <w:tr w:rsidR="001B357C" w14:paraId="0A643EE2" w14:textId="77777777">
        <w:tc>
          <w:tcPr>
            <w:tcW w:w="2255" w:type="dxa"/>
            <w:tcMar>
              <w:top w:w="60" w:type="dxa"/>
              <w:left w:w="90" w:type="dxa"/>
              <w:bottom w:w="60" w:type="dxa"/>
              <w:right w:w="90" w:type="dxa"/>
            </w:tcMar>
          </w:tcPr>
          <w:p w14:paraId="4397B10F" w14:textId="77777777" w:rsidR="001B357C" w:rsidRDefault="00000000">
            <w:pPr>
              <w:spacing w:before="40" w:after="40"/>
            </w:pPr>
            <w:r>
              <w:rPr>
                <w:sz w:val="19"/>
                <w:szCs w:val="19"/>
              </w:rPr>
              <w:t>Reporting completeness</w:t>
            </w:r>
          </w:p>
        </w:tc>
        <w:tc>
          <w:tcPr>
            <w:tcW w:w="2255" w:type="dxa"/>
            <w:tcMar>
              <w:top w:w="60" w:type="dxa"/>
              <w:left w:w="90" w:type="dxa"/>
              <w:bottom w:w="60" w:type="dxa"/>
              <w:right w:w="90" w:type="dxa"/>
            </w:tcMar>
          </w:tcPr>
          <w:p w14:paraId="2D7061CB" w14:textId="77777777" w:rsidR="001B357C" w:rsidRDefault="00000000">
            <w:pPr>
              <w:spacing w:before="40" w:after="40"/>
            </w:pPr>
            <w:r>
              <w:rPr>
                <w:sz w:val="19"/>
                <w:szCs w:val="19"/>
              </w:rPr>
              <w:t>Incomplete adoption of herbal trial reporting standards and extract characterisation guidance</w:t>
            </w:r>
          </w:p>
        </w:tc>
        <w:tc>
          <w:tcPr>
            <w:tcW w:w="2255" w:type="dxa"/>
            <w:tcMar>
              <w:top w:w="60" w:type="dxa"/>
              <w:left w:w="90" w:type="dxa"/>
              <w:bottom w:w="60" w:type="dxa"/>
              <w:right w:w="90" w:type="dxa"/>
            </w:tcMar>
          </w:tcPr>
          <w:p w14:paraId="4B647E50" w14:textId="77777777" w:rsidR="001B357C" w:rsidRDefault="00000000">
            <w:pPr>
              <w:spacing w:before="40" w:after="40"/>
            </w:pPr>
            <w:r>
              <w:rPr>
                <w:sz w:val="19"/>
                <w:szCs w:val="19"/>
              </w:rPr>
              <w:t>Trials nominally testing the same plant are not comparable; pooling assumptions unverifiable</w:t>
            </w:r>
          </w:p>
        </w:tc>
        <w:tc>
          <w:tcPr>
            <w:tcW w:w="2255" w:type="dxa"/>
            <w:tcMar>
              <w:top w:w="60" w:type="dxa"/>
              <w:left w:w="90" w:type="dxa"/>
              <w:bottom w:w="60" w:type="dxa"/>
              <w:right w:w="90" w:type="dxa"/>
            </w:tcMar>
          </w:tcPr>
          <w:p w14:paraId="694EAD89" w14:textId="77777777" w:rsidR="001B357C" w:rsidRDefault="00000000">
            <w:pPr>
              <w:spacing w:before="40" w:after="40"/>
            </w:pPr>
            <w:r w:rsidRPr="0056258C">
              <w:rPr>
                <w:sz w:val="19"/>
                <w:szCs w:val="19"/>
                <w:lang w:val="nl-BE"/>
              </w:rPr>
              <w:t xml:space="preserve">Gagnier et al. (2006); Heinrich et al. </w:t>
            </w:r>
            <w:r>
              <w:rPr>
                <w:sz w:val="19"/>
                <w:szCs w:val="19"/>
              </w:rPr>
              <w:t>(2022)</w:t>
            </w:r>
          </w:p>
        </w:tc>
      </w:tr>
    </w:tbl>
    <w:p w14:paraId="42CD1CF9" w14:textId="77777777" w:rsidR="001B357C" w:rsidRDefault="00000000">
      <w:pPr>
        <w:spacing w:before="80" w:after="260" w:line="260" w:lineRule="auto"/>
      </w:pPr>
      <w:r>
        <w:rPr>
          <w:sz w:val="20"/>
          <w:szCs w:val="20"/>
        </w:rPr>
        <w:t>Note. The determinants listed are not independent of one another and frequently act in combination within the same trial. Supporting references correspond to full entries in the reference list.</w:t>
      </w:r>
    </w:p>
    <w:p w14:paraId="51DD5120" w14:textId="77777777" w:rsidR="001B357C" w:rsidRDefault="00000000">
      <w:pPr>
        <w:pStyle w:val="Heading1"/>
        <w:spacing w:before="320" w:after="140" w:line="300" w:lineRule="auto"/>
      </w:pPr>
      <w:r>
        <w:rPr>
          <w:b/>
          <w:bCs/>
          <w:color w:val="000000"/>
          <w:sz w:val="28"/>
          <w:szCs w:val="28"/>
        </w:rPr>
        <w:t>7. Product-level determinants: chemistry, quality and pharmacokinetics</w:t>
      </w:r>
    </w:p>
    <w:p w14:paraId="327E1C35" w14:textId="77777777" w:rsidR="001B357C" w:rsidRDefault="00000000">
      <w:pPr>
        <w:pStyle w:val="Heading2"/>
        <w:spacing w:before="260" w:after="140" w:line="300" w:lineRule="auto"/>
      </w:pPr>
      <w:r>
        <w:rPr>
          <w:b/>
          <w:bCs/>
          <w:color w:val="000000"/>
        </w:rPr>
        <w:t>7.1 Characterisation of the tested material</w:t>
      </w:r>
    </w:p>
    <w:p w14:paraId="2B0CE017" w14:textId="77777777" w:rsidR="001B357C" w:rsidRDefault="00000000">
      <w:pPr>
        <w:spacing w:after="160" w:line="360" w:lineRule="auto"/>
        <w:jc w:val="both"/>
      </w:pPr>
      <w:r>
        <w:t xml:space="preserve">The reproducibility of any botanical trial depends on the chemical definition of the material tested. Guidance developed for this purpose specifies the information required, including </w:t>
      </w:r>
      <w:r>
        <w:lastRenderedPageBreak/>
        <w:t>botanical identity verified in the material itself, plant part, extraction solvent and ratio, quantified marker compounds and analytical methods used to determine them (Heinrich et al., 2022). Where such information is absent, a trial reports the effect of an unknown substance and cannot be replicated except by obtaining the identical commercial product, which may itself change between batches.</w:t>
      </w:r>
    </w:p>
    <w:p w14:paraId="27FDAD18" w14:textId="77777777" w:rsidR="001B357C" w:rsidRDefault="00000000">
      <w:pPr>
        <w:spacing w:after="160" w:line="360" w:lineRule="auto"/>
        <w:jc w:val="both"/>
      </w:pPr>
      <w:r>
        <w:t xml:space="preserve">Practical consequences run through the evidence appraised in this review. The relative coherence of the </w:t>
      </w:r>
      <w:r>
        <w:rPr>
          <w:i/>
          <w:iCs/>
        </w:rPr>
        <w:t>Bacopa monnieri</w:t>
      </w:r>
      <w:r>
        <w:t xml:space="preserve"> literature owes much to the repeated use of extracts defined by bacoside content (Downey et al., 2013; Kongkeaw et al., 2014). The divergence within the </w:t>
      </w:r>
      <w:r>
        <w:rPr>
          <w:i/>
          <w:iCs/>
        </w:rPr>
        <w:t>Withania somnifera</w:t>
      </w:r>
      <w:r>
        <w:t xml:space="preserve"> literature is partly attributable to the use of extracts standardised to different markers, since a withanolide-standardised preparation and a sominone-standardised preparation are not interchangeable (Choudhary et al., 2017; Rai &amp; Mishra, 2025). Contemporary review of analytical methodology for herbal supplement quality control describes the techniques now available for authentication and quantification and situates them within evolving regulatory expectations (Lindenmaier et al., 2025), which indicates that the obstacle is adoption rather than analytical capability.</w:t>
      </w:r>
    </w:p>
    <w:p w14:paraId="49E64A49" w14:textId="77777777" w:rsidR="001B357C" w:rsidRDefault="00000000">
      <w:pPr>
        <w:pStyle w:val="Heading2"/>
        <w:spacing w:before="260" w:after="140" w:line="300" w:lineRule="auto"/>
      </w:pPr>
      <w:r>
        <w:rPr>
          <w:b/>
          <w:bCs/>
          <w:color w:val="000000"/>
        </w:rPr>
        <w:t>7.2 Authentication, adulteration and undeclared constituents</w:t>
      </w:r>
    </w:p>
    <w:p w14:paraId="22BCA0D2" w14:textId="77777777" w:rsidR="001B357C" w:rsidRDefault="00000000">
      <w:pPr>
        <w:spacing w:after="160" w:line="360" w:lineRule="auto"/>
        <w:jc w:val="both"/>
      </w:pPr>
      <w:r>
        <w:t xml:space="preserve">Botanical authentication of finished products is not assured by labelling. Molecular methods for verifying species identity in commercial preparations continue to be developed and applied, including marker gene approaches for </w:t>
      </w:r>
      <w:r>
        <w:rPr>
          <w:i/>
          <w:iCs/>
        </w:rPr>
        <w:t>Bacopa monnieri</w:t>
      </w:r>
      <w:r>
        <w:t xml:space="preserve"> products specifically (Biltes et al., 2025), and the ongoing development of such tools reflects a recognised need rather than a resolved problem. Analytical review of quality control practice similarly emphasises authentication as a persistent challenge across the supplement sector (Lindenmaier et al., 2025).</w:t>
      </w:r>
    </w:p>
    <w:p w14:paraId="39726B03" w14:textId="77777777" w:rsidR="001B357C" w:rsidRDefault="00000000">
      <w:pPr>
        <w:spacing w:after="160" w:line="360" w:lineRule="auto"/>
        <w:jc w:val="both"/>
      </w:pPr>
      <w:r>
        <w:t>More serious than substitution is deliberate adulteration. Analysis of dietary supplements marketed for cognitive enhancement identified five unapproved drugs across the products tested, present in combinations and at doses not disclosed on labelling (Cohen et al., 2021). A subsequent report identified a further unapproved compound in products of the same category. This finding has two implications for the interpretation of the research literature. Any apparent benefit reported from a commercially obtained product of unverified composition may be attributable to an undeclared pharmaceutical rather than to the botanical, and consumers acting on trial evidence may obtain products bearing little chemical relationship to the material studied. The gap between the intervention tested and the product purchased is therefore not merely one of dose or standardisation but potentially one of substance.</w:t>
      </w:r>
    </w:p>
    <w:p w14:paraId="758019F1" w14:textId="77777777" w:rsidR="001B357C" w:rsidRDefault="00000000">
      <w:pPr>
        <w:pStyle w:val="Heading2"/>
        <w:spacing w:before="260" w:after="140" w:line="300" w:lineRule="auto"/>
      </w:pPr>
      <w:r>
        <w:rPr>
          <w:b/>
          <w:bCs/>
          <w:color w:val="000000"/>
        </w:rPr>
        <w:lastRenderedPageBreak/>
        <w:t>7.3 Bioavailability, metabolism and central exposure</w:t>
      </w:r>
    </w:p>
    <w:p w14:paraId="4E703A2C" w14:textId="77777777" w:rsidR="001B357C" w:rsidRDefault="00000000">
      <w:pPr>
        <w:spacing w:after="160" w:line="360" w:lineRule="auto"/>
        <w:jc w:val="both"/>
      </w:pPr>
      <w:r>
        <w:t>Many constituents credited with cognitive activity are poorly suited to oral delivery to the brain. Curcumin exhibits low aqueous solubility, rapid metabolism and poor systemic availability, a profile documented in detail and only partially remedied by formulation approaches (Anand et al., 2007; Nelson et al., 2017). The clinical relevance of this is not theoretical, since the Alzheimer's disease trial that measured plasma concentrations found them low and found no effect (Ringman et al., 2012), while trials using bioavailability-enhanced formulations reported benefit (Cox et al., 2015; Small et al., 2018).</w:t>
      </w:r>
    </w:p>
    <w:p w14:paraId="42747B22" w14:textId="77777777" w:rsidR="001B357C" w:rsidRDefault="00000000">
      <w:pPr>
        <w:spacing w:after="160" w:line="360" w:lineRule="auto"/>
        <w:jc w:val="both"/>
      </w:pPr>
      <w:r>
        <w:t xml:space="preserve">Glycosidic constituents present a related difficulty. In the </w:t>
      </w:r>
      <w:r>
        <w:rPr>
          <w:i/>
          <w:iCs/>
        </w:rPr>
        <w:t>Centella asiatica</w:t>
      </w:r>
      <w:r>
        <w:t xml:space="preserve"> phase 1 study, the triterpene glycosides asiaticoside and madecassoside were abundant in the administered product yet absent from plasma, whereas their aglycones asiatic acid and madecassic acid were detected, and caffeoylquinic acids showed delayed absorption with limited plasma presence while their putative metabolites displayed detectable pharmacokinetic profiles (Wright et al., 2022). The pharmacologically relevant species in vivo were therefore metabolites rather than the marker compounds used for product standardisation. Where standardisation markers and circulating actives diverge in this way, dose–response reasoning based on label content is unreliable, and blood–brain barrier penetration adds a further and largely uncharacterised filter.</w:t>
      </w:r>
    </w:p>
    <w:p w14:paraId="09A49654" w14:textId="77777777" w:rsidR="001B357C" w:rsidRDefault="00000000">
      <w:pPr>
        <w:pStyle w:val="Heading2"/>
        <w:spacing w:before="260" w:after="140" w:line="300" w:lineRule="auto"/>
      </w:pPr>
      <w:r>
        <w:rPr>
          <w:b/>
          <w:bCs/>
          <w:color w:val="000000"/>
        </w:rPr>
        <w:t>7.4 Safety, interactions and populations at elevated risk</w:t>
      </w:r>
    </w:p>
    <w:p w14:paraId="0A27D93A" w14:textId="77777777" w:rsidR="001B357C" w:rsidRDefault="00000000">
      <w:pPr>
        <w:spacing w:after="160" w:line="360" w:lineRule="auto"/>
        <w:jc w:val="both"/>
      </w:pPr>
      <w:r>
        <w:t xml:space="preserve">Safety data in this field are reassuring but limited in the specific ways that matter for older populations. Trials of </w:t>
      </w:r>
      <w:r>
        <w:rPr>
          <w:i/>
          <w:iCs/>
        </w:rPr>
        <w:t>Ginkgo biloba</w:t>
      </w:r>
      <w:r>
        <w:t xml:space="preserve"> in dementia showed no meaningful difference from placebo in serious adverse events (Wieland et al., 2026), and reviews of </w:t>
      </w:r>
      <w:r>
        <w:rPr>
          <w:i/>
          <w:iCs/>
        </w:rPr>
        <w:t>Withania somnifera</w:t>
      </w:r>
      <w:r>
        <w:t xml:space="preserve"> across human conditions and of saffron across neurological and psychiatric indications report good tolerability (Han et al., 2024; Tandon &amp; Yadav, 2020). These findings derive from trials designed to detect efficacy rather than rare harm, in participants selected for the absence of significant comorbidity, and over durations of weeks to months.</w:t>
      </w:r>
    </w:p>
    <w:p w14:paraId="35C54F34" w14:textId="77777777" w:rsidR="001B357C" w:rsidRDefault="00000000">
      <w:pPr>
        <w:spacing w:after="160" w:line="360" w:lineRule="auto"/>
        <w:jc w:val="both"/>
      </w:pPr>
      <w:r>
        <w:t xml:space="preserve">Older adults with cognitive concerns are commonly polypharmacy patients with impaired renal or hepatic function, and the trial populations described above are not representative of them. Where trials do detect differential tolerability, as with the higher frequency of digestive complaints and headaches in the active arm of a recent </w:t>
      </w:r>
      <w:r>
        <w:rPr>
          <w:i/>
          <w:iCs/>
        </w:rPr>
        <w:t>Bacopa monnieri</w:t>
      </w:r>
      <w:r>
        <w:t xml:space="preserve"> trial (Lopresti &amp; Smith, 2025), the finding is informative both for safety and for blinding. The combination of undeclared pharmaceutical adulterants in commercial cognitive-enhancement products (Cohen </w:t>
      </w:r>
      <w:r>
        <w:lastRenderedPageBreak/>
        <w:t>et al., 2021) with unverified botanical identity constitutes a plausible mechanism for harm that would not be captured by any of the controlled trials reviewed here.</w:t>
      </w:r>
    </w:p>
    <w:p w14:paraId="6D7C3C27" w14:textId="77777777" w:rsidR="001B357C" w:rsidRDefault="00000000">
      <w:pPr>
        <w:pStyle w:val="Heading1"/>
        <w:spacing w:before="320" w:after="140" w:line="300" w:lineRule="auto"/>
      </w:pPr>
      <w:r>
        <w:rPr>
          <w:b/>
          <w:bCs/>
          <w:color w:val="000000"/>
          <w:sz w:val="28"/>
          <w:szCs w:val="28"/>
        </w:rPr>
        <w:t>8. Positioning medicinal plants within cognitive-health policy and practice</w:t>
      </w:r>
    </w:p>
    <w:p w14:paraId="521CA232" w14:textId="77777777" w:rsidR="001B357C" w:rsidRDefault="00000000">
      <w:pPr>
        <w:pStyle w:val="Heading2"/>
        <w:spacing w:before="260" w:after="140" w:line="300" w:lineRule="auto"/>
      </w:pPr>
      <w:r>
        <w:rPr>
          <w:b/>
          <w:bCs/>
          <w:color w:val="000000"/>
        </w:rPr>
        <w:t>8.1 Comparison with established benchmarks</w:t>
      </w:r>
    </w:p>
    <w:p w14:paraId="2F874616" w14:textId="77777777" w:rsidR="001B357C" w:rsidRDefault="00000000">
      <w:pPr>
        <w:spacing w:after="160" w:line="360" w:lineRule="auto"/>
        <w:jc w:val="both"/>
      </w:pPr>
      <w:r>
        <w:t>Evaluating this evidence requires an external reference point. Cholinesterase inhibition in Alzheimer's disease produces small average benefits on cognitive and global outcomes without altering disease progression, a result established across a large and methodologically mature trial literature (Birks &amp; Harvey, 2018). Multidomain lifestyle intervention combining diet, exercise, cognitive training and vascular risk management produced a modest but statistically robust benefit on cognitive performance over two years in at-risk older adults (Ngandu et al., 2015). Authoritative guidance on reducing the risk of cognitive decline concluded that the evidence supported behavioural and vascular risk management, and did not support supplementation as a risk-reduction strategy (World Health Organization, 2019a).</w:t>
      </w:r>
    </w:p>
    <w:p w14:paraId="73987F5F" w14:textId="77777777" w:rsidR="001B357C" w:rsidRDefault="00000000">
      <w:pPr>
        <w:spacing w:after="160" w:line="360" w:lineRule="auto"/>
        <w:jc w:val="both"/>
      </w:pPr>
      <w:r>
        <w:t>Against these benchmarks, the botanical evidence is weaker in every relevant respect: smaller samples, shorter durations, less consistent replication and, in the one case where multi-year prevention trials were conducted, a null result. The most defensible current position is that no medicinal plant preparation has been shown to reduce dementia risk, that a small number have shown symptomatic benefit of uncertain magnitude in impaired populations, and that the strongest evidence in the field remains weaker than that supporting existing pharmacological and lifestyle approaches.</w:t>
      </w:r>
    </w:p>
    <w:p w14:paraId="3C5B675B" w14:textId="77777777" w:rsidR="001B357C" w:rsidRDefault="00000000">
      <w:pPr>
        <w:pStyle w:val="Heading2"/>
        <w:spacing w:before="260" w:after="140" w:line="300" w:lineRule="auto"/>
      </w:pPr>
      <w:r>
        <w:rPr>
          <w:b/>
          <w:bCs/>
          <w:color w:val="000000"/>
        </w:rPr>
        <w:t>8.2 Regulatory heterogeneity and consumer exposure</w:t>
      </w:r>
    </w:p>
    <w:p w14:paraId="1998F40A" w14:textId="77777777" w:rsidR="001B357C" w:rsidRDefault="00000000">
      <w:pPr>
        <w:spacing w:after="160" w:line="360" w:lineRule="auto"/>
        <w:jc w:val="both"/>
      </w:pPr>
      <w:r>
        <w:t>Regulatory frameworks for herbal products differ substantially between jurisdictions, with variation in whether such products are classified as medicines, dietary supplements or foods, and in the evidential standards attached to each classification. National reporting to the World Health Organization documents this heterogeneity across member states and the associated differences in product regulation (World Health Organization, 2019b). Analytical and regulatory review of the supplement sector describes the practical consequence, namely that quality assurance obligations vary widely and that analytical verification is uneven (Lindenmaier et al., 2025).</w:t>
      </w:r>
    </w:p>
    <w:p w14:paraId="1BD6DF47" w14:textId="77777777" w:rsidR="001B357C" w:rsidRDefault="00000000">
      <w:pPr>
        <w:spacing w:after="160" w:line="360" w:lineRule="auto"/>
        <w:jc w:val="both"/>
      </w:pPr>
      <w:r>
        <w:lastRenderedPageBreak/>
        <w:t>The practical result is a marked asymmetry between the evidence and the market. Preparations whose clinical evidence would not support a medicinal claim in one jurisdiction may be sold with structure-function claims in another, and consumers encounter products whose composition may differ substantially from the extracts examined in trials. Clinical guidance in this area therefore requires attention not only to whether a preparation has evidence of benefit but to whether the specific product available to a given patient corresponds to the material for which that evidence exists.</w:t>
      </w:r>
    </w:p>
    <w:p w14:paraId="1D4070C0" w14:textId="77777777" w:rsidR="001B357C" w:rsidRDefault="00000000">
      <w:pPr>
        <w:pStyle w:val="Heading2"/>
        <w:spacing w:before="260" w:after="140" w:line="300" w:lineRule="auto"/>
      </w:pPr>
      <w:r>
        <w:rPr>
          <w:b/>
          <w:bCs/>
          <w:color w:val="000000"/>
        </w:rPr>
        <w:t>8.3 Equity, sustainability and the ethics of botanical development</w:t>
      </w:r>
    </w:p>
    <w:p w14:paraId="4C3233F1" w14:textId="77777777" w:rsidR="001B357C" w:rsidRDefault="00000000">
      <w:pPr>
        <w:spacing w:after="160" w:line="360" w:lineRule="auto"/>
        <w:jc w:val="both"/>
      </w:pPr>
      <w:r>
        <w:t>Two further considerations bear on the field's development. The first concerns supply and conservation. Increased commercial demand for medicinal plants places pressure on wild populations and raises questions about the sustainability of sourcing and the equitable distribution of benefits arising from traditional knowledge, considerations that have been articulated in detail in relation to reconciling biodiversity conservation with global healthcare needs (Howes et al., 2020). Research programmes that generate demand without addressing provenance externalise a cost onto the source regions.</w:t>
      </w:r>
    </w:p>
    <w:p w14:paraId="3CFF7540" w14:textId="77777777" w:rsidR="001B357C" w:rsidRDefault="00000000">
      <w:pPr>
        <w:spacing w:after="160" w:line="360" w:lineRule="auto"/>
        <w:jc w:val="both"/>
      </w:pPr>
      <w:r>
        <w:t>The second concerns knowledge equity. Traditional and complementary medicine is formally recognised within the health systems of the large majority of reporting states (World Health Organization, 2019b), and much of the clinical research on the taxa reviewed here originates in the regions where those traditions are strongest. The geographical concentration discussed above is therefore not merely a methodological problem to be corrected but a reflection of where the relevant expertise and interest reside. The appropriate response is investment in multinational collaborative trials that combine that expertise with independent replication, rather than the discounting of regionally concentrated evidence.</w:t>
      </w:r>
    </w:p>
    <w:p w14:paraId="2F41E3C7" w14:textId="77777777" w:rsidR="001B357C" w:rsidRDefault="00000000">
      <w:pPr>
        <w:pStyle w:val="Heading1"/>
        <w:spacing w:before="320" w:after="140" w:line="300" w:lineRule="auto"/>
      </w:pPr>
      <w:r>
        <w:rPr>
          <w:b/>
          <w:bCs/>
          <w:color w:val="000000"/>
          <w:sz w:val="28"/>
          <w:szCs w:val="28"/>
        </w:rPr>
        <w:t>9. Future Directions</w:t>
      </w:r>
    </w:p>
    <w:p w14:paraId="0DCC26BB" w14:textId="77777777" w:rsidR="001B357C" w:rsidRDefault="00000000">
      <w:pPr>
        <w:spacing w:after="160" w:line="360" w:lineRule="auto"/>
        <w:jc w:val="both"/>
      </w:pPr>
      <w:r>
        <w:t>Research priorities in this field should address the determinants of uncertainty rather than adding further trials of the prevailing design. Repeating twelve-week studies of uncharacterised extracts in loosely defined populations will enlarge the literature without improving it. The priorities set out below are ordered by the extent to which resolving each would alter the interpretability of everything else, and they are grouped into immediate requirements achievable within existing research capacity and longer-term commitments requiring coordinated investment.</w:t>
      </w:r>
    </w:p>
    <w:p w14:paraId="6BF69AD0" w14:textId="77777777" w:rsidR="001B357C" w:rsidRDefault="00000000">
      <w:pPr>
        <w:spacing w:after="160" w:line="360" w:lineRule="auto"/>
        <w:jc w:val="both"/>
      </w:pPr>
      <w:r>
        <w:lastRenderedPageBreak/>
        <w:t>The most immediate requirement is universal chemical characterisation of tested material. No trial of a botanical intervention should proceed without botanical identity verified in the material itself, full specification of plant part, extraction procedure and solvent, quantified marker compounds determined by stated analytical methods, and retention of reference samples. Guidance specifying these requirements has existed for several years and is not technically demanding to follow (Heinrich et al., 2022), and the analytical methods needed are established (Lindenmaier et al., 2025). Adoption would convert a body of non-comparable studies into a cumulative evidence base, and it is the single change with the greatest potential effect on the field. Journals and funders are better placed than individual investigators to enforce it, since the cost falls on the researcher while the benefit accrues to the literature.</w:t>
      </w:r>
    </w:p>
    <w:p w14:paraId="6E9E1752" w14:textId="77777777" w:rsidR="001B357C" w:rsidRDefault="00000000">
      <w:pPr>
        <w:spacing w:after="160" w:line="360" w:lineRule="auto"/>
        <w:jc w:val="both"/>
      </w:pPr>
      <w:r>
        <w:t xml:space="preserve">A second immediate priority is biomarker-anchored dose selection. The prevailing practice of importing doses from earlier trials or manufacturer recommendation makes null results uninterpretable, since inadequate exposure cannot be distinguished from absence of effect. Phase 1 studies characterising plasma appearance of the pharmacologically relevant species, together with a pharmacodynamic marker of target engagement, should precede efficacy trials. The design already exists within the field: the </w:t>
      </w:r>
      <w:r>
        <w:rPr>
          <w:i/>
          <w:iCs/>
        </w:rPr>
        <w:t>Centella asiatica</w:t>
      </w:r>
      <w:r>
        <w:t xml:space="preserve"> work established that circulating triterpene aglycones rather than the administered glycosides are the relevant species, and linked their appearance temporally to antioxidant response gene expression (Wright et al., 2022). Extending this approach to </w:t>
      </w:r>
      <w:r>
        <w:rPr>
          <w:i/>
          <w:iCs/>
        </w:rPr>
        <w:t>Bacopa monnieri</w:t>
      </w:r>
      <w:r>
        <w:t xml:space="preserve">, </w:t>
      </w:r>
      <w:r>
        <w:rPr>
          <w:i/>
          <w:iCs/>
        </w:rPr>
        <w:t>Withania somnifera</w:t>
      </w:r>
      <w:r>
        <w:t xml:space="preserve"> and saffron preparations would be achievable within small studies and short timescales, and would clarify whether the standardisation markers currently used correspond to the compounds reaching the circulation.</w:t>
      </w:r>
    </w:p>
    <w:p w14:paraId="41F18512" w14:textId="08E6D7C5" w:rsidR="001B357C" w:rsidRDefault="00000000">
      <w:pPr>
        <w:spacing w:after="160" w:line="360" w:lineRule="auto"/>
        <w:jc w:val="both"/>
      </w:pPr>
      <w:r>
        <w:t>A third immediate priority concerns population definition and outcome selection. Trials should enrol participants staged by objective criteria rather than by self-reported memory difficulty, should stratify or restrict by baseline cognitive status, and should pre-register a single primary cognitive outcome with a stated minimal clinically important difference. Development of a harmonised core outcome set for botanical cognitive trials, spanning healthy ageing, subjective complaint, mild cognitive impairment and dementia, would address the domain-level inconsistency evident when different trials of the same preparation report benefit on different measures (Feng et al., 202</w:t>
      </w:r>
      <w:r w:rsidR="0056258C">
        <w:t>6</w:t>
      </w:r>
      <w:r>
        <w:t>; Kongkeaw et al., 2014). Concurrent measurement of stress, sleep and mood is necessary to distinguish direct cognitive action from indirect action through these pathways, a distinction the present evidence cannot make (Lopresti &amp; Smith, 2025).</w:t>
      </w:r>
    </w:p>
    <w:p w14:paraId="698AED1C" w14:textId="77777777" w:rsidR="001B357C" w:rsidRDefault="00000000">
      <w:pPr>
        <w:spacing w:after="160" w:line="360" w:lineRule="auto"/>
        <w:jc w:val="both"/>
      </w:pPr>
      <w:r>
        <w:lastRenderedPageBreak/>
        <w:t xml:space="preserve">Over the longer term, the field requires adequately powered trials in defined symptomatic populations conducted independently of product manufacturers and replicated across national settings. The preparations best positioned for such investment are those combining a coherent existing signal with tractable chemistry, which on present evidence means bacoside-standardised </w:t>
      </w:r>
      <w:r>
        <w:rPr>
          <w:i/>
          <w:iCs/>
        </w:rPr>
        <w:t>Bacopa monnieri</w:t>
      </w:r>
      <w:r>
        <w:t xml:space="preserve"> extracts, saffron preparations and, subject to prior pharmacokinetic work, </w:t>
      </w:r>
      <w:r>
        <w:rPr>
          <w:i/>
          <w:iCs/>
        </w:rPr>
        <w:t>Centella asiatica</w:t>
      </w:r>
      <w:r>
        <w:t>. Trials should enrol several hundred participants with objectively confirmed mild cognitive impairment, extend to at least twelve months, and use active as well as placebo comparators where an established treatment exists. The geographical concentration of favourable evidence for saffron and for several other taxa makes multinational collaboration a design requirement rather than a refinement (Vickers et al., 1998).</w:t>
      </w:r>
    </w:p>
    <w:p w14:paraId="11B748C1" w14:textId="77777777" w:rsidR="001B357C" w:rsidRDefault="00000000">
      <w:pPr>
        <w:spacing w:after="160" w:line="360" w:lineRule="auto"/>
        <w:jc w:val="both"/>
      </w:pPr>
      <w:r>
        <w:t>A further longer-term priority is the question of disease modification, which remains unaddressed for every taxon in this review. The only multi-year prevention trials conducted in the field examined a single preparation and were null (DeKosky et al., 2008; Vellas et al., 2012). Rather than repeating that design for other taxa, which would be prohibitively costly at current levels of mechanistic confidence, biomarker-based intermediate designs offer a proportionate route: trials of one to two years in biomarker-defined populations, with fluid or imaging markers of neurodegeneration as primary outcomes, would establish whether any candidate preparation warrants a full prevention trial. The small imaging trial of a bioavailable curcumin formulation illustrates the approach while also demonstrating why a sample of forty participants cannot answer the question (Small et al., 2018).</w:t>
      </w:r>
    </w:p>
    <w:p w14:paraId="3F6ED813" w14:textId="77777777" w:rsidR="001B357C" w:rsidRDefault="00000000">
      <w:pPr>
        <w:spacing w:after="160" w:line="360" w:lineRule="auto"/>
        <w:jc w:val="both"/>
      </w:pPr>
      <w:r>
        <w:t>Two priorities lie outside the trial literature proper. Post-market surveillance of commercial cognitive-enhancement products requires strengthening, given documented adulteration with undeclared pharmaceutical compounds (Cohen et al., 2021) and continuing development of authentication methods for widely sold botanicals (Biltes et al., 2025). Systematic monitoring of products marketed to older adults for cognitive indications would identify the extent of divergence between marketed and studied materials. Finally, sourcing and benefit-sharing should be addressed within research programmes rather than after them, since expanded clinical investigation of wild-harvested taxa generates demand whose conservation and equity consequences fall on source regions (Howes et al., 2020).</w:t>
      </w:r>
    </w:p>
    <w:p w14:paraId="1A642114" w14:textId="77777777" w:rsidR="001B357C" w:rsidRDefault="00000000">
      <w:pPr>
        <w:spacing w:after="160" w:line="360" w:lineRule="auto"/>
        <w:jc w:val="both"/>
      </w:pPr>
      <w:r>
        <w:t xml:space="preserve">Table 5 sets out these priorities with the unresolved problem each addresses and the design required. Immediate priorities are distinguished from longer-term commitments, reflecting both their feasibility within current research capacity and their sequence, since dose </w:t>
      </w:r>
      <w:r>
        <w:lastRenderedPageBreak/>
        <w:t>characterisation and outcome harmonisation are preconditions for the larger trials that follow rather than parallel activities.</w:t>
      </w:r>
    </w:p>
    <w:p w14:paraId="0E55BD62" w14:textId="77777777" w:rsidR="001B357C" w:rsidRDefault="00000000">
      <w:pPr>
        <w:spacing w:before="200" w:after="100" w:line="280" w:lineRule="auto"/>
      </w:pPr>
      <w:r>
        <w:rPr>
          <w:b/>
          <w:bCs/>
          <w:sz w:val="22"/>
          <w:szCs w:val="22"/>
        </w:rPr>
        <w:t>Table 5. Prioritised research directions, unresolved problems and required study designs</w:t>
      </w:r>
    </w:p>
    <w:tbl>
      <w:tblPr>
        <w:tblW w:w="9020" w:type="dxa"/>
        <w:tblBorders>
          <w:top w:val="single" w:sz="4" w:space="0" w:color="000000"/>
          <w:left w:val="single" w:sz="4" w:space="0" w:color="000000"/>
          <w:bottom w:val="single" w:sz="4" w:space="0" w:color="000000"/>
          <w:right w:val="single" w:sz="4" w:space="0" w:color="000000"/>
          <w:insideH w:val="single" w:sz="2" w:space="0" w:color="808080"/>
          <w:insideV w:val="single" w:sz="2" w:space="0" w:color="808080"/>
        </w:tblBorders>
        <w:tblCellMar>
          <w:left w:w="10" w:type="dxa"/>
          <w:right w:w="10" w:type="dxa"/>
        </w:tblCellMar>
        <w:tblLook w:val="0000" w:firstRow="0" w:lastRow="0" w:firstColumn="0" w:lastColumn="0" w:noHBand="0" w:noVBand="0"/>
      </w:tblPr>
      <w:tblGrid>
        <w:gridCol w:w="1804"/>
        <w:gridCol w:w="1804"/>
        <w:gridCol w:w="1804"/>
        <w:gridCol w:w="1804"/>
        <w:gridCol w:w="1804"/>
      </w:tblGrid>
      <w:tr w:rsidR="001B357C" w14:paraId="67722DE9" w14:textId="77777777">
        <w:trPr>
          <w:tblHeader/>
        </w:trPr>
        <w:tc>
          <w:tcPr>
            <w:tcW w:w="1804" w:type="dxa"/>
            <w:shd w:val="clear" w:color="auto" w:fill="E8E8E8"/>
            <w:tcMar>
              <w:top w:w="60" w:type="dxa"/>
              <w:left w:w="90" w:type="dxa"/>
              <w:bottom w:w="60" w:type="dxa"/>
              <w:right w:w="90" w:type="dxa"/>
            </w:tcMar>
          </w:tcPr>
          <w:p w14:paraId="0A4F0629" w14:textId="77777777" w:rsidR="001B357C" w:rsidRDefault="00000000">
            <w:pPr>
              <w:spacing w:before="40" w:after="40"/>
            </w:pPr>
            <w:r>
              <w:rPr>
                <w:b/>
                <w:bCs/>
                <w:sz w:val="19"/>
                <w:szCs w:val="19"/>
              </w:rPr>
              <w:t>Priority and horizon</w:t>
            </w:r>
          </w:p>
        </w:tc>
        <w:tc>
          <w:tcPr>
            <w:tcW w:w="1804" w:type="dxa"/>
            <w:shd w:val="clear" w:color="auto" w:fill="E8E8E8"/>
            <w:tcMar>
              <w:top w:w="60" w:type="dxa"/>
              <w:left w:w="90" w:type="dxa"/>
              <w:bottom w:w="60" w:type="dxa"/>
              <w:right w:w="90" w:type="dxa"/>
            </w:tcMar>
          </w:tcPr>
          <w:p w14:paraId="14AC1728" w14:textId="77777777" w:rsidR="001B357C" w:rsidRDefault="00000000">
            <w:pPr>
              <w:spacing w:before="40" w:after="40"/>
            </w:pPr>
            <w:r>
              <w:rPr>
                <w:b/>
                <w:bCs/>
                <w:sz w:val="19"/>
                <w:szCs w:val="19"/>
              </w:rPr>
              <w:t>Unresolved problem</w:t>
            </w:r>
          </w:p>
        </w:tc>
        <w:tc>
          <w:tcPr>
            <w:tcW w:w="1804" w:type="dxa"/>
            <w:shd w:val="clear" w:color="auto" w:fill="E8E8E8"/>
            <w:tcMar>
              <w:top w:w="60" w:type="dxa"/>
              <w:left w:w="90" w:type="dxa"/>
              <w:bottom w:w="60" w:type="dxa"/>
              <w:right w:w="90" w:type="dxa"/>
            </w:tcMar>
          </w:tcPr>
          <w:p w14:paraId="29011F37" w14:textId="77777777" w:rsidR="001B357C" w:rsidRDefault="00000000">
            <w:pPr>
              <w:spacing w:before="40" w:after="40"/>
            </w:pPr>
            <w:r>
              <w:rPr>
                <w:b/>
                <w:bCs/>
                <w:sz w:val="19"/>
                <w:szCs w:val="19"/>
              </w:rPr>
              <w:t>Why present evidence is inadequate</w:t>
            </w:r>
          </w:p>
        </w:tc>
        <w:tc>
          <w:tcPr>
            <w:tcW w:w="1804" w:type="dxa"/>
            <w:shd w:val="clear" w:color="auto" w:fill="E8E8E8"/>
            <w:tcMar>
              <w:top w:w="60" w:type="dxa"/>
              <w:left w:w="90" w:type="dxa"/>
              <w:bottom w:w="60" w:type="dxa"/>
              <w:right w:w="90" w:type="dxa"/>
            </w:tcMar>
          </w:tcPr>
          <w:p w14:paraId="2B1757F9" w14:textId="77777777" w:rsidR="001B357C" w:rsidRDefault="00000000">
            <w:pPr>
              <w:spacing w:before="40" w:after="40"/>
            </w:pPr>
            <w:r>
              <w:rPr>
                <w:b/>
                <w:bCs/>
                <w:sz w:val="19"/>
                <w:szCs w:val="19"/>
              </w:rPr>
              <w:t>Required design or methodological improvement</w:t>
            </w:r>
          </w:p>
        </w:tc>
        <w:tc>
          <w:tcPr>
            <w:tcW w:w="1804" w:type="dxa"/>
            <w:shd w:val="clear" w:color="auto" w:fill="E8E8E8"/>
            <w:tcMar>
              <w:top w:w="60" w:type="dxa"/>
              <w:left w:w="90" w:type="dxa"/>
              <w:bottom w:w="60" w:type="dxa"/>
              <w:right w:w="90" w:type="dxa"/>
            </w:tcMar>
          </w:tcPr>
          <w:p w14:paraId="3996C0E0" w14:textId="77777777" w:rsidR="001B357C" w:rsidRDefault="00000000">
            <w:pPr>
              <w:spacing w:before="40" w:after="40"/>
            </w:pPr>
            <w:r>
              <w:rPr>
                <w:b/>
                <w:bCs/>
                <w:sz w:val="19"/>
                <w:szCs w:val="19"/>
              </w:rPr>
              <w:t>Supporting references</w:t>
            </w:r>
          </w:p>
        </w:tc>
      </w:tr>
      <w:tr w:rsidR="001B357C" w14:paraId="1F93F62E" w14:textId="77777777">
        <w:tc>
          <w:tcPr>
            <w:tcW w:w="1804" w:type="dxa"/>
            <w:tcMar>
              <w:top w:w="60" w:type="dxa"/>
              <w:left w:w="90" w:type="dxa"/>
              <w:bottom w:w="60" w:type="dxa"/>
              <w:right w:w="90" w:type="dxa"/>
            </w:tcMar>
          </w:tcPr>
          <w:p w14:paraId="22582A00" w14:textId="77777777" w:rsidR="001B357C" w:rsidRDefault="00000000">
            <w:pPr>
              <w:spacing w:before="40" w:after="40"/>
            </w:pPr>
            <w:r>
              <w:rPr>
                <w:sz w:val="19"/>
                <w:szCs w:val="19"/>
              </w:rPr>
              <w:t>Universal extract characterisation (immediate)</w:t>
            </w:r>
          </w:p>
        </w:tc>
        <w:tc>
          <w:tcPr>
            <w:tcW w:w="1804" w:type="dxa"/>
            <w:tcMar>
              <w:top w:w="60" w:type="dxa"/>
              <w:left w:w="90" w:type="dxa"/>
              <w:bottom w:w="60" w:type="dxa"/>
              <w:right w:w="90" w:type="dxa"/>
            </w:tcMar>
          </w:tcPr>
          <w:p w14:paraId="2B4FFA1F" w14:textId="77777777" w:rsidR="001B357C" w:rsidRDefault="00000000">
            <w:pPr>
              <w:spacing w:before="40" w:after="40"/>
            </w:pPr>
            <w:r>
              <w:rPr>
                <w:sz w:val="19"/>
                <w:szCs w:val="19"/>
              </w:rPr>
              <w:t>Trials nominally testing the same species test chemically different materials</w:t>
            </w:r>
          </w:p>
        </w:tc>
        <w:tc>
          <w:tcPr>
            <w:tcW w:w="1804" w:type="dxa"/>
            <w:tcMar>
              <w:top w:w="60" w:type="dxa"/>
              <w:left w:w="90" w:type="dxa"/>
              <w:bottom w:w="60" w:type="dxa"/>
              <w:right w:w="90" w:type="dxa"/>
            </w:tcMar>
          </w:tcPr>
          <w:p w14:paraId="363B52FA" w14:textId="77777777" w:rsidR="001B357C" w:rsidRDefault="00000000">
            <w:pPr>
              <w:spacing w:before="40" w:after="40"/>
            </w:pPr>
            <w:r>
              <w:rPr>
                <w:sz w:val="19"/>
                <w:szCs w:val="19"/>
              </w:rPr>
              <w:t>Pooling assumes comparability that composition data do not support, and replication requires the identical commercial product</w:t>
            </w:r>
          </w:p>
        </w:tc>
        <w:tc>
          <w:tcPr>
            <w:tcW w:w="1804" w:type="dxa"/>
            <w:tcMar>
              <w:top w:w="60" w:type="dxa"/>
              <w:left w:w="90" w:type="dxa"/>
              <w:bottom w:w="60" w:type="dxa"/>
              <w:right w:w="90" w:type="dxa"/>
            </w:tcMar>
          </w:tcPr>
          <w:p w14:paraId="1CEB00E3" w14:textId="77777777" w:rsidR="001B357C" w:rsidRDefault="00000000">
            <w:pPr>
              <w:spacing w:before="40" w:after="40"/>
            </w:pPr>
            <w:r>
              <w:rPr>
                <w:sz w:val="19"/>
                <w:szCs w:val="19"/>
              </w:rPr>
              <w:t>Mandatory reporting of verified botanical identity, plant part, extraction procedure, quantified markers and analytical methods, with retained reference samples</w:t>
            </w:r>
          </w:p>
        </w:tc>
        <w:tc>
          <w:tcPr>
            <w:tcW w:w="1804" w:type="dxa"/>
            <w:tcMar>
              <w:top w:w="60" w:type="dxa"/>
              <w:left w:w="90" w:type="dxa"/>
              <w:bottom w:w="60" w:type="dxa"/>
              <w:right w:w="90" w:type="dxa"/>
            </w:tcMar>
          </w:tcPr>
          <w:p w14:paraId="7E8DC38D" w14:textId="77777777" w:rsidR="001B357C" w:rsidRDefault="00000000">
            <w:pPr>
              <w:spacing w:before="40" w:after="40"/>
            </w:pPr>
            <w:r w:rsidRPr="0056258C">
              <w:rPr>
                <w:sz w:val="19"/>
                <w:szCs w:val="19"/>
                <w:lang w:val="nl-BE"/>
              </w:rPr>
              <w:t xml:space="preserve">Gagnier et al. (2006); Heinrich et al. </w:t>
            </w:r>
            <w:r>
              <w:rPr>
                <w:sz w:val="19"/>
                <w:szCs w:val="19"/>
              </w:rPr>
              <w:t>(2022); Lindenmaier et al. (2025)</w:t>
            </w:r>
          </w:p>
        </w:tc>
      </w:tr>
      <w:tr w:rsidR="001B357C" w14:paraId="3200E2ED" w14:textId="77777777">
        <w:tc>
          <w:tcPr>
            <w:tcW w:w="1804" w:type="dxa"/>
            <w:tcMar>
              <w:top w:w="60" w:type="dxa"/>
              <w:left w:w="90" w:type="dxa"/>
              <w:bottom w:w="60" w:type="dxa"/>
              <w:right w:w="90" w:type="dxa"/>
            </w:tcMar>
          </w:tcPr>
          <w:p w14:paraId="0A58033A" w14:textId="77777777" w:rsidR="001B357C" w:rsidRDefault="00000000">
            <w:pPr>
              <w:spacing w:before="40" w:after="40"/>
            </w:pPr>
            <w:r>
              <w:rPr>
                <w:sz w:val="19"/>
                <w:szCs w:val="19"/>
              </w:rPr>
              <w:t>Biomarker-anchored dose selection (immediate)</w:t>
            </w:r>
          </w:p>
        </w:tc>
        <w:tc>
          <w:tcPr>
            <w:tcW w:w="1804" w:type="dxa"/>
            <w:tcMar>
              <w:top w:w="60" w:type="dxa"/>
              <w:left w:w="90" w:type="dxa"/>
              <w:bottom w:w="60" w:type="dxa"/>
              <w:right w:w="90" w:type="dxa"/>
            </w:tcMar>
          </w:tcPr>
          <w:p w14:paraId="6D808A9B" w14:textId="77777777" w:rsidR="001B357C" w:rsidRDefault="00000000">
            <w:pPr>
              <w:spacing w:before="40" w:after="40"/>
            </w:pPr>
            <w:r>
              <w:rPr>
                <w:sz w:val="19"/>
                <w:szCs w:val="19"/>
              </w:rPr>
              <w:t>Doses are imported from prior trials rather than derived from exposure data</w:t>
            </w:r>
          </w:p>
        </w:tc>
        <w:tc>
          <w:tcPr>
            <w:tcW w:w="1804" w:type="dxa"/>
            <w:tcMar>
              <w:top w:w="60" w:type="dxa"/>
              <w:left w:w="90" w:type="dxa"/>
              <w:bottom w:w="60" w:type="dxa"/>
              <w:right w:w="90" w:type="dxa"/>
            </w:tcMar>
          </w:tcPr>
          <w:p w14:paraId="77524189" w14:textId="77777777" w:rsidR="001B357C" w:rsidRDefault="00000000">
            <w:pPr>
              <w:spacing w:before="40" w:after="40"/>
            </w:pPr>
            <w:r>
              <w:rPr>
                <w:sz w:val="19"/>
                <w:szCs w:val="19"/>
              </w:rPr>
              <w:t>Null results cannot be distinguished from inadequate exposure; standardisation markers may not be the circulating actives</w:t>
            </w:r>
          </w:p>
        </w:tc>
        <w:tc>
          <w:tcPr>
            <w:tcW w:w="1804" w:type="dxa"/>
            <w:tcMar>
              <w:top w:w="60" w:type="dxa"/>
              <w:left w:w="90" w:type="dxa"/>
              <w:bottom w:w="60" w:type="dxa"/>
              <w:right w:w="90" w:type="dxa"/>
            </w:tcMar>
          </w:tcPr>
          <w:p w14:paraId="29A90DE5" w14:textId="77777777" w:rsidR="001B357C" w:rsidRDefault="00000000">
            <w:pPr>
              <w:spacing w:before="40" w:after="40"/>
            </w:pPr>
            <w:r>
              <w:rPr>
                <w:sz w:val="19"/>
                <w:szCs w:val="19"/>
              </w:rPr>
              <w:t>Phase 1 pharmacokinetic studies with a pharmacodynamic engagement marker preceding efficacy trials</w:t>
            </w:r>
          </w:p>
        </w:tc>
        <w:tc>
          <w:tcPr>
            <w:tcW w:w="1804" w:type="dxa"/>
            <w:tcMar>
              <w:top w:w="60" w:type="dxa"/>
              <w:left w:w="90" w:type="dxa"/>
              <w:bottom w:w="60" w:type="dxa"/>
              <w:right w:w="90" w:type="dxa"/>
            </w:tcMar>
          </w:tcPr>
          <w:p w14:paraId="5586DE09" w14:textId="77777777" w:rsidR="001B357C" w:rsidRDefault="00000000">
            <w:pPr>
              <w:spacing w:before="40" w:after="40"/>
            </w:pPr>
            <w:r w:rsidRPr="0056258C">
              <w:rPr>
                <w:sz w:val="19"/>
                <w:szCs w:val="19"/>
                <w:lang w:val="nl-BE"/>
              </w:rPr>
              <w:t xml:space="preserve">Anand et al. (2007); Ringman et al. </w:t>
            </w:r>
            <w:r>
              <w:rPr>
                <w:sz w:val="19"/>
                <w:szCs w:val="19"/>
              </w:rPr>
              <w:t>(2012); Wright et al. (2022)</w:t>
            </w:r>
          </w:p>
        </w:tc>
      </w:tr>
      <w:tr w:rsidR="001B357C" w:rsidRPr="0056258C" w14:paraId="557F0FF5" w14:textId="77777777">
        <w:tc>
          <w:tcPr>
            <w:tcW w:w="1804" w:type="dxa"/>
            <w:tcMar>
              <w:top w:w="60" w:type="dxa"/>
              <w:left w:w="90" w:type="dxa"/>
              <w:bottom w:w="60" w:type="dxa"/>
              <w:right w:w="90" w:type="dxa"/>
            </w:tcMar>
          </w:tcPr>
          <w:p w14:paraId="670E67E6" w14:textId="77777777" w:rsidR="001B357C" w:rsidRDefault="00000000">
            <w:pPr>
              <w:spacing w:before="40" w:after="40"/>
            </w:pPr>
            <w:r>
              <w:rPr>
                <w:sz w:val="19"/>
                <w:szCs w:val="19"/>
              </w:rPr>
              <w:t>Population staging and core outcome set (immediate)</w:t>
            </w:r>
          </w:p>
        </w:tc>
        <w:tc>
          <w:tcPr>
            <w:tcW w:w="1804" w:type="dxa"/>
            <w:tcMar>
              <w:top w:w="60" w:type="dxa"/>
              <w:left w:w="90" w:type="dxa"/>
              <w:bottom w:w="60" w:type="dxa"/>
              <w:right w:w="90" w:type="dxa"/>
            </w:tcMar>
          </w:tcPr>
          <w:p w14:paraId="2EB4DF89" w14:textId="77777777" w:rsidR="001B357C" w:rsidRDefault="00000000">
            <w:pPr>
              <w:spacing w:before="40" w:after="40"/>
            </w:pPr>
            <w:r>
              <w:rPr>
                <w:sz w:val="19"/>
                <w:szCs w:val="19"/>
              </w:rPr>
              <w:t>Recruitment by self-report and unrestricted outcome batteries</w:t>
            </w:r>
          </w:p>
        </w:tc>
        <w:tc>
          <w:tcPr>
            <w:tcW w:w="1804" w:type="dxa"/>
            <w:tcMar>
              <w:top w:w="60" w:type="dxa"/>
              <w:left w:w="90" w:type="dxa"/>
              <w:bottom w:w="60" w:type="dxa"/>
              <w:right w:w="90" w:type="dxa"/>
            </w:tcMar>
          </w:tcPr>
          <w:p w14:paraId="6BF063B5" w14:textId="77777777" w:rsidR="001B357C" w:rsidRDefault="00000000">
            <w:pPr>
              <w:spacing w:before="40" w:after="40"/>
            </w:pPr>
            <w:r>
              <w:rPr>
                <w:sz w:val="19"/>
                <w:szCs w:val="19"/>
              </w:rPr>
              <w:t>Affected domains vary between trials of the same preparation; clinically meaningful thresholds are rarely stated</w:t>
            </w:r>
          </w:p>
        </w:tc>
        <w:tc>
          <w:tcPr>
            <w:tcW w:w="1804" w:type="dxa"/>
            <w:tcMar>
              <w:top w:w="60" w:type="dxa"/>
              <w:left w:w="90" w:type="dxa"/>
              <w:bottom w:w="60" w:type="dxa"/>
              <w:right w:w="90" w:type="dxa"/>
            </w:tcMar>
          </w:tcPr>
          <w:p w14:paraId="002E07E6" w14:textId="77777777" w:rsidR="001B357C" w:rsidRDefault="00000000">
            <w:pPr>
              <w:spacing w:before="40" w:after="40"/>
            </w:pPr>
            <w:r>
              <w:rPr>
                <w:sz w:val="19"/>
                <w:szCs w:val="19"/>
              </w:rPr>
              <w:t>Objective cognitive staging, single pre-registered primary outcome with stated minimal important difference, concurrent stress and sleep measurement</w:t>
            </w:r>
          </w:p>
        </w:tc>
        <w:tc>
          <w:tcPr>
            <w:tcW w:w="1804" w:type="dxa"/>
            <w:tcMar>
              <w:top w:w="60" w:type="dxa"/>
              <w:left w:w="90" w:type="dxa"/>
              <w:bottom w:w="60" w:type="dxa"/>
              <w:right w:w="90" w:type="dxa"/>
            </w:tcMar>
          </w:tcPr>
          <w:p w14:paraId="00F1C0D3" w14:textId="120B6DB4" w:rsidR="001B357C" w:rsidRPr="0056258C" w:rsidRDefault="00000000">
            <w:pPr>
              <w:spacing w:before="40" w:after="40"/>
              <w:rPr>
                <w:lang w:val="nl-BE"/>
              </w:rPr>
            </w:pPr>
            <w:r w:rsidRPr="0056258C">
              <w:rPr>
                <w:sz w:val="19"/>
                <w:szCs w:val="19"/>
                <w:lang w:val="nl-BE"/>
              </w:rPr>
              <w:t>Feng et al. (202</w:t>
            </w:r>
            <w:r w:rsidR="0056258C">
              <w:rPr>
                <w:sz w:val="19"/>
                <w:szCs w:val="19"/>
                <w:lang w:val="nl-BE"/>
              </w:rPr>
              <w:t>6</w:t>
            </w:r>
            <w:r w:rsidRPr="0056258C">
              <w:rPr>
                <w:sz w:val="19"/>
                <w:szCs w:val="19"/>
                <w:lang w:val="nl-BE"/>
              </w:rPr>
              <w:t>); Kongkeaw et al. (2014); Lopresti &amp; Smith (2025); Wieland et al. (2026)</w:t>
            </w:r>
          </w:p>
        </w:tc>
      </w:tr>
      <w:tr w:rsidR="001B357C" w14:paraId="102E5A0E" w14:textId="77777777">
        <w:tc>
          <w:tcPr>
            <w:tcW w:w="1804" w:type="dxa"/>
            <w:tcMar>
              <w:top w:w="60" w:type="dxa"/>
              <w:left w:w="90" w:type="dxa"/>
              <w:bottom w:w="60" w:type="dxa"/>
              <w:right w:w="90" w:type="dxa"/>
            </w:tcMar>
          </w:tcPr>
          <w:p w14:paraId="0693FFCA" w14:textId="77777777" w:rsidR="001B357C" w:rsidRDefault="00000000">
            <w:pPr>
              <w:spacing w:before="40" w:after="40"/>
            </w:pPr>
            <w:r>
              <w:rPr>
                <w:sz w:val="19"/>
                <w:szCs w:val="19"/>
              </w:rPr>
              <w:t>Adequately powered independent replication (longer term)</w:t>
            </w:r>
          </w:p>
        </w:tc>
        <w:tc>
          <w:tcPr>
            <w:tcW w:w="1804" w:type="dxa"/>
            <w:tcMar>
              <w:top w:w="60" w:type="dxa"/>
              <w:left w:w="90" w:type="dxa"/>
              <w:bottom w:w="60" w:type="dxa"/>
              <w:right w:w="90" w:type="dxa"/>
            </w:tcMar>
          </w:tcPr>
          <w:p w14:paraId="76C88FA4" w14:textId="77777777" w:rsidR="001B357C" w:rsidRDefault="00000000">
            <w:pPr>
              <w:spacing w:before="40" w:after="40"/>
            </w:pPr>
            <w:r>
              <w:rPr>
                <w:sz w:val="19"/>
                <w:szCs w:val="19"/>
              </w:rPr>
              <w:t>Favourable signals rest on small trials concentrated in few research settings</w:t>
            </w:r>
          </w:p>
        </w:tc>
        <w:tc>
          <w:tcPr>
            <w:tcW w:w="1804" w:type="dxa"/>
            <w:tcMar>
              <w:top w:w="60" w:type="dxa"/>
              <w:left w:w="90" w:type="dxa"/>
              <w:bottom w:w="60" w:type="dxa"/>
              <w:right w:w="90" w:type="dxa"/>
            </w:tcMar>
          </w:tcPr>
          <w:p w14:paraId="073B8DAD" w14:textId="77777777" w:rsidR="001B357C" w:rsidRDefault="00000000">
            <w:pPr>
              <w:spacing w:before="40" w:after="40"/>
            </w:pPr>
            <w:r>
              <w:rPr>
                <w:sz w:val="19"/>
                <w:szCs w:val="19"/>
              </w:rPr>
              <w:t>Consistency within a concentrated literature provides weaker assurance than multinational replication</w:t>
            </w:r>
          </w:p>
        </w:tc>
        <w:tc>
          <w:tcPr>
            <w:tcW w:w="1804" w:type="dxa"/>
            <w:tcMar>
              <w:top w:w="60" w:type="dxa"/>
              <w:left w:w="90" w:type="dxa"/>
              <w:bottom w:w="60" w:type="dxa"/>
              <w:right w:w="90" w:type="dxa"/>
            </w:tcMar>
          </w:tcPr>
          <w:p w14:paraId="12B6EC82" w14:textId="77777777" w:rsidR="001B357C" w:rsidRDefault="00000000">
            <w:pPr>
              <w:spacing w:before="40" w:after="40"/>
            </w:pPr>
            <w:r>
              <w:rPr>
                <w:sz w:val="19"/>
                <w:szCs w:val="19"/>
              </w:rPr>
              <w:t>Multicentre trials of several hundred participants with objectively confirmed mild cognitive impairment, at least 12 months, active and placebo comparators</w:t>
            </w:r>
          </w:p>
        </w:tc>
        <w:tc>
          <w:tcPr>
            <w:tcW w:w="1804" w:type="dxa"/>
            <w:tcMar>
              <w:top w:w="60" w:type="dxa"/>
              <w:left w:w="90" w:type="dxa"/>
              <w:bottom w:w="60" w:type="dxa"/>
              <w:right w:w="90" w:type="dxa"/>
            </w:tcMar>
          </w:tcPr>
          <w:p w14:paraId="0E9BF5B8" w14:textId="77777777" w:rsidR="001B357C" w:rsidRDefault="00000000">
            <w:pPr>
              <w:spacing w:before="40" w:after="40"/>
            </w:pPr>
            <w:r w:rsidRPr="0056258C">
              <w:rPr>
                <w:sz w:val="19"/>
                <w:szCs w:val="19"/>
                <w:lang w:val="nl-BE"/>
              </w:rPr>
              <w:t xml:space="preserve">Ayati et al. (2020); Ng et al. </w:t>
            </w:r>
            <w:r>
              <w:rPr>
                <w:sz w:val="19"/>
                <w:szCs w:val="19"/>
              </w:rPr>
              <w:t>(2020); Vickers et al. (1998)</w:t>
            </w:r>
          </w:p>
        </w:tc>
      </w:tr>
      <w:tr w:rsidR="001B357C" w14:paraId="722845DD" w14:textId="77777777">
        <w:tc>
          <w:tcPr>
            <w:tcW w:w="1804" w:type="dxa"/>
            <w:tcMar>
              <w:top w:w="60" w:type="dxa"/>
              <w:left w:w="90" w:type="dxa"/>
              <w:bottom w:w="60" w:type="dxa"/>
              <w:right w:w="90" w:type="dxa"/>
            </w:tcMar>
          </w:tcPr>
          <w:p w14:paraId="5D418621" w14:textId="77777777" w:rsidR="001B357C" w:rsidRDefault="00000000">
            <w:pPr>
              <w:spacing w:before="40" w:after="40"/>
            </w:pPr>
            <w:r>
              <w:rPr>
                <w:sz w:val="19"/>
                <w:szCs w:val="19"/>
              </w:rPr>
              <w:t>Biomarker-based intermediate designs for disease modification (longer term)</w:t>
            </w:r>
          </w:p>
        </w:tc>
        <w:tc>
          <w:tcPr>
            <w:tcW w:w="1804" w:type="dxa"/>
            <w:tcMar>
              <w:top w:w="60" w:type="dxa"/>
              <w:left w:w="90" w:type="dxa"/>
              <w:bottom w:w="60" w:type="dxa"/>
              <w:right w:w="90" w:type="dxa"/>
            </w:tcMar>
          </w:tcPr>
          <w:p w14:paraId="35C37EEC" w14:textId="77777777" w:rsidR="001B357C" w:rsidRDefault="00000000">
            <w:pPr>
              <w:spacing w:before="40" w:after="40"/>
            </w:pPr>
            <w:r>
              <w:rPr>
                <w:sz w:val="19"/>
                <w:szCs w:val="19"/>
              </w:rPr>
              <w:t>No taxon has evidence bearing on disease modification</w:t>
            </w:r>
          </w:p>
        </w:tc>
        <w:tc>
          <w:tcPr>
            <w:tcW w:w="1804" w:type="dxa"/>
            <w:tcMar>
              <w:top w:w="60" w:type="dxa"/>
              <w:left w:w="90" w:type="dxa"/>
              <w:bottom w:w="60" w:type="dxa"/>
              <w:right w:w="90" w:type="dxa"/>
            </w:tcMar>
          </w:tcPr>
          <w:p w14:paraId="27E902E5" w14:textId="77777777" w:rsidR="001B357C" w:rsidRDefault="00000000">
            <w:pPr>
              <w:spacing w:before="40" w:after="40"/>
            </w:pPr>
            <w:r>
              <w:rPr>
                <w:sz w:val="19"/>
                <w:szCs w:val="19"/>
              </w:rPr>
              <w:t>Only one preparation has been tested in multi-year prevention trials, with null results, and full prevention designs are disproportionate at current mechanistic confidence</w:t>
            </w:r>
          </w:p>
        </w:tc>
        <w:tc>
          <w:tcPr>
            <w:tcW w:w="1804" w:type="dxa"/>
            <w:tcMar>
              <w:top w:w="60" w:type="dxa"/>
              <w:left w:w="90" w:type="dxa"/>
              <w:bottom w:w="60" w:type="dxa"/>
              <w:right w:w="90" w:type="dxa"/>
            </w:tcMar>
          </w:tcPr>
          <w:p w14:paraId="3120D8E5" w14:textId="77777777" w:rsidR="001B357C" w:rsidRDefault="00000000">
            <w:pPr>
              <w:spacing w:before="40" w:after="40"/>
            </w:pPr>
            <w:r>
              <w:rPr>
                <w:sz w:val="19"/>
                <w:szCs w:val="19"/>
              </w:rPr>
              <w:t>Trials of 1 to 2 years in biomarker-defined populations with fluid or imaging markers of neurodegeneration as primary outcomes</w:t>
            </w:r>
          </w:p>
        </w:tc>
        <w:tc>
          <w:tcPr>
            <w:tcW w:w="1804" w:type="dxa"/>
            <w:tcMar>
              <w:top w:w="60" w:type="dxa"/>
              <w:left w:w="90" w:type="dxa"/>
              <w:bottom w:w="60" w:type="dxa"/>
              <w:right w:w="90" w:type="dxa"/>
            </w:tcMar>
          </w:tcPr>
          <w:p w14:paraId="542D8A87" w14:textId="77777777" w:rsidR="001B357C" w:rsidRDefault="00000000">
            <w:pPr>
              <w:spacing w:before="40" w:after="40"/>
            </w:pPr>
            <w:r w:rsidRPr="0056258C">
              <w:rPr>
                <w:sz w:val="19"/>
                <w:szCs w:val="19"/>
                <w:lang w:val="nl-BE"/>
              </w:rPr>
              <w:t xml:space="preserve">DeKosky et al. (2008); Small et al. </w:t>
            </w:r>
            <w:r>
              <w:rPr>
                <w:sz w:val="19"/>
                <w:szCs w:val="19"/>
              </w:rPr>
              <w:t>(2018); Vellas et al. (2012)</w:t>
            </w:r>
          </w:p>
        </w:tc>
      </w:tr>
      <w:tr w:rsidR="001B357C" w14:paraId="4F39D1F2" w14:textId="77777777">
        <w:tc>
          <w:tcPr>
            <w:tcW w:w="1804" w:type="dxa"/>
            <w:tcMar>
              <w:top w:w="60" w:type="dxa"/>
              <w:left w:w="90" w:type="dxa"/>
              <w:bottom w:w="60" w:type="dxa"/>
              <w:right w:w="90" w:type="dxa"/>
            </w:tcMar>
          </w:tcPr>
          <w:p w14:paraId="0E0D33E9" w14:textId="77777777" w:rsidR="001B357C" w:rsidRDefault="00000000">
            <w:pPr>
              <w:spacing w:before="40" w:after="40"/>
            </w:pPr>
            <w:r>
              <w:rPr>
                <w:sz w:val="19"/>
                <w:szCs w:val="19"/>
              </w:rPr>
              <w:t xml:space="preserve">Post-market surveillance and </w:t>
            </w:r>
            <w:r>
              <w:rPr>
                <w:sz w:val="19"/>
                <w:szCs w:val="19"/>
              </w:rPr>
              <w:lastRenderedPageBreak/>
              <w:t>product authentication (longer term)</w:t>
            </w:r>
          </w:p>
        </w:tc>
        <w:tc>
          <w:tcPr>
            <w:tcW w:w="1804" w:type="dxa"/>
            <w:tcMar>
              <w:top w:w="60" w:type="dxa"/>
              <w:left w:w="90" w:type="dxa"/>
              <w:bottom w:w="60" w:type="dxa"/>
              <w:right w:w="90" w:type="dxa"/>
            </w:tcMar>
          </w:tcPr>
          <w:p w14:paraId="2B8D389A" w14:textId="77777777" w:rsidR="001B357C" w:rsidRDefault="00000000">
            <w:pPr>
              <w:spacing w:before="40" w:after="40"/>
            </w:pPr>
            <w:r>
              <w:rPr>
                <w:sz w:val="19"/>
                <w:szCs w:val="19"/>
              </w:rPr>
              <w:lastRenderedPageBreak/>
              <w:t xml:space="preserve">Marketed products may differ </w:t>
            </w:r>
            <w:r>
              <w:rPr>
                <w:sz w:val="19"/>
                <w:szCs w:val="19"/>
              </w:rPr>
              <w:lastRenderedPageBreak/>
              <w:t>chemically from studied extracts</w:t>
            </w:r>
          </w:p>
        </w:tc>
        <w:tc>
          <w:tcPr>
            <w:tcW w:w="1804" w:type="dxa"/>
            <w:tcMar>
              <w:top w:w="60" w:type="dxa"/>
              <w:left w:w="90" w:type="dxa"/>
              <w:bottom w:w="60" w:type="dxa"/>
              <w:right w:w="90" w:type="dxa"/>
            </w:tcMar>
          </w:tcPr>
          <w:p w14:paraId="63C1464F" w14:textId="77777777" w:rsidR="001B357C" w:rsidRDefault="00000000">
            <w:pPr>
              <w:spacing w:before="40" w:after="40"/>
            </w:pPr>
            <w:r>
              <w:rPr>
                <w:sz w:val="19"/>
                <w:szCs w:val="19"/>
              </w:rPr>
              <w:lastRenderedPageBreak/>
              <w:t xml:space="preserve">Documented adulteration with </w:t>
            </w:r>
            <w:r>
              <w:rPr>
                <w:sz w:val="19"/>
                <w:szCs w:val="19"/>
              </w:rPr>
              <w:lastRenderedPageBreak/>
              <w:t>undeclared pharmaceutical compounds and continuing need for authentication tools</w:t>
            </w:r>
          </w:p>
        </w:tc>
        <w:tc>
          <w:tcPr>
            <w:tcW w:w="1804" w:type="dxa"/>
            <w:tcMar>
              <w:top w:w="60" w:type="dxa"/>
              <w:left w:w="90" w:type="dxa"/>
              <w:bottom w:w="60" w:type="dxa"/>
              <w:right w:w="90" w:type="dxa"/>
            </w:tcMar>
          </w:tcPr>
          <w:p w14:paraId="08B320CA" w14:textId="77777777" w:rsidR="001B357C" w:rsidRDefault="00000000">
            <w:pPr>
              <w:spacing w:before="40" w:after="40"/>
            </w:pPr>
            <w:r>
              <w:rPr>
                <w:sz w:val="19"/>
                <w:szCs w:val="19"/>
              </w:rPr>
              <w:lastRenderedPageBreak/>
              <w:t xml:space="preserve">Systematic analytical monitoring of </w:t>
            </w:r>
            <w:r>
              <w:rPr>
                <w:sz w:val="19"/>
                <w:szCs w:val="19"/>
              </w:rPr>
              <w:lastRenderedPageBreak/>
              <w:t>products marketed for cognitive indications, with molecular authentication and reporting to regulators</w:t>
            </w:r>
          </w:p>
        </w:tc>
        <w:tc>
          <w:tcPr>
            <w:tcW w:w="1804" w:type="dxa"/>
            <w:tcMar>
              <w:top w:w="60" w:type="dxa"/>
              <w:left w:w="90" w:type="dxa"/>
              <w:bottom w:w="60" w:type="dxa"/>
              <w:right w:w="90" w:type="dxa"/>
            </w:tcMar>
          </w:tcPr>
          <w:p w14:paraId="5AFDA1EC" w14:textId="77777777" w:rsidR="001B357C" w:rsidRDefault="00000000">
            <w:pPr>
              <w:spacing w:before="40" w:after="40"/>
            </w:pPr>
            <w:r w:rsidRPr="0056258C">
              <w:rPr>
                <w:sz w:val="19"/>
                <w:szCs w:val="19"/>
                <w:lang w:val="nl-BE"/>
              </w:rPr>
              <w:lastRenderedPageBreak/>
              <w:t xml:space="preserve">Biltes et al. (2025); Cohen et al. </w:t>
            </w:r>
            <w:r>
              <w:rPr>
                <w:sz w:val="19"/>
                <w:szCs w:val="19"/>
              </w:rPr>
              <w:t xml:space="preserve">(2021); </w:t>
            </w:r>
            <w:r>
              <w:rPr>
                <w:sz w:val="19"/>
                <w:szCs w:val="19"/>
              </w:rPr>
              <w:lastRenderedPageBreak/>
              <w:t>Lindenmaier et al. (2025)</w:t>
            </w:r>
          </w:p>
        </w:tc>
      </w:tr>
      <w:tr w:rsidR="001B357C" w14:paraId="3A9EA75A" w14:textId="77777777">
        <w:tc>
          <w:tcPr>
            <w:tcW w:w="1804" w:type="dxa"/>
            <w:tcMar>
              <w:top w:w="60" w:type="dxa"/>
              <w:left w:w="90" w:type="dxa"/>
              <w:bottom w:w="60" w:type="dxa"/>
              <w:right w:w="90" w:type="dxa"/>
            </w:tcMar>
          </w:tcPr>
          <w:p w14:paraId="78380A60" w14:textId="77777777" w:rsidR="001B357C" w:rsidRDefault="00000000">
            <w:pPr>
              <w:spacing w:before="40" w:after="40"/>
            </w:pPr>
            <w:r>
              <w:rPr>
                <w:sz w:val="19"/>
                <w:szCs w:val="19"/>
              </w:rPr>
              <w:lastRenderedPageBreak/>
              <w:t>Sustainable sourcing and benefit sharing (longer term)</w:t>
            </w:r>
          </w:p>
        </w:tc>
        <w:tc>
          <w:tcPr>
            <w:tcW w:w="1804" w:type="dxa"/>
            <w:tcMar>
              <w:top w:w="60" w:type="dxa"/>
              <w:left w:w="90" w:type="dxa"/>
              <w:bottom w:w="60" w:type="dxa"/>
              <w:right w:w="90" w:type="dxa"/>
            </w:tcMar>
          </w:tcPr>
          <w:p w14:paraId="18F3006F" w14:textId="77777777" w:rsidR="001B357C" w:rsidRDefault="00000000">
            <w:pPr>
              <w:spacing w:before="40" w:after="40"/>
            </w:pPr>
            <w:r>
              <w:rPr>
                <w:sz w:val="19"/>
                <w:szCs w:val="19"/>
              </w:rPr>
              <w:t>Expanded clinical investigation increases demand on source populations</w:t>
            </w:r>
          </w:p>
        </w:tc>
        <w:tc>
          <w:tcPr>
            <w:tcW w:w="1804" w:type="dxa"/>
            <w:tcMar>
              <w:top w:w="60" w:type="dxa"/>
              <w:left w:w="90" w:type="dxa"/>
              <w:bottom w:w="60" w:type="dxa"/>
              <w:right w:w="90" w:type="dxa"/>
            </w:tcMar>
          </w:tcPr>
          <w:p w14:paraId="3D646A08" w14:textId="77777777" w:rsidR="001B357C" w:rsidRDefault="00000000">
            <w:pPr>
              <w:spacing w:before="40" w:after="40"/>
            </w:pPr>
            <w:r>
              <w:rPr>
                <w:sz w:val="19"/>
                <w:szCs w:val="19"/>
              </w:rPr>
              <w:t>Conservation and equity consequences accrue outside the research setting and are not addressed within trial protocols</w:t>
            </w:r>
          </w:p>
        </w:tc>
        <w:tc>
          <w:tcPr>
            <w:tcW w:w="1804" w:type="dxa"/>
            <w:tcMar>
              <w:top w:w="60" w:type="dxa"/>
              <w:left w:w="90" w:type="dxa"/>
              <w:bottom w:w="60" w:type="dxa"/>
              <w:right w:w="90" w:type="dxa"/>
            </w:tcMar>
          </w:tcPr>
          <w:p w14:paraId="5044883A" w14:textId="77777777" w:rsidR="001B357C" w:rsidRDefault="00000000">
            <w:pPr>
              <w:spacing w:before="40" w:after="40"/>
            </w:pPr>
            <w:r>
              <w:rPr>
                <w:sz w:val="19"/>
                <w:szCs w:val="19"/>
              </w:rPr>
              <w:t>Provenance documentation and benefit-sharing arrangements embedded in research programmes involving wild-harvested taxa</w:t>
            </w:r>
          </w:p>
        </w:tc>
        <w:tc>
          <w:tcPr>
            <w:tcW w:w="1804" w:type="dxa"/>
            <w:tcMar>
              <w:top w:w="60" w:type="dxa"/>
              <w:left w:w="90" w:type="dxa"/>
              <w:bottom w:w="60" w:type="dxa"/>
              <w:right w:w="90" w:type="dxa"/>
            </w:tcMar>
          </w:tcPr>
          <w:p w14:paraId="702AF24F" w14:textId="77777777" w:rsidR="001B357C" w:rsidRDefault="00000000">
            <w:pPr>
              <w:spacing w:before="40" w:after="40"/>
            </w:pPr>
            <w:r>
              <w:rPr>
                <w:sz w:val="19"/>
                <w:szCs w:val="19"/>
              </w:rPr>
              <w:t>Howes et al. (2020); World Health Organization (2019b)</w:t>
            </w:r>
          </w:p>
        </w:tc>
      </w:tr>
    </w:tbl>
    <w:p w14:paraId="7386FBD6" w14:textId="77777777" w:rsidR="001B357C" w:rsidRDefault="00000000">
      <w:pPr>
        <w:spacing w:before="80" w:after="260" w:line="260" w:lineRule="auto"/>
      </w:pPr>
      <w:r>
        <w:rPr>
          <w:sz w:val="20"/>
          <w:szCs w:val="20"/>
        </w:rPr>
        <w:t>Note. Immediate priorities are achievable within existing research capacity and are preconditions for the longer-term priorities that follow. Supporting references correspond to full entries in the reference list.</w:t>
      </w:r>
    </w:p>
    <w:p w14:paraId="1C784046" w14:textId="77777777" w:rsidR="001B357C" w:rsidRDefault="00000000">
      <w:pPr>
        <w:pStyle w:val="Heading1"/>
        <w:spacing w:before="320" w:after="140" w:line="300" w:lineRule="auto"/>
      </w:pPr>
      <w:r>
        <w:rPr>
          <w:b/>
          <w:bCs/>
          <w:color w:val="000000"/>
          <w:sz w:val="28"/>
          <w:szCs w:val="28"/>
        </w:rPr>
        <w:t>10. Conclusions</w:t>
      </w:r>
    </w:p>
    <w:p w14:paraId="4C4676E6" w14:textId="77777777" w:rsidR="001B357C" w:rsidRDefault="00000000">
      <w:pPr>
        <w:spacing w:after="160" w:line="360" w:lineRule="auto"/>
        <w:jc w:val="both"/>
      </w:pPr>
      <w:r>
        <w:t>The evidence relating medicinal plants to human cognitive health supports a narrower set of conclusions than either the volume of publication or the scale of the commercial market would suggest. No plant preparation has been shown to reduce the incidence of dementia or to slow the underlying trajectory of cognitive decline. That conclusion rests on the strongest evidence available in the field, namely two multi-year prevention trials of a standardised leaf extract enrolling several thousand participants each, both of which returned null results across incidence and cognitive trajectory outcomes. Extending that finding to other taxa is an inference rather than a demonstration, but it is a well-supported inference, since no other preparation has been tested in a design capable of addressing the question.</w:t>
      </w:r>
    </w:p>
    <w:p w14:paraId="464C3B9B" w14:textId="77777777" w:rsidR="001B357C" w:rsidRDefault="00000000">
      <w:pPr>
        <w:spacing w:after="160" w:line="360" w:lineRule="auto"/>
        <w:jc w:val="both"/>
      </w:pPr>
      <w:r>
        <w:t xml:space="preserve">Symptomatic benefit in impaired populations stands on firmer, though still modest, ground. Comprehensive synthesis indicates small to moderate improvements in dementia at six months for global status, cognition and daily function with a standardised leaf extract, accompanied by low certainty and substantial heterogeneity, alongside probable absence of effect in mild cognitive impairment. Pooled analyses for saffron and for ginseng indicate benefit on cognitive scales in impaired populations, and pooled analysis for a bacoside-standardised extract indicates benefit on processing speed and attention. These signals are real but small, derived from few trials, and in several instances concentrated within a limited number of research </w:t>
      </w:r>
      <w:r>
        <w:lastRenderedPageBreak/>
        <w:t>settings. They are weaker than the evidence supporting cholinesterase inhibition and weaker than the evidence supporting multidomain lifestyle intervention.</w:t>
      </w:r>
    </w:p>
    <w:p w14:paraId="75979248" w14:textId="77777777" w:rsidR="001B357C" w:rsidRDefault="00000000">
      <w:pPr>
        <w:spacing w:after="160" w:line="360" w:lineRule="auto"/>
        <w:jc w:val="both"/>
      </w:pPr>
      <w:r>
        <w:t>The persistent inconsistency of this literature is better explained by identifiable design and product features than by chance or by publication bias alone. Trials differ systematically in baseline cognitive status, exposure duration, outcome selection and, most consequentially, in the chemical identity of the material tested. Where formulation and exposure have been measured, apparently contradictory results resolve into a coherent pattern, as the curcumin literature demonstrates, with the trial reporting the lowest plasma concentrations also reporting no effect. Where exposure has not been measured, which is the general case, neither positive nor negative findings can be anchored to a defined intervention.</w:t>
      </w:r>
    </w:p>
    <w:p w14:paraId="52D3C05A" w14:textId="77777777" w:rsidR="001B357C" w:rsidRDefault="00000000">
      <w:pPr>
        <w:spacing w:after="160" w:line="360" w:lineRule="auto"/>
        <w:jc w:val="both"/>
      </w:pPr>
      <w:r>
        <w:t>Mechanistic breadth has functioned in this field as a source of confidence disproportionate to its evidential weight. Preclinical support exists across cholinergic, redox, inflammatory, haemodynamic, neurotrophic and stress-axis pathways, yet demonstration of target engagement in humans exists for very few preparations, and adequately powered clinical outcome evidence for fewer still. The pathway with the clearest human validation, cholinesterase inhibition, produced its therapeutic success through isolation and development of a single molecule rather than through use of a whole plant preparation, which is an important qualification on the argument that multi-target botanical action confers therapeutic advantage.</w:t>
      </w:r>
    </w:p>
    <w:p w14:paraId="208721A0" w14:textId="77777777" w:rsidR="001B357C" w:rsidRDefault="00000000">
      <w:pPr>
        <w:spacing w:after="160" w:line="360" w:lineRule="auto"/>
        <w:jc w:val="both"/>
      </w:pPr>
      <w:r>
        <w:t>Two distinctions carry the greatest practical weight. The first separates stress, sleep and alertness effects, which are reasonably well supported for several preparations, from effects on memory and on the trajectory of cognitive ageing, which are not. The second separates the extracts examined in controlled trials from the products available to consumers, a gap involving standardisation, authentication and, in documented instances, undeclared pharmaceutical constituents. Neither distinction is consistently maintained in the published literature, and the failure to maintain them accounts for much of the divergence between what this evidence shows and what is claimed on its behalf. Continued rigorous investigation of a small number of well-characterised preparations is warranted; general claims of cognitive benefit for medicinal plants as a category are not.</w:t>
      </w:r>
    </w:p>
    <w:p w14:paraId="7B21C44C" w14:textId="77777777" w:rsidR="001B357C" w:rsidRDefault="00000000">
      <w:pPr>
        <w:pStyle w:val="Heading1"/>
        <w:spacing w:before="320" w:after="140" w:line="300" w:lineRule="auto"/>
      </w:pPr>
      <w:r>
        <w:rPr>
          <w:b/>
          <w:bCs/>
          <w:color w:val="000000"/>
          <w:sz w:val="28"/>
          <w:szCs w:val="28"/>
        </w:rPr>
        <w:t>11. Limitations</w:t>
      </w:r>
    </w:p>
    <w:p w14:paraId="59749B42" w14:textId="77777777" w:rsidR="001B357C" w:rsidRDefault="00000000">
      <w:pPr>
        <w:spacing w:after="160" w:line="360" w:lineRule="auto"/>
        <w:jc w:val="both"/>
      </w:pPr>
      <w:r>
        <w:t xml:space="preserve">This review carries the limitations intrinsic to its design. Narrative synthesis involves selection and interpretation at every stage, and the absence of a protocol-driven exhaustive search means </w:t>
      </w:r>
      <w:r>
        <w:lastRenderedPageBreak/>
        <w:t>that relevant studies may have been missed and that the studies included reflect judgements about salience that another reviewer might have made differently. The thematic structure was developed inductively from the literature, which introduces a risk that the organising framework has shaped the appraisal as much as the appraisal has shaped the framework. Transparency about sources and appraisal criteria mitigates but does not remove this risk.</w:t>
      </w:r>
    </w:p>
    <w:p w14:paraId="6975125C" w14:textId="77777777" w:rsidR="001B357C" w:rsidRDefault="00000000">
      <w:pPr>
        <w:spacing w:after="160" w:line="360" w:lineRule="auto"/>
        <w:jc w:val="both"/>
      </w:pPr>
      <w:r>
        <w:t>Access to subscription databases was not available during preparation, and Web of Science, Scopus and Embase were not searched. Coverage of those platforms is substantial for pharmacological and complementary medicine literature, and their absence may have led to the omission of eligible studies, particularly those indexed outside the biomedical mainstream. Only English-language publications were considered, which is a material constraint in a field where a substantial proportion of clinical research on several taxa is published in Chinese, Korean, Persian and Indian journals; the geographical concentration discussed throughout this review may therefore be represented incompletely, and the direction of any resulting distortion cannot be determined.</w:t>
      </w:r>
    </w:p>
    <w:p w14:paraId="4B4E3607" w14:textId="77777777" w:rsidR="001B357C" w:rsidRDefault="00000000">
      <w:pPr>
        <w:spacing w:after="160" w:line="360" w:lineRule="auto"/>
        <w:jc w:val="both"/>
      </w:pPr>
      <w:r>
        <w:t>Heterogeneity within the included evidence limits what synthesis can achieve. Study designs range from acute crossover studies lasting hours to prevention trials extending over years, populations range from cognitively intact volunteers to individuals with moderate dementia, and outcome instruments differ so substantially that direct comparison of effect magnitudes across taxa was not attempted. Quantitative synthesis was neither performed nor appropriate, and the comparative statements made in this review are qualitative judgements about the strength and consistency of evidence rather than statistical comparisons. Formal risk-of-bias scoring was not undertaken, because the reporting deficits documented throughout this article would have made such scores unreliable.</w:t>
      </w:r>
    </w:p>
    <w:p w14:paraId="127B85E2" w14:textId="77777777" w:rsidR="001B357C" w:rsidRDefault="00000000">
      <w:pPr>
        <w:spacing w:after="160" w:line="360" w:lineRule="auto"/>
        <w:jc w:val="both"/>
      </w:pPr>
      <w:r>
        <w:t xml:space="preserve">Geographical representation within the evidence base is uneven, with several taxa supported predominantly by trials from single national research settings, and this unevenness constrains the generalisability of the conclusions drawn. Publication bias is likely to operate in a field where commercial interest is substantial and where small positive trials are readily publishable, and the extent of unpublished null findings cannot be estimated from the available material. Long-term evidence is scarce for every preparation other than one, and evidence in the populations of greatest clinical concern, namely older adults with multiple comorbidities and substantial polypharmacy, is essentially absent. The field is also developing rapidly, and </w:t>
      </w:r>
      <w:r>
        <w:lastRenderedPageBreak/>
        <w:t>analytical, regulatory and clinical developments after the stated search end date are not reflected in this synthesis.</w:t>
      </w:r>
    </w:p>
    <w:p w14:paraId="27CBF2B0" w14:textId="77777777" w:rsidR="00A949FC" w:rsidRDefault="00A949FC">
      <w:pPr>
        <w:spacing w:after="160" w:line="360" w:lineRule="auto"/>
        <w:jc w:val="both"/>
      </w:pPr>
    </w:p>
    <w:p w14:paraId="562A1DA2" w14:textId="77777777" w:rsidR="00A949FC" w:rsidRPr="000839CE" w:rsidRDefault="00A949FC" w:rsidP="00A949FC">
      <w:pPr>
        <w:rPr>
          <w:b/>
        </w:rPr>
      </w:pPr>
      <w:r w:rsidRPr="000839CE">
        <w:rPr>
          <w:b/>
        </w:rPr>
        <w:t>Declaration of AI Use</w:t>
      </w:r>
    </w:p>
    <w:p w14:paraId="28BFA592" w14:textId="77777777" w:rsidR="00A949FC" w:rsidRPr="000839CE" w:rsidRDefault="00A949FC" w:rsidP="00A949FC"/>
    <w:p w14:paraId="5B3FA416" w14:textId="77777777" w:rsidR="00A949FC" w:rsidRPr="000839CE" w:rsidRDefault="00A949FC" w:rsidP="00A949FC">
      <w:pPr>
        <w:jc w:val="both"/>
      </w:pPr>
      <w:r w:rsidRPr="00C56790">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3386B5DC" w14:textId="77777777" w:rsidR="00A949FC" w:rsidRDefault="00A949FC">
      <w:pPr>
        <w:spacing w:after="160" w:line="360" w:lineRule="auto"/>
        <w:jc w:val="both"/>
      </w:pPr>
    </w:p>
    <w:p w14:paraId="51FB98E7" w14:textId="77777777" w:rsidR="001B357C" w:rsidRDefault="00000000">
      <w:pPr>
        <w:pStyle w:val="Heading1"/>
        <w:spacing w:before="320" w:after="140" w:line="300" w:lineRule="auto"/>
      </w:pPr>
      <w:r>
        <w:rPr>
          <w:b/>
          <w:bCs/>
          <w:color w:val="000000"/>
          <w:sz w:val="28"/>
          <w:szCs w:val="28"/>
        </w:rPr>
        <w:t>References</w:t>
      </w:r>
    </w:p>
    <w:p w14:paraId="444887D4"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Akhondzadeh, S., Noroozian, M., Mohammadi, M., Ohadinia, S., Jamshidi, A. H., &amp; Khani, M. (2003). </w:t>
      </w:r>
      <w:r w:rsidRPr="0056258C">
        <w:rPr>
          <w:i/>
          <w:iCs/>
          <w:lang w:val="en-US" w:eastAsia="en-US"/>
        </w:rPr>
        <w:t>Melissa officinalis</w:t>
      </w:r>
      <w:r w:rsidRPr="0056258C">
        <w:rPr>
          <w:lang w:val="en-US" w:eastAsia="en-US"/>
        </w:rPr>
        <w:t xml:space="preserve"> extract in the treatment of patients with mild to moderate Alzheimer's disease: A double blind, randomised, placebo controlled trial. </w:t>
      </w:r>
      <w:r w:rsidRPr="0056258C">
        <w:rPr>
          <w:i/>
          <w:iCs/>
          <w:lang w:val="en-US" w:eastAsia="en-US"/>
        </w:rPr>
        <w:t>Journal of Neurology, Neurosurgery, and Psychiatry, 74</w:t>
      </w:r>
      <w:r w:rsidRPr="0056258C">
        <w:rPr>
          <w:lang w:val="en-US" w:eastAsia="en-US"/>
        </w:rPr>
        <w:t xml:space="preserve">(7), 863–866. </w:t>
      </w:r>
      <w:hyperlink r:id="rId7" w:history="1">
        <w:r w:rsidRPr="0056258C">
          <w:rPr>
            <w:color w:val="0000FF"/>
            <w:u w:val="single"/>
            <w:lang w:val="en-US" w:eastAsia="en-US"/>
          </w:rPr>
          <w:t>https://doi.org/10.1136/jnnp.74.7.863</w:t>
        </w:r>
      </w:hyperlink>
    </w:p>
    <w:p w14:paraId="2D8F99E5"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Akhondzadeh, S., Shafiee Sabet, M., Harirchian, M. H., Togha, M., Cheraghmakani, H., Razeghi, S., Hejazi, S. S., Yousefi, M. H., Alimardani, R., Jamshidi, A., Rezazadeh, S. A., Yousefi, A., Zare, F., Moradi, A., &amp; Vossoughi, A. (2010). A 22-week, multicenter, randomized, double-blind controlled trial of </w:t>
      </w:r>
      <w:r w:rsidRPr="0056258C">
        <w:rPr>
          <w:i/>
          <w:iCs/>
          <w:lang w:val="en-US" w:eastAsia="en-US"/>
        </w:rPr>
        <w:t>Crocus sativus</w:t>
      </w:r>
      <w:r w:rsidRPr="0056258C">
        <w:rPr>
          <w:lang w:val="en-US" w:eastAsia="en-US"/>
        </w:rPr>
        <w:t xml:space="preserve"> in the treatment of mild-to-moderate Alzheimer's disease. </w:t>
      </w:r>
      <w:r w:rsidRPr="0056258C">
        <w:rPr>
          <w:i/>
          <w:iCs/>
          <w:lang w:val="en-US" w:eastAsia="en-US"/>
        </w:rPr>
        <w:t>Psychopharmacology, 207</w:t>
      </w:r>
      <w:r w:rsidRPr="0056258C">
        <w:rPr>
          <w:lang w:val="en-US" w:eastAsia="en-US"/>
        </w:rPr>
        <w:t xml:space="preserve">(4), 637–643. </w:t>
      </w:r>
      <w:hyperlink r:id="rId8" w:history="1">
        <w:r w:rsidRPr="0056258C">
          <w:rPr>
            <w:color w:val="0000FF"/>
            <w:u w:val="single"/>
            <w:lang w:val="en-US" w:eastAsia="en-US"/>
          </w:rPr>
          <w:t>https://doi.org/10.1007/s00213-009-1706-1</w:t>
        </w:r>
      </w:hyperlink>
    </w:p>
    <w:p w14:paraId="790FC3C6"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Anand, P., Kunnumakkara, A. B., Newman, R. A., &amp; Aggarwal, B. B. (2007). Bioavailability of curcumin: Problems and promises. </w:t>
      </w:r>
      <w:r w:rsidRPr="0056258C">
        <w:rPr>
          <w:i/>
          <w:iCs/>
          <w:lang w:val="en-US" w:eastAsia="en-US"/>
        </w:rPr>
        <w:t>Molecular Pharmaceutics, 4</w:t>
      </w:r>
      <w:r w:rsidRPr="0056258C">
        <w:rPr>
          <w:lang w:val="en-US" w:eastAsia="en-US"/>
        </w:rPr>
        <w:t xml:space="preserve">(6), 807–818. </w:t>
      </w:r>
      <w:hyperlink r:id="rId9" w:history="1">
        <w:r w:rsidRPr="0056258C">
          <w:rPr>
            <w:color w:val="0000FF"/>
            <w:u w:val="single"/>
            <w:lang w:val="en-US" w:eastAsia="en-US"/>
          </w:rPr>
          <w:t>https://doi.org/10.1021/mp700113r</w:t>
        </w:r>
      </w:hyperlink>
    </w:p>
    <w:p w14:paraId="6CD67E1C"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Ayati, Z., Yang, G., Ayati, M. H., Emami, S. A., &amp; Chang, D. (2020). Saffron for mild cognitive impairment and dementia: A systematic review and meta-analysis of randomised clinical trials. </w:t>
      </w:r>
      <w:r w:rsidRPr="0056258C">
        <w:rPr>
          <w:i/>
          <w:iCs/>
          <w:lang w:val="en-US" w:eastAsia="en-US"/>
        </w:rPr>
        <w:t>BMC Complementary Medicine and Therapies, 20</w:t>
      </w:r>
      <w:r w:rsidRPr="0056258C">
        <w:rPr>
          <w:lang w:val="en-US" w:eastAsia="en-US"/>
        </w:rPr>
        <w:t xml:space="preserve">(1), Article 333. </w:t>
      </w:r>
      <w:hyperlink r:id="rId10" w:history="1">
        <w:r w:rsidRPr="0056258C">
          <w:rPr>
            <w:color w:val="0000FF"/>
            <w:u w:val="single"/>
            <w:lang w:val="en-US" w:eastAsia="en-US"/>
          </w:rPr>
          <w:t>https://doi.org/10.1186/s12906-020-03102-3</w:t>
        </w:r>
      </w:hyperlink>
    </w:p>
    <w:p w14:paraId="7BB0E9AF"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Baethge, C., Goldbeck-Wood, S., &amp; Mertens, S. (2019). SANRA: A scale for the quality assessment of narrative review articles. </w:t>
      </w:r>
      <w:r w:rsidRPr="0056258C">
        <w:rPr>
          <w:i/>
          <w:iCs/>
          <w:lang w:val="en-US" w:eastAsia="en-US"/>
        </w:rPr>
        <w:t>Research Integrity and Peer Review, 4</w:t>
      </w:r>
      <w:r w:rsidRPr="0056258C">
        <w:rPr>
          <w:lang w:val="en-US" w:eastAsia="en-US"/>
        </w:rPr>
        <w:t xml:space="preserve">, Article 5. </w:t>
      </w:r>
      <w:hyperlink r:id="rId11" w:history="1">
        <w:r w:rsidRPr="0056258C">
          <w:rPr>
            <w:color w:val="0000FF"/>
            <w:u w:val="single"/>
            <w:lang w:val="en-US" w:eastAsia="en-US"/>
          </w:rPr>
          <w:t>https://doi.org/10.1186/s41073-019-0064-8</w:t>
        </w:r>
      </w:hyperlink>
    </w:p>
    <w:p w14:paraId="4D01E5F8"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Barth, S. W., &amp; Efferth, T. (2025). Network pharmacology to elucidate the role of phytotherapy in neurocognitive disorders. </w:t>
      </w:r>
      <w:r w:rsidRPr="0056258C">
        <w:rPr>
          <w:i/>
          <w:iCs/>
          <w:lang w:val="en-US" w:eastAsia="en-US"/>
        </w:rPr>
        <w:t>Phytomedicine, 148</w:t>
      </w:r>
      <w:r w:rsidRPr="0056258C">
        <w:rPr>
          <w:lang w:val="en-US" w:eastAsia="en-US"/>
        </w:rPr>
        <w:t xml:space="preserve">, Article 157031. </w:t>
      </w:r>
      <w:hyperlink r:id="rId12" w:history="1">
        <w:r w:rsidRPr="0056258C">
          <w:rPr>
            <w:color w:val="0000FF"/>
            <w:u w:val="single"/>
            <w:lang w:val="en-US" w:eastAsia="en-US"/>
          </w:rPr>
          <w:t>https://doi.org/10.1016/j.phymed.2025.157031</w:t>
        </w:r>
      </w:hyperlink>
    </w:p>
    <w:p w14:paraId="5CE03D9F"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lastRenderedPageBreak/>
        <w:t xml:space="preserve">Bennett, B. C., &amp; Balick, M. J. (2014). Does the name really matter? The importance of botanical nomenclature and plant taxonomy in biomedical research. </w:t>
      </w:r>
      <w:r w:rsidRPr="0056258C">
        <w:rPr>
          <w:i/>
          <w:iCs/>
          <w:lang w:val="en-US" w:eastAsia="en-US"/>
        </w:rPr>
        <w:t>Journal of Ethnopharmacology, 152</w:t>
      </w:r>
      <w:r w:rsidRPr="0056258C">
        <w:rPr>
          <w:lang w:val="en-US" w:eastAsia="en-US"/>
        </w:rPr>
        <w:t xml:space="preserve">(3), 387–392. </w:t>
      </w:r>
      <w:hyperlink r:id="rId13" w:history="1">
        <w:r w:rsidRPr="0056258C">
          <w:rPr>
            <w:color w:val="0000FF"/>
            <w:u w:val="single"/>
            <w:lang w:val="en-US" w:eastAsia="en-US"/>
          </w:rPr>
          <w:t>https://doi.org/10.1016/j.jep.2013.11.042</w:t>
        </w:r>
      </w:hyperlink>
    </w:p>
    <w:p w14:paraId="21A8F77F"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Biltes, R., Villa, C., Costa, J., &amp; Mafra, I. (2025). Exploiting marker genes for reliable botanical authentication of </w:t>
      </w:r>
      <w:r w:rsidRPr="0056258C">
        <w:rPr>
          <w:i/>
          <w:iCs/>
          <w:lang w:val="en-US" w:eastAsia="en-US"/>
        </w:rPr>
        <w:t>Bacopa monnieri</w:t>
      </w:r>
      <w:r w:rsidRPr="0056258C">
        <w:rPr>
          <w:lang w:val="en-US" w:eastAsia="en-US"/>
        </w:rPr>
        <w:t xml:space="preserve"> products. </w:t>
      </w:r>
      <w:r w:rsidRPr="0056258C">
        <w:rPr>
          <w:i/>
          <w:iCs/>
          <w:lang w:val="en-US" w:eastAsia="en-US"/>
        </w:rPr>
        <w:t>Foods, 14</w:t>
      </w:r>
      <w:r w:rsidRPr="0056258C">
        <w:rPr>
          <w:lang w:val="en-US" w:eastAsia="en-US"/>
        </w:rPr>
        <w:t xml:space="preserve">(18), Article 3275. </w:t>
      </w:r>
      <w:hyperlink r:id="rId14" w:history="1">
        <w:r w:rsidRPr="0056258C">
          <w:rPr>
            <w:color w:val="0000FF"/>
            <w:u w:val="single"/>
            <w:lang w:val="en-US" w:eastAsia="en-US"/>
          </w:rPr>
          <w:t>https://doi.org/10.3390/foods14183275</w:t>
        </w:r>
      </w:hyperlink>
    </w:p>
    <w:p w14:paraId="6A2B8AD7"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Birks, J. S., &amp; Harvey, R. J. (2018). Donepezil for dementia due to Alzheimer's disease. </w:t>
      </w:r>
      <w:r w:rsidRPr="0056258C">
        <w:rPr>
          <w:i/>
          <w:iCs/>
          <w:lang w:val="en-US" w:eastAsia="en-US"/>
        </w:rPr>
        <w:t>Cochrane Database of Systematic Reviews, 2018</w:t>
      </w:r>
      <w:r w:rsidRPr="0056258C">
        <w:rPr>
          <w:lang w:val="en-US" w:eastAsia="en-US"/>
        </w:rPr>
        <w:t xml:space="preserve">(6), Article CD001190. </w:t>
      </w:r>
      <w:hyperlink r:id="rId15" w:history="1">
        <w:r w:rsidRPr="0056258C">
          <w:rPr>
            <w:color w:val="0000FF"/>
            <w:u w:val="single"/>
            <w:lang w:val="en-US" w:eastAsia="en-US"/>
          </w:rPr>
          <w:t>https://doi.org/10.1002/14651858.CD001190.pub3</w:t>
        </w:r>
      </w:hyperlink>
    </w:p>
    <w:p w14:paraId="237A53CB"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Camfield, D. A., Stough, C., Farrimond, J., &amp; Scholey, A. B. (2014). Acute effects of tea constituents L-theanine, caffeine, and epigallocatechin gallate on cognitive function and mood: A systematic review and meta-analysis. </w:t>
      </w:r>
      <w:r w:rsidRPr="0056258C">
        <w:rPr>
          <w:i/>
          <w:iCs/>
          <w:lang w:val="en-US" w:eastAsia="en-US"/>
        </w:rPr>
        <w:t>Nutrition Reviews, 72</w:t>
      </w:r>
      <w:r w:rsidRPr="0056258C">
        <w:rPr>
          <w:lang w:val="en-US" w:eastAsia="en-US"/>
        </w:rPr>
        <w:t xml:space="preserve">(8), 507–522. </w:t>
      </w:r>
      <w:hyperlink r:id="rId16" w:history="1">
        <w:r w:rsidRPr="0056258C">
          <w:rPr>
            <w:color w:val="0000FF"/>
            <w:u w:val="single"/>
            <w:lang w:val="en-US" w:eastAsia="en-US"/>
          </w:rPr>
          <w:t>https://doi.org/10.1111/nure.12120</w:t>
        </w:r>
      </w:hyperlink>
    </w:p>
    <w:p w14:paraId="26ED45A0"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Cave, A. E., Chang, D. H., Münch, G. W., &amp; Steiner-Lim, G. Z. (2023). A systematic review of the safety and efficacy on cognitive function of herbal and nutritional medicines in older adults with and without subjective cognitive impairment. </w:t>
      </w:r>
      <w:r w:rsidRPr="0056258C">
        <w:rPr>
          <w:i/>
          <w:iCs/>
          <w:lang w:val="en-US" w:eastAsia="en-US"/>
        </w:rPr>
        <w:t>Systematic Reviews, 12</w:t>
      </w:r>
      <w:r w:rsidRPr="0056258C">
        <w:rPr>
          <w:lang w:val="en-US" w:eastAsia="en-US"/>
        </w:rPr>
        <w:t xml:space="preserve">, Article 143. </w:t>
      </w:r>
      <w:hyperlink r:id="rId17" w:history="1">
        <w:r w:rsidRPr="0056258C">
          <w:rPr>
            <w:color w:val="0000FF"/>
            <w:u w:val="single"/>
            <w:lang w:val="en-US" w:eastAsia="en-US"/>
          </w:rPr>
          <w:t>https://doi.org/10.1186/s13643-023-02301-6</w:t>
        </w:r>
      </w:hyperlink>
    </w:p>
    <w:p w14:paraId="7794CB69"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Choudhary, D., Bhattacharyya, S., &amp; Bose, S. (2017). Efficacy and safety of ashwagandha (</w:t>
      </w:r>
      <w:r w:rsidRPr="0056258C">
        <w:rPr>
          <w:i/>
          <w:iCs/>
          <w:lang w:val="en-US" w:eastAsia="en-US"/>
        </w:rPr>
        <w:t>Withania somnifera</w:t>
      </w:r>
      <w:r w:rsidRPr="0056258C">
        <w:rPr>
          <w:lang w:val="en-US" w:eastAsia="en-US"/>
        </w:rPr>
        <w:t xml:space="preserve"> (L.) Dunal) root extract in improving memory and cognitive functions. </w:t>
      </w:r>
      <w:r w:rsidRPr="0056258C">
        <w:rPr>
          <w:i/>
          <w:iCs/>
          <w:lang w:val="en-US" w:eastAsia="en-US"/>
        </w:rPr>
        <w:t>Journal of Dietary Supplements, 14</w:t>
      </w:r>
      <w:r w:rsidRPr="0056258C">
        <w:rPr>
          <w:lang w:val="en-US" w:eastAsia="en-US"/>
        </w:rPr>
        <w:t xml:space="preserve">(6), 599–612. </w:t>
      </w:r>
      <w:hyperlink r:id="rId18" w:history="1">
        <w:r w:rsidRPr="0056258C">
          <w:rPr>
            <w:color w:val="0000FF"/>
            <w:u w:val="single"/>
            <w:lang w:val="en-US" w:eastAsia="en-US"/>
          </w:rPr>
          <w:t>https://doi.org/10.1080/19390211.2017.1284970</w:t>
        </w:r>
      </w:hyperlink>
    </w:p>
    <w:p w14:paraId="224C7581"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Cohen, P. A., Avula, B., Wang, Y. H., Zakharevich, I., &amp; Khan, I. (2021). Five unapproved drugs found in cognitive enhancement supplements. </w:t>
      </w:r>
      <w:r w:rsidRPr="0056258C">
        <w:rPr>
          <w:i/>
          <w:iCs/>
          <w:lang w:val="en-US" w:eastAsia="en-US"/>
        </w:rPr>
        <w:t>Neurology: Clinical Practice, 11</w:t>
      </w:r>
      <w:r w:rsidRPr="0056258C">
        <w:rPr>
          <w:lang w:val="en-US" w:eastAsia="en-US"/>
        </w:rPr>
        <w:t xml:space="preserve">(3), e303–e307. </w:t>
      </w:r>
      <w:hyperlink r:id="rId19" w:history="1">
        <w:r w:rsidRPr="0056258C">
          <w:rPr>
            <w:color w:val="0000FF"/>
            <w:u w:val="single"/>
            <w:lang w:val="en-US" w:eastAsia="en-US"/>
          </w:rPr>
          <w:t>https://doi.org/10.1212/CPJ.0000000000000960</w:t>
        </w:r>
      </w:hyperlink>
    </w:p>
    <w:p w14:paraId="6A44A12A"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Cox, K. H., Pipingas, A., &amp; Scholey, A. B. (2015). Investigation of the effects of solid lipid curcumin on cognition and mood in a healthy older population. </w:t>
      </w:r>
      <w:r w:rsidRPr="0056258C">
        <w:rPr>
          <w:i/>
          <w:iCs/>
          <w:lang w:val="en-US" w:eastAsia="en-US"/>
        </w:rPr>
        <w:t>Journal of Psychopharmacology, 29</w:t>
      </w:r>
      <w:r w:rsidRPr="0056258C">
        <w:rPr>
          <w:lang w:val="en-US" w:eastAsia="en-US"/>
        </w:rPr>
        <w:t xml:space="preserve">(5), 642–651. </w:t>
      </w:r>
      <w:hyperlink r:id="rId20" w:history="1">
        <w:r w:rsidRPr="0056258C">
          <w:rPr>
            <w:color w:val="0000FF"/>
            <w:u w:val="single"/>
            <w:lang w:val="en-US" w:eastAsia="en-US"/>
          </w:rPr>
          <w:t>https://doi.org/10.1177/0269881114552744</w:t>
        </w:r>
      </w:hyperlink>
    </w:p>
    <w:p w14:paraId="65E7B726"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Cox, K. H. M., White, D. J., Pipingas, A., Poorun, K., &amp; Scholey, A. (2020). Further evidence of benefits to mood and working memory from lipidated curcumin in healthy older people: A 12-week, double-blind, placebo-controlled, partial replication study. </w:t>
      </w:r>
      <w:r w:rsidRPr="0056258C">
        <w:rPr>
          <w:i/>
          <w:iCs/>
          <w:lang w:val="en-US" w:eastAsia="en-US"/>
        </w:rPr>
        <w:t>Nutrients, 12</w:t>
      </w:r>
      <w:r w:rsidRPr="0056258C">
        <w:rPr>
          <w:lang w:val="en-US" w:eastAsia="en-US"/>
        </w:rPr>
        <w:t xml:space="preserve">(6), Article 1678. </w:t>
      </w:r>
      <w:hyperlink r:id="rId21" w:history="1">
        <w:r w:rsidRPr="0056258C">
          <w:rPr>
            <w:color w:val="0000FF"/>
            <w:u w:val="single"/>
            <w:lang w:val="en-US" w:eastAsia="en-US"/>
          </w:rPr>
          <w:t>https://doi.org/10.3390/nu12061678</w:t>
        </w:r>
      </w:hyperlink>
    </w:p>
    <w:p w14:paraId="056A266B"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Darbinyan, V., Kteyan, A., Panossian, A., Gabrielian, E., Wikman, G., &amp; Wagner, H. (2000). </w:t>
      </w:r>
      <w:r w:rsidRPr="0056258C">
        <w:rPr>
          <w:i/>
          <w:iCs/>
          <w:lang w:val="en-US" w:eastAsia="en-US"/>
        </w:rPr>
        <w:t>Rhodiola rosea</w:t>
      </w:r>
      <w:r w:rsidRPr="0056258C">
        <w:rPr>
          <w:lang w:val="en-US" w:eastAsia="en-US"/>
        </w:rPr>
        <w:t xml:space="preserve"> in stress induced fatigue: A double blind cross-over study of a standardized extract SHR-5 with a repeated low-dose regimen on the mental performance of healthy physicians during night duty. </w:t>
      </w:r>
      <w:r w:rsidRPr="0056258C">
        <w:rPr>
          <w:i/>
          <w:iCs/>
          <w:lang w:val="en-US" w:eastAsia="en-US"/>
        </w:rPr>
        <w:t>Phytomedicine, 7</w:t>
      </w:r>
      <w:r w:rsidRPr="0056258C">
        <w:rPr>
          <w:lang w:val="en-US" w:eastAsia="en-US"/>
        </w:rPr>
        <w:t xml:space="preserve">(5), 365–371. </w:t>
      </w:r>
      <w:hyperlink r:id="rId22" w:history="1">
        <w:r w:rsidRPr="0056258C">
          <w:rPr>
            <w:color w:val="0000FF"/>
            <w:u w:val="single"/>
            <w:lang w:val="en-US" w:eastAsia="en-US"/>
          </w:rPr>
          <w:t>https://doi.org/10.1016/S0944-7113(00)80055-0</w:t>
        </w:r>
      </w:hyperlink>
    </w:p>
    <w:p w14:paraId="545082C7"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DeKosky, S. T., Williamson, J. D., Fitzpatrick, A. L., Kronmal, R. A., Ives, D. G., Saxton, J. A., Lopez, O. L., Burke, G., Carlson, M. C., Fried, L. P., Kuller, L. H., Robbins, J. A., Tracy, R. P., Woolard, N. F., Dunn, L., Snitz, B. E., Nahin, R. L., &amp; Furberg, C. D. </w:t>
      </w:r>
      <w:r w:rsidRPr="0056258C">
        <w:rPr>
          <w:lang w:val="en-US" w:eastAsia="en-US"/>
        </w:rPr>
        <w:lastRenderedPageBreak/>
        <w:t xml:space="preserve">(2008). </w:t>
      </w:r>
      <w:r w:rsidRPr="0056258C">
        <w:rPr>
          <w:i/>
          <w:iCs/>
          <w:lang w:val="en-US" w:eastAsia="en-US"/>
        </w:rPr>
        <w:t>Ginkgo biloba</w:t>
      </w:r>
      <w:r w:rsidRPr="0056258C">
        <w:rPr>
          <w:lang w:val="en-US" w:eastAsia="en-US"/>
        </w:rPr>
        <w:t xml:space="preserve"> for prevention of dementia: A randomized controlled trial. </w:t>
      </w:r>
      <w:r w:rsidRPr="0056258C">
        <w:rPr>
          <w:i/>
          <w:iCs/>
          <w:lang w:val="en-US" w:eastAsia="en-US"/>
        </w:rPr>
        <w:t>JAMA, 300</w:t>
      </w:r>
      <w:r w:rsidRPr="0056258C">
        <w:rPr>
          <w:lang w:val="en-US" w:eastAsia="en-US"/>
        </w:rPr>
        <w:t xml:space="preserve">(19), 2253–2262. </w:t>
      </w:r>
      <w:hyperlink r:id="rId23" w:history="1">
        <w:r w:rsidRPr="0056258C">
          <w:rPr>
            <w:color w:val="0000FF"/>
            <w:u w:val="single"/>
            <w:lang w:val="en-US" w:eastAsia="en-US"/>
          </w:rPr>
          <w:t>https://doi.org/10.1001/jama.2008.683</w:t>
        </w:r>
      </w:hyperlink>
    </w:p>
    <w:p w14:paraId="2FB5F711"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Downey, L. A., Kean, J., Nemeh, F., Lau, A., Poll, A., Gregory, R., Murray, M., Rourke, J., Patak, B., Pase, M. P., Zangara, A., Lomas, J., Scholey, A., &amp; Stough, C. (2013). An acute, double-blind, placebo-controlled crossover study of 320 mg and 640 mg doses of a special extract of </w:t>
      </w:r>
      <w:r w:rsidRPr="0056258C">
        <w:rPr>
          <w:i/>
          <w:iCs/>
          <w:lang w:val="en-US" w:eastAsia="en-US"/>
        </w:rPr>
        <w:t>Bacopa monnieri</w:t>
      </w:r>
      <w:r w:rsidRPr="0056258C">
        <w:rPr>
          <w:lang w:val="en-US" w:eastAsia="en-US"/>
        </w:rPr>
        <w:t xml:space="preserve"> (CDRI 08) on sustained cognitive performance. </w:t>
      </w:r>
      <w:r w:rsidRPr="0056258C">
        <w:rPr>
          <w:i/>
          <w:iCs/>
          <w:lang w:val="en-US" w:eastAsia="en-US"/>
        </w:rPr>
        <w:t>Phytotherapy Research, 27</w:t>
      </w:r>
      <w:r w:rsidRPr="0056258C">
        <w:rPr>
          <w:lang w:val="en-US" w:eastAsia="en-US"/>
        </w:rPr>
        <w:t xml:space="preserve">(9), 1407–1413. </w:t>
      </w:r>
      <w:hyperlink r:id="rId24" w:history="1">
        <w:r w:rsidRPr="0056258C">
          <w:rPr>
            <w:color w:val="0000FF"/>
            <w:u w:val="single"/>
            <w:lang w:val="en-US" w:eastAsia="en-US"/>
          </w:rPr>
          <w:t>https://doi.org/10.1002/ptr.4864</w:t>
        </w:r>
      </w:hyperlink>
    </w:p>
    <w:p w14:paraId="72D41ACB"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Farokhnia, M., Shafiee Sabet, M., Iranpour, N., Gougol, A., Yekehtaz, H., Alimardani, R., Farsad, F., Kamalipour, M., &amp; Akhondzadeh, S. (2014). Comparing the efficacy and safety of </w:t>
      </w:r>
      <w:r w:rsidRPr="0056258C">
        <w:rPr>
          <w:i/>
          <w:iCs/>
          <w:lang w:val="en-US" w:eastAsia="en-US"/>
        </w:rPr>
        <w:t>Crocus sativus</w:t>
      </w:r>
      <w:r w:rsidRPr="0056258C">
        <w:rPr>
          <w:lang w:val="en-US" w:eastAsia="en-US"/>
        </w:rPr>
        <w:t xml:space="preserve"> L. with memantine in patients with moderate to severe Alzheimer's disease: A double-blind randomized clinical trial. </w:t>
      </w:r>
      <w:r w:rsidRPr="0056258C">
        <w:rPr>
          <w:i/>
          <w:iCs/>
          <w:lang w:val="en-US" w:eastAsia="en-US"/>
        </w:rPr>
        <w:t>Human Psychopharmacology, 29</w:t>
      </w:r>
      <w:r w:rsidRPr="0056258C">
        <w:rPr>
          <w:lang w:val="en-US" w:eastAsia="en-US"/>
        </w:rPr>
        <w:t xml:space="preserve">(4), 351–359. </w:t>
      </w:r>
      <w:hyperlink r:id="rId25" w:history="1">
        <w:r w:rsidRPr="0056258C">
          <w:rPr>
            <w:color w:val="0000FF"/>
            <w:u w:val="single"/>
            <w:lang w:val="en-US" w:eastAsia="en-US"/>
          </w:rPr>
          <w:t>https://doi.org/10.1002/hup.2412</w:t>
        </w:r>
      </w:hyperlink>
    </w:p>
    <w:p w14:paraId="4E14D2DC"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Feng, X., Fan, S., &amp; Wei, F. (2026). The effect of plant active substances on cognitive function in healthy older adults: A systematic review and network meta-analysis of randomized controlled trials. </w:t>
      </w:r>
      <w:r w:rsidRPr="0056258C">
        <w:rPr>
          <w:i/>
          <w:iCs/>
          <w:lang w:val="en-US" w:eastAsia="en-US"/>
        </w:rPr>
        <w:t>Frontiers in Pharmacology, 16</w:t>
      </w:r>
      <w:r w:rsidRPr="0056258C">
        <w:rPr>
          <w:lang w:val="en-US" w:eastAsia="en-US"/>
        </w:rPr>
        <w:t xml:space="preserve">, Article 1672171. </w:t>
      </w:r>
      <w:hyperlink r:id="rId26" w:history="1">
        <w:r w:rsidRPr="0056258C">
          <w:rPr>
            <w:color w:val="0000FF"/>
            <w:u w:val="single"/>
            <w:lang w:val="en-US" w:eastAsia="en-US"/>
          </w:rPr>
          <w:t>https://doi.org/10.3389/fphar.2025.1672171</w:t>
        </w:r>
      </w:hyperlink>
    </w:p>
    <w:p w14:paraId="22ADDFB9"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Ferrari, R. (2015). Writing narrative style literature reviews. </w:t>
      </w:r>
      <w:r w:rsidRPr="0056258C">
        <w:rPr>
          <w:i/>
          <w:iCs/>
          <w:lang w:val="en-US" w:eastAsia="en-US"/>
        </w:rPr>
        <w:t>Medical Writing, 24</w:t>
      </w:r>
      <w:r w:rsidRPr="0056258C">
        <w:rPr>
          <w:lang w:val="en-US" w:eastAsia="en-US"/>
        </w:rPr>
        <w:t xml:space="preserve">(4), 230–235. </w:t>
      </w:r>
      <w:hyperlink r:id="rId27" w:history="1">
        <w:r w:rsidRPr="0056258C">
          <w:rPr>
            <w:color w:val="0000FF"/>
            <w:u w:val="single"/>
            <w:lang w:val="en-US" w:eastAsia="en-US"/>
          </w:rPr>
          <w:t>https://doi.org/10.1179/2047480615Z.000000000329</w:t>
        </w:r>
      </w:hyperlink>
    </w:p>
    <w:p w14:paraId="036C753B"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Gagnier, J. J., Boon, H., Rochon, P., Moher, D., Barnes, J., &amp; Bombardier, C. (2006). Reporting randomized, controlled trials of herbal interventions: An elaborated CONSORT statement. </w:t>
      </w:r>
      <w:r w:rsidRPr="0056258C">
        <w:rPr>
          <w:i/>
          <w:iCs/>
          <w:lang w:val="en-US" w:eastAsia="en-US"/>
        </w:rPr>
        <w:t>Annals of Internal Medicine, 144</w:t>
      </w:r>
      <w:r w:rsidRPr="0056258C">
        <w:rPr>
          <w:lang w:val="en-US" w:eastAsia="en-US"/>
        </w:rPr>
        <w:t xml:space="preserve">(5), 364–367. </w:t>
      </w:r>
      <w:hyperlink r:id="rId28" w:history="1">
        <w:r w:rsidRPr="0056258C">
          <w:rPr>
            <w:color w:val="0000FF"/>
            <w:u w:val="single"/>
            <w:lang w:val="en-US" w:eastAsia="en-US"/>
          </w:rPr>
          <w:t>https://doi.org/10.7326/0003-4819-144-5-200603070-00013</w:t>
        </w:r>
      </w:hyperlink>
    </w:p>
    <w:p w14:paraId="72DA14AC"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GBD 2019 Dementia Forecasting Collaborators. (2022). Estimation of the global prevalence of dementia in 2019 and forecasted prevalence in 2050: An analysis for the Global Burden of Disease Study 2019. </w:t>
      </w:r>
      <w:r w:rsidRPr="0056258C">
        <w:rPr>
          <w:i/>
          <w:iCs/>
          <w:lang w:val="en-US" w:eastAsia="en-US"/>
        </w:rPr>
        <w:t>The Lancet Public Health, 7</w:t>
      </w:r>
      <w:r w:rsidRPr="0056258C">
        <w:rPr>
          <w:lang w:val="en-US" w:eastAsia="en-US"/>
        </w:rPr>
        <w:t xml:space="preserve">(2), e105–e125. </w:t>
      </w:r>
      <w:hyperlink r:id="rId29" w:history="1">
        <w:r w:rsidRPr="0056258C">
          <w:rPr>
            <w:color w:val="0000FF"/>
            <w:u w:val="single"/>
            <w:lang w:val="en-US" w:eastAsia="en-US"/>
          </w:rPr>
          <w:t>https://doi.org/10.1016/S2468-2667(21)00249-8</w:t>
        </w:r>
      </w:hyperlink>
    </w:p>
    <w:p w14:paraId="33580C30"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nl-BE" w:eastAsia="en-US"/>
        </w:rPr>
        <w:t xml:space="preserve">Geng, J., Dong, J., Ni, H., Lee, M. S., Wu, T., Jiang, K., Wang, G., Zhou, A. L., &amp; Malouf, R. (2010). </w:t>
      </w:r>
      <w:r w:rsidRPr="0056258C">
        <w:rPr>
          <w:lang w:val="en-US" w:eastAsia="en-US"/>
        </w:rPr>
        <w:t xml:space="preserve">Ginseng for cognition. </w:t>
      </w:r>
      <w:r w:rsidRPr="0056258C">
        <w:rPr>
          <w:i/>
          <w:iCs/>
          <w:lang w:val="en-US" w:eastAsia="en-US"/>
        </w:rPr>
        <w:t>Cochrane Database of Systematic Reviews, 2010</w:t>
      </w:r>
      <w:r w:rsidRPr="0056258C">
        <w:rPr>
          <w:lang w:val="en-US" w:eastAsia="en-US"/>
        </w:rPr>
        <w:t xml:space="preserve">(12), Article CD007769. </w:t>
      </w:r>
      <w:hyperlink r:id="rId30" w:history="1">
        <w:r w:rsidRPr="0056258C">
          <w:rPr>
            <w:color w:val="0000FF"/>
            <w:u w:val="single"/>
            <w:lang w:val="en-US" w:eastAsia="en-US"/>
          </w:rPr>
          <w:t>https://doi.org/10.1002/14651858.CD007769.pub2</w:t>
        </w:r>
      </w:hyperlink>
    </w:p>
    <w:p w14:paraId="53D85119"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Gray, N. E., Alcázar Magaña, A., Lak, P., Wright, K. M., Quinn, J., Stevens, J. F., Maier, C. S., &amp; Soumyanath, A. (2018). </w:t>
      </w:r>
      <w:r w:rsidRPr="0056258C">
        <w:rPr>
          <w:i/>
          <w:iCs/>
          <w:lang w:val="en-US" w:eastAsia="en-US"/>
        </w:rPr>
        <w:t>Centella asiatica</w:t>
      </w:r>
      <w:r w:rsidRPr="0056258C">
        <w:rPr>
          <w:lang w:val="en-US" w:eastAsia="en-US"/>
        </w:rPr>
        <w:t xml:space="preserve">: Phytochemistry and mechanisms of neuroprotection and cognitive enhancement. </w:t>
      </w:r>
      <w:r w:rsidRPr="0056258C">
        <w:rPr>
          <w:i/>
          <w:iCs/>
          <w:lang w:val="en-US" w:eastAsia="en-US"/>
        </w:rPr>
        <w:t>Phytochemistry Reviews, 17</w:t>
      </w:r>
      <w:r w:rsidRPr="0056258C">
        <w:rPr>
          <w:lang w:val="en-US" w:eastAsia="en-US"/>
        </w:rPr>
        <w:t xml:space="preserve">(1), 161–194. </w:t>
      </w:r>
      <w:hyperlink r:id="rId31" w:history="1">
        <w:r w:rsidRPr="0056258C">
          <w:rPr>
            <w:color w:val="0000FF"/>
            <w:u w:val="single"/>
            <w:lang w:val="en-US" w:eastAsia="en-US"/>
          </w:rPr>
          <w:t>https://doi.org/10.1007/s11101-017-9528-y</w:t>
        </w:r>
      </w:hyperlink>
    </w:p>
    <w:p w14:paraId="2CAC06BF"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Greenhalgh, T., Thorne, S., &amp; Malterud, K. (2018). Time to challenge the spurious hierarchy of systematic over narrative reviews? </w:t>
      </w:r>
      <w:r w:rsidRPr="0056258C">
        <w:rPr>
          <w:i/>
          <w:iCs/>
          <w:lang w:val="en-US" w:eastAsia="en-US"/>
        </w:rPr>
        <w:t>European Journal of Clinical Investigation, 48</w:t>
      </w:r>
      <w:r w:rsidRPr="0056258C">
        <w:rPr>
          <w:lang w:val="en-US" w:eastAsia="en-US"/>
        </w:rPr>
        <w:t xml:space="preserve">(6), Article e12931. </w:t>
      </w:r>
      <w:hyperlink r:id="rId32" w:history="1">
        <w:r w:rsidRPr="0056258C">
          <w:rPr>
            <w:color w:val="0000FF"/>
            <w:u w:val="single"/>
            <w:lang w:val="en-US" w:eastAsia="en-US"/>
          </w:rPr>
          <w:t>https://doi.org/10.1111/eci.12931</w:t>
        </w:r>
      </w:hyperlink>
    </w:p>
    <w:p w14:paraId="5E8B9EFB"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nl-BE" w:eastAsia="en-US"/>
        </w:rPr>
        <w:t xml:space="preserve">Han, S., Cao, Y., Wu, X., Xu, J., Nie, Z., &amp; Qiu, Y. (2024). </w:t>
      </w:r>
      <w:r w:rsidRPr="0056258C">
        <w:rPr>
          <w:lang w:val="en-US" w:eastAsia="en-US"/>
        </w:rPr>
        <w:t>New horizons for the study of saffron (</w:t>
      </w:r>
      <w:r w:rsidRPr="0056258C">
        <w:rPr>
          <w:i/>
          <w:iCs/>
          <w:lang w:val="en-US" w:eastAsia="en-US"/>
        </w:rPr>
        <w:t>Crocus sativus</w:t>
      </w:r>
      <w:r w:rsidRPr="0056258C">
        <w:rPr>
          <w:lang w:val="en-US" w:eastAsia="en-US"/>
        </w:rPr>
        <w:t xml:space="preserve"> L.) and its active ingredients in the management of neurological and psychiatric disorders: A systematic review of clinical evidence and mechanisms. </w:t>
      </w:r>
      <w:r w:rsidRPr="0056258C">
        <w:rPr>
          <w:i/>
          <w:iCs/>
          <w:lang w:val="en-US" w:eastAsia="en-US"/>
        </w:rPr>
        <w:t>Phytotherapy Research, 38</w:t>
      </w:r>
      <w:r w:rsidRPr="0056258C">
        <w:rPr>
          <w:lang w:val="en-US" w:eastAsia="en-US"/>
        </w:rPr>
        <w:t xml:space="preserve">(5), 2276–2302. </w:t>
      </w:r>
      <w:hyperlink r:id="rId33" w:history="1">
        <w:r w:rsidRPr="0056258C">
          <w:rPr>
            <w:color w:val="0000FF"/>
            <w:u w:val="single"/>
            <w:lang w:val="en-US" w:eastAsia="en-US"/>
          </w:rPr>
          <w:t>https://doi.org/10.1002/ptr.8110</w:t>
        </w:r>
      </w:hyperlink>
    </w:p>
    <w:p w14:paraId="2D5EFBF8"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nl-BE" w:eastAsia="en-US"/>
        </w:rPr>
        <w:lastRenderedPageBreak/>
        <w:t xml:space="preserve">Heinrich, M., &amp; Lee Teoh, H. (2004). </w:t>
      </w:r>
      <w:r w:rsidRPr="0056258C">
        <w:rPr>
          <w:lang w:val="en-US" w:eastAsia="en-US"/>
        </w:rPr>
        <w:t xml:space="preserve">Galanthamine from snowdrop: The development of a modern drug against Alzheimer's disease from local Caucasian knowledge. </w:t>
      </w:r>
      <w:r w:rsidRPr="0056258C">
        <w:rPr>
          <w:i/>
          <w:iCs/>
          <w:lang w:val="en-US" w:eastAsia="en-US"/>
        </w:rPr>
        <w:t>Journal of Ethnopharmacology, 92</w:t>
      </w:r>
      <w:r w:rsidRPr="0056258C">
        <w:rPr>
          <w:lang w:val="en-US" w:eastAsia="en-US"/>
        </w:rPr>
        <w:t xml:space="preserve">(2–3), 147–162. </w:t>
      </w:r>
      <w:hyperlink r:id="rId34" w:history="1">
        <w:r w:rsidRPr="0056258C">
          <w:rPr>
            <w:color w:val="0000FF"/>
            <w:u w:val="single"/>
            <w:lang w:val="en-US" w:eastAsia="en-US"/>
          </w:rPr>
          <w:t>https://doi.org/10.1016/j.jep.2004.02.012</w:t>
        </w:r>
      </w:hyperlink>
    </w:p>
    <w:p w14:paraId="2FF52B71"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Heinrich, M., Jalil, B., Abdel-Tawab, M., Echeverria, J., Kulić, Ž., McGaw, L. J., Pezzuto, J. M., Potterat, O., &amp; Wang, J. B. (2022). Best practice in the chemical characterisation of extracts used in pharmacological and toxicological research: The ConPhyMP guidelines. </w:t>
      </w:r>
      <w:r w:rsidRPr="0056258C">
        <w:rPr>
          <w:i/>
          <w:iCs/>
          <w:lang w:val="en-US" w:eastAsia="en-US"/>
        </w:rPr>
        <w:t>Frontiers in Pharmacology, 13</w:t>
      </w:r>
      <w:r w:rsidRPr="0056258C">
        <w:rPr>
          <w:lang w:val="en-US" w:eastAsia="en-US"/>
        </w:rPr>
        <w:t xml:space="preserve">, Article 953205. </w:t>
      </w:r>
      <w:hyperlink r:id="rId35" w:history="1">
        <w:r w:rsidRPr="0056258C">
          <w:rPr>
            <w:color w:val="0000FF"/>
            <w:u w:val="single"/>
            <w:lang w:val="en-US" w:eastAsia="en-US"/>
          </w:rPr>
          <w:t>https://doi.org/10.3389/fphar.2022.953205</w:t>
        </w:r>
      </w:hyperlink>
    </w:p>
    <w:p w14:paraId="6B90596D"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nl-BE" w:eastAsia="en-US"/>
        </w:rPr>
        <w:t xml:space="preserve">Hoang, L. N., Lee, H., &amp; Lee, S. J. (2025). </w:t>
      </w:r>
      <w:r w:rsidRPr="0056258C">
        <w:rPr>
          <w:lang w:val="en-US" w:eastAsia="en-US"/>
        </w:rPr>
        <w:t xml:space="preserve">Improving cognitive impairment through chronic consumption of natural compounds/extracts: A systematic review and meta-analysis of randomized controlled trials. </w:t>
      </w:r>
      <w:r w:rsidRPr="0056258C">
        <w:rPr>
          <w:i/>
          <w:iCs/>
          <w:lang w:val="en-US" w:eastAsia="en-US"/>
        </w:rPr>
        <w:t>Frontiers in Aging Neuroscience, 16</w:t>
      </w:r>
      <w:r w:rsidRPr="0056258C">
        <w:rPr>
          <w:lang w:val="en-US" w:eastAsia="en-US"/>
        </w:rPr>
        <w:t xml:space="preserve">, Article 1531278. </w:t>
      </w:r>
      <w:hyperlink r:id="rId36" w:history="1">
        <w:r w:rsidRPr="0056258C">
          <w:rPr>
            <w:color w:val="0000FF"/>
            <w:u w:val="single"/>
            <w:lang w:val="en-US" w:eastAsia="en-US"/>
          </w:rPr>
          <w:t>https://doi.org/10.3389/fnagi.2024.1531278</w:t>
        </w:r>
      </w:hyperlink>
    </w:p>
    <w:p w14:paraId="1BC3A076"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Howes, M.-J. R., Quave, C. L., Collemare, J., Tatsis, E. C., Twilley, D., Lulekal, E., Farlow, A., Li, L., Cazar, M., Leaman, D. J., Prescott, T. A. K., Milliken, W., Martin, C., De Canha, M. N., Lall, N., Qin, H., Walker, B. E., Vásquez-Londoño, C., Allkin, B., . . . Nic Lughadha, E. (2020). Molecules from nature: Reconciling biodiversity conservation and global healthcare imperatives for sustainable use of medicinal plants and fungi. </w:t>
      </w:r>
      <w:r w:rsidRPr="0056258C">
        <w:rPr>
          <w:i/>
          <w:iCs/>
          <w:lang w:val="en-US" w:eastAsia="en-US"/>
        </w:rPr>
        <w:t>Plants, People, Planet, 2</w:t>
      </w:r>
      <w:r w:rsidRPr="0056258C">
        <w:rPr>
          <w:lang w:val="en-US" w:eastAsia="en-US"/>
        </w:rPr>
        <w:t xml:space="preserve">(5), 463–481. </w:t>
      </w:r>
      <w:hyperlink r:id="rId37" w:history="1">
        <w:r w:rsidRPr="0056258C">
          <w:rPr>
            <w:color w:val="0000FF"/>
            <w:u w:val="single"/>
            <w:lang w:val="en-US" w:eastAsia="en-US"/>
          </w:rPr>
          <w:t>https://doi.org/10.1002/ppp3.10138</w:t>
        </w:r>
      </w:hyperlink>
    </w:p>
    <w:p w14:paraId="3AEF9E11"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Hung, S. K., Perry, R., &amp; Ernst, E. (2011). The effectiveness and efficacy of </w:t>
      </w:r>
      <w:r w:rsidRPr="0056258C">
        <w:rPr>
          <w:i/>
          <w:iCs/>
          <w:lang w:val="en-US" w:eastAsia="en-US"/>
        </w:rPr>
        <w:t>Rhodiola rosea</w:t>
      </w:r>
      <w:r w:rsidRPr="0056258C">
        <w:rPr>
          <w:lang w:val="en-US" w:eastAsia="en-US"/>
        </w:rPr>
        <w:t xml:space="preserve"> L.: A systematic review of randomized clinical trials. </w:t>
      </w:r>
      <w:r w:rsidRPr="0056258C">
        <w:rPr>
          <w:i/>
          <w:iCs/>
          <w:lang w:val="en-US" w:eastAsia="en-US"/>
        </w:rPr>
        <w:t>Phytomedicine, 18</w:t>
      </w:r>
      <w:r w:rsidRPr="0056258C">
        <w:rPr>
          <w:lang w:val="en-US" w:eastAsia="en-US"/>
        </w:rPr>
        <w:t xml:space="preserve">(4), 235–244. </w:t>
      </w:r>
      <w:hyperlink r:id="rId38" w:history="1">
        <w:r w:rsidRPr="0056258C">
          <w:rPr>
            <w:color w:val="0000FF"/>
            <w:u w:val="single"/>
            <w:lang w:val="en-US" w:eastAsia="en-US"/>
          </w:rPr>
          <w:t>https://doi.org/10.1016/j.phymed.2010.08.014</w:t>
        </w:r>
      </w:hyperlink>
    </w:p>
    <w:p w14:paraId="158FCBCB"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Jiang, J., Han, R., Ren, H., Yao, Y., &amp; Jiang, W. (2025). A review of neuroprotective properties of </w:t>
      </w:r>
      <w:r w:rsidRPr="0056258C">
        <w:rPr>
          <w:i/>
          <w:iCs/>
          <w:lang w:val="en-US" w:eastAsia="en-US"/>
        </w:rPr>
        <w:t>Centella asiatica</w:t>
      </w:r>
      <w:r w:rsidRPr="0056258C">
        <w:rPr>
          <w:lang w:val="en-US" w:eastAsia="en-US"/>
        </w:rPr>
        <w:t xml:space="preserve"> (L.) Urb. and its therapeutic effects. </w:t>
      </w:r>
      <w:r w:rsidRPr="0056258C">
        <w:rPr>
          <w:i/>
          <w:iCs/>
          <w:lang w:val="en-US" w:eastAsia="en-US"/>
        </w:rPr>
        <w:t>Annals of Medicine, 57</w:t>
      </w:r>
      <w:r w:rsidRPr="0056258C">
        <w:rPr>
          <w:lang w:val="en-US" w:eastAsia="en-US"/>
        </w:rPr>
        <w:t xml:space="preserve">(1), Article 2559122. </w:t>
      </w:r>
      <w:hyperlink r:id="rId39" w:history="1">
        <w:r w:rsidRPr="0056258C">
          <w:rPr>
            <w:color w:val="0000FF"/>
            <w:u w:val="single"/>
            <w:lang w:val="en-US" w:eastAsia="en-US"/>
          </w:rPr>
          <w:t>https://doi.org/10.1080/07853890.2025.2559122</w:t>
        </w:r>
      </w:hyperlink>
    </w:p>
    <w:p w14:paraId="4889E783"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Kaczmarek-Kryszak, K. A., Dobrzyńska, M., Banaszak, M., &amp; Drzymała-Czyż, S. (2026). A comprehensive systematic review of human trials investigating herbal treatments for Alzheimer's disease and dementia. </w:t>
      </w:r>
      <w:r w:rsidRPr="0056258C">
        <w:rPr>
          <w:i/>
          <w:iCs/>
          <w:lang w:val="en-US" w:eastAsia="en-US"/>
        </w:rPr>
        <w:t>Acta Neuropsychiatrica, 38</w:t>
      </w:r>
      <w:r w:rsidRPr="0056258C">
        <w:rPr>
          <w:lang w:val="en-US" w:eastAsia="en-US"/>
        </w:rPr>
        <w:t xml:space="preserve">, Article e42. </w:t>
      </w:r>
      <w:hyperlink r:id="rId40" w:history="1">
        <w:r w:rsidRPr="0056258C">
          <w:rPr>
            <w:color w:val="0000FF"/>
            <w:u w:val="single"/>
            <w:lang w:val="en-US" w:eastAsia="en-US"/>
          </w:rPr>
          <w:t>https://doi.org/10.1017/neu.2026.10085</w:t>
        </w:r>
      </w:hyperlink>
    </w:p>
    <w:p w14:paraId="6D837257"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Kennedy, D. O., Dodd, F. L., Robertson, B. C., Okello, E. J., Reay, J. L., Scholey, A. B., &amp; Haskell, C. F. (2011). Monoterpenoid extract of sage (</w:t>
      </w:r>
      <w:r w:rsidRPr="0056258C">
        <w:rPr>
          <w:i/>
          <w:iCs/>
          <w:lang w:val="en-US" w:eastAsia="en-US"/>
        </w:rPr>
        <w:t>Salvia lavandulaefolia</w:t>
      </w:r>
      <w:r w:rsidRPr="0056258C">
        <w:rPr>
          <w:lang w:val="en-US" w:eastAsia="en-US"/>
        </w:rPr>
        <w:t xml:space="preserve">) with cholinesterase inhibiting properties improves cognitive performance and mood in healthy adults. </w:t>
      </w:r>
      <w:r w:rsidRPr="0056258C">
        <w:rPr>
          <w:i/>
          <w:iCs/>
          <w:lang w:val="en-US" w:eastAsia="en-US"/>
        </w:rPr>
        <w:t>Journal of Psychopharmacology, 25</w:t>
      </w:r>
      <w:r w:rsidRPr="0056258C">
        <w:rPr>
          <w:lang w:val="en-US" w:eastAsia="en-US"/>
        </w:rPr>
        <w:t xml:space="preserve">(8), 1088–1100. </w:t>
      </w:r>
      <w:hyperlink r:id="rId41" w:history="1">
        <w:r w:rsidRPr="0056258C">
          <w:rPr>
            <w:color w:val="0000FF"/>
            <w:u w:val="single"/>
            <w:lang w:val="en-US" w:eastAsia="en-US"/>
          </w:rPr>
          <w:t>https://doi.org/10.1177/0269881110385594</w:t>
        </w:r>
      </w:hyperlink>
    </w:p>
    <w:p w14:paraId="66C66711"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Kennedy, D. O., &amp; Scholey, A. B. (2006). The psychopharmacology of European herbs with cognition-enhancing properties. </w:t>
      </w:r>
      <w:r w:rsidRPr="0056258C">
        <w:rPr>
          <w:i/>
          <w:iCs/>
          <w:lang w:val="en-US" w:eastAsia="en-US"/>
        </w:rPr>
        <w:t>Current Pharmaceutical Design, 12</w:t>
      </w:r>
      <w:r w:rsidRPr="0056258C">
        <w:rPr>
          <w:lang w:val="en-US" w:eastAsia="en-US"/>
        </w:rPr>
        <w:t xml:space="preserve">(35), 4613–4623. </w:t>
      </w:r>
      <w:hyperlink r:id="rId42" w:history="1">
        <w:r w:rsidRPr="0056258C">
          <w:rPr>
            <w:color w:val="0000FF"/>
            <w:u w:val="single"/>
            <w:lang w:val="en-US" w:eastAsia="en-US"/>
          </w:rPr>
          <w:t>https://doi.org/10.2174/138161206779010387</w:t>
        </w:r>
      </w:hyperlink>
    </w:p>
    <w:p w14:paraId="646CF3EE"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Kennedy, D. O., &amp; Wightman, E. L. (2011). Herbal extracts and phytochemicals: Plant secondary metabolites and the enhancement of human brain function. </w:t>
      </w:r>
      <w:r w:rsidRPr="0056258C">
        <w:rPr>
          <w:i/>
          <w:iCs/>
          <w:lang w:val="en-US" w:eastAsia="en-US"/>
        </w:rPr>
        <w:t>Advances in Nutrition, 2</w:t>
      </w:r>
      <w:r w:rsidRPr="0056258C">
        <w:rPr>
          <w:lang w:val="en-US" w:eastAsia="en-US"/>
        </w:rPr>
        <w:t xml:space="preserve">(1), 32–50. </w:t>
      </w:r>
      <w:hyperlink r:id="rId43" w:history="1">
        <w:r w:rsidRPr="0056258C">
          <w:rPr>
            <w:color w:val="0000FF"/>
            <w:u w:val="single"/>
            <w:lang w:val="en-US" w:eastAsia="en-US"/>
          </w:rPr>
          <w:t>https://doi.org/10.3945/an.110.000117</w:t>
        </w:r>
      </w:hyperlink>
    </w:p>
    <w:p w14:paraId="42D6DBDC"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nl-BE" w:eastAsia="en-US"/>
        </w:rPr>
        <w:lastRenderedPageBreak/>
        <w:t xml:space="preserve">Kim, J., Kang, M., &amp; Lim, H. (2025). </w:t>
      </w:r>
      <w:r w:rsidRPr="0056258C">
        <w:rPr>
          <w:lang w:val="en-US" w:eastAsia="en-US"/>
        </w:rPr>
        <w:t xml:space="preserve">Cognitive benefits of ginseng: A systematic review and meta-analysis of changes in Mini-Mental State Examination and Alzheimer's Disease Assessment Scale-Cognitive Subscale scores. </w:t>
      </w:r>
      <w:r w:rsidRPr="0056258C">
        <w:rPr>
          <w:i/>
          <w:iCs/>
          <w:lang w:val="en-US" w:eastAsia="en-US"/>
        </w:rPr>
        <w:t>Complementary Medicine Research, 32</w:t>
      </w:r>
      <w:r w:rsidRPr="0056258C">
        <w:rPr>
          <w:lang w:val="en-US" w:eastAsia="en-US"/>
        </w:rPr>
        <w:t xml:space="preserve">(4), 283–295. </w:t>
      </w:r>
      <w:hyperlink r:id="rId44" w:history="1">
        <w:r w:rsidRPr="0056258C">
          <w:rPr>
            <w:color w:val="0000FF"/>
            <w:u w:val="single"/>
            <w:lang w:val="en-US" w:eastAsia="en-US"/>
          </w:rPr>
          <w:t>https://doi.org/10.1159/000547543</w:t>
        </w:r>
      </w:hyperlink>
    </w:p>
    <w:p w14:paraId="47BD5E10"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Kongkeaw, C., Dilokthornsakul, P., Thanarangsarit, P., Limpeanchob, N., &amp; Scholfield, C. N. (2014). Meta-analysis of randomized controlled trials on cognitive effects of </w:t>
      </w:r>
      <w:r w:rsidRPr="0056258C">
        <w:rPr>
          <w:i/>
          <w:iCs/>
          <w:lang w:val="en-US" w:eastAsia="en-US"/>
        </w:rPr>
        <w:t>Bacopa monnieri</w:t>
      </w:r>
      <w:r w:rsidRPr="0056258C">
        <w:rPr>
          <w:lang w:val="en-US" w:eastAsia="en-US"/>
        </w:rPr>
        <w:t xml:space="preserve"> extract. </w:t>
      </w:r>
      <w:r w:rsidRPr="0056258C">
        <w:rPr>
          <w:i/>
          <w:iCs/>
          <w:lang w:val="en-US" w:eastAsia="en-US"/>
        </w:rPr>
        <w:t>Journal of Ethnopharmacology, 151</w:t>
      </w:r>
      <w:r w:rsidRPr="0056258C">
        <w:rPr>
          <w:lang w:val="en-US" w:eastAsia="en-US"/>
        </w:rPr>
        <w:t xml:space="preserve">(1), 528–535. </w:t>
      </w:r>
      <w:hyperlink r:id="rId45" w:history="1">
        <w:r w:rsidRPr="0056258C">
          <w:rPr>
            <w:color w:val="0000FF"/>
            <w:u w:val="single"/>
            <w:lang w:val="en-US" w:eastAsia="en-US"/>
          </w:rPr>
          <w:t>https://doi.org/10.1016/j.jep.2013.11.008</w:t>
        </w:r>
      </w:hyperlink>
    </w:p>
    <w:p w14:paraId="46CE6F2B"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Li, J., Wu, H. M., Zhou, R. L., Liu, G. J., &amp; Dong, B. R. (2008). Huperzine A for Alzheimer's disease. </w:t>
      </w:r>
      <w:r w:rsidRPr="0056258C">
        <w:rPr>
          <w:i/>
          <w:iCs/>
          <w:lang w:val="en-US" w:eastAsia="en-US"/>
        </w:rPr>
        <w:t>Cochrane Database of Systematic Reviews, 2008</w:t>
      </w:r>
      <w:r w:rsidRPr="0056258C">
        <w:rPr>
          <w:lang w:val="en-US" w:eastAsia="en-US"/>
        </w:rPr>
        <w:t xml:space="preserve">(2), Article CD005592. </w:t>
      </w:r>
      <w:hyperlink r:id="rId46" w:history="1">
        <w:r w:rsidRPr="0056258C">
          <w:rPr>
            <w:color w:val="0000FF"/>
            <w:u w:val="single"/>
            <w:lang w:val="en-US" w:eastAsia="en-US"/>
          </w:rPr>
          <w:t>https://doi.org/10.1002/14651858.CD005592.pub2</w:t>
        </w:r>
      </w:hyperlink>
    </w:p>
    <w:p w14:paraId="788B98EA"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Lindenmaier, M. P., Bernart, M. W., &amp; Brinckmann, J. A. (2025). Advanced methodologies for the quality control of herbal supplements and regulatory considerations. </w:t>
      </w:r>
      <w:r w:rsidRPr="0056258C">
        <w:rPr>
          <w:i/>
          <w:iCs/>
          <w:lang w:val="en-US" w:eastAsia="en-US"/>
        </w:rPr>
        <w:t>Phytochemical Analysis, 36</w:t>
      </w:r>
      <w:r w:rsidRPr="0056258C">
        <w:rPr>
          <w:lang w:val="en-US" w:eastAsia="en-US"/>
        </w:rPr>
        <w:t xml:space="preserve">(8), 2417–2433. </w:t>
      </w:r>
      <w:hyperlink r:id="rId47" w:history="1">
        <w:r w:rsidRPr="0056258C">
          <w:rPr>
            <w:color w:val="0000FF"/>
            <w:u w:val="single"/>
            <w:lang w:val="en-US" w:eastAsia="en-US"/>
          </w:rPr>
          <w:t>https://doi.org/10.1002/pca.70000</w:t>
        </w:r>
      </w:hyperlink>
    </w:p>
    <w:p w14:paraId="1E76301D"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nl-BE" w:eastAsia="en-US"/>
        </w:rPr>
        <w:t xml:space="preserve">Liu, L., Zhang, C. S., Zhang, A. L., Cai, Y., &amp; Xue, C. C. (2024). </w:t>
      </w:r>
      <w:r w:rsidRPr="0056258C">
        <w:rPr>
          <w:lang w:val="en-US" w:eastAsia="en-US"/>
        </w:rPr>
        <w:t xml:space="preserve">The efficacy and safety of Chinese herbal medicine for mild cognitive impairment: A systematic review and meta-analysis of randomized placebo-controlled trials. </w:t>
      </w:r>
      <w:r w:rsidRPr="0056258C">
        <w:rPr>
          <w:i/>
          <w:iCs/>
          <w:lang w:val="en-US" w:eastAsia="en-US"/>
        </w:rPr>
        <w:t>Frontiers in Pharmacology, 15</w:t>
      </w:r>
      <w:r w:rsidRPr="0056258C">
        <w:rPr>
          <w:lang w:val="en-US" w:eastAsia="en-US"/>
        </w:rPr>
        <w:t xml:space="preserve">, Article 1341074. </w:t>
      </w:r>
      <w:hyperlink r:id="rId48" w:history="1">
        <w:r w:rsidRPr="0056258C">
          <w:rPr>
            <w:color w:val="0000FF"/>
            <w:u w:val="single"/>
            <w:lang w:val="en-US" w:eastAsia="en-US"/>
          </w:rPr>
          <w:t>https://doi.org/10.3389/fphar.2024.1341074</w:t>
        </w:r>
      </w:hyperlink>
    </w:p>
    <w:p w14:paraId="3720799D"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Livingston, G., Huntley, J., Liu, K. Y., Costafreda, S. G., Selbæk, G., Alladi, S., Ames, D., Banerjee, S., Burns, A., Brayne, C., Fox, N. C., Ferri, C. P., Gitlin, L. N., Howard, R., Kales, H. C., Kivimäki, M., Larson, E. B., Nakasujja, N., Rockwood, K., . . . Mukadam, N. (2024). Dementia prevention, intervention, and care: 2024 report of the Lancet standing Commission. </w:t>
      </w:r>
      <w:r w:rsidRPr="0056258C">
        <w:rPr>
          <w:i/>
          <w:iCs/>
          <w:lang w:val="en-US" w:eastAsia="en-US"/>
        </w:rPr>
        <w:t>The Lancet, 404</w:t>
      </w:r>
      <w:r w:rsidRPr="0056258C">
        <w:rPr>
          <w:lang w:val="en-US" w:eastAsia="en-US"/>
        </w:rPr>
        <w:t xml:space="preserve">(10452), 572–628. </w:t>
      </w:r>
      <w:hyperlink r:id="rId49" w:history="1">
        <w:r w:rsidRPr="0056258C">
          <w:rPr>
            <w:color w:val="0000FF"/>
            <w:u w:val="single"/>
            <w:lang w:val="en-US" w:eastAsia="en-US"/>
          </w:rPr>
          <w:t>https://doi.org/10.1016/S0140-6736(24)01296-0</w:t>
        </w:r>
      </w:hyperlink>
    </w:p>
    <w:p w14:paraId="73E654E6"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Lopresti, A. L., &amp; Smith, S. J. (2025). The effects of a </w:t>
      </w:r>
      <w:r w:rsidRPr="0056258C">
        <w:rPr>
          <w:i/>
          <w:iCs/>
          <w:lang w:val="en-US" w:eastAsia="en-US"/>
        </w:rPr>
        <w:t>Bacopa monnieri</w:t>
      </w:r>
      <w:r w:rsidRPr="0056258C">
        <w:rPr>
          <w:lang w:val="en-US" w:eastAsia="en-US"/>
        </w:rPr>
        <w:t xml:space="preserve"> extract (Bacumen®) on cognition, stress, and fatigue in healthy adults: A randomized, double-blind, placebo-controlled trial. </w:t>
      </w:r>
      <w:r w:rsidRPr="0056258C">
        <w:rPr>
          <w:i/>
          <w:iCs/>
          <w:lang w:val="en-US" w:eastAsia="en-US"/>
        </w:rPr>
        <w:t>Clinical Drug Investigation, 45</w:t>
      </w:r>
      <w:r w:rsidRPr="0056258C">
        <w:rPr>
          <w:lang w:val="en-US" w:eastAsia="en-US"/>
        </w:rPr>
        <w:t xml:space="preserve">(12), 967–982. </w:t>
      </w:r>
      <w:hyperlink r:id="rId50" w:history="1">
        <w:r w:rsidRPr="0056258C">
          <w:rPr>
            <w:color w:val="0000FF"/>
            <w:u w:val="single"/>
            <w:lang w:val="en-US" w:eastAsia="en-US"/>
          </w:rPr>
          <w:t>https://doi.org/10.1007/s40261-025-01492-1</w:t>
        </w:r>
      </w:hyperlink>
    </w:p>
    <w:p w14:paraId="6653E5BA"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nl-BE" w:eastAsia="en-US"/>
        </w:rPr>
        <w:t xml:space="preserve">Mancini, E., Beglinger, C., Drewe, J., Zanchi, D., Lang, U. E., &amp; Borgwardt, S. (2017). </w:t>
      </w:r>
      <w:r w:rsidRPr="0056258C">
        <w:rPr>
          <w:lang w:val="en-US" w:eastAsia="en-US"/>
        </w:rPr>
        <w:t xml:space="preserve">Green tea effects on cognition, mood and human brain function: A systematic review. </w:t>
      </w:r>
      <w:r w:rsidRPr="0056258C">
        <w:rPr>
          <w:i/>
          <w:iCs/>
          <w:lang w:val="en-US" w:eastAsia="en-US"/>
        </w:rPr>
        <w:t>Phytomedicine, 34</w:t>
      </w:r>
      <w:r w:rsidRPr="0056258C">
        <w:rPr>
          <w:lang w:val="en-US" w:eastAsia="en-US"/>
        </w:rPr>
        <w:t xml:space="preserve">, 26–37. </w:t>
      </w:r>
      <w:hyperlink r:id="rId51" w:history="1">
        <w:r w:rsidRPr="0056258C">
          <w:rPr>
            <w:color w:val="0000FF"/>
            <w:u w:val="single"/>
            <w:lang w:val="en-US" w:eastAsia="en-US"/>
          </w:rPr>
          <w:t>https://doi.org/10.1016/j.phymed.2017.07.008</w:t>
        </w:r>
      </w:hyperlink>
    </w:p>
    <w:p w14:paraId="3BA0F93F"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McPhee, G. M., Downey, L. A., Wesnes, K. A., &amp; Stough, C. (2021). The neurocognitive effects of </w:t>
      </w:r>
      <w:r w:rsidRPr="0056258C">
        <w:rPr>
          <w:i/>
          <w:iCs/>
          <w:lang w:val="en-US" w:eastAsia="en-US"/>
        </w:rPr>
        <w:t>Bacopa monnieri</w:t>
      </w:r>
      <w:r w:rsidRPr="0056258C">
        <w:rPr>
          <w:lang w:val="en-US" w:eastAsia="en-US"/>
        </w:rPr>
        <w:t xml:space="preserve"> and cognitive training on markers of brain microstructure in healthy older adults. </w:t>
      </w:r>
      <w:r w:rsidRPr="0056258C">
        <w:rPr>
          <w:i/>
          <w:iCs/>
          <w:lang w:val="en-US" w:eastAsia="en-US"/>
        </w:rPr>
        <w:t>Frontiers in Aging Neuroscience, 13</w:t>
      </w:r>
      <w:r w:rsidRPr="0056258C">
        <w:rPr>
          <w:lang w:val="en-US" w:eastAsia="en-US"/>
        </w:rPr>
        <w:t xml:space="preserve">, Article 638109. </w:t>
      </w:r>
      <w:hyperlink r:id="rId52" w:history="1">
        <w:r w:rsidRPr="0056258C">
          <w:rPr>
            <w:color w:val="0000FF"/>
            <w:u w:val="single"/>
            <w:lang w:val="en-US" w:eastAsia="en-US"/>
          </w:rPr>
          <w:t>https://doi.org/10.3389/fnagi.2021.638109</w:t>
        </w:r>
      </w:hyperlink>
    </w:p>
    <w:p w14:paraId="2986B636"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Morgan, A., &amp; Stevens, J. (2010). Does </w:t>
      </w:r>
      <w:r w:rsidRPr="0056258C">
        <w:rPr>
          <w:i/>
          <w:iCs/>
          <w:lang w:val="en-US" w:eastAsia="en-US"/>
        </w:rPr>
        <w:t>Bacopa monnieri</w:t>
      </w:r>
      <w:r w:rsidRPr="0056258C">
        <w:rPr>
          <w:lang w:val="en-US" w:eastAsia="en-US"/>
        </w:rPr>
        <w:t xml:space="preserve"> improve memory performance in older persons? Results of a randomized, placebo-controlled, double-blind trial. </w:t>
      </w:r>
      <w:r w:rsidRPr="0056258C">
        <w:rPr>
          <w:i/>
          <w:iCs/>
          <w:lang w:val="en-US" w:eastAsia="en-US"/>
        </w:rPr>
        <w:t>Journal of Alternative and Complementary Medicine, 16</w:t>
      </w:r>
      <w:r w:rsidRPr="0056258C">
        <w:rPr>
          <w:lang w:val="en-US" w:eastAsia="en-US"/>
        </w:rPr>
        <w:t xml:space="preserve">(7), 753–759. </w:t>
      </w:r>
      <w:hyperlink r:id="rId53" w:history="1">
        <w:r w:rsidRPr="0056258C">
          <w:rPr>
            <w:color w:val="0000FF"/>
            <w:u w:val="single"/>
            <w:lang w:val="en-US" w:eastAsia="en-US"/>
          </w:rPr>
          <w:t>https://doi.org/10.1089/acm.2009.0342</w:t>
        </w:r>
      </w:hyperlink>
    </w:p>
    <w:p w14:paraId="300904AB"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lastRenderedPageBreak/>
        <w:t xml:space="preserve">Nelson, K. M., Dahlin, J. L., Bisson, J., Graham, J., Pauli, G. F., &amp; Walters, M. A. (2017). The essential medicinal chemistry of curcumin. </w:t>
      </w:r>
      <w:r w:rsidRPr="0056258C">
        <w:rPr>
          <w:i/>
          <w:iCs/>
          <w:lang w:val="en-US" w:eastAsia="en-US"/>
        </w:rPr>
        <w:t>Journal of Medicinal Chemistry, 60</w:t>
      </w:r>
      <w:r w:rsidRPr="0056258C">
        <w:rPr>
          <w:lang w:val="en-US" w:eastAsia="en-US"/>
        </w:rPr>
        <w:t xml:space="preserve">(5), 1620–1637. </w:t>
      </w:r>
      <w:hyperlink r:id="rId54" w:history="1">
        <w:r w:rsidRPr="0056258C">
          <w:rPr>
            <w:color w:val="0000FF"/>
            <w:u w:val="single"/>
            <w:lang w:val="en-US" w:eastAsia="en-US"/>
          </w:rPr>
          <w:t>https://doi.org/10.1021/acs.jmedchem.6b00975</w:t>
        </w:r>
      </w:hyperlink>
    </w:p>
    <w:p w14:paraId="6504DFCC"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Ng, Q. X., Loke, W., Foo, N. X., Tan, W. J., Chan, H. W., Lim, D. Y., &amp; Yeo, W. S. (2020). A systematic review of the clinical use of </w:t>
      </w:r>
      <w:r w:rsidRPr="0056258C">
        <w:rPr>
          <w:i/>
          <w:iCs/>
          <w:lang w:val="en-US" w:eastAsia="en-US"/>
        </w:rPr>
        <w:t>Withania somnifera</w:t>
      </w:r>
      <w:r w:rsidRPr="0056258C">
        <w:rPr>
          <w:lang w:val="en-US" w:eastAsia="en-US"/>
        </w:rPr>
        <w:t xml:space="preserve"> (ashwagandha) to ameliorate cognitive dysfunction. </w:t>
      </w:r>
      <w:r w:rsidRPr="0056258C">
        <w:rPr>
          <w:i/>
          <w:iCs/>
          <w:lang w:val="en-US" w:eastAsia="en-US"/>
        </w:rPr>
        <w:t>Phytotherapy Research, 34</w:t>
      </w:r>
      <w:r w:rsidRPr="0056258C">
        <w:rPr>
          <w:lang w:val="en-US" w:eastAsia="en-US"/>
        </w:rPr>
        <w:t xml:space="preserve">(3), 583–590. </w:t>
      </w:r>
      <w:hyperlink r:id="rId55" w:history="1">
        <w:r w:rsidRPr="0056258C">
          <w:rPr>
            <w:color w:val="0000FF"/>
            <w:u w:val="single"/>
            <w:lang w:val="en-US" w:eastAsia="en-US"/>
          </w:rPr>
          <w:t>https://doi.org/10.1002/ptr.6552</w:t>
        </w:r>
      </w:hyperlink>
    </w:p>
    <w:p w14:paraId="070A807C"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Ngandu, T., Lehtisalo, J., Solomon, A., Levälahti, E., Ahtiluoto, S., Antikainen, R., Bäckman, L., Hänninen, T., Jula, A., Laatikainen, T., Lindström, J., Mangialasche, F., Paajanen, T., Pajala, S., Peltonen, M., Rauramaa, R., Stigsdotter-Neely, A., Strandberg, T., Tuomilehto, J., . . . Kivipelto, M. (2015). A 2 year multidomain intervention of diet, exercise, cognitive training, and vascular risk monitoring versus control to prevent cognitive decline in at-risk elderly people (FINGER): A randomised controlled trial. </w:t>
      </w:r>
      <w:r w:rsidRPr="0056258C">
        <w:rPr>
          <w:i/>
          <w:iCs/>
          <w:lang w:val="en-US" w:eastAsia="en-US"/>
        </w:rPr>
        <w:t>The Lancet, 385</w:t>
      </w:r>
      <w:r w:rsidRPr="0056258C">
        <w:rPr>
          <w:lang w:val="en-US" w:eastAsia="en-US"/>
        </w:rPr>
        <w:t xml:space="preserve">(9984), 2255–2263. </w:t>
      </w:r>
      <w:hyperlink r:id="rId56" w:history="1">
        <w:r w:rsidRPr="0056258C">
          <w:rPr>
            <w:color w:val="0000FF"/>
            <w:u w:val="single"/>
            <w:lang w:val="en-US" w:eastAsia="en-US"/>
          </w:rPr>
          <w:t>https://doi.org/10.1016/S0140-6736(15)60461-5</w:t>
        </w:r>
      </w:hyperlink>
    </w:p>
    <w:p w14:paraId="38EFD3B0"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Pase, M. P., Kean, J., Sarris, J., Neale, C., Scholey, A. B., &amp; Stough, C. (2012). The cognitive-enhancing effects of </w:t>
      </w:r>
      <w:r w:rsidRPr="0056258C">
        <w:rPr>
          <w:i/>
          <w:iCs/>
          <w:lang w:val="en-US" w:eastAsia="en-US"/>
        </w:rPr>
        <w:t>Bacopa monnieri</w:t>
      </w:r>
      <w:r w:rsidRPr="0056258C">
        <w:rPr>
          <w:lang w:val="en-US" w:eastAsia="en-US"/>
        </w:rPr>
        <w:t xml:space="preserve">: A systematic review of randomized, controlled human clinical trials. </w:t>
      </w:r>
      <w:r w:rsidRPr="0056258C">
        <w:rPr>
          <w:i/>
          <w:iCs/>
          <w:lang w:val="en-US" w:eastAsia="en-US"/>
        </w:rPr>
        <w:t>Journal of Alternative and Complementary Medicine, 18</w:t>
      </w:r>
      <w:r w:rsidRPr="0056258C">
        <w:rPr>
          <w:lang w:val="en-US" w:eastAsia="en-US"/>
        </w:rPr>
        <w:t xml:space="preserve">(7), 647–652. </w:t>
      </w:r>
      <w:hyperlink r:id="rId57" w:history="1">
        <w:r w:rsidRPr="0056258C">
          <w:rPr>
            <w:color w:val="0000FF"/>
            <w:u w:val="single"/>
            <w:lang w:val="en-US" w:eastAsia="en-US"/>
          </w:rPr>
          <w:t>https://doi.org/10.1089/acm.2011.0367</w:t>
        </w:r>
      </w:hyperlink>
    </w:p>
    <w:p w14:paraId="6398DB15"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Rai, H. P., &amp; Mishra, D. N. (2025). Effect of ashwagandha (</w:t>
      </w:r>
      <w:r w:rsidRPr="0056258C">
        <w:rPr>
          <w:i/>
          <w:iCs/>
          <w:lang w:val="en-US" w:eastAsia="en-US"/>
        </w:rPr>
        <w:t>Withania somnifera</w:t>
      </w:r>
      <w:r w:rsidRPr="0056258C">
        <w:rPr>
          <w:lang w:val="en-US" w:eastAsia="en-US"/>
        </w:rPr>
        <w:t xml:space="preserve">) extract with Sominone (Somin-On™) to improve memory in adults with mild cognitive impairment: A randomized, double-blind, placebo-controlled study. </w:t>
      </w:r>
      <w:r w:rsidRPr="0056258C">
        <w:rPr>
          <w:i/>
          <w:iCs/>
          <w:lang w:val="en-US" w:eastAsia="en-US"/>
        </w:rPr>
        <w:t>Journal of Psychopharmacology, 39</w:t>
      </w:r>
      <w:r w:rsidRPr="0056258C">
        <w:rPr>
          <w:lang w:val="en-US" w:eastAsia="en-US"/>
        </w:rPr>
        <w:t xml:space="preserve">(4), 350–363. </w:t>
      </w:r>
      <w:hyperlink r:id="rId58" w:history="1">
        <w:r w:rsidRPr="0056258C">
          <w:rPr>
            <w:color w:val="0000FF"/>
            <w:u w:val="single"/>
            <w:lang w:val="en-US" w:eastAsia="en-US"/>
          </w:rPr>
          <w:t>https://doi.org/10.1177/02698811251324377</w:t>
        </w:r>
      </w:hyperlink>
    </w:p>
    <w:p w14:paraId="7A198DCA"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nl-BE" w:eastAsia="en-US"/>
        </w:rPr>
        <w:t xml:space="preserve">Riepe, M., Hoerr, R., &amp; Schlaefke, S. (2025). </w:t>
      </w:r>
      <w:r w:rsidRPr="0056258C">
        <w:rPr>
          <w:i/>
          <w:iCs/>
          <w:lang w:val="en-US" w:eastAsia="en-US"/>
        </w:rPr>
        <w:t>Ginkgo biloba</w:t>
      </w:r>
      <w:r w:rsidRPr="0056258C">
        <w:rPr>
          <w:lang w:val="en-US" w:eastAsia="en-US"/>
        </w:rPr>
        <w:t xml:space="preserve"> extract EGb 761 is safe and effective in the treatment of mild dementia: A meta-analysis of patient subgroups in randomised controlled trials. </w:t>
      </w:r>
      <w:r w:rsidRPr="0056258C">
        <w:rPr>
          <w:i/>
          <w:iCs/>
          <w:lang w:val="en-US" w:eastAsia="en-US"/>
        </w:rPr>
        <w:t>The World Journal of Biological Psychiatry, 26</w:t>
      </w:r>
      <w:r w:rsidRPr="0056258C">
        <w:rPr>
          <w:lang w:val="en-US" w:eastAsia="en-US"/>
        </w:rPr>
        <w:t xml:space="preserve">(3), 119–129. </w:t>
      </w:r>
      <w:hyperlink r:id="rId59" w:history="1">
        <w:r w:rsidRPr="0056258C">
          <w:rPr>
            <w:color w:val="0000FF"/>
            <w:u w:val="single"/>
            <w:lang w:val="en-US" w:eastAsia="en-US"/>
          </w:rPr>
          <w:t>https://doi.org/10.1080/15622975.2024.2446830</w:t>
        </w:r>
      </w:hyperlink>
    </w:p>
    <w:p w14:paraId="4161846E"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Ringman, J. M., Frautschy, S. A., Teng, E., Begum, A. N., Bardens, J., Beigi, M., Gylys, K. H., Badmaev, V., Heath, D. D., Apostolova, L. G., Porter, V., Vanek, Z., Marshall, G. A., Hellemann, G., Sugar, C., Masterman, D. L., Montine, T. J., Cummings, J. L., &amp; Cole, G. M. (2012). Oral curcumin for Alzheimer's disease: Tolerability and efficacy in a 24-week randomized, double blind, placebo-controlled study. </w:t>
      </w:r>
      <w:r w:rsidRPr="0056258C">
        <w:rPr>
          <w:i/>
          <w:iCs/>
          <w:lang w:val="en-US" w:eastAsia="en-US"/>
        </w:rPr>
        <w:t>Alzheimer's Research &amp; Therapy, 4</w:t>
      </w:r>
      <w:r w:rsidRPr="0056258C">
        <w:rPr>
          <w:lang w:val="en-US" w:eastAsia="en-US"/>
        </w:rPr>
        <w:t xml:space="preserve">(5), Article 43. </w:t>
      </w:r>
      <w:hyperlink r:id="rId60" w:history="1">
        <w:r w:rsidRPr="0056258C">
          <w:rPr>
            <w:color w:val="0000FF"/>
            <w:u w:val="single"/>
            <w:lang w:val="en-US" w:eastAsia="en-US"/>
          </w:rPr>
          <w:t>https://doi.org/10.1186/alzrt146</w:t>
        </w:r>
      </w:hyperlink>
    </w:p>
    <w:p w14:paraId="55224827"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nl-BE" w:eastAsia="en-US"/>
        </w:rPr>
        <w:t xml:space="preserve">Rivera, D., Allkin, R., Obón, C., Alcaraz, F., Verpoorte, R., &amp; Heinrich, M. (2014). </w:t>
      </w:r>
      <w:r w:rsidRPr="0056258C">
        <w:rPr>
          <w:lang w:val="en-US" w:eastAsia="en-US"/>
        </w:rPr>
        <w:t xml:space="preserve">What is in a name? The need for accurate scientific nomenclature for plants. </w:t>
      </w:r>
      <w:r w:rsidRPr="0056258C">
        <w:rPr>
          <w:i/>
          <w:iCs/>
          <w:lang w:val="en-US" w:eastAsia="en-US"/>
        </w:rPr>
        <w:t>Journal of Ethnopharmacology, 152</w:t>
      </w:r>
      <w:r w:rsidRPr="0056258C">
        <w:rPr>
          <w:lang w:val="en-US" w:eastAsia="en-US"/>
        </w:rPr>
        <w:t xml:space="preserve">(3), 393–402. </w:t>
      </w:r>
      <w:hyperlink r:id="rId61" w:history="1">
        <w:r w:rsidRPr="0056258C">
          <w:rPr>
            <w:color w:val="0000FF"/>
            <w:u w:val="single"/>
            <w:lang w:val="en-US" w:eastAsia="en-US"/>
          </w:rPr>
          <w:t>https://doi.org/10.1016/j.jep.2013.12.022</w:t>
        </w:r>
      </w:hyperlink>
    </w:p>
    <w:p w14:paraId="1F36D1FE"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Small, G. W., Siddarth, P., Li, Z., Miller, K. J., Ercoli, L., Emerson, N. D., Martinez, J., Wong, K. P., Liu, J., Merrill, D. A., Chen, S. T., Henning, S. M., Satyamurthy, N., Huang, S. C., Heber, D., &amp; Barrio, J. R. (2018). Memory and brain amyloid and tau effects of a bioavailable form of curcumin in non-demented adults: A double-blind, placebo-controlled 18-month trial. </w:t>
      </w:r>
      <w:r w:rsidRPr="0056258C">
        <w:rPr>
          <w:i/>
          <w:iCs/>
          <w:lang w:val="en-US" w:eastAsia="en-US"/>
        </w:rPr>
        <w:t>The American Journal of Geriatric Psychiatry, 26</w:t>
      </w:r>
      <w:r w:rsidRPr="0056258C">
        <w:rPr>
          <w:lang w:val="en-US" w:eastAsia="en-US"/>
        </w:rPr>
        <w:t xml:space="preserve">(3), 266–277. </w:t>
      </w:r>
      <w:hyperlink r:id="rId62" w:history="1">
        <w:r w:rsidRPr="0056258C">
          <w:rPr>
            <w:color w:val="0000FF"/>
            <w:u w:val="single"/>
            <w:lang w:val="en-US" w:eastAsia="en-US"/>
          </w:rPr>
          <w:t>https://doi.org/10.1016/j.jagp.2017.10.010</w:t>
        </w:r>
      </w:hyperlink>
    </w:p>
    <w:p w14:paraId="1522BE3D"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lastRenderedPageBreak/>
        <w:t xml:space="preserve">Snitz, B. E., O'Meara, E. S., Carlson, M. C., Arnold, A. M., Ives, D. G., Rapp, S. R., Saxton, J., Lopez, O. L., Dunn, L. O., Sink, K. M., &amp; DeKosky, S. T. (2009). </w:t>
      </w:r>
      <w:r w:rsidRPr="0056258C">
        <w:rPr>
          <w:i/>
          <w:iCs/>
          <w:lang w:val="en-US" w:eastAsia="en-US"/>
        </w:rPr>
        <w:t>Ginkgo biloba</w:t>
      </w:r>
      <w:r w:rsidRPr="0056258C">
        <w:rPr>
          <w:lang w:val="en-US" w:eastAsia="en-US"/>
        </w:rPr>
        <w:t xml:space="preserve"> for preventing cognitive decline in older adults: A randomized trial. </w:t>
      </w:r>
      <w:r w:rsidRPr="0056258C">
        <w:rPr>
          <w:i/>
          <w:iCs/>
          <w:lang w:val="en-US" w:eastAsia="en-US"/>
        </w:rPr>
        <w:t>JAMA, 302</w:t>
      </w:r>
      <w:r w:rsidRPr="0056258C">
        <w:rPr>
          <w:lang w:val="en-US" w:eastAsia="en-US"/>
        </w:rPr>
        <w:t xml:space="preserve">(24), 2663–2670. </w:t>
      </w:r>
      <w:hyperlink r:id="rId63" w:history="1">
        <w:r w:rsidRPr="0056258C">
          <w:rPr>
            <w:color w:val="0000FF"/>
            <w:u w:val="single"/>
            <w:lang w:val="en-US" w:eastAsia="en-US"/>
          </w:rPr>
          <w:t>https://doi.org/10.1001/jama.2009.1913</w:t>
        </w:r>
      </w:hyperlink>
    </w:p>
    <w:p w14:paraId="70E8F024"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Solomon, P. R., Adams, F., Silver, A., Zimmer, J., &amp; DeVeaux, R. (2002). Ginkgo for memory enhancement: A randomized controlled trial. </w:t>
      </w:r>
      <w:r w:rsidRPr="0056258C">
        <w:rPr>
          <w:i/>
          <w:iCs/>
          <w:lang w:val="en-US" w:eastAsia="en-US"/>
        </w:rPr>
        <w:t>JAMA, 288</w:t>
      </w:r>
      <w:r w:rsidRPr="0056258C">
        <w:rPr>
          <w:lang w:val="en-US" w:eastAsia="en-US"/>
        </w:rPr>
        <w:t xml:space="preserve">(7), 835–840. </w:t>
      </w:r>
      <w:hyperlink r:id="rId64" w:history="1">
        <w:r w:rsidRPr="0056258C">
          <w:rPr>
            <w:color w:val="0000FF"/>
            <w:u w:val="single"/>
            <w:lang w:val="en-US" w:eastAsia="en-US"/>
          </w:rPr>
          <w:t>https://doi.org/10.1001/jama.288.7.835</w:t>
        </w:r>
      </w:hyperlink>
    </w:p>
    <w:p w14:paraId="335187F2"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Sukhera, J. (2022). Narrative reviews: Flexible, rigorous, and practical. </w:t>
      </w:r>
      <w:r w:rsidRPr="0056258C">
        <w:rPr>
          <w:i/>
          <w:iCs/>
          <w:lang w:val="en-US" w:eastAsia="en-US"/>
        </w:rPr>
        <w:t>Journal of Graduate Medical Education, 14</w:t>
      </w:r>
      <w:r w:rsidRPr="0056258C">
        <w:rPr>
          <w:lang w:val="en-US" w:eastAsia="en-US"/>
        </w:rPr>
        <w:t xml:space="preserve">(4), 414–417. </w:t>
      </w:r>
      <w:hyperlink r:id="rId65" w:history="1">
        <w:r w:rsidRPr="0056258C">
          <w:rPr>
            <w:color w:val="0000FF"/>
            <w:u w:val="single"/>
            <w:lang w:val="en-US" w:eastAsia="en-US"/>
          </w:rPr>
          <w:t>https://doi.org/10.4300/JGME-D-22-00480.1</w:t>
        </w:r>
      </w:hyperlink>
    </w:p>
    <w:p w14:paraId="59D913EC"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Tandon, N., &amp; Yadav, S. S. (2020). Safety and clinical effectiveness of </w:t>
      </w:r>
      <w:r w:rsidRPr="0056258C">
        <w:rPr>
          <w:i/>
          <w:iCs/>
          <w:lang w:val="en-US" w:eastAsia="en-US"/>
        </w:rPr>
        <w:t>Withania somnifera</w:t>
      </w:r>
      <w:r w:rsidRPr="0056258C">
        <w:rPr>
          <w:lang w:val="en-US" w:eastAsia="en-US"/>
        </w:rPr>
        <w:t xml:space="preserve"> (Linn.) Dunal root in human ailments. </w:t>
      </w:r>
      <w:r w:rsidRPr="0056258C">
        <w:rPr>
          <w:i/>
          <w:iCs/>
          <w:lang w:val="en-US" w:eastAsia="en-US"/>
        </w:rPr>
        <w:t>Journal of Ethnopharmacology, 255</w:t>
      </w:r>
      <w:r w:rsidRPr="0056258C">
        <w:rPr>
          <w:lang w:val="en-US" w:eastAsia="en-US"/>
        </w:rPr>
        <w:t xml:space="preserve">, Article 112768. </w:t>
      </w:r>
      <w:hyperlink r:id="rId66" w:history="1">
        <w:r w:rsidRPr="0056258C">
          <w:rPr>
            <w:color w:val="0000FF"/>
            <w:u w:val="single"/>
            <w:lang w:val="en-US" w:eastAsia="en-US"/>
          </w:rPr>
          <w:t>https://doi.org/10.1016/j.jep.2020.112768</w:t>
        </w:r>
      </w:hyperlink>
    </w:p>
    <w:p w14:paraId="77DE29BC"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Tsolaki, M., Karathanasi, E., Lazarou, I., Dovas, K., Verykouki, E., Karakostas, A., Georgiadis, K., Tsolaki, A., Adam, K., Kompatsiaris, I., &amp; Sinakos, Z. (2016). Efficacy and safety of </w:t>
      </w:r>
      <w:r w:rsidRPr="0056258C">
        <w:rPr>
          <w:i/>
          <w:iCs/>
          <w:lang w:val="en-US" w:eastAsia="en-US"/>
        </w:rPr>
        <w:t>Crocus sativus</w:t>
      </w:r>
      <w:r w:rsidRPr="0056258C">
        <w:rPr>
          <w:lang w:val="en-US" w:eastAsia="en-US"/>
        </w:rPr>
        <w:t xml:space="preserve"> L. in patients with mild cognitive impairment: One year single-blind randomized, with parallel groups, clinical trial. </w:t>
      </w:r>
      <w:r w:rsidRPr="0056258C">
        <w:rPr>
          <w:i/>
          <w:iCs/>
          <w:lang w:val="en-US" w:eastAsia="en-US"/>
        </w:rPr>
        <w:t>Journal of Alzheimer's Disease, 54</w:t>
      </w:r>
      <w:r w:rsidRPr="0056258C">
        <w:rPr>
          <w:lang w:val="en-US" w:eastAsia="en-US"/>
        </w:rPr>
        <w:t xml:space="preserve">(1), 129–133. </w:t>
      </w:r>
      <w:hyperlink r:id="rId67" w:history="1">
        <w:r w:rsidRPr="0056258C">
          <w:rPr>
            <w:color w:val="0000FF"/>
            <w:u w:val="single"/>
            <w:lang w:val="en-US" w:eastAsia="en-US"/>
          </w:rPr>
          <w:t>https://doi.org/10.3233/JAD-160304</w:t>
        </w:r>
      </w:hyperlink>
    </w:p>
    <w:p w14:paraId="20F40BCF"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Vellas, B., Coley, N., Ousset, P. J., Berrut, G., Dartigues, J. F., Dubois, B., Grandjean, H., Pasquier, F., Piette, F., Robert, P., Touchon, J., Garnier, P., Mathiex-Fortunet, H., &amp; Andrieu, S. (2012). Long-term use of standardised </w:t>
      </w:r>
      <w:r w:rsidRPr="0056258C">
        <w:rPr>
          <w:i/>
          <w:iCs/>
          <w:lang w:val="en-US" w:eastAsia="en-US"/>
        </w:rPr>
        <w:t>Ginkgo biloba</w:t>
      </w:r>
      <w:r w:rsidRPr="0056258C">
        <w:rPr>
          <w:lang w:val="en-US" w:eastAsia="en-US"/>
        </w:rPr>
        <w:t xml:space="preserve"> extract for the prevention of Alzheimer's disease (GuidAge): A randomised placebo-controlled trial. </w:t>
      </w:r>
      <w:r w:rsidRPr="0056258C">
        <w:rPr>
          <w:i/>
          <w:iCs/>
          <w:lang w:val="en-US" w:eastAsia="en-US"/>
        </w:rPr>
        <w:t>The Lancet Neurology, 11</w:t>
      </w:r>
      <w:r w:rsidRPr="0056258C">
        <w:rPr>
          <w:lang w:val="en-US" w:eastAsia="en-US"/>
        </w:rPr>
        <w:t xml:space="preserve">(10), 851–859. </w:t>
      </w:r>
      <w:hyperlink r:id="rId68" w:history="1">
        <w:r w:rsidRPr="0056258C">
          <w:rPr>
            <w:color w:val="0000FF"/>
            <w:u w:val="single"/>
            <w:lang w:val="en-US" w:eastAsia="en-US"/>
          </w:rPr>
          <w:t>https://doi.org/10.1016/S1474-4422(12)70206-5</w:t>
        </w:r>
      </w:hyperlink>
    </w:p>
    <w:p w14:paraId="4D75B713"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Vickers, A., Goyal, N., Harland, R., &amp; Rees, R. (1998). Do certain countries produce only positive results? A systematic review of controlled trials. </w:t>
      </w:r>
      <w:r w:rsidRPr="0056258C">
        <w:rPr>
          <w:i/>
          <w:iCs/>
          <w:lang w:val="en-US" w:eastAsia="en-US"/>
        </w:rPr>
        <w:t>Controlled Clinical Trials, 19</w:t>
      </w:r>
      <w:r w:rsidRPr="0056258C">
        <w:rPr>
          <w:lang w:val="en-US" w:eastAsia="en-US"/>
        </w:rPr>
        <w:t xml:space="preserve">(2), 159–166. </w:t>
      </w:r>
      <w:hyperlink r:id="rId69" w:history="1">
        <w:r w:rsidRPr="0056258C">
          <w:rPr>
            <w:color w:val="0000FF"/>
            <w:u w:val="single"/>
            <w:lang w:val="en-US" w:eastAsia="en-US"/>
          </w:rPr>
          <w:t>https://doi.org/10.1016/S0197-2456(97)00150-5</w:t>
        </w:r>
      </w:hyperlink>
    </w:p>
    <w:p w14:paraId="37FD3A8E"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nl-BE" w:eastAsia="en-US"/>
        </w:rPr>
        <w:t xml:space="preserve">Wang, Z.-Y., Deng, Y.-L., Zhou, T.-Y., Liu, Y., &amp; Cao, Y. (2025). </w:t>
      </w:r>
      <w:r w:rsidRPr="0056258C">
        <w:rPr>
          <w:lang w:val="en-US" w:eastAsia="en-US"/>
        </w:rPr>
        <w:t xml:space="preserve">Effects of natural extracts in cognitive function of healthy adults: A systematic review and network meta-analysis. </w:t>
      </w:r>
      <w:r w:rsidRPr="0056258C">
        <w:rPr>
          <w:i/>
          <w:iCs/>
          <w:lang w:val="en-US" w:eastAsia="en-US"/>
        </w:rPr>
        <w:t>Frontiers in Pharmacology, 16</w:t>
      </w:r>
      <w:r w:rsidRPr="0056258C">
        <w:rPr>
          <w:lang w:val="en-US" w:eastAsia="en-US"/>
        </w:rPr>
        <w:t xml:space="preserve">, Article 1573034. </w:t>
      </w:r>
      <w:hyperlink r:id="rId70" w:history="1">
        <w:r w:rsidRPr="0056258C">
          <w:rPr>
            <w:color w:val="0000FF"/>
            <w:u w:val="single"/>
            <w:lang w:val="en-US" w:eastAsia="en-US"/>
          </w:rPr>
          <w:t>https://doi.org/10.3389/fphar.2025.1573034</w:t>
        </w:r>
      </w:hyperlink>
    </w:p>
    <w:p w14:paraId="08BC2D96"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Wattanathorn, J., Mator, L., Muchimapura, S., Tongun, T., Pasuriwong, O., Piyawatkul, N., Yimtae, K., Sripanidkulchai, B., &amp; Singkhoraard, J. (2008). Positive modulation of cognition and mood in the healthy elderly volunteer following the administration of </w:t>
      </w:r>
      <w:r w:rsidRPr="0056258C">
        <w:rPr>
          <w:i/>
          <w:iCs/>
          <w:lang w:val="en-US" w:eastAsia="en-US"/>
        </w:rPr>
        <w:t>Centella asiatica</w:t>
      </w:r>
      <w:r w:rsidRPr="0056258C">
        <w:rPr>
          <w:lang w:val="en-US" w:eastAsia="en-US"/>
        </w:rPr>
        <w:t xml:space="preserve">. </w:t>
      </w:r>
      <w:r w:rsidRPr="0056258C">
        <w:rPr>
          <w:i/>
          <w:iCs/>
          <w:lang w:val="en-US" w:eastAsia="en-US"/>
        </w:rPr>
        <w:t>Journal of Ethnopharmacology, 116</w:t>
      </w:r>
      <w:r w:rsidRPr="0056258C">
        <w:rPr>
          <w:lang w:val="en-US" w:eastAsia="en-US"/>
        </w:rPr>
        <w:t xml:space="preserve">(2), 325–332. </w:t>
      </w:r>
      <w:hyperlink r:id="rId71" w:history="1">
        <w:r w:rsidRPr="0056258C">
          <w:rPr>
            <w:color w:val="0000FF"/>
            <w:u w:val="single"/>
            <w:lang w:val="en-US" w:eastAsia="en-US"/>
          </w:rPr>
          <w:t>https://doi.org/10.1016/j.jep.2007.11.038</w:t>
        </w:r>
      </w:hyperlink>
    </w:p>
    <w:p w14:paraId="362D785C"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nl-BE" w:eastAsia="en-US"/>
        </w:rPr>
        <w:t xml:space="preserve">Wieland, L. S., Ludeman, E., Chi, Y., Feinberg, T. M., Chen, I. H., Chen, K. H., Zhu, Y., Wolverson, E., &amp; Amri, H. (2026). </w:t>
      </w:r>
      <w:r w:rsidRPr="0056258C">
        <w:rPr>
          <w:i/>
          <w:iCs/>
          <w:lang w:val="en-US" w:eastAsia="en-US"/>
        </w:rPr>
        <w:t>Ginkgo biloba</w:t>
      </w:r>
      <w:r w:rsidRPr="0056258C">
        <w:rPr>
          <w:lang w:val="en-US" w:eastAsia="en-US"/>
        </w:rPr>
        <w:t xml:space="preserve"> for cognitive impairment and dementia. </w:t>
      </w:r>
      <w:r w:rsidRPr="0056258C">
        <w:rPr>
          <w:i/>
          <w:iCs/>
          <w:lang w:val="en-US" w:eastAsia="en-US"/>
        </w:rPr>
        <w:t>Cochrane Database of Systematic Reviews, 2026</w:t>
      </w:r>
      <w:r w:rsidRPr="0056258C">
        <w:rPr>
          <w:lang w:val="en-US" w:eastAsia="en-US"/>
        </w:rPr>
        <w:t xml:space="preserve">(2), Article CD013661. </w:t>
      </w:r>
      <w:hyperlink r:id="rId72" w:history="1">
        <w:r w:rsidRPr="0056258C">
          <w:rPr>
            <w:color w:val="0000FF"/>
            <w:u w:val="single"/>
            <w:lang w:val="en-US" w:eastAsia="en-US"/>
          </w:rPr>
          <w:t>https://doi.org/10.1002/14651858.CD013661.pub2</w:t>
        </w:r>
      </w:hyperlink>
    </w:p>
    <w:p w14:paraId="096F22FD"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Wightman, E. L., Jackson, P. A., Spittlehouse, B., Heffernan, T., Guillemet, D., &amp; Kennedy, D. O. (2021). The acute and chronic cognitive effects of a sage extract: A randomized, </w:t>
      </w:r>
      <w:r w:rsidRPr="0056258C">
        <w:rPr>
          <w:lang w:val="en-US" w:eastAsia="en-US"/>
        </w:rPr>
        <w:lastRenderedPageBreak/>
        <w:t xml:space="preserve">placebo controlled study in healthy humans. </w:t>
      </w:r>
      <w:r w:rsidRPr="0056258C">
        <w:rPr>
          <w:i/>
          <w:iCs/>
          <w:lang w:val="en-US" w:eastAsia="en-US"/>
        </w:rPr>
        <w:t>Nutrients, 13</w:t>
      </w:r>
      <w:r w:rsidRPr="0056258C">
        <w:rPr>
          <w:lang w:val="en-US" w:eastAsia="en-US"/>
        </w:rPr>
        <w:t xml:space="preserve">(1), Article 218. </w:t>
      </w:r>
      <w:hyperlink r:id="rId73" w:history="1">
        <w:r w:rsidRPr="0056258C">
          <w:rPr>
            <w:color w:val="0000FF"/>
            <w:u w:val="single"/>
            <w:lang w:val="en-US" w:eastAsia="en-US"/>
          </w:rPr>
          <w:t>https://doi.org/10.3390/nu13010218</w:t>
        </w:r>
      </w:hyperlink>
    </w:p>
    <w:p w14:paraId="079DF4EB"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World Health Organization. (2019a). </w:t>
      </w:r>
      <w:r w:rsidRPr="0056258C">
        <w:rPr>
          <w:i/>
          <w:iCs/>
          <w:lang w:val="en-US" w:eastAsia="en-US"/>
        </w:rPr>
        <w:t>Risk reduction of cognitive decline and dementia: WHO guidelines</w:t>
      </w:r>
      <w:r w:rsidRPr="0056258C">
        <w:rPr>
          <w:lang w:val="en-US" w:eastAsia="en-US"/>
        </w:rPr>
        <w:t xml:space="preserve">. </w:t>
      </w:r>
      <w:hyperlink r:id="rId74" w:history="1">
        <w:r w:rsidRPr="0056258C">
          <w:rPr>
            <w:color w:val="0000FF"/>
            <w:u w:val="single"/>
            <w:lang w:val="en-US" w:eastAsia="en-US"/>
          </w:rPr>
          <w:t>https://iris.who.int/handle/10665/312180</w:t>
        </w:r>
      </w:hyperlink>
    </w:p>
    <w:p w14:paraId="51C986E7"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World Health Organization. (2019b). </w:t>
      </w:r>
      <w:r w:rsidRPr="0056258C">
        <w:rPr>
          <w:i/>
          <w:iCs/>
          <w:lang w:val="en-US" w:eastAsia="en-US"/>
        </w:rPr>
        <w:t>WHO global report on traditional and complementary medicine 2019</w:t>
      </w:r>
      <w:r w:rsidRPr="0056258C">
        <w:rPr>
          <w:lang w:val="en-US" w:eastAsia="en-US"/>
        </w:rPr>
        <w:t xml:space="preserve">. </w:t>
      </w:r>
      <w:hyperlink r:id="rId75" w:history="1">
        <w:r w:rsidRPr="0056258C">
          <w:rPr>
            <w:color w:val="0000FF"/>
            <w:u w:val="single"/>
            <w:lang w:val="en-US" w:eastAsia="en-US"/>
          </w:rPr>
          <w:t>https://iris.who.int/handle/10665/312342</w:t>
        </w:r>
      </w:hyperlink>
    </w:p>
    <w:p w14:paraId="3B493A37"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Wright, K. M., Bollen, M., David, J., Speers, A. B., Brandes, M. S., Gray, N. E., Alcázar Magaña, A., McClure, C., Stevens, J. F., Maier, C. S., Quinn, J. F., &amp; Soumyanath, A. (2022). Pharmacokinetics and pharmacodynamics of key components of a standardized </w:t>
      </w:r>
      <w:r w:rsidRPr="0056258C">
        <w:rPr>
          <w:i/>
          <w:iCs/>
          <w:lang w:val="en-US" w:eastAsia="en-US"/>
        </w:rPr>
        <w:t>Centella asiatica</w:t>
      </w:r>
      <w:r w:rsidRPr="0056258C">
        <w:rPr>
          <w:lang w:val="en-US" w:eastAsia="en-US"/>
        </w:rPr>
        <w:t xml:space="preserve"> product in cognitively impaired older adults: A phase 1, double-blind, randomized clinical trial. </w:t>
      </w:r>
      <w:r w:rsidRPr="0056258C">
        <w:rPr>
          <w:i/>
          <w:iCs/>
          <w:lang w:val="en-US" w:eastAsia="en-US"/>
        </w:rPr>
        <w:t>Antioxidants, 11</w:t>
      </w:r>
      <w:r w:rsidRPr="0056258C">
        <w:rPr>
          <w:lang w:val="en-US" w:eastAsia="en-US"/>
        </w:rPr>
        <w:t xml:space="preserve">(2), Article 215. </w:t>
      </w:r>
      <w:hyperlink r:id="rId76" w:history="1">
        <w:r w:rsidRPr="0056258C">
          <w:rPr>
            <w:color w:val="0000FF"/>
            <w:u w:val="single"/>
            <w:lang w:val="en-US" w:eastAsia="en-US"/>
          </w:rPr>
          <w:t>https://doi.org/10.3390/antiox11020215</w:t>
        </w:r>
      </w:hyperlink>
    </w:p>
    <w:p w14:paraId="034B11D9"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en-US" w:eastAsia="en-US"/>
        </w:rPr>
        <w:t xml:space="preserve">Yang, G., Wang, Y., Tian, J., &amp; Liu, J. P. (2013). Huperzine A for Alzheimer's disease: A systematic review and meta-analysis of randomized clinical trials. </w:t>
      </w:r>
      <w:r w:rsidRPr="0056258C">
        <w:rPr>
          <w:i/>
          <w:iCs/>
          <w:lang w:val="en-US" w:eastAsia="en-US"/>
        </w:rPr>
        <w:t>PLOS ONE, 8</w:t>
      </w:r>
      <w:r w:rsidRPr="0056258C">
        <w:rPr>
          <w:lang w:val="en-US" w:eastAsia="en-US"/>
        </w:rPr>
        <w:t xml:space="preserve">(9), Article e74916. </w:t>
      </w:r>
      <w:hyperlink r:id="rId77" w:history="1">
        <w:r w:rsidRPr="0056258C">
          <w:rPr>
            <w:color w:val="0000FF"/>
            <w:u w:val="single"/>
            <w:lang w:val="en-US" w:eastAsia="en-US"/>
          </w:rPr>
          <w:t>https://doi.org/10.1371/journal.pone.0074916</w:t>
        </w:r>
      </w:hyperlink>
    </w:p>
    <w:p w14:paraId="71F85858" w14:textId="77777777" w:rsidR="0056258C" w:rsidRPr="0056258C" w:rsidRDefault="0056258C" w:rsidP="0056258C">
      <w:pPr>
        <w:spacing w:before="100" w:beforeAutospacing="1" w:after="100" w:afterAutospacing="1"/>
        <w:ind w:left="540" w:hanging="540"/>
        <w:jc w:val="both"/>
        <w:rPr>
          <w:lang w:val="en-US" w:eastAsia="en-US"/>
        </w:rPr>
      </w:pPr>
      <w:r w:rsidRPr="0056258C">
        <w:rPr>
          <w:lang w:val="nl-BE" w:eastAsia="en-US"/>
        </w:rPr>
        <w:t xml:space="preserve">Zeng, M., Zhang, K., Yang, J., Zhang, Y., You, P., Yan, L., &amp; Weng, Y. (2024). </w:t>
      </w:r>
      <w:r w:rsidRPr="0056258C">
        <w:rPr>
          <w:lang w:val="en-US" w:eastAsia="en-US"/>
        </w:rPr>
        <w:t xml:space="preserve">Effects of ginseng on cognitive function: A systematic review and meta-analysis. </w:t>
      </w:r>
      <w:r w:rsidRPr="0056258C">
        <w:rPr>
          <w:i/>
          <w:iCs/>
          <w:lang w:val="en-US" w:eastAsia="en-US"/>
        </w:rPr>
        <w:t>Phytotherapy Research, 38</w:t>
      </w:r>
      <w:r w:rsidRPr="0056258C">
        <w:rPr>
          <w:lang w:val="en-US" w:eastAsia="en-US"/>
        </w:rPr>
        <w:t xml:space="preserve">(12), 6023–6034. </w:t>
      </w:r>
      <w:hyperlink r:id="rId78" w:history="1">
        <w:r w:rsidRPr="0056258C">
          <w:rPr>
            <w:color w:val="0000FF"/>
            <w:u w:val="single"/>
            <w:lang w:val="en-US" w:eastAsia="en-US"/>
          </w:rPr>
          <w:t>https://doi.org/10.1002/ptr.8359</w:t>
        </w:r>
      </w:hyperlink>
    </w:p>
    <w:p w14:paraId="72240E84" w14:textId="24A40B0C" w:rsidR="001B357C" w:rsidRDefault="001B357C" w:rsidP="0056258C">
      <w:pPr>
        <w:spacing w:after="120" w:line="300" w:lineRule="auto"/>
        <w:ind w:left="720" w:hanging="720"/>
      </w:pPr>
    </w:p>
    <w:sectPr w:rsidR="001B357C">
      <w:headerReference w:type="even" r:id="rId79"/>
      <w:headerReference w:type="default" r:id="rId80"/>
      <w:footerReference w:type="even" r:id="rId81"/>
      <w:footerReference w:type="default" r:id="rId82"/>
      <w:headerReference w:type="first" r:id="rId83"/>
      <w:footerReference w:type="first" r:id="rId8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02E0E" w14:textId="77777777" w:rsidR="0043113C" w:rsidRDefault="0043113C">
      <w:r>
        <w:separator/>
      </w:r>
    </w:p>
  </w:endnote>
  <w:endnote w:type="continuationSeparator" w:id="0">
    <w:p w14:paraId="7CD7EFEE" w14:textId="77777777" w:rsidR="0043113C" w:rsidRDefault="00431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1DA24" w14:textId="77777777" w:rsidR="00461B2D" w:rsidRDefault="00461B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AC371" w14:textId="77777777" w:rsidR="001B357C" w:rsidRDefault="00000000">
    <w:pPr>
      <w:jc w:val="center"/>
    </w:pPr>
    <w:r>
      <w:rPr>
        <w:sz w:val="20"/>
        <w:szCs w:val="20"/>
      </w:rPr>
      <w:fldChar w:fldCharType="begin"/>
    </w:r>
    <w:r>
      <w:rPr>
        <w:sz w:val="20"/>
        <w:szCs w:val="20"/>
      </w:rPr>
      <w:instrText>PAGE</w:instrText>
    </w:r>
    <w:r>
      <w:rPr>
        <w:sz w:val="20"/>
        <w:szCs w:val="20"/>
      </w:rPr>
      <w:fldChar w:fldCharType="separate"/>
    </w:r>
    <w:r w:rsidR="002B6569">
      <w:rPr>
        <w:noProof/>
        <w:sz w:val="20"/>
        <w:szCs w:val="20"/>
      </w:rPr>
      <w:t>1</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2B7F0" w14:textId="77777777" w:rsidR="00461B2D" w:rsidRDefault="00461B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66FB9" w14:textId="77777777" w:rsidR="0043113C" w:rsidRDefault="0043113C">
      <w:r>
        <w:separator/>
      </w:r>
    </w:p>
  </w:footnote>
  <w:footnote w:type="continuationSeparator" w:id="0">
    <w:p w14:paraId="1DC45DC0" w14:textId="77777777" w:rsidR="0043113C" w:rsidRDefault="00431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BB973" w14:textId="77777777" w:rsidR="00461B2D" w:rsidRDefault="00000000">
    <w:pPr>
      <w:pStyle w:val="Header"/>
    </w:pPr>
    <w:r>
      <w:rPr>
        <w:noProof/>
      </w:rPr>
      <w:pict w14:anchorId="61F06A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8610"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423DC" w14:textId="77777777" w:rsidR="00461B2D" w:rsidRDefault="00000000">
    <w:pPr>
      <w:pStyle w:val="Header"/>
    </w:pPr>
    <w:r>
      <w:rPr>
        <w:noProof/>
      </w:rPr>
      <w:pict w14:anchorId="5C42DC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8611"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25A0D" w14:textId="77777777" w:rsidR="00461B2D" w:rsidRDefault="00000000">
    <w:pPr>
      <w:pStyle w:val="Header"/>
    </w:pPr>
    <w:r>
      <w:rPr>
        <w:noProof/>
      </w:rPr>
      <w:pict w14:anchorId="6C4E23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8609"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0BD1"/>
    <w:multiLevelType w:val="hybridMultilevel"/>
    <w:tmpl w:val="158ACF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C77D3E"/>
    <w:multiLevelType w:val="multilevel"/>
    <w:tmpl w:val="04C0B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4224EB"/>
    <w:multiLevelType w:val="multilevel"/>
    <w:tmpl w:val="1C6810D2"/>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F50B20"/>
    <w:multiLevelType w:val="hybridMultilevel"/>
    <w:tmpl w:val="233E8604"/>
    <w:lvl w:ilvl="0" w:tplc="C9CE710C">
      <w:start w:val="1"/>
      <w:numFmt w:val="bullet"/>
      <w:lvlText w:val="●"/>
      <w:lvlJc w:val="left"/>
      <w:pPr>
        <w:ind w:left="720" w:hanging="360"/>
      </w:pPr>
    </w:lvl>
    <w:lvl w:ilvl="1" w:tplc="577EEDEA">
      <w:start w:val="1"/>
      <w:numFmt w:val="bullet"/>
      <w:lvlText w:val="○"/>
      <w:lvlJc w:val="left"/>
      <w:pPr>
        <w:ind w:left="1440" w:hanging="360"/>
      </w:pPr>
    </w:lvl>
    <w:lvl w:ilvl="2" w:tplc="C846BF1A">
      <w:start w:val="1"/>
      <w:numFmt w:val="bullet"/>
      <w:lvlText w:val="■"/>
      <w:lvlJc w:val="left"/>
      <w:pPr>
        <w:ind w:left="2160" w:hanging="360"/>
      </w:pPr>
    </w:lvl>
    <w:lvl w:ilvl="3" w:tplc="D8E21404">
      <w:start w:val="1"/>
      <w:numFmt w:val="bullet"/>
      <w:lvlText w:val="●"/>
      <w:lvlJc w:val="left"/>
      <w:pPr>
        <w:ind w:left="2880" w:hanging="360"/>
      </w:pPr>
    </w:lvl>
    <w:lvl w:ilvl="4" w:tplc="39D2A0BC">
      <w:start w:val="1"/>
      <w:numFmt w:val="bullet"/>
      <w:lvlText w:val="○"/>
      <w:lvlJc w:val="left"/>
      <w:pPr>
        <w:ind w:left="3600" w:hanging="360"/>
      </w:pPr>
    </w:lvl>
    <w:lvl w:ilvl="5" w:tplc="F9E68530">
      <w:start w:val="1"/>
      <w:numFmt w:val="bullet"/>
      <w:lvlText w:val="■"/>
      <w:lvlJc w:val="left"/>
      <w:pPr>
        <w:ind w:left="4320" w:hanging="360"/>
      </w:pPr>
    </w:lvl>
    <w:lvl w:ilvl="6" w:tplc="E46A3934">
      <w:start w:val="1"/>
      <w:numFmt w:val="bullet"/>
      <w:lvlText w:val="●"/>
      <w:lvlJc w:val="left"/>
      <w:pPr>
        <w:ind w:left="5040" w:hanging="360"/>
      </w:pPr>
    </w:lvl>
    <w:lvl w:ilvl="7" w:tplc="120E269E">
      <w:start w:val="1"/>
      <w:numFmt w:val="bullet"/>
      <w:lvlText w:val="●"/>
      <w:lvlJc w:val="left"/>
      <w:pPr>
        <w:ind w:left="5760" w:hanging="360"/>
      </w:pPr>
    </w:lvl>
    <w:lvl w:ilvl="8" w:tplc="EA6E3028">
      <w:start w:val="1"/>
      <w:numFmt w:val="bullet"/>
      <w:lvlText w:val="●"/>
      <w:lvlJc w:val="left"/>
      <w:pPr>
        <w:ind w:left="6480" w:hanging="360"/>
      </w:pPr>
    </w:lvl>
  </w:abstractNum>
  <w:num w:numId="1" w16cid:durableId="143594445">
    <w:abstractNumId w:val="3"/>
    <w:lvlOverride w:ilvl="0">
      <w:startOverride w:val="1"/>
    </w:lvlOverride>
  </w:num>
  <w:num w:numId="2" w16cid:durableId="196891504">
    <w:abstractNumId w:val="1"/>
  </w:num>
  <w:num w:numId="3" w16cid:durableId="1552880458">
    <w:abstractNumId w:val="2"/>
  </w:num>
  <w:num w:numId="4" w16cid:durableId="132986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SwtDQ3tDA3MrQwtDBQ0lEKTi0uzszPAykwrAUAxNFOOCwAAAA="/>
  </w:docVars>
  <w:rsids>
    <w:rsidRoot w:val="001B357C"/>
    <w:rsid w:val="000D3B7D"/>
    <w:rsid w:val="001B357C"/>
    <w:rsid w:val="00200AF1"/>
    <w:rsid w:val="00290229"/>
    <w:rsid w:val="002B6569"/>
    <w:rsid w:val="0043113C"/>
    <w:rsid w:val="00461B2D"/>
    <w:rsid w:val="00543D92"/>
    <w:rsid w:val="0056258C"/>
    <w:rsid w:val="005952B4"/>
    <w:rsid w:val="0060165E"/>
    <w:rsid w:val="00804953"/>
    <w:rsid w:val="009D6A43"/>
    <w:rsid w:val="00A949FC"/>
    <w:rsid w:val="00D04A7D"/>
    <w:rsid w:val="00D544A9"/>
    <w:rsid w:val="00E13F58"/>
    <w:rsid w:val="00F519AA"/>
    <w:rsid w:val="00F642E1"/>
    <w:rsid w:val="00F959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AB318"/>
  <w15:docId w15:val="{497F4E97-21CB-43D4-BA16-132698C46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61B2D"/>
    <w:pPr>
      <w:tabs>
        <w:tab w:val="center" w:pos="4513"/>
        <w:tab w:val="right" w:pos="9026"/>
      </w:tabs>
    </w:pPr>
  </w:style>
  <w:style w:type="character" w:customStyle="1" w:styleId="HeaderChar">
    <w:name w:val="Header Char"/>
    <w:basedOn w:val="DefaultParagraphFont"/>
    <w:link w:val="Header"/>
    <w:uiPriority w:val="99"/>
    <w:rsid w:val="00461B2D"/>
  </w:style>
  <w:style w:type="paragraph" w:styleId="Footer">
    <w:name w:val="footer"/>
    <w:basedOn w:val="Normal"/>
    <w:link w:val="FooterChar"/>
    <w:uiPriority w:val="99"/>
    <w:unhideWhenUsed/>
    <w:rsid w:val="00461B2D"/>
    <w:pPr>
      <w:tabs>
        <w:tab w:val="center" w:pos="4513"/>
        <w:tab w:val="right" w:pos="9026"/>
      </w:tabs>
    </w:pPr>
  </w:style>
  <w:style w:type="character" w:customStyle="1" w:styleId="FooterChar">
    <w:name w:val="Footer Char"/>
    <w:basedOn w:val="DefaultParagraphFont"/>
    <w:link w:val="Footer"/>
    <w:uiPriority w:val="99"/>
    <w:rsid w:val="00461B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3389/fphar.2025.1672171" TargetMode="External"/><Relationship Id="rId21" Type="http://schemas.openxmlformats.org/officeDocument/2006/relationships/hyperlink" Target="https://doi.org/10.3390/nu12061678" TargetMode="External"/><Relationship Id="rId42" Type="http://schemas.openxmlformats.org/officeDocument/2006/relationships/hyperlink" Target="https://doi.org/10.2174/138161206779010387" TargetMode="External"/><Relationship Id="rId47" Type="http://schemas.openxmlformats.org/officeDocument/2006/relationships/hyperlink" Target="https://doi.org/10.1002/pca.70000" TargetMode="External"/><Relationship Id="rId63" Type="http://schemas.openxmlformats.org/officeDocument/2006/relationships/hyperlink" Target="https://doi.org/10.1001/jama.2009.1913" TargetMode="External"/><Relationship Id="rId68" Type="http://schemas.openxmlformats.org/officeDocument/2006/relationships/hyperlink" Target="https://doi.org/10.1016/S1474-4422(12)70206-5" TargetMode="External"/><Relationship Id="rId84" Type="http://schemas.openxmlformats.org/officeDocument/2006/relationships/footer" Target="footer3.xml"/><Relationship Id="rId16" Type="http://schemas.openxmlformats.org/officeDocument/2006/relationships/hyperlink" Target="https://doi.org/10.1111/nure.12120" TargetMode="External"/><Relationship Id="rId11" Type="http://schemas.openxmlformats.org/officeDocument/2006/relationships/hyperlink" Target="https://doi.org/10.1186/s41073-019-0064-8" TargetMode="External"/><Relationship Id="rId32" Type="http://schemas.openxmlformats.org/officeDocument/2006/relationships/hyperlink" Target="https://doi.org/10.1111/eci.12931" TargetMode="External"/><Relationship Id="rId37" Type="http://schemas.openxmlformats.org/officeDocument/2006/relationships/hyperlink" Target="https://doi.org/10.1002/ppp3.10138" TargetMode="External"/><Relationship Id="rId53" Type="http://schemas.openxmlformats.org/officeDocument/2006/relationships/hyperlink" Target="https://doi.org/10.1089/acm.2009.0342" TargetMode="External"/><Relationship Id="rId58" Type="http://schemas.openxmlformats.org/officeDocument/2006/relationships/hyperlink" Target="https://doi.org/10.1177/02698811251324377" TargetMode="External"/><Relationship Id="rId74" Type="http://schemas.openxmlformats.org/officeDocument/2006/relationships/hyperlink" Target="https://iris.who.int/handle/10665/312180" TargetMode="External"/><Relationship Id="rId79" Type="http://schemas.openxmlformats.org/officeDocument/2006/relationships/header" Target="header1.xml"/><Relationship Id="rId5" Type="http://schemas.openxmlformats.org/officeDocument/2006/relationships/footnotes" Target="footnotes.xml"/><Relationship Id="rId19" Type="http://schemas.openxmlformats.org/officeDocument/2006/relationships/hyperlink" Target="https://doi.org/10.1212/CPJ.0000000000000960" TargetMode="External"/><Relationship Id="rId14" Type="http://schemas.openxmlformats.org/officeDocument/2006/relationships/hyperlink" Target="https://doi.org/10.3390/foods14183275" TargetMode="External"/><Relationship Id="rId22" Type="http://schemas.openxmlformats.org/officeDocument/2006/relationships/hyperlink" Target="https://doi.org/10.1016/S0944-7113(00)80055-0" TargetMode="External"/><Relationship Id="rId27" Type="http://schemas.openxmlformats.org/officeDocument/2006/relationships/hyperlink" Target="https://doi.org/10.1179/2047480615Z.000000000329" TargetMode="External"/><Relationship Id="rId30" Type="http://schemas.openxmlformats.org/officeDocument/2006/relationships/hyperlink" Target="https://doi.org/10.1002/14651858.CD007769.pub2" TargetMode="External"/><Relationship Id="rId35" Type="http://schemas.openxmlformats.org/officeDocument/2006/relationships/hyperlink" Target="https://doi.org/10.3389/fphar.2022.953205" TargetMode="External"/><Relationship Id="rId43" Type="http://schemas.openxmlformats.org/officeDocument/2006/relationships/hyperlink" Target="https://doi.org/10.3945/an.110.000117" TargetMode="External"/><Relationship Id="rId48" Type="http://schemas.openxmlformats.org/officeDocument/2006/relationships/hyperlink" Target="https://doi.org/10.3389/fphar.2024.1341074" TargetMode="External"/><Relationship Id="rId56" Type="http://schemas.openxmlformats.org/officeDocument/2006/relationships/hyperlink" Target="https://doi.org/10.1016/S0140-6736(15)60461-5" TargetMode="External"/><Relationship Id="rId64" Type="http://schemas.openxmlformats.org/officeDocument/2006/relationships/hyperlink" Target="https://doi.org/10.1001/jama.288.7.835" TargetMode="External"/><Relationship Id="rId69" Type="http://schemas.openxmlformats.org/officeDocument/2006/relationships/hyperlink" Target="https://doi.org/10.1016/S0197-2456(97)00150-5" TargetMode="External"/><Relationship Id="rId77" Type="http://schemas.openxmlformats.org/officeDocument/2006/relationships/hyperlink" Target="https://doi.org/10.1371/journal.pone.0074916" TargetMode="External"/><Relationship Id="rId8" Type="http://schemas.openxmlformats.org/officeDocument/2006/relationships/hyperlink" Target="https://doi.org/10.1007/s00213-009-1706-1" TargetMode="External"/><Relationship Id="rId51" Type="http://schemas.openxmlformats.org/officeDocument/2006/relationships/hyperlink" Target="https://doi.org/10.1016/j.phymed.2017.07.008" TargetMode="External"/><Relationship Id="rId72" Type="http://schemas.openxmlformats.org/officeDocument/2006/relationships/hyperlink" Target="https://doi.org/10.1002/14651858.CD013661.pub2" TargetMode="External"/><Relationship Id="rId80" Type="http://schemas.openxmlformats.org/officeDocument/2006/relationships/header" Target="header2.xm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doi.org/10.1016/j.phymed.2025.157031" TargetMode="External"/><Relationship Id="rId17" Type="http://schemas.openxmlformats.org/officeDocument/2006/relationships/hyperlink" Target="https://doi.org/10.1186/s13643-023-02301-6" TargetMode="External"/><Relationship Id="rId25" Type="http://schemas.openxmlformats.org/officeDocument/2006/relationships/hyperlink" Target="https://doi.org/10.1002/hup.2412" TargetMode="External"/><Relationship Id="rId33" Type="http://schemas.openxmlformats.org/officeDocument/2006/relationships/hyperlink" Target="https://doi.org/10.1002/ptr.8110" TargetMode="External"/><Relationship Id="rId38" Type="http://schemas.openxmlformats.org/officeDocument/2006/relationships/hyperlink" Target="https://doi.org/10.1016/j.phymed.2010.08.014" TargetMode="External"/><Relationship Id="rId46" Type="http://schemas.openxmlformats.org/officeDocument/2006/relationships/hyperlink" Target="https://doi.org/10.1002/14651858.CD005592.pub2" TargetMode="External"/><Relationship Id="rId59" Type="http://schemas.openxmlformats.org/officeDocument/2006/relationships/hyperlink" Target="https://doi.org/10.1080/15622975.2024.2446830" TargetMode="External"/><Relationship Id="rId67" Type="http://schemas.openxmlformats.org/officeDocument/2006/relationships/hyperlink" Target="https://doi.org/10.3233/JAD-160304" TargetMode="External"/><Relationship Id="rId20" Type="http://schemas.openxmlformats.org/officeDocument/2006/relationships/hyperlink" Target="https://doi.org/10.1177/0269881114552744" TargetMode="External"/><Relationship Id="rId41" Type="http://schemas.openxmlformats.org/officeDocument/2006/relationships/hyperlink" Target="https://doi.org/10.1177/0269881110385594" TargetMode="External"/><Relationship Id="rId54" Type="http://schemas.openxmlformats.org/officeDocument/2006/relationships/hyperlink" Target="https://doi.org/10.1021/acs.jmedchem.6b00975" TargetMode="External"/><Relationship Id="rId62" Type="http://schemas.openxmlformats.org/officeDocument/2006/relationships/hyperlink" Target="https://doi.org/10.1016/j.jagp.2017.10.010" TargetMode="External"/><Relationship Id="rId70" Type="http://schemas.openxmlformats.org/officeDocument/2006/relationships/hyperlink" Target="https://doi.org/10.3389/fphar.2025.1573034" TargetMode="External"/><Relationship Id="rId75" Type="http://schemas.openxmlformats.org/officeDocument/2006/relationships/hyperlink" Target="https://iris.who.int/handle/10665/312342" TargetMode="External"/><Relationship Id="rId83"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02/14651858.CD001190.pub3" TargetMode="External"/><Relationship Id="rId23" Type="http://schemas.openxmlformats.org/officeDocument/2006/relationships/hyperlink" Target="https://doi.org/10.1001/jama.2008.683" TargetMode="External"/><Relationship Id="rId28" Type="http://schemas.openxmlformats.org/officeDocument/2006/relationships/hyperlink" Target="https://doi.org/10.7326/0003-4819-144-5-200603070-00013" TargetMode="External"/><Relationship Id="rId36" Type="http://schemas.openxmlformats.org/officeDocument/2006/relationships/hyperlink" Target="https://doi.org/10.3389/fnagi.2024.1531278" TargetMode="External"/><Relationship Id="rId49" Type="http://schemas.openxmlformats.org/officeDocument/2006/relationships/hyperlink" Target="https://doi.org/10.1016/S0140-6736(24)01296-0" TargetMode="External"/><Relationship Id="rId57" Type="http://schemas.openxmlformats.org/officeDocument/2006/relationships/hyperlink" Target="https://doi.org/10.1089/acm.2011.0367" TargetMode="External"/><Relationship Id="rId10" Type="http://schemas.openxmlformats.org/officeDocument/2006/relationships/hyperlink" Target="https://doi.org/10.1186/s12906-020-03102-3" TargetMode="External"/><Relationship Id="rId31" Type="http://schemas.openxmlformats.org/officeDocument/2006/relationships/hyperlink" Target="https://doi.org/10.1007/s11101-017-9528-y" TargetMode="External"/><Relationship Id="rId44" Type="http://schemas.openxmlformats.org/officeDocument/2006/relationships/hyperlink" Target="https://doi.org/10.1159/000547543" TargetMode="External"/><Relationship Id="rId52" Type="http://schemas.openxmlformats.org/officeDocument/2006/relationships/hyperlink" Target="https://doi.org/10.3389/fnagi.2021.638109" TargetMode="External"/><Relationship Id="rId60" Type="http://schemas.openxmlformats.org/officeDocument/2006/relationships/hyperlink" Target="https://doi.org/10.1186/alzrt146" TargetMode="External"/><Relationship Id="rId65" Type="http://schemas.openxmlformats.org/officeDocument/2006/relationships/hyperlink" Target="https://doi.org/10.4300/JGME-D-22-00480.1" TargetMode="External"/><Relationship Id="rId73" Type="http://schemas.openxmlformats.org/officeDocument/2006/relationships/hyperlink" Target="https://doi.org/10.3390/nu13010218" TargetMode="External"/><Relationship Id="rId78" Type="http://schemas.openxmlformats.org/officeDocument/2006/relationships/hyperlink" Target="https://doi.org/10.1002/ptr.8359" TargetMode="External"/><Relationship Id="rId81" Type="http://schemas.openxmlformats.org/officeDocument/2006/relationships/footer" Target="footer1.xml"/><Relationship Id="rId8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021/mp700113r" TargetMode="External"/><Relationship Id="rId13" Type="http://schemas.openxmlformats.org/officeDocument/2006/relationships/hyperlink" Target="https://doi.org/10.1016/j.jep.2013.11.042" TargetMode="External"/><Relationship Id="rId18" Type="http://schemas.openxmlformats.org/officeDocument/2006/relationships/hyperlink" Target="https://doi.org/10.1080/19390211.2017.1284970" TargetMode="External"/><Relationship Id="rId39" Type="http://schemas.openxmlformats.org/officeDocument/2006/relationships/hyperlink" Target="https://doi.org/10.1080/07853890.2025.2559122" TargetMode="External"/><Relationship Id="rId34" Type="http://schemas.openxmlformats.org/officeDocument/2006/relationships/hyperlink" Target="https://doi.org/10.1016/j.jep.2004.02.012" TargetMode="External"/><Relationship Id="rId50" Type="http://schemas.openxmlformats.org/officeDocument/2006/relationships/hyperlink" Target="https://doi.org/10.1007/s40261-025-01492-1" TargetMode="External"/><Relationship Id="rId55" Type="http://schemas.openxmlformats.org/officeDocument/2006/relationships/hyperlink" Target="https://doi.org/10.1002/ptr.6552" TargetMode="External"/><Relationship Id="rId76" Type="http://schemas.openxmlformats.org/officeDocument/2006/relationships/hyperlink" Target="https://doi.org/10.3390/antiox11020215" TargetMode="External"/><Relationship Id="rId7" Type="http://schemas.openxmlformats.org/officeDocument/2006/relationships/hyperlink" Target="https://doi.org/10.1136/jnnp.74.7.863" TargetMode="External"/><Relationship Id="rId71" Type="http://schemas.openxmlformats.org/officeDocument/2006/relationships/hyperlink" Target="https://doi.org/10.1016/j.jep.2007.11.038" TargetMode="External"/><Relationship Id="rId2" Type="http://schemas.openxmlformats.org/officeDocument/2006/relationships/styles" Target="styles.xml"/><Relationship Id="rId29" Type="http://schemas.openxmlformats.org/officeDocument/2006/relationships/hyperlink" Target="https://doi.org/10.1016/S2468-2667(21)00249-8" TargetMode="External"/><Relationship Id="rId24" Type="http://schemas.openxmlformats.org/officeDocument/2006/relationships/hyperlink" Target="https://doi.org/10.1002/ptr.4864" TargetMode="External"/><Relationship Id="rId40" Type="http://schemas.openxmlformats.org/officeDocument/2006/relationships/hyperlink" Target="https://doi.org/10.1017/neu.2026.10085" TargetMode="External"/><Relationship Id="rId45" Type="http://schemas.openxmlformats.org/officeDocument/2006/relationships/hyperlink" Target="https://doi.org/10.1016/j.jep.2013.11.008" TargetMode="External"/><Relationship Id="rId66" Type="http://schemas.openxmlformats.org/officeDocument/2006/relationships/hyperlink" Target="https://doi.org/10.1016/j.jep.2020.112768" TargetMode="External"/><Relationship Id="rId61" Type="http://schemas.openxmlformats.org/officeDocument/2006/relationships/hyperlink" Target="https://doi.org/10.1016/j.jep.2013.12.022" TargetMode="External"/><Relationship Id="rId8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46</Pages>
  <Words>19177</Words>
  <Characters>109311</Characters>
  <Application>Microsoft Office Word</Application>
  <DocSecurity>0</DocSecurity>
  <Lines>910</Lines>
  <Paragraphs>256</Paragraphs>
  <ScaleCrop>false</ScaleCrop>
  <Company>HP</Company>
  <LinksUpToDate>false</LinksUpToDate>
  <CharactersWithSpaces>128232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Editor-90</cp:lastModifiedBy>
  <cp:revision>8</cp:revision>
  <dcterms:created xsi:type="dcterms:W3CDTF">2026-08-10T20:03:00Z</dcterms:created>
  <dcterms:modified xsi:type="dcterms:W3CDTF">2026-08-14T06:50:00Z</dcterms:modified>
</cp:coreProperties>
</file>