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6C618" w14:textId="77777777" w:rsidR="00471013" w:rsidRDefault="00471013" w:rsidP="00282A23">
      <w:pPr>
        <w:spacing w:after="240"/>
        <w:jc w:val="both"/>
        <w:rPr>
          <w:rFonts w:eastAsia="Times New Roman"/>
          <w:b/>
          <w:color w:val="1F4E79"/>
          <w:sz w:val="32"/>
        </w:rPr>
      </w:pPr>
      <w:r w:rsidRPr="00471013">
        <w:rPr>
          <w:rFonts w:eastAsia="Times New Roman"/>
          <w:b/>
          <w:color w:val="1F4E79"/>
          <w:sz w:val="32"/>
        </w:rPr>
        <w:t>Review Article</w:t>
      </w:r>
    </w:p>
    <w:p w14:paraId="3BCA2EF5" w14:textId="77777777" w:rsidR="00C30954" w:rsidRDefault="00000000" w:rsidP="00282A23">
      <w:pPr>
        <w:spacing w:after="240"/>
        <w:jc w:val="both"/>
        <w:rPr>
          <w:rFonts w:eastAsia="Times New Roman"/>
          <w:b/>
          <w:color w:val="1F4E79"/>
          <w:sz w:val="32"/>
        </w:rPr>
      </w:pPr>
      <w:r>
        <w:rPr>
          <w:rFonts w:eastAsia="Times New Roman"/>
          <w:b/>
          <w:color w:val="1F4E79"/>
          <w:sz w:val="32"/>
        </w:rPr>
        <w:t>Nanoparticle-Mediated Targeting of the Arthritic Joint: A Critical Narrative Review of Drug Delivery and Molecular Therapy</w:t>
      </w:r>
    </w:p>
    <w:p w14:paraId="5678353C" w14:textId="77777777" w:rsidR="0038725B" w:rsidRDefault="0038725B" w:rsidP="00282A23">
      <w:pPr>
        <w:spacing w:after="240"/>
        <w:jc w:val="both"/>
      </w:pPr>
    </w:p>
    <w:p w14:paraId="5C9F3389" w14:textId="77777777" w:rsidR="00C30954" w:rsidRDefault="00000000" w:rsidP="00282A23">
      <w:pPr>
        <w:keepNext/>
        <w:jc w:val="both"/>
      </w:pPr>
      <w:r>
        <w:rPr>
          <w:rFonts w:eastAsia="Times New Roman"/>
          <w:b/>
          <w:color w:val="1F4E79"/>
          <w:sz w:val="25"/>
        </w:rPr>
        <w:t>Abstract</w:t>
      </w:r>
    </w:p>
    <w:p w14:paraId="6288E875" w14:textId="77777777" w:rsidR="00C30954" w:rsidRDefault="00000000" w:rsidP="00282A23">
      <w:pPr>
        <w:spacing w:after="140" w:line="264" w:lineRule="auto"/>
        <w:jc w:val="both"/>
      </w:pPr>
      <w:r>
        <w:rPr>
          <w:rFonts w:eastAsia="Times New Roman"/>
          <w:sz w:val="21"/>
        </w:rPr>
        <w:t>Nanoparticle-based delivery is being developed to concentrate anti-inflammatory, disease-modifying and molecular therapeutics within arthritic joints while limiting systemic exposure. Yet “joint targeting” encompasses several distinct problems: vascular access to inflamed synovium, persistence after intra-articular administration, penetration through dense avascular cartilage, cell-selective uptake and release of an active payload at the intended intracellular or extracellular site. This critical narrative review evaluates how these constraints differ between rheumatoid arthritis (RA) and osteoarthritis (OA), and how they shape the performance of lipid, polymeric, inorganic and biomimetic nanocarriers. Literature published from 1 January 2000 to 19 June 2026 was considered, with emphasis on verified peer-reviewed original studies, recent reviews and clinically informative evidence. In RA, long-circulating carriers can exploit inflammation-associated vascular permeability, while folate receptor, CD44 and endothelial ligands can add cellular or tissue selectivity. In OA, direct intra-articular administration bypasses systemic access but creates a more demanding transport problem because rapid joint clearance and the highly charged extracellular matrix of cartilage limit durable chondrocyte exposure. Peptide affinity and reversible electrostatic interactions offer particularly strong mechanistic rationales for cartilage penetration and retention. Small interfering RNA, messenger RNA, cytokines, glucocorticoids and regenerative proteins broaden the therapeutic repertoire, but their success depends on cytosolic delivery, release kinetics and target engagement rather than localisation alone. Human evidence remains sparse. A randomised trial of pegylated liposomal prednisolone in RA provides the clearest clinical signal, whereas most OA systems remain at explant, rodent or rabbit stages. Across both diseases, fluorescence persistence, short-term histology and reductions in inflammatory markers often overstate translational maturity. Progress will require cell-resolved pharmacokinetics, disease-relevant models, intact-carrier measurements, rigorous comparators, long-term safety assessment and manufacturable formulations linked to clinically meaningful endpoints.</w:t>
      </w:r>
    </w:p>
    <w:p w14:paraId="394ABA9A" w14:textId="77777777" w:rsidR="00C30954" w:rsidRDefault="00000000" w:rsidP="00282A23">
      <w:pPr>
        <w:spacing w:after="240"/>
        <w:jc w:val="both"/>
      </w:pPr>
      <w:r>
        <w:rPr>
          <w:rFonts w:eastAsia="Times New Roman"/>
          <w:b/>
          <w:sz w:val="21"/>
        </w:rPr>
        <w:t xml:space="preserve">Keywords: </w:t>
      </w:r>
      <w:r>
        <w:rPr>
          <w:rFonts w:eastAsia="Times New Roman"/>
          <w:sz w:val="21"/>
        </w:rPr>
        <w:t>arthritis nanomedicine; cartilage targeting; drug delivery systems; intra-articular delivery; lipid nanoparticles; rheumatoid arthritis; RNA therapeutics</w:t>
      </w:r>
    </w:p>
    <w:p w14:paraId="02E58795" w14:textId="77777777" w:rsidR="00C30954" w:rsidRDefault="00000000" w:rsidP="00282A23">
      <w:pPr>
        <w:pStyle w:val="Heading1"/>
        <w:jc w:val="both"/>
      </w:pPr>
      <w:r>
        <w:rPr>
          <w:rFonts w:ascii="Times New Roman" w:eastAsia="Times New Roman" w:hAnsi="Times New Roman"/>
        </w:rPr>
        <w:t>1. Introduction</w:t>
      </w:r>
    </w:p>
    <w:p w14:paraId="3A8F063E" w14:textId="77777777" w:rsidR="00C30954" w:rsidRDefault="00000000" w:rsidP="00282A23">
      <w:pPr>
        <w:pStyle w:val="BodyText"/>
        <w:ind w:firstLine="317"/>
      </w:pPr>
      <w:r>
        <w:rPr>
          <w:rFonts w:eastAsia="Times New Roman"/>
        </w:rPr>
        <w:t>Rheumatoid arthritis (RA) and osteoarthritis (OA) are both diseases of synovial joints, but the biological routes by which therapeutic molecules must reach their targets differ substantially. RA is a systemic autoimmune inflammatory disorder in which persistent synovitis, immune-cell recruitment, fibroblast-like synoviocyte activation and osteoclast-mediated bone erosion can affect multiple joints and extra-articular tissues. Contemporary treatment can suppress disease activity, yet drug toxicity, incomplete response and loss of response remain clinically relevant limitations (Di Matteo et al., 2023). OA is better understood as a whole-joint disorder than as isolated cartilage wear. Cartilage degeneration interacts with synovial inflammation, subchondral bone remodelling, meniscal pathology and altered biomechanics; current pharmacological management is largely symptomatic, and durable disease modification remains difficult to demonstrate (Hunter &amp; Bierma-Zeinstra, 2019; Katz et al., 2021). These differences make the arthritic joint an attractive but non-uniform target for engineered drug delivery.</w:t>
      </w:r>
    </w:p>
    <w:p w14:paraId="1BEF4B53" w14:textId="77777777" w:rsidR="00C30954" w:rsidRDefault="00000000" w:rsidP="00282A23">
      <w:pPr>
        <w:pStyle w:val="BodyText"/>
        <w:ind w:firstLine="317"/>
      </w:pPr>
      <w:r>
        <w:rPr>
          <w:rFonts w:eastAsia="Times New Roman"/>
        </w:rPr>
        <w:t xml:space="preserve">Nanoparticles are proposed to improve the therapeutic index by altering where a drug distributes, how long it persists and which cells or matrix compartments encounter it. This proposition is compelling because conventional systemic therapy exposes non-target organs, whereas conventional intra-articular (IA) injection can be followed by </w:t>
      </w:r>
      <w:r>
        <w:rPr>
          <w:rFonts w:eastAsia="Times New Roman"/>
        </w:rPr>
        <w:lastRenderedPageBreak/>
        <w:t>rapid lymphatic or vascular clearance. The term “nanoparticle” is used here pragmatically for nanoscale or nano-assembled therapeutic carriers, including liposomes and lipid nanoparticles, polymeric nanoparticles and micelles, dendrimeric or protein-based nanoconstructs, selected inorganic or metal-organic systems, and engineered extracellular vesicles. These platforms can encapsulate or conjugate glucocorticoids, small-molecule antirheumatic agents, cytokines, proteins, small interfering RNA (siRNA), messenger RNA (mRNA) and other molecular payloads. They may also contribute therapeutic activity themselves, as illustrated by redox-active or ion-releasing inorganic systems.</w:t>
      </w:r>
    </w:p>
    <w:p w14:paraId="46296E9E" w14:textId="77777777" w:rsidR="00C30954" w:rsidRPr="00282A23" w:rsidRDefault="00000000" w:rsidP="00282A23">
      <w:pPr>
        <w:pStyle w:val="BodyText"/>
        <w:ind w:firstLine="317"/>
      </w:pPr>
      <w:r>
        <w:rPr>
          <w:rFonts w:eastAsia="Times New Roman"/>
        </w:rPr>
        <w:t xml:space="preserve">The field has moved from simple prolongation of circulation or IA residence towards layered designs that combine homing, matrix affinity, cell recognition, stimuli-responsive release and molecular intervention. In RA, early work with long-circulating liposomal glucocorticoids showed that nanoscale carriers could preferentially localise to inflamed synovium and greatly amplify anti-inflammatory activity in experimental disease (Metselaar et al., 2003, 2004). In parallel, activated macrophages and inflamed endothelium became active-targeting candidates: folate receptor beta-directed dendrimers improved methotrexate delivery, whereas an arthritic-joint-homing peptide on liposomes </w:t>
      </w:r>
      <w:r w:rsidRPr="00282A23">
        <w:rPr>
          <w:rFonts w:eastAsia="Times New Roman"/>
        </w:rPr>
        <w:t>increased the therapeutic index of interleukin-27 in rats (Meka et al., 2018; Thomas et al., 2011). More recent systems add microenvironment-responsive release or immune reprogramming, but increasing architectural complexity does not necessarily increase clinical value (He et al., 2020; Qin et al., 2025).</w:t>
      </w:r>
    </w:p>
    <w:p w14:paraId="3E857778" w14:textId="77777777" w:rsidR="008358C0" w:rsidRPr="00282A23" w:rsidRDefault="00000000" w:rsidP="00282A23">
      <w:pPr>
        <w:pStyle w:val="BodyText"/>
        <w:ind w:firstLine="317"/>
      </w:pPr>
      <w:r w:rsidRPr="00282A23">
        <w:rPr>
          <w:highlight w:val="yellow"/>
        </w:rPr>
        <w:t>Recent literature further supports both ligand-directed and biomimetic approaches in RA, including targeted nanoliposomes designed around receptor- and ligand-mediated selectivity and monocyte-membrane-coated drug nanocrystals intended to exploit inflammatory-cell tropism (Girase et al., 2025; Shi et al., 2025).</w:t>
      </w:r>
    </w:p>
    <w:p w14:paraId="706F112F" w14:textId="5A23E328" w:rsidR="008358C0" w:rsidRPr="00282A23" w:rsidRDefault="00000000" w:rsidP="00282A23">
      <w:pPr>
        <w:pStyle w:val="BodyText"/>
        <w:ind w:firstLine="317"/>
      </w:pPr>
      <w:r w:rsidRPr="00282A23">
        <w:rPr>
          <w:rFonts w:eastAsia="Times New Roman"/>
        </w:rPr>
        <w:t>OA creates a different engineering problem. An IA injection places the formulation in the joint cavity, but does not guarantee access to cartilage. Articular cartilage is avascular and contains a dense collagen-proteoglycan extracellular matrix (ECM) that restricts transport by size and charge. The same matrix can nevertheless become a drug reservoir when appropriately small carriers are coupled to collagen-binding peptides or engineered for weak, reversible cationic interactions with negatively charged glycosaminoglycans (Bajpayee et al., 2014; Rothenfluh et al., 2008). Subsequent work has confirmed that cationic micelles and PEGylated protein constructs can penetrate and persist in cartilage, while disease-responsive conditions may simultaneously accelerate vascular clearance or carrier degradation (Boyer et al., 2025; He et al., 2023; Zhu et al., 2023). Thus, performance measured in healthy cartilage cannot be assumed to persist in the inflammatory, proteolytic environment of OA.</w:t>
      </w:r>
      <w:r w:rsidR="00282A23">
        <w:t xml:space="preserve"> </w:t>
      </w:r>
      <w:r w:rsidRPr="00282A23">
        <w:rPr>
          <w:highlight w:val="yellow"/>
        </w:rPr>
        <w:t>Recent OA-focused evidence also reinforces the importance of matching carrier properties to cartilage transport constraints: a contemporary review synthesised charge- and affinity-based cartilage-targeting strategies, while framework nucleic-acid nanoparticles have been reported to enhance cartilage penetration and chondrocyte uptake in experimental OA (Morici et al., 2024; Huang et al., 2025).</w:t>
      </w:r>
    </w:p>
    <w:p w14:paraId="6FF3362D" w14:textId="77777777" w:rsidR="00C30954" w:rsidRDefault="00000000" w:rsidP="00282A23">
      <w:pPr>
        <w:pStyle w:val="BodyText"/>
        <w:ind w:firstLine="317"/>
      </w:pPr>
      <w:r w:rsidRPr="00282A23">
        <w:rPr>
          <w:rFonts w:eastAsia="Times New Roman"/>
        </w:rPr>
        <w:t>Recent reviews have separately surveyed arthritis nanomedicine, RA immune-microenvironment engineering, OA synovial-macrophage targeting and RNA delivery (He et al., 2026; Sawan et al., 2025; Song et</w:t>
      </w:r>
      <w:r>
        <w:rPr>
          <w:rFonts w:eastAsia="Times New Roman"/>
        </w:rPr>
        <w:t xml:space="preserve"> al., 2026; Zha et al., 2026; Zhang et al., 2026). These publications document a rapidly expanding technical repertoire, but their breadth also highlights a persistent conceptual problem: “targeting” is often treated as a single property even when the supporting experiment measures only whole-joint fluorescence, tissue retention, receptor-mediated uptake or therapeutic response. A carrier may accumulate in a joint without penetrating its intended tissue, penetrate cartilage without delivering an intact molecular payload, or enter a cell without releasing that payload into the cytosol. Conversely, a formulation can provide useful local pharmacology through retention and controlled release without possessing a specific targeting ligand. Critical comparison therefore requires separation of these mechanistic layers.</w:t>
      </w:r>
    </w:p>
    <w:p w14:paraId="60725129" w14:textId="77777777" w:rsidR="00C30954" w:rsidRDefault="00000000" w:rsidP="00282A23">
      <w:pPr>
        <w:pStyle w:val="Heading2"/>
        <w:jc w:val="both"/>
      </w:pPr>
      <w:r>
        <w:rPr>
          <w:rFonts w:ascii="Times New Roman" w:eastAsia="Times New Roman" w:hAnsi="Times New Roman"/>
        </w:rPr>
        <w:lastRenderedPageBreak/>
        <w:t>1.1 Scope, Research Gap and Objectives</w:t>
      </w:r>
    </w:p>
    <w:p w14:paraId="1CA072A1" w14:textId="77777777" w:rsidR="00C30954" w:rsidRDefault="00000000" w:rsidP="00282A23">
      <w:pPr>
        <w:pStyle w:val="BodyText"/>
        <w:ind w:firstLine="317"/>
      </w:pPr>
      <w:r>
        <w:rPr>
          <w:rFonts w:eastAsia="Times New Roman"/>
        </w:rPr>
        <w:t>This review focuses on nanoparticle-mediated targeting of the arthritic joint in RA and OA, the two settings in which distinct systemic and intra-articular delivery barriers are most clearly exposed. The analysis covers carrier architecture, route-dependent targeting, matrix and cellular ligands, microenvironment-responsive release, small-molecule and molecular payloads, and the evidence needed to connect biodistribution with disease modification. Gout, septic arthritis and primarily implant- or scaffold-based therapies are outside the principal scope unless they illuminate a delivery mechanism directly relevant to RA or OA. The central research gap is the absence of an integrated critical framework that distinguishes anatomical localisation, tissue penetration and retention, cell selectivity, intracellular delivery and pharmacological target engagement, while simultaneously comparing the evidence base with the requirements for clinical translation. The objectives are to identify which targeting mechanisms are best supported, explain why apparently successful preclinical systems may fail to translate, evaluate the maturity of molecular-therapy delivery, and propose research priorities that can reduce the gap between sophisticated nanocarrier design and clinically meaningful joint therapy.</w:t>
      </w:r>
    </w:p>
    <w:p w14:paraId="525A5112" w14:textId="77777777" w:rsidR="00C30954" w:rsidRDefault="00000000" w:rsidP="00282A23">
      <w:pPr>
        <w:pStyle w:val="Heading1"/>
        <w:jc w:val="both"/>
      </w:pPr>
      <w:r>
        <w:rPr>
          <w:rFonts w:ascii="Times New Roman" w:eastAsia="Times New Roman" w:hAnsi="Times New Roman"/>
        </w:rPr>
        <w:t>2. Methods for Literature Selection</w:t>
      </w:r>
    </w:p>
    <w:p w14:paraId="6DE4FD6C" w14:textId="77777777" w:rsidR="00C30954" w:rsidRDefault="00000000" w:rsidP="00282A23">
      <w:pPr>
        <w:pStyle w:val="Heading2"/>
        <w:jc w:val="both"/>
      </w:pPr>
      <w:r>
        <w:rPr>
          <w:rFonts w:ascii="Times New Roman" w:eastAsia="Times New Roman" w:hAnsi="Times New Roman"/>
        </w:rPr>
        <w:t>2.1 Review Design and Rationale</w:t>
      </w:r>
    </w:p>
    <w:p w14:paraId="04DB08EE" w14:textId="77777777" w:rsidR="00C30954" w:rsidRDefault="00000000" w:rsidP="00282A23">
      <w:pPr>
        <w:pStyle w:val="BodyText"/>
        <w:ind w:firstLine="317"/>
      </w:pPr>
      <w:r>
        <w:rPr>
          <w:rFonts w:eastAsia="Times New Roman"/>
        </w:rPr>
        <w:t>A critical narrative review design was selected because the principal question is mechanistic and translational rather than a narrowly defined comparison of one intervention and one outcome. The literature includes heterogeneous materials, routes, payloads, arthritis models, biodistribution methods and therapeutic endpoints, making pooled quantitative synthesis inappropriate. Narrative methodology does not remove the need for transparent source selection or critical appraisal. The review was structured to address the quality domains emphasised by the Scale for the Assessment of Narrative Review Articles (SANRA), particularly justification of importance, statement of aims, description of literature searching, appropriate referencing, scientific reasoning and presentation of relevant endpoint information (Baethge et al., 2019).</w:t>
      </w:r>
    </w:p>
    <w:p w14:paraId="61F24D21" w14:textId="77777777" w:rsidR="00C30954" w:rsidRDefault="00000000" w:rsidP="00282A23">
      <w:pPr>
        <w:pStyle w:val="Heading2"/>
        <w:jc w:val="both"/>
      </w:pPr>
      <w:r>
        <w:rPr>
          <w:rFonts w:ascii="Times New Roman" w:eastAsia="Times New Roman" w:hAnsi="Times New Roman"/>
        </w:rPr>
        <w:t>2.2 Information Sources</w:t>
      </w:r>
    </w:p>
    <w:p w14:paraId="2785CD72" w14:textId="77777777" w:rsidR="00C30954" w:rsidRDefault="00000000" w:rsidP="00282A23">
      <w:pPr>
        <w:pStyle w:val="BodyText"/>
        <w:ind w:firstLine="317"/>
      </w:pPr>
      <w:r>
        <w:rPr>
          <w:rFonts w:eastAsia="Times New Roman"/>
        </w:rPr>
        <w:t>Literature was identified through PubMed, Europe PMC, OpenAlex, Crossref, CORE, Google Scholar, the Directory of Open Access Journals and Semantic Scholar. Searches were supplemented by backward reference checking from recent high-quality reviews, forward and related-article searching where accessible, and verification against PubMed records, DOI landing metadata or stable journal records. Recent reviews were used as maps of the field rather than as substitutes for appraisal of primary studies. Citation checking also sought corrections, retractions or bibliographic inconsistencies before a source was retained.</w:t>
      </w:r>
    </w:p>
    <w:p w14:paraId="53275BD0" w14:textId="77777777" w:rsidR="00C30954" w:rsidRDefault="00000000" w:rsidP="00282A23">
      <w:pPr>
        <w:pStyle w:val="Heading2"/>
        <w:jc w:val="both"/>
      </w:pPr>
      <w:r>
        <w:rPr>
          <w:rFonts w:ascii="Times New Roman" w:eastAsia="Times New Roman" w:hAnsi="Times New Roman"/>
        </w:rPr>
        <w:t>2.3 Search Strategy and Search Period</w:t>
      </w:r>
    </w:p>
    <w:p w14:paraId="27FA2CC1" w14:textId="77777777" w:rsidR="00C30954" w:rsidRDefault="00000000" w:rsidP="00282A23">
      <w:pPr>
        <w:pStyle w:val="BodyText"/>
        <w:ind w:firstLine="317"/>
      </w:pPr>
      <w:r>
        <w:rPr>
          <w:rFonts w:eastAsia="Times New Roman"/>
        </w:rPr>
        <w:t>The main publication window was 1 January 2000 to 19 June 2026. The starting year captures the transition from early human liposomal synovial targeting to contemporary nanoscale joint-delivery strategies while allowing inclusion of the major experimental lineages that followed. Representative search combinations paired disease terms (“rheumatoid arthritis” OR osteoarthritis OR “post-traumatic osteoarthritis”) with carrier terms (nanoparticle* OR nanocarrier* OR liposome* OR “lipid nanoparticle*” OR micelle* OR dendrimer* OR nanozyme* OR exosome*) and targeting terms (target* OR homing OR cartilage OR synov* OR macrophage* OR chondrocyte*), together with payload or function terms (“drug delivery” OR glucocorticoid* OR methotrexate OR cytokine* OR siRNA OR mRNA OR “gene therapy” OR “controlled release”). Separate searches emphasised folate receptor, CD44, collagen type II, glycosaminoglycan charge, matrix metalloproteinase responsiveness, pH/oxidative responsiveness and clinical translation. Seminal and mechanistically necessary sources within the selected period were retained even when newer formulations were available.</w:t>
      </w:r>
    </w:p>
    <w:p w14:paraId="4393BB0F" w14:textId="77777777" w:rsidR="00C30954" w:rsidRDefault="00000000" w:rsidP="00282A23">
      <w:pPr>
        <w:pStyle w:val="Heading2"/>
        <w:jc w:val="both"/>
      </w:pPr>
      <w:r>
        <w:rPr>
          <w:rFonts w:ascii="Times New Roman" w:eastAsia="Times New Roman" w:hAnsi="Times New Roman"/>
        </w:rPr>
        <w:lastRenderedPageBreak/>
        <w:t>2.4 Eligibility Criteria</w:t>
      </w:r>
    </w:p>
    <w:p w14:paraId="157C0B37" w14:textId="77777777" w:rsidR="00C30954" w:rsidRDefault="00000000" w:rsidP="00282A23">
      <w:pPr>
        <w:pStyle w:val="BodyText"/>
        <w:ind w:firstLine="317"/>
      </w:pPr>
      <w:r>
        <w:rPr>
          <w:rFonts w:eastAsia="Times New Roman"/>
        </w:rPr>
        <w:t>Priority was given to peer-reviewed original research evaluating nanoscale delivery or nanomaterial-mediated therapeutic targeting in RA or OA, including studies of biodistribution, tissue penetration, cell uptake, pharmacokinetics, molecular target engagement, therapeutic efficacy or safety. High-quality reviews were included when they defined recent developments or unresolved controversies, and authoritative disease reviews were used for clinical context. Both systemic and IA routes were eligible. Studies using animal models or human tissue were included when they tested a delivery mechanism that could not yet be evaluated clinically. Exclusion criteria were non-scholarly commentary, promotional material, unverifiable citations, patents used as efficacy evidence, conference abstracts without sufficient methods and results, and formulations whose relevance to joint targeting was incidental. English-language full bibliographic information was required for final inclusion.</w:t>
      </w:r>
    </w:p>
    <w:p w14:paraId="52C6EB83" w14:textId="77777777" w:rsidR="00C30954" w:rsidRDefault="00000000" w:rsidP="00282A23">
      <w:pPr>
        <w:pStyle w:val="Heading2"/>
        <w:jc w:val="both"/>
      </w:pPr>
      <w:r>
        <w:rPr>
          <w:rFonts w:ascii="Times New Roman" w:eastAsia="Times New Roman" w:hAnsi="Times New Roman"/>
        </w:rPr>
        <w:t>2.5 Screening, Duplicate Handling and Study Selection</w:t>
      </w:r>
    </w:p>
    <w:p w14:paraId="3445D2B6" w14:textId="77777777" w:rsidR="00C30954" w:rsidRDefault="00000000" w:rsidP="00282A23">
      <w:pPr>
        <w:pStyle w:val="BodyText"/>
        <w:ind w:firstLine="317"/>
      </w:pPr>
      <w:r>
        <w:rPr>
          <w:rFonts w:eastAsia="Times New Roman"/>
        </w:rPr>
        <w:t>Titles and abstracts were first assessed for direct relevance to joint targeting, nanoscale delivery and RA or OA. Full records were then checked for the carrier, route, target compartment, payload, model and outcome actually studied. Duplicate records identified across indexes were consolidated by DOI, PubMed identifier, title and author metadata. Selection was deliberately purposive rather than exhaustive: studies were retained for methodological quality, conceptual influence, clinical relevance, independent support or contradiction of a targeting principle, and representation of newer molecular-delivery strategies. No PRISMA-style flow count is presented because a prospectively enumerated systematic screening process was not undertaken. Inaccessible or bibliographically unresolved sources were not used as evidence.</w:t>
      </w:r>
    </w:p>
    <w:p w14:paraId="75B16CF3" w14:textId="77777777" w:rsidR="00C30954" w:rsidRDefault="00000000" w:rsidP="00282A23">
      <w:pPr>
        <w:pStyle w:val="Heading2"/>
        <w:jc w:val="both"/>
      </w:pPr>
      <w:r>
        <w:rPr>
          <w:rFonts w:ascii="Times New Roman" w:eastAsia="Times New Roman" w:hAnsi="Times New Roman"/>
        </w:rPr>
        <w:t>2.6 Critical Appraisal and Evidence Synthesis</w:t>
      </w:r>
    </w:p>
    <w:p w14:paraId="32ADA881" w14:textId="77777777" w:rsidR="00C30954" w:rsidRDefault="00000000" w:rsidP="00282A23">
      <w:pPr>
        <w:pStyle w:val="BodyText"/>
        <w:ind w:firstLine="317"/>
      </w:pPr>
      <w:r>
        <w:rPr>
          <w:rFonts w:eastAsia="Times New Roman"/>
        </w:rPr>
        <w:t>Evidence was appraised according to the appropriateness of the disease model, presence of relevant controls, carrier and payload characterisation, distinction between free and formulated drug, route and dosing realism, measurement of intact carrier versus fluorescent label, tissue and cell specificity, target engagement, duration of follow-up, toxicity assessment and translational relevance. Particular attention was paid to whether active targeting was tested against a physicochemically matched non-targeted carrier, whether retention was measured in diseased rather than only healthy tissue, and whether therapeutic improvement could be attributed to delivery rather than intrinsic activity of the material. Human randomised evidence was weighted more strongly than animal efficacy, and animal efficacy more strongly than explant or cell-only findings. Themes were developed around biological barriers, carrier architecture, targeting mechanism, payload class and translational evidence; inconsistencies were interpreted in relation to disease state, dose, surface chemistry, model scale and measurement method.</w:t>
      </w:r>
    </w:p>
    <w:p w14:paraId="4B262B03" w14:textId="77777777" w:rsidR="00C30954" w:rsidRDefault="00000000" w:rsidP="00282A23">
      <w:pPr>
        <w:pStyle w:val="Heading1"/>
        <w:jc w:val="both"/>
      </w:pPr>
      <w:r>
        <w:rPr>
          <w:rFonts w:ascii="Times New Roman" w:eastAsia="Times New Roman" w:hAnsi="Times New Roman"/>
        </w:rPr>
        <w:t>3. The Arthritic Joint as a Delivery Target</w:t>
      </w:r>
    </w:p>
    <w:p w14:paraId="124CFD3E" w14:textId="77777777" w:rsidR="00C30954" w:rsidRDefault="00000000" w:rsidP="00282A23">
      <w:pPr>
        <w:pStyle w:val="Heading2"/>
        <w:jc w:val="both"/>
      </w:pPr>
      <w:r>
        <w:rPr>
          <w:rFonts w:ascii="Times New Roman" w:eastAsia="Times New Roman" w:hAnsi="Times New Roman"/>
        </w:rPr>
        <w:t>3.1 Rheumatoid Arthritis: Systemic Access to Inflamed Synovium</w:t>
      </w:r>
    </w:p>
    <w:p w14:paraId="2E9BDD43" w14:textId="77777777" w:rsidR="00C30954" w:rsidRDefault="00000000" w:rsidP="00282A23">
      <w:pPr>
        <w:pStyle w:val="BodyText"/>
        <w:ind w:firstLine="317"/>
      </w:pPr>
      <w:r>
        <w:rPr>
          <w:rFonts w:eastAsia="Times New Roman"/>
        </w:rPr>
        <w:t>RA offers a paradoxical delivery environment. The joint is pathologically accessible because inflamed synovium is hypervascular and its endothelium is activated, yet the disease is systemic and polyarticular, so a locally injected formulation addresses only selected joints. Long-circulating systemic nanoparticles can exploit inflammation-associated vascular permeability and phagocyte-rich synovium. This behaviour is often described as an enhanced permeability and retention-like effect, but the analogy with solid tumours should not be overstated: permeability, perfusion and inflammatory-cell sequestration vary with disease activity and treatment. The experimental liposomal prednisolone studies are persuasive because altered liposome distribution and therapeutic activity were linked in the same disease context, and unaffected joints showed substantially less uptake (Metselaar et al., 2003, 2004). Nevertheless, preferential accumulation is not equivalent to cell-specific delivery, and systemic carriers still encounter liver, spleen and circulating phagocytes.</w:t>
      </w:r>
    </w:p>
    <w:p w14:paraId="2C840D7C" w14:textId="77777777" w:rsidR="00C30954" w:rsidRDefault="00000000" w:rsidP="00282A23">
      <w:pPr>
        <w:pStyle w:val="BodyText"/>
        <w:ind w:firstLine="317"/>
      </w:pPr>
      <w:r>
        <w:rPr>
          <w:rFonts w:eastAsia="Times New Roman"/>
        </w:rPr>
        <w:lastRenderedPageBreak/>
        <w:t>Active targeting attempts to add a second level of selectivity after vascular access. Folate receptor beta on activated macrophages is a particularly well-developed RA target. Folate-decorated dendrimers showed receptor-dependent uptake and therapeutic activity when carrying methotrexate in collagen-induced arthritis, supporting macrophage-directed delivery rather than mere joint accumulation (Thomas et al., 2011). Folic acid-coated human serum albumin nanoparticles have since been used to increase joint delivery of betulin in arthritic rats, showing that the ligand concept can be transferred across carrier classes (Yang et al., 2026). Hyaluronic acid (HA), which can interact with CD44, has likewise been used to coat solid lipid nanoparticles and metal-organic formulations, with enhanced uptake by inflammatory cells and improved experimental efficacy (Qin et al., 2025; Zhou et al., 2018). These studies are mechanistically coherent, but most do not establish how much incremental benefit arises from receptor recognition after controlling for circulation time, particle size, charge and inflammation-driven extravasation.</w:t>
      </w:r>
    </w:p>
    <w:p w14:paraId="61062616" w14:textId="77777777" w:rsidR="00C30954" w:rsidRDefault="00000000" w:rsidP="00282A23">
      <w:pPr>
        <w:pStyle w:val="BodyText"/>
        <w:ind w:firstLine="317"/>
      </w:pPr>
      <w:r>
        <w:rPr>
          <w:rFonts w:eastAsia="Times New Roman"/>
        </w:rPr>
        <w:t>Inflamed endothelium offers another targeting layer before entry into synovial tissue. ART-1 peptide-functionalised liposomes carrying interleukin-27 showed increased joint homing and a better therapeutic index than non-targeted liposomes or free cytokine in adjuvant arthritis (Meka et al., 2018). This is important because a vascular ligand can act on an accessible luminal target, avoiding the need for a carrier to diffuse deeply before recognising its receptor. Yet endothelial phenotypes are model- and disease-state dependent. A ligand selected in one inflammatory model may not recognise human synovial endothelium with comparable abundance or accessibility. Translation therefore requires quantitative receptor occupancy and cross-species validation rather than reliance on imaging contrast alone.</w:t>
      </w:r>
    </w:p>
    <w:p w14:paraId="43F0043E" w14:textId="77777777" w:rsidR="00C30954" w:rsidRDefault="00000000" w:rsidP="00282A23">
      <w:pPr>
        <w:pStyle w:val="Heading2"/>
        <w:jc w:val="both"/>
      </w:pPr>
      <w:r>
        <w:rPr>
          <w:rFonts w:ascii="Times New Roman" w:eastAsia="Times New Roman" w:hAnsi="Times New Roman"/>
        </w:rPr>
        <w:t>3.2 Osteoarthritis: Joint Residence and Cartilage Transport</w:t>
      </w:r>
    </w:p>
    <w:p w14:paraId="69DF87BA" w14:textId="77777777" w:rsidR="00C30954" w:rsidRDefault="00000000" w:rsidP="00282A23">
      <w:pPr>
        <w:pStyle w:val="BodyText"/>
        <w:ind w:firstLine="317"/>
      </w:pPr>
      <w:r>
        <w:rPr>
          <w:rFonts w:eastAsia="Times New Roman"/>
        </w:rPr>
        <w:t>In OA, IA administration removes the need to cross systemic vascular barriers but does not solve the delivery problem. Synovial fluid turnover and lymphatic drainage can rapidly remove unbound material, whereas cartilage is avascular and has no convective blood supply to replenish drug concentration. Its ECM contains a collagen fibril network interwoven with highly negatively charged aggrecan glycosaminoglycans. This architecture creates steric exclusion for large constructs and electrostatic exclusion for anionic molecules, while providing opportunities for appropriately sized affinity ligands and cationic carriers. Rothenfluh et al. (2008) established a foundational matrix-targeting concept by coupling the collagen II alpha1-binding peptide WYRGRL to small polymer nanoparticles; targeting increased cartilage association dramatically relative to scrambled-peptide controls after mouse IA injection. The result demonstrated that matrix affinity can convert a barrier into a local depot, but it did not by itself establish disease modification.</w:t>
      </w:r>
    </w:p>
    <w:p w14:paraId="3F66D62B" w14:textId="77777777" w:rsidR="00C30954" w:rsidRDefault="00000000" w:rsidP="00282A23">
      <w:pPr>
        <w:pStyle w:val="BodyText"/>
        <w:ind w:firstLine="317"/>
      </w:pPr>
      <w:r>
        <w:rPr>
          <w:rFonts w:eastAsia="Times New Roman"/>
        </w:rPr>
        <w:t>Charge-based delivery provides a complementary mechanism. Bajpayee et al. (2014) showed that small cationic avidin could penetrate full-thickness cartilage and be retained through weak reversible electrostatic interactions with anionic matrix sites, whereas larger or neutral comparators were disadvantaged. The significance of weak binding is often underappreciated. Extremely strong electrostatic attraction can trap a carrier near the articular surface, while insufficient charge permits rapid escape; optimal transport requires a balance between partitioning, diffusion and reversible binding. Cationic polymeric micelles later reproduced deep cartilage penetration and prolonged retention in porcine explants, and a multi-arm PEGylated avidin construct demonstrated persistence and distribution across several rat joint tissues after IA administration (He et al., 2023; Zhu et al., 2023). The latter study also detected a dose-dependent immune response, illustrating that a transport advantage can introduce a new biological liability.</w:t>
      </w:r>
    </w:p>
    <w:p w14:paraId="6733032A" w14:textId="77777777" w:rsidR="00C30954" w:rsidRDefault="00000000" w:rsidP="00282A23">
      <w:pPr>
        <w:pStyle w:val="BodyText"/>
        <w:ind w:firstLine="317"/>
      </w:pPr>
      <w:r>
        <w:rPr>
          <w:rFonts w:eastAsia="Times New Roman"/>
        </w:rPr>
        <w:t xml:space="preserve">Disease state changes this balance. Boyer et al. (2025) evaluated cationic peptide carriers in a rabbit post-traumatic OA model and found deep penetration in glycosaminoglycan-rich tissues, but joint retention was lower after anterior cruciate ligament transection than in sham-operated knees. Increased vascular clearance and proteolytic fragmentation contributed to the difference. This finding challenges a common preclinical assumption </w:t>
      </w:r>
      <w:r>
        <w:rPr>
          <w:rFonts w:eastAsia="Times New Roman"/>
        </w:rPr>
        <w:lastRenderedPageBreak/>
        <w:t>that retention measured in healthy explants or uninflamed joints can be transferred directly to OA. Matrix depletion, synovitis, protease abundance and vascular changes evolve with disease stage, so the “target” is moving biologically as well as spatially. Carrier design should therefore be matched to early, inflammatory or structurally advanced OA rather than described as generically cartilage-targeting.</w:t>
      </w:r>
    </w:p>
    <w:p w14:paraId="2B0D5067" w14:textId="77777777" w:rsidR="00C30954" w:rsidRDefault="00000000" w:rsidP="00282A23">
      <w:pPr>
        <w:pStyle w:val="Heading2"/>
        <w:jc w:val="both"/>
      </w:pPr>
      <w:r>
        <w:rPr>
          <w:rFonts w:ascii="Times New Roman" w:eastAsia="Times New Roman" w:hAnsi="Times New Roman"/>
        </w:rPr>
        <w:t>3.3 Reconceptualising What Counts as Targeting</w:t>
      </w:r>
    </w:p>
    <w:p w14:paraId="38D259B5" w14:textId="77777777" w:rsidR="00C30954" w:rsidRDefault="00000000" w:rsidP="00282A23">
      <w:pPr>
        <w:pStyle w:val="BodyText"/>
        <w:ind w:firstLine="317"/>
      </w:pPr>
      <w:r>
        <w:rPr>
          <w:rFonts w:eastAsia="Times New Roman"/>
        </w:rPr>
        <w:t>Across RA and OA, targeting is best separated into five levels: anatomical localisation to the diseased joint, retention or penetration within the relevant tissue, selective interaction with a cell or matrix component, intracellular delivery when required, and pharmacological target engagement. These levels can diverge. A fluorescent nanoparticle may remain visible in a joint after its drug has been released or degraded. A carrier that binds cartilage may never reach chondrocytes. A macrophage-targeted particle may be internalised but fail to escape the endosome, a decisive limitation for siRNA or mRNA. Conversely, a long-circulating liposome can be clinically useful without a receptor ligand if inflammation-driven accumulation delivers sufficient active drug. The evidence is therefore strongest when matched controls demonstrate both delivery and mechanistic consequence, rather than when “targeting” is inferred from brighter whole-joint imaging.</w:t>
      </w:r>
    </w:p>
    <w:p w14:paraId="78C849DF" w14:textId="77777777" w:rsidR="00C30954" w:rsidRDefault="00000000" w:rsidP="00282A23">
      <w:pPr>
        <w:pStyle w:val="BodyText"/>
        <w:ind w:firstLine="317"/>
      </w:pPr>
      <w:r>
        <w:rPr>
          <w:rFonts w:eastAsia="Times New Roman"/>
        </w:rPr>
        <w:t>Table 1 summarises how the dominant biological barrier changes with disease and route. The comparison shows why RA systemically delivered nanomedicine is primarily an access-and-cell-selectivity problem, whereas OA IA therapy is primarily a residence-and-matrix-transport problem. It also shows that the same design feature can have opposite consequences: long circulation is valuable for systemic RA targeting, while persistent cationic binding is more relevant to cartilage after IA dosing. These distinctions should guide both formulation choice and the experiments used to claim targeting.</w:t>
      </w:r>
    </w:p>
    <w:p w14:paraId="36C6D70A" w14:textId="77777777" w:rsidR="00C30954" w:rsidRDefault="00000000" w:rsidP="00282A23">
      <w:pPr>
        <w:keepNext/>
        <w:spacing w:before="80" w:after="80"/>
        <w:jc w:val="both"/>
      </w:pPr>
      <w:r>
        <w:rPr>
          <w:rFonts w:eastAsia="Times New Roman"/>
          <w:b/>
          <w:color w:val="1F4E79"/>
          <w:sz w:val="20"/>
        </w:rPr>
        <w:t>Table 1. Biological barriers and design consequences for nanoparticle targeting of arthritic joints</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944"/>
        <w:gridCol w:w="3168"/>
        <w:gridCol w:w="3168"/>
        <w:gridCol w:w="1872"/>
      </w:tblGrid>
      <w:tr w:rsidR="00C30954" w14:paraId="68BBC2BA" w14:textId="77777777">
        <w:trPr>
          <w:tblHeader/>
          <w:jc w:val="center"/>
        </w:trPr>
        <w:tc>
          <w:tcPr>
            <w:tcW w:w="1944" w:type="dxa"/>
            <w:shd w:val="clear" w:color="auto" w:fill="D9E5F2"/>
            <w:tcMar>
              <w:top w:w="100" w:type="dxa"/>
              <w:left w:w="100" w:type="dxa"/>
              <w:bottom w:w="100" w:type="dxa"/>
              <w:right w:w="100" w:type="dxa"/>
            </w:tcMar>
            <w:vAlign w:val="center"/>
          </w:tcPr>
          <w:p w14:paraId="05346B2F" w14:textId="77777777" w:rsidR="00C30954" w:rsidRDefault="00000000" w:rsidP="00282A23">
            <w:pPr>
              <w:spacing w:after="0"/>
              <w:jc w:val="both"/>
            </w:pPr>
            <w:r>
              <w:rPr>
                <w:rFonts w:eastAsia="Times New Roman"/>
                <w:b/>
                <w:color w:val="1F4E79"/>
                <w:sz w:val="16"/>
              </w:rPr>
              <w:t>Disease/route or compartment</w:t>
            </w:r>
          </w:p>
        </w:tc>
        <w:tc>
          <w:tcPr>
            <w:tcW w:w="3168" w:type="dxa"/>
            <w:shd w:val="clear" w:color="auto" w:fill="D9E5F2"/>
            <w:tcMar>
              <w:top w:w="100" w:type="dxa"/>
              <w:left w:w="100" w:type="dxa"/>
              <w:bottom w:w="100" w:type="dxa"/>
              <w:right w:w="100" w:type="dxa"/>
            </w:tcMar>
            <w:vAlign w:val="center"/>
          </w:tcPr>
          <w:p w14:paraId="4700A7AA" w14:textId="77777777" w:rsidR="00C30954" w:rsidRDefault="00000000" w:rsidP="00282A23">
            <w:pPr>
              <w:spacing w:after="0"/>
              <w:jc w:val="both"/>
            </w:pPr>
            <w:r>
              <w:rPr>
                <w:rFonts w:eastAsia="Times New Roman"/>
                <w:b/>
                <w:color w:val="1F4E79"/>
                <w:sz w:val="16"/>
              </w:rPr>
              <w:t>Dominant delivery barrier or opportunity</w:t>
            </w:r>
          </w:p>
        </w:tc>
        <w:tc>
          <w:tcPr>
            <w:tcW w:w="3168" w:type="dxa"/>
            <w:shd w:val="clear" w:color="auto" w:fill="D9E5F2"/>
            <w:tcMar>
              <w:top w:w="100" w:type="dxa"/>
              <w:left w:w="100" w:type="dxa"/>
              <w:bottom w:w="100" w:type="dxa"/>
              <w:right w:w="100" w:type="dxa"/>
            </w:tcMar>
            <w:vAlign w:val="center"/>
          </w:tcPr>
          <w:p w14:paraId="7F2D0A6F" w14:textId="77777777" w:rsidR="00C30954" w:rsidRDefault="00000000" w:rsidP="00282A23">
            <w:pPr>
              <w:spacing w:after="0"/>
              <w:jc w:val="both"/>
            </w:pPr>
            <w:r>
              <w:rPr>
                <w:rFonts w:eastAsia="Times New Roman"/>
                <w:b/>
                <w:color w:val="1F4E79"/>
                <w:sz w:val="16"/>
              </w:rPr>
              <w:t>Design consequence and critical caveat</w:t>
            </w:r>
          </w:p>
        </w:tc>
        <w:tc>
          <w:tcPr>
            <w:tcW w:w="1872" w:type="dxa"/>
            <w:shd w:val="clear" w:color="auto" w:fill="D9E5F2"/>
            <w:tcMar>
              <w:top w:w="100" w:type="dxa"/>
              <w:left w:w="100" w:type="dxa"/>
              <w:bottom w:w="100" w:type="dxa"/>
              <w:right w:w="100" w:type="dxa"/>
            </w:tcMar>
            <w:vAlign w:val="center"/>
          </w:tcPr>
          <w:p w14:paraId="7DF630D1" w14:textId="77777777" w:rsidR="00C30954" w:rsidRDefault="00000000" w:rsidP="00282A23">
            <w:pPr>
              <w:spacing w:after="0"/>
              <w:jc w:val="both"/>
            </w:pPr>
            <w:r>
              <w:rPr>
                <w:rFonts w:eastAsia="Times New Roman"/>
                <w:b/>
                <w:color w:val="1F4E79"/>
                <w:sz w:val="16"/>
              </w:rPr>
              <w:t>Supporting references</w:t>
            </w:r>
          </w:p>
        </w:tc>
      </w:tr>
      <w:tr w:rsidR="00C30954" w:rsidRPr="00033A1D" w14:paraId="52FFD82D" w14:textId="77777777">
        <w:trPr>
          <w:cantSplit/>
          <w:jc w:val="center"/>
        </w:trPr>
        <w:tc>
          <w:tcPr>
            <w:tcW w:w="1944" w:type="dxa"/>
            <w:tcMar>
              <w:top w:w="95" w:type="dxa"/>
              <w:left w:w="100" w:type="dxa"/>
              <w:bottom w:w="95" w:type="dxa"/>
              <w:right w:w="100" w:type="dxa"/>
            </w:tcMar>
            <w:vAlign w:val="center"/>
          </w:tcPr>
          <w:p w14:paraId="062A3CB4" w14:textId="77777777" w:rsidR="00C30954" w:rsidRDefault="00000000" w:rsidP="00282A23">
            <w:pPr>
              <w:spacing w:after="0" w:line="252" w:lineRule="auto"/>
              <w:jc w:val="both"/>
            </w:pPr>
            <w:r>
              <w:rPr>
                <w:rFonts w:eastAsia="Times New Roman"/>
                <w:sz w:val="16"/>
              </w:rPr>
              <w:t>RA, systemic</w:t>
            </w:r>
          </w:p>
        </w:tc>
        <w:tc>
          <w:tcPr>
            <w:tcW w:w="3168" w:type="dxa"/>
            <w:tcMar>
              <w:top w:w="95" w:type="dxa"/>
              <w:left w:w="100" w:type="dxa"/>
              <w:bottom w:w="95" w:type="dxa"/>
              <w:right w:w="100" w:type="dxa"/>
            </w:tcMar>
            <w:vAlign w:val="center"/>
          </w:tcPr>
          <w:p w14:paraId="1D6784C8" w14:textId="77777777" w:rsidR="00C30954" w:rsidRDefault="00000000" w:rsidP="00282A23">
            <w:pPr>
              <w:spacing w:after="0" w:line="252" w:lineRule="auto"/>
              <w:jc w:val="both"/>
            </w:pPr>
            <w:r>
              <w:rPr>
                <w:rFonts w:eastAsia="Times New Roman"/>
                <w:sz w:val="16"/>
              </w:rPr>
              <w:t>Inflamed synovial vasculature permits preferential extravasation, but liver/spleen clearance competes with joint delivery.</w:t>
            </w:r>
          </w:p>
        </w:tc>
        <w:tc>
          <w:tcPr>
            <w:tcW w:w="3168" w:type="dxa"/>
            <w:tcMar>
              <w:top w:w="95" w:type="dxa"/>
              <w:left w:w="100" w:type="dxa"/>
              <w:bottom w:w="95" w:type="dxa"/>
              <w:right w:w="100" w:type="dxa"/>
            </w:tcMar>
            <w:vAlign w:val="center"/>
          </w:tcPr>
          <w:p w14:paraId="275DB9C2" w14:textId="77777777" w:rsidR="00C30954" w:rsidRDefault="00000000" w:rsidP="00282A23">
            <w:pPr>
              <w:spacing w:after="0" w:line="252" w:lineRule="auto"/>
              <w:jc w:val="both"/>
            </w:pPr>
            <w:r>
              <w:rPr>
                <w:rFonts w:eastAsia="Times New Roman"/>
                <w:sz w:val="16"/>
              </w:rPr>
              <w:t>Long circulation can improve joint exposure; whole-joint accumulation does not prove cell selectivity.</w:t>
            </w:r>
          </w:p>
        </w:tc>
        <w:tc>
          <w:tcPr>
            <w:tcW w:w="1872" w:type="dxa"/>
            <w:tcMar>
              <w:top w:w="95" w:type="dxa"/>
              <w:left w:w="100" w:type="dxa"/>
              <w:bottom w:w="95" w:type="dxa"/>
              <w:right w:w="100" w:type="dxa"/>
            </w:tcMar>
            <w:vAlign w:val="center"/>
          </w:tcPr>
          <w:p w14:paraId="51AC1DCB" w14:textId="77777777" w:rsidR="00C30954" w:rsidRPr="00033A1D" w:rsidRDefault="00000000" w:rsidP="00282A23">
            <w:pPr>
              <w:spacing w:after="0" w:line="252" w:lineRule="auto"/>
              <w:jc w:val="both"/>
              <w:rPr>
                <w:lang w:val="nl-BE"/>
              </w:rPr>
            </w:pPr>
            <w:r w:rsidRPr="00033A1D">
              <w:rPr>
                <w:rFonts w:eastAsia="Times New Roman"/>
                <w:sz w:val="16"/>
                <w:lang w:val="nl-BE"/>
              </w:rPr>
              <w:t>(Metselaar et al., 2003, 2004; Wang et al., 2016)</w:t>
            </w:r>
          </w:p>
        </w:tc>
      </w:tr>
      <w:tr w:rsidR="00C30954" w:rsidRPr="00033A1D" w14:paraId="42F9D1E5" w14:textId="77777777">
        <w:trPr>
          <w:cantSplit/>
          <w:jc w:val="center"/>
        </w:trPr>
        <w:tc>
          <w:tcPr>
            <w:tcW w:w="1944" w:type="dxa"/>
            <w:tcMar>
              <w:top w:w="95" w:type="dxa"/>
              <w:left w:w="100" w:type="dxa"/>
              <w:bottom w:w="95" w:type="dxa"/>
              <w:right w:w="100" w:type="dxa"/>
            </w:tcMar>
            <w:vAlign w:val="center"/>
          </w:tcPr>
          <w:p w14:paraId="3C15119C" w14:textId="77777777" w:rsidR="00C30954" w:rsidRDefault="00000000" w:rsidP="00282A23">
            <w:pPr>
              <w:spacing w:after="0" w:line="252" w:lineRule="auto"/>
              <w:jc w:val="both"/>
            </w:pPr>
            <w:r>
              <w:rPr>
                <w:rFonts w:eastAsia="Times New Roman"/>
                <w:sz w:val="16"/>
              </w:rPr>
              <w:t>RA, synovial macrophages</w:t>
            </w:r>
          </w:p>
        </w:tc>
        <w:tc>
          <w:tcPr>
            <w:tcW w:w="3168" w:type="dxa"/>
            <w:tcMar>
              <w:top w:w="95" w:type="dxa"/>
              <w:left w:w="100" w:type="dxa"/>
              <w:bottom w:w="95" w:type="dxa"/>
              <w:right w:w="100" w:type="dxa"/>
            </w:tcMar>
            <w:vAlign w:val="center"/>
          </w:tcPr>
          <w:p w14:paraId="0F5170A8" w14:textId="77777777" w:rsidR="00C30954" w:rsidRDefault="00000000" w:rsidP="00282A23">
            <w:pPr>
              <w:spacing w:after="0" w:line="252" w:lineRule="auto"/>
              <w:jc w:val="both"/>
            </w:pPr>
            <w:r>
              <w:rPr>
                <w:rFonts w:eastAsia="Times New Roman"/>
                <w:sz w:val="16"/>
              </w:rPr>
              <w:t>Activated macrophages are abundant and express exploitable receptors such as folate receptor beta and CD44.</w:t>
            </w:r>
          </w:p>
        </w:tc>
        <w:tc>
          <w:tcPr>
            <w:tcW w:w="3168" w:type="dxa"/>
            <w:tcMar>
              <w:top w:w="95" w:type="dxa"/>
              <w:left w:w="100" w:type="dxa"/>
              <w:bottom w:w="95" w:type="dxa"/>
              <w:right w:w="100" w:type="dxa"/>
            </w:tcMar>
            <w:vAlign w:val="center"/>
          </w:tcPr>
          <w:p w14:paraId="425B8E7C" w14:textId="77777777" w:rsidR="00C30954" w:rsidRDefault="00000000" w:rsidP="00282A23">
            <w:pPr>
              <w:spacing w:after="0" w:line="252" w:lineRule="auto"/>
              <w:jc w:val="both"/>
            </w:pPr>
            <w:r>
              <w:rPr>
                <w:rFonts w:eastAsia="Times New Roman"/>
                <w:sz w:val="16"/>
              </w:rPr>
              <w:t>Ligands can improve uptake, but their incremental benefit must be separated from passive inflammatory accumulation and surface-charge effects.</w:t>
            </w:r>
          </w:p>
        </w:tc>
        <w:tc>
          <w:tcPr>
            <w:tcW w:w="1872" w:type="dxa"/>
            <w:tcMar>
              <w:top w:w="95" w:type="dxa"/>
              <w:left w:w="100" w:type="dxa"/>
              <w:bottom w:w="95" w:type="dxa"/>
              <w:right w:w="100" w:type="dxa"/>
            </w:tcMar>
            <w:vAlign w:val="center"/>
          </w:tcPr>
          <w:p w14:paraId="4D760064" w14:textId="77777777" w:rsidR="00C30954" w:rsidRPr="00033A1D" w:rsidRDefault="00000000" w:rsidP="00282A23">
            <w:pPr>
              <w:spacing w:after="0" w:line="252" w:lineRule="auto"/>
              <w:jc w:val="both"/>
              <w:rPr>
                <w:lang w:val="nl-BE"/>
              </w:rPr>
            </w:pPr>
            <w:r w:rsidRPr="00033A1D">
              <w:rPr>
                <w:rFonts w:eastAsia="Times New Roman"/>
                <w:sz w:val="16"/>
                <w:lang w:val="nl-BE"/>
              </w:rPr>
              <w:t>(Qin et al., 2025; Thomas et al., 2011; Zhou et al., 2018)</w:t>
            </w:r>
          </w:p>
        </w:tc>
      </w:tr>
      <w:tr w:rsidR="00C30954" w:rsidRPr="00033A1D" w14:paraId="3566C905" w14:textId="77777777">
        <w:trPr>
          <w:cantSplit/>
          <w:jc w:val="center"/>
        </w:trPr>
        <w:tc>
          <w:tcPr>
            <w:tcW w:w="1944" w:type="dxa"/>
            <w:tcMar>
              <w:top w:w="95" w:type="dxa"/>
              <w:left w:w="100" w:type="dxa"/>
              <w:bottom w:w="95" w:type="dxa"/>
              <w:right w:w="100" w:type="dxa"/>
            </w:tcMar>
            <w:vAlign w:val="center"/>
          </w:tcPr>
          <w:p w14:paraId="04F628AB" w14:textId="77777777" w:rsidR="00C30954" w:rsidRDefault="00000000" w:rsidP="00282A23">
            <w:pPr>
              <w:spacing w:after="0" w:line="252" w:lineRule="auto"/>
              <w:jc w:val="both"/>
            </w:pPr>
            <w:r>
              <w:rPr>
                <w:rFonts w:eastAsia="Times New Roman"/>
                <w:sz w:val="16"/>
              </w:rPr>
              <w:t>RA, IA dosing</w:t>
            </w:r>
          </w:p>
        </w:tc>
        <w:tc>
          <w:tcPr>
            <w:tcW w:w="3168" w:type="dxa"/>
            <w:tcMar>
              <w:top w:w="95" w:type="dxa"/>
              <w:left w:w="100" w:type="dxa"/>
              <w:bottom w:w="95" w:type="dxa"/>
              <w:right w:w="100" w:type="dxa"/>
            </w:tcMar>
            <w:vAlign w:val="center"/>
          </w:tcPr>
          <w:p w14:paraId="7282DFDD" w14:textId="77777777" w:rsidR="00C30954" w:rsidRDefault="00000000" w:rsidP="00282A23">
            <w:pPr>
              <w:spacing w:after="0" w:line="252" w:lineRule="auto"/>
              <w:jc w:val="both"/>
            </w:pPr>
            <w:r>
              <w:rPr>
                <w:rFonts w:eastAsia="Times New Roman"/>
                <w:sz w:val="16"/>
              </w:rPr>
              <w:t>Direct local delivery increases joint concentration but addresses selected joints in a systemic polyarticular disease.</w:t>
            </w:r>
          </w:p>
        </w:tc>
        <w:tc>
          <w:tcPr>
            <w:tcW w:w="3168" w:type="dxa"/>
            <w:tcMar>
              <w:top w:w="95" w:type="dxa"/>
              <w:left w:w="100" w:type="dxa"/>
              <w:bottom w:w="95" w:type="dxa"/>
              <w:right w:w="100" w:type="dxa"/>
            </w:tcMar>
            <w:vAlign w:val="center"/>
          </w:tcPr>
          <w:p w14:paraId="21D326E2" w14:textId="77777777" w:rsidR="00C30954" w:rsidRDefault="00000000" w:rsidP="00282A23">
            <w:pPr>
              <w:spacing w:after="0" w:line="252" w:lineRule="auto"/>
              <w:jc w:val="both"/>
            </w:pPr>
            <w:r>
              <w:rPr>
                <w:rFonts w:eastAsia="Times New Roman"/>
                <w:sz w:val="16"/>
              </w:rPr>
              <w:t>Useful for mechanistic or refractory-joint applications; repeated injections and local clearance limit scalability.</w:t>
            </w:r>
          </w:p>
        </w:tc>
        <w:tc>
          <w:tcPr>
            <w:tcW w:w="1872" w:type="dxa"/>
            <w:tcMar>
              <w:top w:w="95" w:type="dxa"/>
              <w:left w:w="100" w:type="dxa"/>
              <w:bottom w:w="95" w:type="dxa"/>
              <w:right w:w="100" w:type="dxa"/>
            </w:tcMar>
            <w:vAlign w:val="center"/>
          </w:tcPr>
          <w:p w14:paraId="3C8780D9" w14:textId="77777777" w:rsidR="00C30954" w:rsidRPr="00033A1D" w:rsidRDefault="00000000" w:rsidP="00282A23">
            <w:pPr>
              <w:spacing w:after="0" w:line="252" w:lineRule="auto"/>
              <w:jc w:val="both"/>
              <w:rPr>
                <w:lang w:val="nl-BE"/>
              </w:rPr>
            </w:pPr>
            <w:r w:rsidRPr="00033A1D">
              <w:rPr>
                <w:rFonts w:eastAsia="Times New Roman"/>
                <w:sz w:val="16"/>
                <w:lang w:val="nl-BE"/>
              </w:rPr>
              <w:t>(Barrera et al., 2000; Jansen et al., 2019)</w:t>
            </w:r>
          </w:p>
        </w:tc>
      </w:tr>
      <w:tr w:rsidR="00C30954" w:rsidRPr="00033A1D" w14:paraId="2294E248" w14:textId="77777777">
        <w:trPr>
          <w:cantSplit/>
          <w:jc w:val="center"/>
        </w:trPr>
        <w:tc>
          <w:tcPr>
            <w:tcW w:w="1944" w:type="dxa"/>
            <w:tcMar>
              <w:top w:w="95" w:type="dxa"/>
              <w:left w:w="100" w:type="dxa"/>
              <w:bottom w:w="95" w:type="dxa"/>
              <w:right w:w="100" w:type="dxa"/>
            </w:tcMar>
            <w:vAlign w:val="center"/>
          </w:tcPr>
          <w:p w14:paraId="433A8388" w14:textId="77777777" w:rsidR="00C30954" w:rsidRDefault="00000000" w:rsidP="00282A23">
            <w:pPr>
              <w:spacing w:after="0" w:line="252" w:lineRule="auto"/>
              <w:jc w:val="both"/>
            </w:pPr>
            <w:r>
              <w:rPr>
                <w:rFonts w:eastAsia="Times New Roman"/>
                <w:sz w:val="16"/>
              </w:rPr>
              <w:t>OA, synovial cavity</w:t>
            </w:r>
          </w:p>
        </w:tc>
        <w:tc>
          <w:tcPr>
            <w:tcW w:w="3168" w:type="dxa"/>
            <w:tcMar>
              <w:top w:w="95" w:type="dxa"/>
              <w:left w:w="100" w:type="dxa"/>
              <w:bottom w:w="95" w:type="dxa"/>
              <w:right w:w="100" w:type="dxa"/>
            </w:tcMar>
            <w:vAlign w:val="center"/>
          </w:tcPr>
          <w:p w14:paraId="36D4D385" w14:textId="77777777" w:rsidR="00C30954" w:rsidRDefault="00000000" w:rsidP="00282A23">
            <w:pPr>
              <w:spacing w:after="0" w:line="252" w:lineRule="auto"/>
              <w:jc w:val="both"/>
            </w:pPr>
            <w:r>
              <w:rPr>
                <w:rFonts w:eastAsia="Times New Roman"/>
                <w:sz w:val="16"/>
              </w:rPr>
              <w:t>IA administration bypasses systemic access, yet synovial turnover and vascular/lymphatic clearance shorten exposure.</w:t>
            </w:r>
          </w:p>
        </w:tc>
        <w:tc>
          <w:tcPr>
            <w:tcW w:w="3168" w:type="dxa"/>
            <w:tcMar>
              <w:top w:w="95" w:type="dxa"/>
              <w:left w:w="100" w:type="dxa"/>
              <w:bottom w:w="95" w:type="dxa"/>
              <w:right w:w="100" w:type="dxa"/>
            </w:tcMar>
            <w:vAlign w:val="center"/>
          </w:tcPr>
          <w:p w14:paraId="1DC36A5D" w14:textId="77777777" w:rsidR="00C30954" w:rsidRDefault="00000000" w:rsidP="00282A23">
            <w:pPr>
              <w:spacing w:after="0" w:line="252" w:lineRule="auto"/>
              <w:jc w:val="both"/>
            </w:pPr>
            <w:r>
              <w:rPr>
                <w:rFonts w:eastAsia="Times New Roman"/>
                <w:sz w:val="16"/>
              </w:rPr>
              <w:t>Depot formation or tissue binding is needed; dye residence can overestimate intact-payload residence.</w:t>
            </w:r>
          </w:p>
        </w:tc>
        <w:tc>
          <w:tcPr>
            <w:tcW w:w="1872" w:type="dxa"/>
            <w:tcMar>
              <w:top w:w="95" w:type="dxa"/>
              <w:left w:w="100" w:type="dxa"/>
              <w:bottom w:w="95" w:type="dxa"/>
              <w:right w:w="100" w:type="dxa"/>
            </w:tcMar>
            <w:vAlign w:val="center"/>
          </w:tcPr>
          <w:p w14:paraId="6CD42B7A" w14:textId="77777777" w:rsidR="00C30954" w:rsidRPr="00033A1D" w:rsidRDefault="00000000" w:rsidP="00282A23">
            <w:pPr>
              <w:spacing w:after="0" w:line="252" w:lineRule="auto"/>
              <w:jc w:val="both"/>
              <w:rPr>
                <w:lang w:val="nl-BE"/>
              </w:rPr>
            </w:pPr>
            <w:r w:rsidRPr="00033A1D">
              <w:rPr>
                <w:rFonts w:eastAsia="Times New Roman"/>
                <w:sz w:val="16"/>
                <w:lang w:val="nl-BE"/>
              </w:rPr>
              <w:t>(Boyer et al., 2025; He et al., 2023)</w:t>
            </w:r>
          </w:p>
        </w:tc>
      </w:tr>
      <w:tr w:rsidR="00C30954" w:rsidRPr="00033A1D" w14:paraId="58FB4020" w14:textId="77777777">
        <w:trPr>
          <w:cantSplit/>
          <w:jc w:val="center"/>
        </w:trPr>
        <w:tc>
          <w:tcPr>
            <w:tcW w:w="1944" w:type="dxa"/>
            <w:tcMar>
              <w:top w:w="95" w:type="dxa"/>
              <w:left w:w="100" w:type="dxa"/>
              <w:bottom w:w="95" w:type="dxa"/>
              <w:right w:w="100" w:type="dxa"/>
            </w:tcMar>
            <w:vAlign w:val="center"/>
          </w:tcPr>
          <w:p w14:paraId="44B99A7B" w14:textId="77777777" w:rsidR="00C30954" w:rsidRDefault="00000000" w:rsidP="00282A23">
            <w:pPr>
              <w:spacing w:after="0" w:line="252" w:lineRule="auto"/>
              <w:jc w:val="both"/>
            </w:pPr>
            <w:r>
              <w:rPr>
                <w:rFonts w:eastAsia="Times New Roman"/>
                <w:sz w:val="16"/>
              </w:rPr>
              <w:t>OA, cartilage ECM</w:t>
            </w:r>
          </w:p>
        </w:tc>
        <w:tc>
          <w:tcPr>
            <w:tcW w:w="3168" w:type="dxa"/>
            <w:tcMar>
              <w:top w:w="95" w:type="dxa"/>
              <w:left w:w="100" w:type="dxa"/>
              <w:bottom w:w="95" w:type="dxa"/>
              <w:right w:w="100" w:type="dxa"/>
            </w:tcMar>
            <w:vAlign w:val="center"/>
          </w:tcPr>
          <w:p w14:paraId="1F682E9D" w14:textId="77777777" w:rsidR="00C30954" w:rsidRDefault="00000000" w:rsidP="00282A23">
            <w:pPr>
              <w:spacing w:after="0" w:line="252" w:lineRule="auto"/>
              <w:jc w:val="both"/>
            </w:pPr>
            <w:r>
              <w:rPr>
                <w:rFonts w:eastAsia="Times New Roman"/>
                <w:sz w:val="16"/>
              </w:rPr>
              <w:t>Avascular, dense collagen-proteoglycan matrix restricts large or anionic constructs.</w:t>
            </w:r>
          </w:p>
        </w:tc>
        <w:tc>
          <w:tcPr>
            <w:tcW w:w="3168" w:type="dxa"/>
            <w:tcMar>
              <w:top w:w="95" w:type="dxa"/>
              <w:left w:w="100" w:type="dxa"/>
              <w:bottom w:w="95" w:type="dxa"/>
              <w:right w:w="100" w:type="dxa"/>
            </w:tcMar>
            <w:vAlign w:val="center"/>
          </w:tcPr>
          <w:p w14:paraId="7AD0ECE9" w14:textId="77777777" w:rsidR="00C30954" w:rsidRDefault="00000000" w:rsidP="00282A23">
            <w:pPr>
              <w:spacing w:after="0" w:line="252" w:lineRule="auto"/>
              <w:jc w:val="both"/>
            </w:pPr>
            <w:r>
              <w:rPr>
                <w:rFonts w:eastAsia="Times New Roman"/>
                <w:sz w:val="16"/>
              </w:rPr>
              <w:t>Small affinity ligands or optimally cationic carriers can turn ECM into a reservoir; excessive binding can impair depth of penetration.</w:t>
            </w:r>
          </w:p>
        </w:tc>
        <w:tc>
          <w:tcPr>
            <w:tcW w:w="1872" w:type="dxa"/>
            <w:tcMar>
              <w:top w:w="95" w:type="dxa"/>
              <w:left w:w="100" w:type="dxa"/>
              <w:bottom w:w="95" w:type="dxa"/>
              <w:right w:w="100" w:type="dxa"/>
            </w:tcMar>
            <w:vAlign w:val="center"/>
          </w:tcPr>
          <w:p w14:paraId="3C1DA978" w14:textId="77777777" w:rsidR="00C30954" w:rsidRPr="00033A1D" w:rsidRDefault="00000000" w:rsidP="00282A23">
            <w:pPr>
              <w:spacing w:after="0" w:line="252" w:lineRule="auto"/>
              <w:jc w:val="both"/>
              <w:rPr>
                <w:lang w:val="nl-BE"/>
              </w:rPr>
            </w:pPr>
            <w:r w:rsidRPr="00033A1D">
              <w:rPr>
                <w:rFonts w:eastAsia="Times New Roman"/>
                <w:sz w:val="16"/>
                <w:lang w:val="nl-BE"/>
              </w:rPr>
              <w:t>(Bajpayee et al., 2014; Rothenfluh et al., 2008; Zhu et al., 2023)</w:t>
            </w:r>
          </w:p>
        </w:tc>
      </w:tr>
      <w:tr w:rsidR="00C30954" w:rsidRPr="00033A1D" w14:paraId="21A86EA8" w14:textId="77777777">
        <w:trPr>
          <w:cantSplit/>
          <w:jc w:val="center"/>
        </w:trPr>
        <w:tc>
          <w:tcPr>
            <w:tcW w:w="1944" w:type="dxa"/>
            <w:tcMar>
              <w:top w:w="95" w:type="dxa"/>
              <w:left w:w="100" w:type="dxa"/>
              <w:bottom w:w="95" w:type="dxa"/>
              <w:right w:w="100" w:type="dxa"/>
            </w:tcMar>
            <w:vAlign w:val="center"/>
          </w:tcPr>
          <w:p w14:paraId="39D7FC2B" w14:textId="77777777" w:rsidR="00C30954" w:rsidRDefault="00000000" w:rsidP="00282A23">
            <w:pPr>
              <w:spacing w:after="0" w:line="252" w:lineRule="auto"/>
              <w:jc w:val="both"/>
            </w:pPr>
            <w:r>
              <w:rPr>
                <w:rFonts w:eastAsia="Times New Roman"/>
                <w:sz w:val="16"/>
              </w:rPr>
              <w:t>OA, diseased cartilage</w:t>
            </w:r>
          </w:p>
        </w:tc>
        <w:tc>
          <w:tcPr>
            <w:tcW w:w="3168" w:type="dxa"/>
            <w:tcMar>
              <w:top w:w="95" w:type="dxa"/>
              <w:left w:w="100" w:type="dxa"/>
              <w:bottom w:w="95" w:type="dxa"/>
              <w:right w:w="100" w:type="dxa"/>
            </w:tcMar>
            <w:vAlign w:val="center"/>
          </w:tcPr>
          <w:p w14:paraId="2DF1D0B8" w14:textId="77777777" w:rsidR="00C30954" w:rsidRDefault="00000000" w:rsidP="00282A23">
            <w:pPr>
              <w:spacing w:after="0" w:line="252" w:lineRule="auto"/>
              <w:jc w:val="both"/>
            </w:pPr>
            <w:r>
              <w:rPr>
                <w:rFonts w:eastAsia="Times New Roman"/>
                <w:sz w:val="16"/>
              </w:rPr>
              <w:t>Matrix loss, synovitis, proteases and increased vascular clearance change transport with disease stage.</w:t>
            </w:r>
          </w:p>
        </w:tc>
        <w:tc>
          <w:tcPr>
            <w:tcW w:w="3168" w:type="dxa"/>
            <w:tcMar>
              <w:top w:w="95" w:type="dxa"/>
              <w:left w:w="100" w:type="dxa"/>
              <w:bottom w:w="95" w:type="dxa"/>
              <w:right w:w="100" w:type="dxa"/>
            </w:tcMar>
            <w:vAlign w:val="center"/>
          </w:tcPr>
          <w:p w14:paraId="30E0E72E" w14:textId="77777777" w:rsidR="00C30954" w:rsidRDefault="00000000" w:rsidP="00282A23">
            <w:pPr>
              <w:spacing w:after="0" w:line="252" w:lineRule="auto"/>
              <w:jc w:val="both"/>
            </w:pPr>
            <w:r>
              <w:rPr>
                <w:rFonts w:eastAsia="Times New Roman"/>
                <w:sz w:val="16"/>
              </w:rPr>
              <w:t>Healthy explant or healthy-joint kinetics require confirmation in disease-relevant and larger-joint models.</w:t>
            </w:r>
          </w:p>
        </w:tc>
        <w:tc>
          <w:tcPr>
            <w:tcW w:w="1872" w:type="dxa"/>
            <w:tcMar>
              <w:top w:w="95" w:type="dxa"/>
              <w:left w:w="100" w:type="dxa"/>
              <w:bottom w:w="95" w:type="dxa"/>
              <w:right w:w="100" w:type="dxa"/>
            </w:tcMar>
            <w:vAlign w:val="center"/>
          </w:tcPr>
          <w:p w14:paraId="3F119C5D" w14:textId="77777777" w:rsidR="00C30954" w:rsidRPr="00033A1D" w:rsidRDefault="00000000" w:rsidP="00282A23">
            <w:pPr>
              <w:spacing w:after="0" w:line="252" w:lineRule="auto"/>
              <w:jc w:val="both"/>
              <w:rPr>
                <w:lang w:val="nl-BE"/>
              </w:rPr>
            </w:pPr>
            <w:r w:rsidRPr="00033A1D">
              <w:rPr>
                <w:rFonts w:eastAsia="Times New Roman"/>
                <w:sz w:val="16"/>
                <w:lang w:val="nl-BE"/>
              </w:rPr>
              <w:t>(Boyer et al., 2025; Zhang et al., 2024)</w:t>
            </w:r>
          </w:p>
        </w:tc>
      </w:tr>
    </w:tbl>
    <w:p w14:paraId="55A9F8D3" w14:textId="77777777" w:rsidR="00C30954" w:rsidRDefault="00000000" w:rsidP="00282A23">
      <w:pPr>
        <w:spacing w:before="80" w:after="180"/>
        <w:jc w:val="both"/>
      </w:pPr>
      <w:r>
        <w:rPr>
          <w:rFonts w:eastAsia="Times New Roman"/>
          <w:i/>
          <w:sz w:val="16"/>
        </w:rPr>
        <w:t>Note. ECM = extracellular matrix; IA = intra-articular; OA = osteoarthritis; RA = rheumatoid arthritis.</w:t>
      </w:r>
    </w:p>
    <w:p w14:paraId="74BB8FAA" w14:textId="77777777" w:rsidR="00C30954" w:rsidRDefault="00000000" w:rsidP="00282A23">
      <w:pPr>
        <w:pStyle w:val="Heading1"/>
        <w:jc w:val="both"/>
      </w:pPr>
      <w:r>
        <w:rPr>
          <w:rFonts w:ascii="Times New Roman" w:eastAsia="Times New Roman" w:hAnsi="Times New Roman"/>
        </w:rPr>
        <w:lastRenderedPageBreak/>
        <w:t>4. Nanocarrier Architectures and Route-Dependent Design</w:t>
      </w:r>
    </w:p>
    <w:p w14:paraId="5A8364DE" w14:textId="77777777" w:rsidR="00C30954" w:rsidRDefault="00000000" w:rsidP="00282A23">
      <w:pPr>
        <w:pStyle w:val="Heading2"/>
        <w:jc w:val="both"/>
      </w:pPr>
      <w:r>
        <w:rPr>
          <w:rFonts w:ascii="Times New Roman" w:eastAsia="Times New Roman" w:hAnsi="Times New Roman"/>
        </w:rPr>
        <w:t>4.1 Liposomes and Lipid Nanoparticles</w:t>
      </w:r>
    </w:p>
    <w:p w14:paraId="7DC17914" w14:textId="77777777" w:rsidR="00C30954" w:rsidRDefault="00000000" w:rsidP="00282A23">
      <w:pPr>
        <w:pStyle w:val="BodyText"/>
        <w:ind w:firstLine="317"/>
      </w:pPr>
      <w:r>
        <w:rPr>
          <w:rFonts w:eastAsia="Times New Roman"/>
        </w:rPr>
        <w:t>Lipid-based carriers have the longest translational lineage in arthritis. Their core advantages are clinically familiar excipients, capacity for hydrophilic or lipophilic payloads, surface PEGylation and adaptable ligand conjugation. In RA, long-circulating pegylated liposomes can shift glucocorticoid exposure towards inflamed joints and away from repeated free-drug peaks. The progression from rodent experiments to a randomised clinical trial is therefore a rare example in which a basic biodistribution rationale survived formulation development and human testing (Metselaar et al., 2003, 2022). Liposomes have also carried cytokines and supported peptide-directed endothelial targeting (Meka et al., 2018). Their limitations include complement activation or infusion reactions, drug leakage, variable uptake by the mononuclear phagocyte system and the difficulty of proving that PEG-mediated longevity remains advantageous during repeated dosing.</w:t>
      </w:r>
    </w:p>
    <w:p w14:paraId="024EEBB5" w14:textId="77777777" w:rsidR="00C30954" w:rsidRDefault="00000000" w:rsidP="00282A23">
      <w:pPr>
        <w:pStyle w:val="BodyText"/>
        <w:ind w:firstLine="317"/>
      </w:pPr>
      <w:r>
        <w:rPr>
          <w:rFonts w:eastAsia="Times New Roman"/>
        </w:rPr>
        <w:t>Newer lipid nanoparticles are increasingly used as programmable molecular-delivery systems rather than passive drug reservoirs. In OA, mRNA-LNP delivery of fibroblast growth factor 18 achieved longer local protein expression and deeper access to chondrocytes than recombinant protein in mouse models, while IA treatment reduced degenerative features in surgical and ageing models (Kong et al., 2025). Bioinspired multilamellar lipid nanoparticles decorated with a cartilage-binding peptide have also been used for prolonged dual delivery of transforming growth factor beta 3 and kartogenin, protecting cartilage in rat OA and supporting repair in rabbit cartilage defects (Zhou et al., 2025). These findings illustrate the flexibility of lipid systems, but also broaden the burden of proof: a complex carrier must be reproducibly manufactured, maintain payload integrity, release at the intended site and demonstrate safety for repeated IA exposure.</w:t>
      </w:r>
    </w:p>
    <w:p w14:paraId="28B5208C" w14:textId="77777777" w:rsidR="00C30954" w:rsidRDefault="00000000" w:rsidP="00282A23">
      <w:pPr>
        <w:pStyle w:val="Heading2"/>
        <w:jc w:val="both"/>
      </w:pPr>
      <w:r>
        <w:rPr>
          <w:rFonts w:ascii="Times New Roman" w:eastAsia="Times New Roman" w:hAnsi="Times New Roman"/>
        </w:rPr>
        <w:t>4.2 Polymeric Nanoparticles, Micelles and Dendrimeric/Protein Constructs</w:t>
      </w:r>
    </w:p>
    <w:p w14:paraId="47AE71A1" w14:textId="77777777" w:rsidR="00C30954" w:rsidRDefault="00000000" w:rsidP="00282A23">
      <w:pPr>
        <w:pStyle w:val="BodyText"/>
        <w:ind w:firstLine="317"/>
      </w:pPr>
      <w:r>
        <w:rPr>
          <w:rFonts w:eastAsia="Times New Roman"/>
        </w:rPr>
        <w:t>Polymeric systems offer precise control over degradation, charge and core-shell architecture. PCL-PEG micelles containing low-dose dexamethasone accumulated preferentially in inflamed joints and reduced inflammatory and structural outcomes in arthritic rats, supporting the value of long-circulating amphiphilic assemblies for systemic RA delivery (Wang et al., 2016). Hybrid micelles can also co-deliver mechanistically distinct payloads: dexamethasone and siRNA against NF-kappaB p65 were combined to suppress inflammatory signalling and shift macrophage phenotype in collagen-induced arthritis (Wang et al., 2017). Co-delivery may reduce pathway redundancy, but it makes dose attribution difficult. If both payloads and the carrier affect macrophage biology, conventional two-arm comparisons cannot establish which component creates the observed advantage.</w:t>
      </w:r>
    </w:p>
    <w:p w14:paraId="0A4A0502" w14:textId="77777777" w:rsidR="00C30954" w:rsidRDefault="00000000" w:rsidP="00282A23">
      <w:pPr>
        <w:pStyle w:val="BodyText"/>
        <w:ind w:firstLine="317"/>
      </w:pPr>
      <w:r>
        <w:rPr>
          <w:rFonts w:eastAsia="Times New Roman"/>
        </w:rPr>
        <w:t>In OA, polymer chemistry is used less to prolong systemic circulation than to solve tissue transport. Cationic micelles enhanced cartilage uptake and retention relative to neutral analogues in porcine explants, a design that directly links surface charge with a mechanistically relevant transport endpoint (Zhu et al., 2023). Sub-60-nm polydopamine nanocapsules conjugated to a collagen-binding peptide combined deformability, matrix affinity, reactive-oxygen-species scavenging and delivery of parathyroid hormone 1-34, with prolonged joint retention and therapeutic effects in experimental OA (Mei et al., 2024). Such multifunctionality is attractive but raises attribution problems: when the carrier is antioxidant and the payload is anabolic, efficacy cannot be interpreted solely as proof of targeting.</w:t>
      </w:r>
    </w:p>
    <w:p w14:paraId="54AED732" w14:textId="77777777" w:rsidR="00C30954" w:rsidRDefault="00000000" w:rsidP="00282A23">
      <w:pPr>
        <w:pStyle w:val="BodyText"/>
        <w:ind w:firstLine="317"/>
      </w:pPr>
      <w:r>
        <w:rPr>
          <w:rFonts w:eastAsia="Times New Roman"/>
        </w:rPr>
        <w:t xml:space="preserve">Dendrimers and protein nanoconstructs occupy a useful middle ground because multivalency permits high ligand density and controllable cargo attachment. Folate-targeted poly(amidoamine) dendrimers established receptor-directed macrophage delivery in experimental arthritis (Thomas et al., 2011). PEGylated avidin-based constructs exploit cartilage electrostatics while increasing drug-loading options (He et al., 2023). These platforms also expose a general trade-off: increasing positive charge or ligand density can enhance tissue association but may </w:t>
      </w:r>
      <w:r>
        <w:rPr>
          <w:rFonts w:eastAsia="Times New Roman"/>
        </w:rPr>
        <w:lastRenderedPageBreak/>
        <w:t>alter protein corona formation, immune recognition, viscosity and off-target binding. Material optimisation therefore needs to include pharmacology and immunology rather than treating particle size and zeta potential as sufficient descriptors.</w:t>
      </w:r>
    </w:p>
    <w:p w14:paraId="52827F37" w14:textId="77777777" w:rsidR="00C30954" w:rsidRDefault="00000000" w:rsidP="00282A23">
      <w:pPr>
        <w:pStyle w:val="Heading2"/>
        <w:jc w:val="both"/>
      </w:pPr>
      <w:r>
        <w:rPr>
          <w:rFonts w:ascii="Times New Roman" w:eastAsia="Times New Roman" w:hAnsi="Times New Roman"/>
        </w:rPr>
        <w:t>4.3 Inorganic, Metal-Organic and Catalytically Active Nanoparticles</w:t>
      </w:r>
    </w:p>
    <w:p w14:paraId="735749F4" w14:textId="77777777" w:rsidR="00C30954" w:rsidRDefault="00000000" w:rsidP="00282A23">
      <w:pPr>
        <w:pStyle w:val="BodyText"/>
        <w:ind w:firstLine="317"/>
      </w:pPr>
      <w:r>
        <w:rPr>
          <w:rFonts w:eastAsia="Times New Roman"/>
        </w:rPr>
        <w:t>Inorganic and metal-organic nanoparticles can act as both carriers and therapeutics. In RA, folic-acid-modified silver nanoparticles were designed to enter inflammatory macrophages, release silver ions intracellularly, reduce inflammatory macrophage abundance and promote repolarisation without an encapsulated conventional drug (Yang et al., 2021). More recently, an HA-anchored iron-based metal-organic framework co-delivered emodin and siRNA against KEAP1, combining CD44-associated macrophage targeting, pH-responsive release and redox-pathway modulation (Qin et al., 2025). These systems challenge the simple carrier-payload model because the material itself participates in the therapeutic mechanism.</w:t>
      </w:r>
    </w:p>
    <w:p w14:paraId="76BD01D6" w14:textId="77777777" w:rsidR="00C30954" w:rsidRDefault="00000000" w:rsidP="00282A23">
      <w:pPr>
        <w:pStyle w:val="BodyText"/>
        <w:ind w:firstLine="317"/>
      </w:pPr>
      <w:r>
        <w:rPr>
          <w:rFonts w:eastAsia="Times New Roman"/>
        </w:rPr>
        <w:t>OA studies similarly use catalytic or photothermal properties. Cartilage-targeting cerium oxide nanoparticles reduced oxidative stress and cartilage damage in experimental OA, taking advantage of ceria redox activity as well as WYRGRL-related tissue targeting (Zhuang et al., 2024). A metal-organic-framework-decorated polydopamine system combined collagen-targeting peptide, sequential drug release and near-infrared activation in an anterior-cruciate-ligament-transection model (Xue et al., 2021). Such designs can produce striking multimodal results, but their translation is constrained by questions that are less prominent for degradable lipid carriers: long-term tissue persistence, dissolution products, dose-dependent catalytic behaviour, imaging artefacts, and whether externally triggered activation is practical for deep human joints.</w:t>
      </w:r>
    </w:p>
    <w:p w14:paraId="4BFC53AC" w14:textId="77777777" w:rsidR="00C30954" w:rsidRDefault="00000000" w:rsidP="00282A23">
      <w:pPr>
        <w:pStyle w:val="Heading2"/>
        <w:jc w:val="both"/>
      </w:pPr>
      <w:r>
        <w:rPr>
          <w:rFonts w:ascii="Times New Roman" w:eastAsia="Times New Roman" w:hAnsi="Times New Roman"/>
        </w:rPr>
        <w:t>4.4 Biomimetic and Extracellular-Vesicle Strategies</w:t>
      </w:r>
    </w:p>
    <w:p w14:paraId="2A22BABD" w14:textId="77777777" w:rsidR="00C30954" w:rsidRDefault="00000000" w:rsidP="00282A23">
      <w:pPr>
        <w:pStyle w:val="BodyText"/>
        <w:ind w:firstLine="317"/>
      </w:pPr>
      <w:r>
        <w:rPr>
          <w:rFonts w:eastAsia="Times New Roman"/>
        </w:rPr>
        <w:t>Biomimetic systems attempt to borrow biological recognition or membrane trafficking from cells and extracellular vesicles. Engineered exosomes are especially relevant to cartilage because their native lipid bilayer can encapsulate nucleic acid or protein cargo, but native exosomes are negatively charged and therefore electrostatically disadvantaged in anionic cartilage. Charge reversal with cationic motifs enabled exosomes to penetrate early-stage arthritic human cartilage explants and deliver reporter mRNA to deep chondrocytes, while unmodified exosomes performed poorly (Zhang et al., 2024). A related platform delivered interleukin-1 receptor antagonist into early arthritic cartilage explants and sustained anti-catabolic effects after a single exposure (Pathrikar et al., 2025). These studies demonstrate engineering feasibility rather than clinical efficacy. Exosome source, purification, heterogeneity, cargo loading, potency assays and batch reproducibility remain major manufacturing questions.</w:t>
      </w:r>
    </w:p>
    <w:p w14:paraId="1162A28E" w14:textId="77777777" w:rsidR="00C30954" w:rsidRDefault="00000000" w:rsidP="00282A23">
      <w:pPr>
        <w:pStyle w:val="BodyText"/>
        <w:ind w:firstLine="317"/>
      </w:pPr>
      <w:r>
        <w:rPr>
          <w:rFonts w:eastAsia="Times New Roman"/>
        </w:rPr>
        <w:t>Table 2 compares platform-level strengths and liabilities. The central pattern is that no architecture is intrinsically “best” for arthritis. Lipid systems currently have the strongest human precedent; polymeric and protein systems offer tunable transport and retention; inorganic systems add catalytic functions but introduce persistence and attribution concerns; and extracellular vesicles may facilitate molecular delivery but remain manufacturing-intensive. Route, target compartment and payload should therefore determine platform selection rather than novelty of the material itself.</w:t>
      </w:r>
    </w:p>
    <w:p w14:paraId="1002D66A" w14:textId="77777777" w:rsidR="00C30954" w:rsidRDefault="00000000" w:rsidP="00282A23">
      <w:pPr>
        <w:keepNext/>
        <w:spacing w:before="80" w:after="80"/>
        <w:jc w:val="both"/>
      </w:pPr>
      <w:r>
        <w:rPr>
          <w:rFonts w:eastAsia="Times New Roman"/>
          <w:b/>
          <w:color w:val="1F4E79"/>
          <w:sz w:val="20"/>
        </w:rPr>
        <w:t>Table 2. Comparison of nanoparticle platform classes for arthritic-joint delivery</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944"/>
        <w:gridCol w:w="3168"/>
        <w:gridCol w:w="3168"/>
        <w:gridCol w:w="1872"/>
      </w:tblGrid>
      <w:tr w:rsidR="00C30954" w14:paraId="3C83A935" w14:textId="77777777">
        <w:trPr>
          <w:tblHeader/>
          <w:jc w:val="center"/>
        </w:trPr>
        <w:tc>
          <w:tcPr>
            <w:tcW w:w="1944" w:type="dxa"/>
            <w:shd w:val="clear" w:color="auto" w:fill="D9E5F2"/>
            <w:tcMar>
              <w:top w:w="100" w:type="dxa"/>
              <w:left w:w="100" w:type="dxa"/>
              <w:bottom w:w="100" w:type="dxa"/>
              <w:right w:w="100" w:type="dxa"/>
            </w:tcMar>
            <w:vAlign w:val="center"/>
          </w:tcPr>
          <w:p w14:paraId="57E85628" w14:textId="77777777" w:rsidR="00C30954" w:rsidRDefault="00000000" w:rsidP="00282A23">
            <w:pPr>
              <w:spacing w:after="0"/>
              <w:jc w:val="both"/>
            </w:pPr>
            <w:r>
              <w:rPr>
                <w:rFonts w:eastAsia="Times New Roman"/>
                <w:b/>
                <w:color w:val="1F4E79"/>
                <w:sz w:val="16"/>
              </w:rPr>
              <w:t>Platform class</w:t>
            </w:r>
          </w:p>
        </w:tc>
        <w:tc>
          <w:tcPr>
            <w:tcW w:w="3168" w:type="dxa"/>
            <w:shd w:val="clear" w:color="auto" w:fill="D9E5F2"/>
            <w:tcMar>
              <w:top w:w="100" w:type="dxa"/>
              <w:left w:w="100" w:type="dxa"/>
              <w:bottom w:w="100" w:type="dxa"/>
              <w:right w:w="100" w:type="dxa"/>
            </w:tcMar>
            <w:vAlign w:val="center"/>
          </w:tcPr>
          <w:p w14:paraId="073E1879" w14:textId="77777777" w:rsidR="00C30954" w:rsidRDefault="00000000" w:rsidP="00282A23">
            <w:pPr>
              <w:spacing w:after="0"/>
              <w:jc w:val="both"/>
            </w:pPr>
            <w:r>
              <w:rPr>
                <w:rFonts w:eastAsia="Times New Roman"/>
                <w:b/>
                <w:color w:val="1F4E79"/>
                <w:sz w:val="16"/>
              </w:rPr>
              <w:t>Principal design strengths</w:t>
            </w:r>
          </w:p>
        </w:tc>
        <w:tc>
          <w:tcPr>
            <w:tcW w:w="3168" w:type="dxa"/>
            <w:shd w:val="clear" w:color="auto" w:fill="D9E5F2"/>
            <w:tcMar>
              <w:top w:w="100" w:type="dxa"/>
              <w:left w:w="100" w:type="dxa"/>
              <w:bottom w:w="100" w:type="dxa"/>
              <w:right w:w="100" w:type="dxa"/>
            </w:tcMar>
            <w:vAlign w:val="center"/>
          </w:tcPr>
          <w:p w14:paraId="743D888F" w14:textId="77777777" w:rsidR="00C30954" w:rsidRDefault="00000000" w:rsidP="00282A23">
            <w:pPr>
              <w:spacing w:after="0"/>
              <w:jc w:val="both"/>
            </w:pPr>
            <w:r>
              <w:rPr>
                <w:rFonts w:eastAsia="Times New Roman"/>
                <w:b/>
                <w:color w:val="1F4E79"/>
                <w:sz w:val="16"/>
              </w:rPr>
              <w:t>Key translational liabilities</w:t>
            </w:r>
          </w:p>
        </w:tc>
        <w:tc>
          <w:tcPr>
            <w:tcW w:w="1872" w:type="dxa"/>
            <w:shd w:val="clear" w:color="auto" w:fill="D9E5F2"/>
            <w:tcMar>
              <w:top w:w="100" w:type="dxa"/>
              <w:left w:w="100" w:type="dxa"/>
              <w:bottom w:w="100" w:type="dxa"/>
              <w:right w:w="100" w:type="dxa"/>
            </w:tcMar>
            <w:vAlign w:val="center"/>
          </w:tcPr>
          <w:p w14:paraId="77ACD566" w14:textId="77777777" w:rsidR="00C30954" w:rsidRDefault="00000000" w:rsidP="00282A23">
            <w:pPr>
              <w:spacing w:after="0"/>
              <w:jc w:val="both"/>
            </w:pPr>
            <w:r>
              <w:rPr>
                <w:rFonts w:eastAsia="Times New Roman"/>
                <w:b/>
                <w:color w:val="1F4E79"/>
                <w:sz w:val="16"/>
              </w:rPr>
              <w:t>Supporting references</w:t>
            </w:r>
          </w:p>
        </w:tc>
      </w:tr>
      <w:tr w:rsidR="00C30954" w:rsidRPr="00033A1D" w14:paraId="202E3ACA" w14:textId="77777777">
        <w:trPr>
          <w:cantSplit/>
          <w:jc w:val="center"/>
        </w:trPr>
        <w:tc>
          <w:tcPr>
            <w:tcW w:w="1944" w:type="dxa"/>
            <w:tcMar>
              <w:top w:w="95" w:type="dxa"/>
              <w:left w:w="100" w:type="dxa"/>
              <w:bottom w:w="95" w:type="dxa"/>
              <w:right w:w="100" w:type="dxa"/>
            </w:tcMar>
            <w:vAlign w:val="center"/>
          </w:tcPr>
          <w:p w14:paraId="21FF3989" w14:textId="77777777" w:rsidR="00C30954" w:rsidRDefault="00000000" w:rsidP="00282A23">
            <w:pPr>
              <w:spacing w:after="0" w:line="252" w:lineRule="auto"/>
              <w:jc w:val="both"/>
            </w:pPr>
            <w:r>
              <w:rPr>
                <w:rFonts w:eastAsia="Times New Roman"/>
                <w:sz w:val="16"/>
              </w:rPr>
              <w:t>Liposomes/lipid nanoparticles</w:t>
            </w:r>
          </w:p>
        </w:tc>
        <w:tc>
          <w:tcPr>
            <w:tcW w:w="3168" w:type="dxa"/>
            <w:tcMar>
              <w:top w:w="95" w:type="dxa"/>
              <w:left w:w="100" w:type="dxa"/>
              <w:bottom w:w="95" w:type="dxa"/>
              <w:right w:w="100" w:type="dxa"/>
            </w:tcMar>
            <w:vAlign w:val="center"/>
          </w:tcPr>
          <w:p w14:paraId="574F0A18" w14:textId="77777777" w:rsidR="00C30954" w:rsidRDefault="00000000" w:rsidP="00282A23">
            <w:pPr>
              <w:spacing w:after="0" w:line="252" w:lineRule="auto"/>
              <w:jc w:val="both"/>
            </w:pPr>
            <w:r>
              <w:rPr>
                <w:rFonts w:eastAsia="Times New Roman"/>
                <w:sz w:val="16"/>
              </w:rPr>
              <w:t>Long-circulation options, clinical formulation precedent, scalable encapsulation, compatibility with RNA and proteins.</w:t>
            </w:r>
          </w:p>
        </w:tc>
        <w:tc>
          <w:tcPr>
            <w:tcW w:w="3168" w:type="dxa"/>
            <w:tcMar>
              <w:top w:w="95" w:type="dxa"/>
              <w:left w:w="100" w:type="dxa"/>
              <w:bottom w:w="95" w:type="dxa"/>
              <w:right w:w="100" w:type="dxa"/>
            </w:tcMar>
            <w:vAlign w:val="center"/>
          </w:tcPr>
          <w:p w14:paraId="0E4325F2" w14:textId="77777777" w:rsidR="00C30954" w:rsidRDefault="00000000" w:rsidP="00282A23">
            <w:pPr>
              <w:spacing w:after="0" w:line="252" w:lineRule="auto"/>
              <w:jc w:val="both"/>
            </w:pPr>
            <w:r>
              <w:rPr>
                <w:rFonts w:eastAsia="Times New Roman"/>
                <w:sz w:val="16"/>
              </w:rPr>
              <w:t>Infusion reactions, complement interactions, leakage or premature release, repeated-dose PEG issues, route-dependent clearance.</w:t>
            </w:r>
          </w:p>
        </w:tc>
        <w:tc>
          <w:tcPr>
            <w:tcW w:w="1872" w:type="dxa"/>
            <w:tcMar>
              <w:top w:w="95" w:type="dxa"/>
              <w:left w:w="100" w:type="dxa"/>
              <w:bottom w:w="95" w:type="dxa"/>
              <w:right w:w="100" w:type="dxa"/>
            </w:tcMar>
            <w:vAlign w:val="center"/>
          </w:tcPr>
          <w:p w14:paraId="4113659E" w14:textId="77777777" w:rsidR="00C30954" w:rsidRPr="00033A1D" w:rsidRDefault="00000000" w:rsidP="00282A23">
            <w:pPr>
              <w:spacing w:after="0" w:line="252" w:lineRule="auto"/>
              <w:jc w:val="both"/>
              <w:rPr>
                <w:lang w:val="nl-BE"/>
              </w:rPr>
            </w:pPr>
            <w:r w:rsidRPr="00033A1D">
              <w:rPr>
                <w:rFonts w:eastAsia="Times New Roman"/>
                <w:sz w:val="16"/>
                <w:lang w:val="nl-BE"/>
              </w:rPr>
              <w:t>(Kong et al., 2025; Metselaar et al., 2022; Zhou et al., 2025)</w:t>
            </w:r>
          </w:p>
        </w:tc>
      </w:tr>
      <w:tr w:rsidR="00C30954" w:rsidRPr="00033A1D" w14:paraId="6D7DB44B" w14:textId="77777777">
        <w:trPr>
          <w:cantSplit/>
          <w:jc w:val="center"/>
        </w:trPr>
        <w:tc>
          <w:tcPr>
            <w:tcW w:w="1944" w:type="dxa"/>
            <w:tcMar>
              <w:top w:w="95" w:type="dxa"/>
              <w:left w:w="100" w:type="dxa"/>
              <w:bottom w:w="95" w:type="dxa"/>
              <w:right w:w="100" w:type="dxa"/>
            </w:tcMar>
            <w:vAlign w:val="center"/>
          </w:tcPr>
          <w:p w14:paraId="28920970" w14:textId="77777777" w:rsidR="00C30954" w:rsidRDefault="00000000" w:rsidP="00282A23">
            <w:pPr>
              <w:spacing w:after="0" w:line="252" w:lineRule="auto"/>
              <w:jc w:val="both"/>
            </w:pPr>
            <w:r>
              <w:rPr>
                <w:rFonts w:eastAsia="Times New Roman"/>
                <w:sz w:val="16"/>
              </w:rPr>
              <w:lastRenderedPageBreak/>
              <w:t>Polymeric nanoparticles/micelles</w:t>
            </w:r>
          </w:p>
        </w:tc>
        <w:tc>
          <w:tcPr>
            <w:tcW w:w="3168" w:type="dxa"/>
            <w:tcMar>
              <w:top w:w="95" w:type="dxa"/>
              <w:left w:w="100" w:type="dxa"/>
              <w:bottom w:w="95" w:type="dxa"/>
              <w:right w:w="100" w:type="dxa"/>
            </w:tcMar>
            <w:vAlign w:val="center"/>
          </w:tcPr>
          <w:p w14:paraId="0580CE0E" w14:textId="77777777" w:rsidR="00C30954" w:rsidRDefault="00000000" w:rsidP="00282A23">
            <w:pPr>
              <w:spacing w:after="0" w:line="252" w:lineRule="auto"/>
              <w:jc w:val="both"/>
            </w:pPr>
            <w:r>
              <w:rPr>
                <w:rFonts w:eastAsia="Times New Roman"/>
                <w:sz w:val="16"/>
              </w:rPr>
              <w:t>Tunable degradation, size, charge and core-shell structure; useful for co-delivery and responsive release.</w:t>
            </w:r>
          </w:p>
        </w:tc>
        <w:tc>
          <w:tcPr>
            <w:tcW w:w="3168" w:type="dxa"/>
            <w:tcMar>
              <w:top w:w="95" w:type="dxa"/>
              <w:left w:w="100" w:type="dxa"/>
              <w:bottom w:w="95" w:type="dxa"/>
              <w:right w:w="100" w:type="dxa"/>
            </w:tcMar>
            <w:vAlign w:val="center"/>
          </w:tcPr>
          <w:p w14:paraId="396DA3B0" w14:textId="77777777" w:rsidR="00C30954" w:rsidRDefault="00000000" w:rsidP="00282A23">
            <w:pPr>
              <w:spacing w:after="0" w:line="252" w:lineRule="auto"/>
              <w:jc w:val="both"/>
            </w:pPr>
            <w:r>
              <w:rPr>
                <w:rFonts w:eastAsia="Times New Roman"/>
                <w:sz w:val="16"/>
              </w:rPr>
              <w:t>Polymer heterogeneity, residual solvents, complex degradation kinetics and difficulty attributing combination effects.</w:t>
            </w:r>
          </w:p>
        </w:tc>
        <w:tc>
          <w:tcPr>
            <w:tcW w:w="1872" w:type="dxa"/>
            <w:tcMar>
              <w:top w:w="95" w:type="dxa"/>
              <w:left w:w="100" w:type="dxa"/>
              <w:bottom w:w="95" w:type="dxa"/>
              <w:right w:w="100" w:type="dxa"/>
            </w:tcMar>
            <w:vAlign w:val="center"/>
          </w:tcPr>
          <w:p w14:paraId="3E2D5E0B" w14:textId="77777777" w:rsidR="00C30954" w:rsidRPr="00033A1D" w:rsidRDefault="00000000" w:rsidP="00282A23">
            <w:pPr>
              <w:spacing w:after="0" w:line="252" w:lineRule="auto"/>
              <w:jc w:val="both"/>
              <w:rPr>
                <w:lang w:val="nl-BE"/>
              </w:rPr>
            </w:pPr>
            <w:r w:rsidRPr="00033A1D">
              <w:rPr>
                <w:rFonts w:eastAsia="Times New Roman"/>
                <w:sz w:val="16"/>
                <w:lang w:val="nl-BE"/>
              </w:rPr>
              <w:t>(Mei et al., 2024; Wang et al., 2016, 2017; Zhu et al., 2023)</w:t>
            </w:r>
          </w:p>
        </w:tc>
      </w:tr>
      <w:tr w:rsidR="00C30954" w14:paraId="26506545" w14:textId="77777777">
        <w:trPr>
          <w:cantSplit/>
          <w:jc w:val="center"/>
        </w:trPr>
        <w:tc>
          <w:tcPr>
            <w:tcW w:w="1944" w:type="dxa"/>
            <w:tcMar>
              <w:top w:w="95" w:type="dxa"/>
              <w:left w:w="100" w:type="dxa"/>
              <w:bottom w:w="95" w:type="dxa"/>
              <w:right w:w="100" w:type="dxa"/>
            </w:tcMar>
            <w:vAlign w:val="center"/>
          </w:tcPr>
          <w:p w14:paraId="0A7A9B75" w14:textId="77777777" w:rsidR="00C30954" w:rsidRDefault="00000000" w:rsidP="00282A23">
            <w:pPr>
              <w:spacing w:after="0" w:line="252" w:lineRule="auto"/>
              <w:jc w:val="both"/>
            </w:pPr>
            <w:r>
              <w:rPr>
                <w:rFonts w:eastAsia="Times New Roman"/>
                <w:sz w:val="16"/>
              </w:rPr>
              <w:t xml:space="preserve">Dendrimers/protein </w:t>
            </w:r>
            <w:proofErr w:type="spellStart"/>
            <w:r>
              <w:rPr>
                <w:rFonts w:eastAsia="Times New Roman"/>
                <w:sz w:val="16"/>
              </w:rPr>
              <w:t>nanoconstructs</w:t>
            </w:r>
            <w:proofErr w:type="spellEnd"/>
          </w:p>
        </w:tc>
        <w:tc>
          <w:tcPr>
            <w:tcW w:w="3168" w:type="dxa"/>
            <w:tcMar>
              <w:top w:w="95" w:type="dxa"/>
              <w:left w:w="100" w:type="dxa"/>
              <w:bottom w:w="95" w:type="dxa"/>
              <w:right w:w="100" w:type="dxa"/>
            </w:tcMar>
            <w:vAlign w:val="center"/>
          </w:tcPr>
          <w:p w14:paraId="1CAA94DF" w14:textId="77777777" w:rsidR="00C30954" w:rsidRDefault="00000000" w:rsidP="00282A23">
            <w:pPr>
              <w:spacing w:after="0" w:line="252" w:lineRule="auto"/>
              <w:jc w:val="both"/>
            </w:pPr>
            <w:r>
              <w:rPr>
                <w:rFonts w:eastAsia="Times New Roman"/>
                <w:sz w:val="16"/>
              </w:rPr>
              <w:t>Multivalent ligand display, high conjugation capacity, strong receptor- or charge-based targeting.</w:t>
            </w:r>
          </w:p>
        </w:tc>
        <w:tc>
          <w:tcPr>
            <w:tcW w:w="3168" w:type="dxa"/>
            <w:tcMar>
              <w:top w:w="95" w:type="dxa"/>
              <w:left w:w="100" w:type="dxa"/>
              <w:bottom w:w="95" w:type="dxa"/>
              <w:right w:w="100" w:type="dxa"/>
            </w:tcMar>
            <w:vAlign w:val="center"/>
          </w:tcPr>
          <w:p w14:paraId="571DFFC9" w14:textId="77777777" w:rsidR="00C30954" w:rsidRDefault="00000000" w:rsidP="00282A23">
            <w:pPr>
              <w:spacing w:after="0" w:line="252" w:lineRule="auto"/>
              <w:jc w:val="both"/>
            </w:pPr>
            <w:r>
              <w:rPr>
                <w:rFonts w:eastAsia="Times New Roman"/>
                <w:sz w:val="16"/>
              </w:rPr>
              <w:t>Immunogenicity and off-target electrostatic binding may increase with charge or multivalency.</w:t>
            </w:r>
          </w:p>
        </w:tc>
        <w:tc>
          <w:tcPr>
            <w:tcW w:w="1872" w:type="dxa"/>
            <w:tcMar>
              <w:top w:w="95" w:type="dxa"/>
              <w:left w:w="100" w:type="dxa"/>
              <w:bottom w:w="95" w:type="dxa"/>
              <w:right w:w="100" w:type="dxa"/>
            </w:tcMar>
            <w:vAlign w:val="center"/>
          </w:tcPr>
          <w:p w14:paraId="34EA9484" w14:textId="77777777" w:rsidR="00C30954" w:rsidRDefault="00000000" w:rsidP="00282A23">
            <w:pPr>
              <w:spacing w:after="0" w:line="252" w:lineRule="auto"/>
              <w:jc w:val="both"/>
            </w:pPr>
            <w:r>
              <w:rPr>
                <w:rFonts w:eastAsia="Times New Roman"/>
                <w:sz w:val="16"/>
              </w:rPr>
              <w:t>(He et al., 2023; Thomas et al., 2011)</w:t>
            </w:r>
          </w:p>
        </w:tc>
      </w:tr>
      <w:tr w:rsidR="00C30954" w:rsidRPr="00033A1D" w14:paraId="7D46455F" w14:textId="77777777">
        <w:trPr>
          <w:cantSplit/>
          <w:jc w:val="center"/>
        </w:trPr>
        <w:tc>
          <w:tcPr>
            <w:tcW w:w="1944" w:type="dxa"/>
            <w:tcMar>
              <w:top w:w="95" w:type="dxa"/>
              <w:left w:w="100" w:type="dxa"/>
              <w:bottom w:w="95" w:type="dxa"/>
              <w:right w:w="100" w:type="dxa"/>
            </w:tcMar>
            <w:vAlign w:val="center"/>
          </w:tcPr>
          <w:p w14:paraId="7549CF52" w14:textId="77777777" w:rsidR="00C30954" w:rsidRDefault="00000000" w:rsidP="00282A23">
            <w:pPr>
              <w:spacing w:after="0" w:line="252" w:lineRule="auto"/>
              <w:jc w:val="both"/>
            </w:pPr>
            <w:r>
              <w:rPr>
                <w:rFonts w:eastAsia="Times New Roman"/>
                <w:sz w:val="16"/>
              </w:rPr>
              <w:t>Inorganic/metal-organic/nanozyme systems</w:t>
            </w:r>
          </w:p>
        </w:tc>
        <w:tc>
          <w:tcPr>
            <w:tcW w:w="3168" w:type="dxa"/>
            <w:tcMar>
              <w:top w:w="95" w:type="dxa"/>
              <w:left w:w="100" w:type="dxa"/>
              <w:bottom w:w="95" w:type="dxa"/>
              <w:right w:w="100" w:type="dxa"/>
            </w:tcMar>
            <w:vAlign w:val="center"/>
          </w:tcPr>
          <w:p w14:paraId="2BA37307" w14:textId="77777777" w:rsidR="00C30954" w:rsidRDefault="00000000" w:rsidP="00282A23">
            <w:pPr>
              <w:spacing w:after="0" w:line="252" w:lineRule="auto"/>
              <w:jc w:val="both"/>
            </w:pPr>
            <w:r>
              <w:rPr>
                <w:rFonts w:eastAsia="Times New Roman"/>
                <w:sz w:val="16"/>
              </w:rPr>
              <w:t>Intrinsic catalytic, redox, imaging or ion-release activity can combine therapy and delivery.</w:t>
            </w:r>
          </w:p>
        </w:tc>
        <w:tc>
          <w:tcPr>
            <w:tcW w:w="3168" w:type="dxa"/>
            <w:tcMar>
              <w:top w:w="95" w:type="dxa"/>
              <w:left w:w="100" w:type="dxa"/>
              <w:bottom w:w="95" w:type="dxa"/>
              <w:right w:w="100" w:type="dxa"/>
            </w:tcMar>
            <w:vAlign w:val="center"/>
          </w:tcPr>
          <w:p w14:paraId="38809F4C" w14:textId="77777777" w:rsidR="00C30954" w:rsidRDefault="00000000" w:rsidP="00282A23">
            <w:pPr>
              <w:spacing w:after="0" w:line="252" w:lineRule="auto"/>
              <w:jc w:val="both"/>
            </w:pPr>
            <w:r>
              <w:rPr>
                <w:rFonts w:eastAsia="Times New Roman"/>
                <w:sz w:val="16"/>
              </w:rPr>
              <w:t>Long-term fate, dissolution products, persistence, batch reproducibility and separation of carrier activity from payload activity.</w:t>
            </w:r>
          </w:p>
        </w:tc>
        <w:tc>
          <w:tcPr>
            <w:tcW w:w="1872" w:type="dxa"/>
            <w:tcMar>
              <w:top w:w="95" w:type="dxa"/>
              <w:left w:w="100" w:type="dxa"/>
              <w:bottom w:w="95" w:type="dxa"/>
              <w:right w:w="100" w:type="dxa"/>
            </w:tcMar>
            <w:vAlign w:val="center"/>
          </w:tcPr>
          <w:p w14:paraId="396BF296" w14:textId="77777777" w:rsidR="00C30954" w:rsidRPr="00033A1D" w:rsidRDefault="00000000" w:rsidP="00282A23">
            <w:pPr>
              <w:spacing w:after="0" w:line="252" w:lineRule="auto"/>
              <w:jc w:val="both"/>
              <w:rPr>
                <w:lang w:val="nl-BE"/>
              </w:rPr>
            </w:pPr>
            <w:r w:rsidRPr="00033A1D">
              <w:rPr>
                <w:rFonts w:eastAsia="Times New Roman"/>
                <w:sz w:val="16"/>
                <w:lang w:val="nl-BE"/>
              </w:rPr>
              <w:t>(Qin et al., 2025; Yang et al., 2021; Zhuang et al., 2024)</w:t>
            </w:r>
          </w:p>
        </w:tc>
      </w:tr>
      <w:tr w:rsidR="00C30954" w:rsidRPr="00033A1D" w14:paraId="757CA6E6" w14:textId="77777777">
        <w:trPr>
          <w:cantSplit/>
          <w:jc w:val="center"/>
        </w:trPr>
        <w:tc>
          <w:tcPr>
            <w:tcW w:w="1944" w:type="dxa"/>
            <w:tcMar>
              <w:top w:w="95" w:type="dxa"/>
              <w:left w:w="100" w:type="dxa"/>
              <w:bottom w:w="95" w:type="dxa"/>
              <w:right w:w="100" w:type="dxa"/>
            </w:tcMar>
            <w:vAlign w:val="center"/>
          </w:tcPr>
          <w:p w14:paraId="0BE04866" w14:textId="77777777" w:rsidR="00C30954" w:rsidRDefault="00000000" w:rsidP="00282A23">
            <w:pPr>
              <w:spacing w:after="0" w:line="252" w:lineRule="auto"/>
              <w:jc w:val="both"/>
            </w:pPr>
            <w:r>
              <w:rPr>
                <w:rFonts w:eastAsia="Times New Roman"/>
                <w:sz w:val="16"/>
              </w:rPr>
              <w:t>Engineered extracellular vesicles</w:t>
            </w:r>
          </w:p>
        </w:tc>
        <w:tc>
          <w:tcPr>
            <w:tcW w:w="3168" w:type="dxa"/>
            <w:tcMar>
              <w:top w:w="95" w:type="dxa"/>
              <w:left w:w="100" w:type="dxa"/>
              <w:bottom w:w="95" w:type="dxa"/>
              <w:right w:w="100" w:type="dxa"/>
            </w:tcMar>
            <w:vAlign w:val="center"/>
          </w:tcPr>
          <w:p w14:paraId="36462056" w14:textId="77777777" w:rsidR="00C30954" w:rsidRDefault="00000000" w:rsidP="00282A23">
            <w:pPr>
              <w:spacing w:after="0" w:line="252" w:lineRule="auto"/>
              <w:jc w:val="both"/>
            </w:pPr>
            <w:r>
              <w:rPr>
                <w:rFonts w:eastAsia="Times New Roman"/>
                <w:sz w:val="16"/>
              </w:rPr>
              <w:t>Biological membrane architecture, nucleic-acid compatibility and potential cell/tissue interactions.</w:t>
            </w:r>
          </w:p>
        </w:tc>
        <w:tc>
          <w:tcPr>
            <w:tcW w:w="3168" w:type="dxa"/>
            <w:tcMar>
              <w:top w:w="95" w:type="dxa"/>
              <w:left w:w="100" w:type="dxa"/>
              <w:bottom w:w="95" w:type="dxa"/>
              <w:right w:w="100" w:type="dxa"/>
            </w:tcMar>
            <w:vAlign w:val="center"/>
          </w:tcPr>
          <w:p w14:paraId="3B534E52" w14:textId="77777777" w:rsidR="00C30954" w:rsidRDefault="00000000" w:rsidP="00282A23">
            <w:pPr>
              <w:spacing w:after="0" w:line="252" w:lineRule="auto"/>
              <w:jc w:val="both"/>
            </w:pPr>
            <w:r>
              <w:rPr>
                <w:rFonts w:eastAsia="Times New Roman"/>
                <w:sz w:val="16"/>
              </w:rPr>
              <w:t>Source heterogeneity, purification, cargo loading, potency assays, sterility and scale-up remain demanding.</w:t>
            </w:r>
          </w:p>
        </w:tc>
        <w:tc>
          <w:tcPr>
            <w:tcW w:w="1872" w:type="dxa"/>
            <w:tcMar>
              <w:top w:w="95" w:type="dxa"/>
              <w:left w:w="100" w:type="dxa"/>
              <w:bottom w:w="95" w:type="dxa"/>
              <w:right w:w="100" w:type="dxa"/>
            </w:tcMar>
            <w:vAlign w:val="center"/>
          </w:tcPr>
          <w:p w14:paraId="05F079C8" w14:textId="77777777" w:rsidR="00C30954" w:rsidRPr="00033A1D" w:rsidRDefault="00000000" w:rsidP="00282A23">
            <w:pPr>
              <w:spacing w:after="0" w:line="252" w:lineRule="auto"/>
              <w:jc w:val="both"/>
              <w:rPr>
                <w:lang w:val="nl-BE"/>
              </w:rPr>
            </w:pPr>
            <w:r w:rsidRPr="00033A1D">
              <w:rPr>
                <w:rFonts w:eastAsia="Times New Roman"/>
                <w:sz w:val="16"/>
                <w:lang w:val="nl-BE"/>
              </w:rPr>
              <w:t>(Pathrikar et al., 2025; Zhang et al., 2024)</w:t>
            </w:r>
          </w:p>
        </w:tc>
      </w:tr>
    </w:tbl>
    <w:p w14:paraId="4A1BBD11" w14:textId="77777777" w:rsidR="00C30954" w:rsidRDefault="00000000" w:rsidP="00282A23">
      <w:pPr>
        <w:spacing w:before="80" w:after="180"/>
        <w:jc w:val="both"/>
      </w:pPr>
      <w:r>
        <w:rPr>
          <w:rFonts w:eastAsia="Times New Roman"/>
          <w:i/>
          <w:sz w:val="16"/>
        </w:rPr>
        <w:t>Note. PEG = polyethylene glycol; RNA = ribonucleic acid.</w:t>
      </w:r>
    </w:p>
    <w:p w14:paraId="2531043A" w14:textId="77777777" w:rsidR="00C30954" w:rsidRDefault="00000000" w:rsidP="00282A23">
      <w:pPr>
        <w:pStyle w:val="Heading1"/>
        <w:jc w:val="both"/>
      </w:pPr>
      <w:r>
        <w:rPr>
          <w:rFonts w:ascii="Times New Roman" w:eastAsia="Times New Roman" w:hAnsi="Times New Roman"/>
        </w:rPr>
        <w:t>5. Targeting and Responsive-Release Mechanisms</w:t>
      </w:r>
    </w:p>
    <w:p w14:paraId="647BF0BF" w14:textId="77777777" w:rsidR="00C30954" w:rsidRDefault="00000000" w:rsidP="00282A23">
      <w:pPr>
        <w:pStyle w:val="Heading2"/>
        <w:jc w:val="both"/>
      </w:pPr>
      <w:r>
        <w:rPr>
          <w:rFonts w:ascii="Times New Roman" w:eastAsia="Times New Roman" w:hAnsi="Times New Roman"/>
        </w:rPr>
        <w:t>5.1 Passive Inflammatory Accumulation and Long-Circulation Targeting</w:t>
      </w:r>
    </w:p>
    <w:p w14:paraId="01CFBAC3" w14:textId="77777777" w:rsidR="00C30954" w:rsidRDefault="00000000" w:rsidP="00282A23">
      <w:pPr>
        <w:pStyle w:val="BodyText"/>
        <w:ind w:firstLine="317"/>
      </w:pPr>
      <w:r>
        <w:rPr>
          <w:rFonts w:eastAsia="Times New Roman"/>
        </w:rPr>
        <w:t>The least complicated form of joint targeting in RA is not ligand-mediated. Long-circulating particles can preferentially access inflamed synovium because vascular permeability and inflammatory-cell sequestration differ from healthy tissue. Experimental liposomal prednisolone work and PCL-PEG dexamethasone micelles support this principle (Metselaar et al., 2003, 2004; Wang et al., 2016). Its main advantage is robustness: it does not depend on a single receptor whose expression may vary across patients. Its main weakness is low specificity. Increased joint concentration can coexist with substantial hepatic or splenic exposure, and disease suppression itself may reduce the permeability that enabled delivery. Longitudinal pharmacokinetics could therefore be non-linear across repeated doses.</w:t>
      </w:r>
    </w:p>
    <w:p w14:paraId="193C897C" w14:textId="77777777" w:rsidR="00C30954" w:rsidRDefault="00000000" w:rsidP="00282A23">
      <w:pPr>
        <w:pStyle w:val="BodyText"/>
        <w:ind w:firstLine="317"/>
      </w:pPr>
      <w:r>
        <w:rPr>
          <w:rFonts w:eastAsia="Times New Roman"/>
        </w:rPr>
        <w:t>The language of “passive targeting” can also obscure formulation effects. A particle that circulates longer has more opportunity to encounter an inflamed vascular bed than a rapidly cleared comparator, so increased arthritic-joint fluorescence does not by itself prove disease-specific permeability. Matched non-targeted controls, plasma pharmacokinetics and joint-to-organ exposure ratios are needed. Human translation is nevertheless supported by the pegylated liposomal prednisolone trial, which showed that altered formulation can improve short-term control of RA flares relative to intramuscular methylprednisolone (Metselaar et al., 2022). The trial supports therapeutic value of nanocarrier-mediated redistribution; it does not establish that every inflamed-joint nanoparticle will share the same clinical behaviour.</w:t>
      </w:r>
    </w:p>
    <w:p w14:paraId="427307D5" w14:textId="77777777" w:rsidR="00C30954" w:rsidRDefault="00000000" w:rsidP="00282A23">
      <w:pPr>
        <w:pStyle w:val="Heading2"/>
        <w:jc w:val="both"/>
      </w:pPr>
      <w:r>
        <w:rPr>
          <w:rFonts w:ascii="Times New Roman" w:eastAsia="Times New Roman" w:hAnsi="Times New Roman"/>
        </w:rPr>
        <w:t>5.2 Receptor- and Ligand-Directed Cellular Targeting</w:t>
      </w:r>
    </w:p>
    <w:p w14:paraId="5200402F" w14:textId="77777777" w:rsidR="00C30954" w:rsidRDefault="00000000" w:rsidP="00282A23">
      <w:pPr>
        <w:pStyle w:val="BodyText"/>
        <w:ind w:firstLine="317"/>
      </w:pPr>
      <w:r>
        <w:rPr>
          <w:rFonts w:eastAsia="Times New Roman"/>
        </w:rPr>
        <w:t>Active targeting can be useful when the biological goal requires enrichment within a particular inflammatory cell population. Folate receptor beta-directed delivery to activated macrophages is supported by receptor-dependent uptake and therapeutic effects in experimental arthritis (Thomas et al., 2011). Folic acid has subsequently been incorporated into other carriers, including human serum albumin nanoparticles, showing continued interest in a conserved macrophage-associated entry route (Yang et al., 2026). HA-CD44 interactions are another recurring strategy. HA-coated solid lipid nanoparticles carrying prednisolone improved joint localisation and treatment in collagen-induced arthritis, whereas HA-anchored metal-organic nanoparticles combined macrophage uptake with molecular redox intervention (Qin et al., 2025; Zhou et al., 2018).</w:t>
      </w:r>
    </w:p>
    <w:p w14:paraId="6EAB21B0" w14:textId="77777777" w:rsidR="00C30954" w:rsidRDefault="00000000" w:rsidP="00282A23">
      <w:pPr>
        <w:pStyle w:val="BodyText"/>
        <w:ind w:firstLine="317"/>
      </w:pPr>
      <w:r>
        <w:rPr>
          <w:rFonts w:eastAsia="Times New Roman"/>
        </w:rPr>
        <w:t xml:space="preserve">The critical uncertainty is whether a ligand improves whole-joint delivery, cell uptake after arrival, or both. These outcomes have different implications. A macrophage ligand may increase phagocytosis of a particle that </w:t>
      </w:r>
      <w:r>
        <w:rPr>
          <w:rFonts w:eastAsia="Times New Roman"/>
        </w:rPr>
        <w:lastRenderedPageBreak/>
        <w:t>would have reached the synovium anyway, while a vascular ligand may change anatomical localisation before extravasation. ART-1-directed liposomes illustrate the latter and improved interleukin-27 delivery in arthritic rats (Meka et al., 2018). Future comparisons should use identical carrier cores with controlled ligand density, include receptor-blocking or knockout evidence where feasible, and quantify cell-resolved uptake. Without such controls, an “active targeting” claim may actually reflect differences in charge, protein adsorption or circulation half-life introduced during ligand conjugation.</w:t>
      </w:r>
    </w:p>
    <w:p w14:paraId="36385C3E" w14:textId="77777777" w:rsidR="00C30954" w:rsidRDefault="00000000" w:rsidP="00282A23">
      <w:pPr>
        <w:pStyle w:val="Heading2"/>
        <w:jc w:val="both"/>
      </w:pPr>
      <w:r>
        <w:rPr>
          <w:rFonts w:ascii="Times New Roman" w:eastAsia="Times New Roman" w:hAnsi="Times New Roman"/>
        </w:rPr>
        <w:t>5.3 Cartilage Matrix Affinity and Electrostatic Transport</w:t>
      </w:r>
    </w:p>
    <w:p w14:paraId="2B378161" w14:textId="77777777" w:rsidR="00C30954" w:rsidRDefault="00000000" w:rsidP="00282A23">
      <w:pPr>
        <w:pStyle w:val="BodyText"/>
        <w:ind w:firstLine="317"/>
      </w:pPr>
      <w:r>
        <w:rPr>
          <w:rFonts w:eastAsia="Times New Roman"/>
        </w:rPr>
        <w:t>Cartilage targeting has two mechanistically distinct routes: specific matrix affinity and non-specific but tuneable electrostatic partitioning. WYRGRL was selected for collagen II alpha1 binding and increased cartilage association of small polymer particles relative to scrambled controls (Rothenfluh et al., 2008). It has since been incorporated into several OA nanocarriers, including dual-drug platforms, nanomicelles and cerium oxide particles (Chen et al., 2023; Xue et al., 2021; Zhuang et al., 2024). The repeated use of the same peptide across independent materials supports the relevance of collagen-directed affinity. Yet collagen exposure changes with cartilage damage, and a peptide that binds exposed matrix can preferentially localise to already injured regions. That may be advantageous for focal post-traumatic lesions but could yield heterogeneous distribution in diffuse or late-stage OA.</w:t>
      </w:r>
    </w:p>
    <w:p w14:paraId="0B6B2B53" w14:textId="77777777" w:rsidR="00C30954" w:rsidRDefault="00000000" w:rsidP="00282A23">
      <w:pPr>
        <w:pStyle w:val="BodyText"/>
        <w:ind w:firstLine="317"/>
      </w:pPr>
      <w:r>
        <w:rPr>
          <w:rFonts w:eastAsia="Times New Roman"/>
        </w:rPr>
        <w:t>Electrostatic transport depends on the negative fixed-charge density of glycosaminoglycans. Avidin-based experiments established that a small cationic protein can achieve rapid partitioning and prolonged retention through reversible interactions (Bajpayee et al., 2014). Cationic micelles and peptide carriers extend this principle to drug-delivery formats (Boyer et al., 2025; Zhu et al., 2023). The more recent rabbit evidence is especially important because it demonstrates that inflammatory disease can accelerate clearance and proteolytic fragmentation even when cartilage penetration remains strong (Boyer et al., 2025). Charge therefore cannot be optimised using healthy explants alone. A clinically useful carrier must retain sufficient affinity after matrix depletion, synovial protein adsorption and protease exposure without becoming immunogenic or trapped at the cartilage surface.</w:t>
      </w:r>
    </w:p>
    <w:p w14:paraId="2969D4C3" w14:textId="77777777" w:rsidR="00C30954" w:rsidRDefault="00000000" w:rsidP="00282A23">
      <w:pPr>
        <w:pStyle w:val="Heading2"/>
        <w:jc w:val="both"/>
      </w:pPr>
      <w:r>
        <w:rPr>
          <w:rFonts w:ascii="Times New Roman" w:eastAsia="Times New Roman" w:hAnsi="Times New Roman"/>
        </w:rPr>
        <w:t>5.4 Disease-Responsive and Externally Triggered Release</w:t>
      </w:r>
    </w:p>
    <w:p w14:paraId="5C140CDD" w14:textId="77777777" w:rsidR="00C30954" w:rsidRDefault="00000000" w:rsidP="00282A23">
      <w:pPr>
        <w:pStyle w:val="BodyText"/>
        <w:ind w:firstLine="317"/>
      </w:pPr>
      <w:r>
        <w:rPr>
          <w:rFonts w:eastAsia="Times New Roman"/>
        </w:rPr>
        <w:t>Targeting can also be temporal. A carrier may localise broadly but release its payload preferentially in the diseased microenvironment. Matrix metalloproteinase-responsive PEGylated lipid nanoparticles were designed to accelerate dexamethasone release in protease-rich RA tissue and improved experimental arthritis relative to free drug (He et al., 2020). In OA, pH-responsive lipid nanoparticles containing urolithin A were designed around the acidic and metabolically perturbed joint environment and influenced mitochondrial stress, macrophage polarisation and structural outcomes in a mouse model (Yi et al., 2025). MMP13-sensitive micelles have coupled early post-traumatic OA imaging with siRNA delivery, linking an enzyme-associated disease signal to both diagnostic activation and molecular treatment (Zhou et al., 2024).</w:t>
      </w:r>
    </w:p>
    <w:p w14:paraId="083E53D4" w14:textId="77777777" w:rsidR="00C30954" w:rsidRDefault="00000000" w:rsidP="00282A23">
      <w:pPr>
        <w:pStyle w:val="BodyText"/>
        <w:ind w:firstLine="317"/>
      </w:pPr>
      <w:r>
        <w:rPr>
          <w:rFonts w:eastAsia="Times New Roman"/>
        </w:rPr>
        <w:t>Responsive release is conceptually attractive because it can add specificity after distribution, but it is vulnerable to biological variability. Protease concentration, pH and reactive oxygen species are not binary disease markers; they vary among patients, joints and stages, and may overlap with other inflammatory sites. In vitro release studies often use simplified trigger concentrations that do not reproduce spatial gradients or protein-rich synovial fluid. Externally triggered systems add another layer of control but face anatomical constraints. Near-infrared-responsive platforms can coordinate release and photothermal effects in small-animal joints (Xue et al., 2021), yet optical penetration and practical illumination of large human joints need separate validation. Responsive systems should therefore be evaluated as pharmacokinetic control mechanisms, not assumed to confer disease specificity merely because a trigger is pathologically associated.</w:t>
      </w:r>
    </w:p>
    <w:p w14:paraId="5A22A1D0" w14:textId="77777777" w:rsidR="00C30954" w:rsidRDefault="00000000" w:rsidP="00282A23">
      <w:pPr>
        <w:pStyle w:val="BodyText"/>
        <w:ind w:firstLine="317"/>
      </w:pPr>
      <w:r>
        <w:rPr>
          <w:rFonts w:eastAsia="Times New Roman"/>
        </w:rPr>
        <w:lastRenderedPageBreak/>
        <w:t>Table 3 compares the principal targeting modalities and the evidence needed to interpret them. The most mature mechanisms are those that can be anchored to a measurable biological property, such as macrophage receptor expression, collagen affinity or cartilage fixed charge. Responsive systems offer additional control, but their performance is only as predictable as the trigger distribution. Across all modalities, the strongest evidence combines a matched non-targeted control, quantitative tissue or cell exposure and demonstration that the payload engages its molecular target.</w:t>
      </w:r>
    </w:p>
    <w:p w14:paraId="7DA6926F" w14:textId="77777777" w:rsidR="00C30954" w:rsidRDefault="00000000" w:rsidP="00282A23">
      <w:pPr>
        <w:keepNext/>
        <w:spacing w:before="80" w:after="80"/>
        <w:jc w:val="both"/>
      </w:pPr>
      <w:r>
        <w:rPr>
          <w:rFonts w:eastAsia="Times New Roman"/>
          <w:b/>
          <w:color w:val="1F4E79"/>
          <w:sz w:val="20"/>
        </w:rPr>
        <w:t>Table 3. Targeting and controlled-release modalities used in arthritic-joint nanomedicine</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944"/>
        <w:gridCol w:w="3168"/>
        <w:gridCol w:w="3168"/>
        <w:gridCol w:w="1872"/>
      </w:tblGrid>
      <w:tr w:rsidR="00C30954" w14:paraId="350AAA61" w14:textId="77777777">
        <w:trPr>
          <w:tblHeader/>
          <w:jc w:val="center"/>
        </w:trPr>
        <w:tc>
          <w:tcPr>
            <w:tcW w:w="1944" w:type="dxa"/>
            <w:shd w:val="clear" w:color="auto" w:fill="D9E5F2"/>
            <w:tcMar>
              <w:top w:w="100" w:type="dxa"/>
              <w:left w:w="100" w:type="dxa"/>
              <w:bottom w:w="100" w:type="dxa"/>
              <w:right w:w="100" w:type="dxa"/>
            </w:tcMar>
            <w:vAlign w:val="center"/>
          </w:tcPr>
          <w:p w14:paraId="7A4C9F69" w14:textId="77777777" w:rsidR="00C30954" w:rsidRDefault="00000000" w:rsidP="00282A23">
            <w:pPr>
              <w:spacing w:after="0"/>
              <w:jc w:val="both"/>
            </w:pPr>
            <w:r>
              <w:rPr>
                <w:rFonts w:eastAsia="Times New Roman"/>
                <w:b/>
                <w:color w:val="1F4E79"/>
                <w:sz w:val="16"/>
              </w:rPr>
              <w:t>Targeting modality</w:t>
            </w:r>
          </w:p>
        </w:tc>
        <w:tc>
          <w:tcPr>
            <w:tcW w:w="3168" w:type="dxa"/>
            <w:shd w:val="clear" w:color="auto" w:fill="D9E5F2"/>
            <w:tcMar>
              <w:top w:w="100" w:type="dxa"/>
              <w:left w:w="100" w:type="dxa"/>
              <w:bottom w:w="100" w:type="dxa"/>
              <w:right w:w="100" w:type="dxa"/>
            </w:tcMar>
            <w:vAlign w:val="center"/>
          </w:tcPr>
          <w:p w14:paraId="688C7F58" w14:textId="77777777" w:rsidR="00C30954" w:rsidRDefault="00000000" w:rsidP="00282A23">
            <w:pPr>
              <w:spacing w:after="0"/>
              <w:jc w:val="both"/>
            </w:pPr>
            <w:r>
              <w:rPr>
                <w:rFonts w:eastAsia="Times New Roman"/>
                <w:b/>
                <w:color w:val="1F4E79"/>
                <w:sz w:val="16"/>
              </w:rPr>
              <w:t>Mechanistic basis and representative evidence</w:t>
            </w:r>
          </w:p>
        </w:tc>
        <w:tc>
          <w:tcPr>
            <w:tcW w:w="3168" w:type="dxa"/>
            <w:shd w:val="clear" w:color="auto" w:fill="D9E5F2"/>
            <w:tcMar>
              <w:top w:w="100" w:type="dxa"/>
              <w:left w:w="100" w:type="dxa"/>
              <w:bottom w:w="100" w:type="dxa"/>
              <w:right w:w="100" w:type="dxa"/>
            </w:tcMar>
            <w:vAlign w:val="center"/>
          </w:tcPr>
          <w:p w14:paraId="70FE4B13" w14:textId="77777777" w:rsidR="00C30954" w:rsidRDefault="00000000" w:rsidP="00282A23">
            <w:pPr>
              <w:spacing w:after="0"/>
              <w:jc w:val="both"/>
            </w:pPr>
            <w:r>
              <w:rPr>
                <w:rFonts w:eastAsia="Times New Roman"/>
                <w:b/>
                <w:color w:val="1F4E79"/>
                <w:sz w:val="16"/>
              </w:rPr>
              <w:t>Principal uncertainty or failure mode</w:t>
            </w:r>
          </w:p>
        </w:tc>
        <w:tc>
          <w:tcPr>
            <w:tcW w:w="1872" w:type="dxa"/>
            <w:shd w:val="clear" w:color="auto" w:fill="D9E5F2"/>
            <w:tcMar>
              <w:top w:w="100" w:type="dxa"/>
              <w:left w:w="100" w:type="dxa"/>
              <w:bottom w:w="100" w:type="dxa"/>
              <w:right w:w="100" w:type="dxa"/>
            </w:tcMar>
            <w:vAlign w:val="center"/>
          </w:tcPr>
          <w:p w14:paraId="66931E9F" w14:textId="77777777" w:rsidR="00C30954" w:rsidRDefault="00000000" w:rsidP="00282A23">
            <w:pPr>
              <w:spacing w:after="0"/>
              <w:jc w:val="both"/>
            </w:pPr>
            <w:r>
              <w:rPr>
                <w:rFonts w:eastAsia="Times New Roman"/>
                <w:b/>
                <w:color w:val="1F4E79"/>
                <w:sz w:val="16"/>
              </w:rPr>
              <w:t>Supporting references</w:t>
            </w:r>
          </w:p>
        </w:tc>
      </w:tr>
      <w:tr w:rsidR="00C30954" w:rsidRPr="00033A1D" w14:paraId="10ED9007" w14:textId="77777777">
        <w:trPr>
          <w:cantSplit/>
          <w:jc w:val="center"/>
        </w:trPr>
        <w:tc>
          <w:tcPr>
            <w:tcW w:w="1944" w:type="dxa"/>
            <w:tcMar>
              <w:top w:w="95" w:type="dxa"/>
              <w:left w:w="100" w:type="dxa"/>
              <w:bottom w:w="95" w:type="dxa"/>
              <w:right w:w="100" w:type="dxa"/>
            </w:tcMar>
            <w:vAlign w:val="center"/>
          </w:tcPr>
          <w:p w14:paraId="7537254D" w14:textId="77777777" w:rsidR="00C30954" w:rsidRDefault="00000000" w:rsidP="00282A23">
            <w:pPr>
              <w:spacing w:after="0" w:line="252" w:lineRule="auto"/>
              <w:jc w:val="both"/>
            </w:pPr>
            <w:r>
              <w:rPr>
                <w:rFonts w:eastAsia="Times New Roman"/>
                <w:sz w:val="16"/>
              </w:rPr>
              <w:t>Inflammation-driven passive accumulation</w:t>
            </w:r>
          </w:p>
        </w:tc>
        <w:tc>
          <w:tcPr>
            <w:tcW w:w="3168" w:type="dxa"/>
            <w:tcMar>
              <w:top w:w="95" w:type="dxa"/>
              <w:left w:w="100" w:type="dxa"/>
              <w:bottom w:w="95" w:type="dxa"/>
              <w:right w:w="100" w:type="dxa"/>
            </w:tcMar>
            <w:vAlign w:val="center"/>
          </w:tcPr>
          <w:p w14:paraId="5F9EE18C" w14:textId="77777777" w:rsidR="00C30954" w:rsidRDefault="00000000" w:rsidP="00282A23">
            <w:pPr>
              <w:spacing w:after="0" w:line="252" w:lineRule="auto"/>
              <w:jc w:val="both"/>
            </w:pPr>
            <w:r>
              <w:rPr>
                <w:rFonts w:eastAsia="Times New Roman"/>
                <w:sz w:val="16"/>
              </w:rPr>
              <w:t>Long-circulating particles access permeable, hypervascular synovium and are retained by inflammatory tissue.</w:t>
            </w:r>
          </w:p>
        </w:tc>
        <w:tc>
          <w:tcPr>
            <w:tcW w:w="3168" w:type="dxa"/>
            <w:tcMar>
              <w:top w:w="95" w:type="dxa"/>
              <w:left w:w="100" w:type="dxa"/>
              <w:bottom w:w="95" w:type="dxa"/>
              <w:right w:w="100" w:type="dxa"/>
            </w:tcMar>
            <w:vAlign w:val="center"/>
          </w:tcPr>
          <w:p w14:paraId="6D3FAB52" w14:textId="77777777" w:rsidR="00C30954" w:rsidRDefault="00000000" w:rsidP="00282A23">
            <w:pPr>
              <w:spacing w:after="0" w:line="252" w:lineRule="auto"/>
              <w:jc w:val="both"/>
            </w:pPr>
            <w:r>
              <w:rPr>
                <w:rFonts w:eastAsia="Times New Roman"/>
                <w:sz w:val="16"/>
              </w:rPr>
              <w:t>Circulation time and organ clearance can mimic “targeting”; permeability varies with disease activity.</w:t>
            </w:r>
          </w:p>
        </w:tc>
        <w:tc>
          <w:tcPr>
            <w:tcW w:w="1872" w:type="dxa"/>
            <w:tcMar>
              <w:top w:w="95" w:type="dxa"/>
              <w:left w:w="100" w:type="dxa"/>
              <w:bottom w:w="95" w:type="dxa"/>
              <w:right w:w="100" w:type="dxa"/>
            </w:tcMar>
            <w:vAlign w:val="center"/>
          </w:tcPr>
          <w:p w14:paraId="3E9C6578" w14:textId="77777777" w:rsidR="00C30954" w:rsidRPr="00033A1D" w:rsidRDefault="00000000" w:rsidP="00282A23">
            <w:pPr>
              <w:spacing w:after="0" w:line="252" w:lineRule="auto"/>
              <w:jc w:val="both"/>
              <w:rPr>
                <w:lang w:val="nl-BE"/>
              </w:rPr>
            </w:pPr>
            <w:r w:rsidRPr="00033A1D">
              <w:rPr>
                <w:rFonts w:eastAsia="Times New Roman"/>
                <w:sz w:val="16"/>
                <w:lang w:val="nl-BE"/>
              </w:rPr>
              <w:t>(Metselaar et al., 2003, 2004; Wang et al., 2016)</w:t>
            </w:r>
          </w:p>
        </w:tc>
      </w:tr>
      <w:tr w:rsidR="00C30954" w:rsidRPr="00033A1D" w14:paraId="398E61CB" w14:textId="77777777">
        <w:trPr>
          <w:cantSplit/>
          <w:jc w:val="center"/>
        </w:trPr>
        <w:tc>
          <w:tcPr>
            <w:tcW w:w="1944" w:type="dxa"/>
            <w:tcMar>
              <w:top w:w="95" w:type="dxa"/>
              <w:left w:w="100" w:type="dxa"/>
              <w:bottom w:w="95" w:type="dxa"/>
              <w:right w:w="100" w:type="dxa"/>
            </w:tcMar>
            <w:vAlign w:val="center"/>
          </w:tcPr>
          <w:p w14:paraId="04BB1172" w14:textId="77777777" w:rsidR="00C30954" w:rsidRDefault="00000000" w:rsidP="00282A23">
            <w:pPr>
              <w:spacing w:after="0" w:line="252" w:lineRule="auto"/>
              <w:jc w:val="both"/>
            </w:pPr>
            <w:r>
              <w:rPr>
                <w:rFonts w:eastAsia="Times New Roman"/>
                <w:sz w:val="16"/>
              </w:rPr>
              <w:t>Folate receptor beta / CD44 targeting</w:t>
            </w:r>
          </w:p>
        </w:tc>
        <w:tc>
          <w:tcPr>
            <w:tcW w:w="3168" w:type="dxa"/>
            <w:tcMar>
              <w:top w:w="95" w:type="dxa"/>
              <w:left w:w="100" w:type="dxa"/>
              <w:bottom w:w="95" w:type="dxa"/>
              <w:right w:w="100" w:type="dxa"/>
            </w:tcMar>
            <w:vAlign w:val="center"/>
          </w:tcPr>
          <w:p w14:paraId="1798FF09" w14:textId="77777777" w:rsidR="00C30954" w:rsidRDefault="00000000" w:rsidP="00282A23">
            <w:pPr>
              <w:spacing w:after="0" w:line="252" w:lineRule="auto"/>
              <w:jc w:val="both"/>
            </w:pPr>
            <w:r>
              <w:rPr>
                <w:rFonts w:eastAsia="Times New Roman"/>
                <w:sz w:val="16"/>
              </w:rPr>
              <w:t>Folate or HA ligands promote uptake by activated macrophages or synovial cells.</w:t>
            </w:r>
          </w:p>
        </w:tc>
        <w:tc>
          <w:tcPr>
            <w:tcW w:w="3168" w:type="dxa"/>
            <w:tcMar>
              <w:top w:w="95" w:type="dxa"/>
              <w:left w:w="100" w:type="dxa"/>
              <w:bottom w:w="95" w:type="dxa"/>
              <w:right w:w="100" w:type="dxa"/>
            </w:tcMar>
            <w:vAlign w:val="center"/>
          </w:tcPr>
          <w:p w14:paraId="637CADB8" w14:textId="77777777" w:rsidR="00C30954" w:rsidRDefault="00000000" w:rsidP="00282A23">
            <w:pPr>
              <w:spacing w:after="0" w:line="252" w:lineRule="auto"/>
              <w:jc w:val="both"/>
            </w:pPr>
            <w:r>
              <w:rPr>
                <w:rFonts w:eastAsia="Times New Roman"/>
                <w:sz w:val="16"/>
              </w:rPr>
              <w:t>Ligand conjugation changes surface chemistry; receptor abundance and human selectivity require quantification.</w:t>
            </w:r>
          </w:p>
        </w:tc>
        <w:tc>
          <w:tcPr>
            <w:tcW w:w="1872" w:type="dxa"/>
            <w:tcMar>
              <w:top w:w="95" w:type="dxa"/>
              <w:left w:w="100" w:type="dxa"/>
              <w:bottom w:w="95" w:type="dxa"/>
              <w:right w:w="100" w:type="dxa"/>
            </w:tcMar>
            <w:vAlign w:val="center"/>
          </w:tcPr>
          <w:p w14:paraId="4121678D" w14:textId="77777777" w:rsidR="00C30954" w:rsidRPr="00033A1D" w:rsidRDefault="00000000" w:rsidP="00282A23">
            <w:pPr>
              <w:spacing w:after="0" w:line="252" w:lineRule="auto"/>
              <w:jc w:val="both"/>
              <w:rPr>
                <w:lang w:val="nl-BE"/>
              </w:rPr>
            </w:pPr>
            <w:r w:rsidRPr="00033A1D">
              <w:rPr>
                <w:rFonts w:eastAsia="Times New Roman"/>
                <w:sz w:val="16"/>
                <w:lang w:val="nl-BE"/>
              </w:rPr>
              <w:t>(Qin et al., 2025; Thomas et al., 2011; Zhou et al., 2018)</w:t>
            </w:r>
          </w:p>
        </w:tc>
      </w:tr>
      <w:tr w:rsidR="00C30954" w14:paraId="093F4C27" w14:textId="77777777">
        <w:trPr>
          <w:cantSplit/>
          <w:jc w:val="center"/>
        </w:trPr>
        <w:tc>
          <w:tcPr>
            <w:tcW w:w="1944" w:type="dxa"/>
            <w:tcMar>
              <w:top w:w="95" w:type="dxa"/>
              <w:left w:w="100" w:type="dxa"/>
              <w:bottom w:w="95" w:type="dxa"/>
              <w:right w:w="100" w:type="dxa"/>
            </w:tcMar>
            <w:vAlign w:val="center"/>
          </w:tcPr>
          <w:p w14:paraId="264A6CDC" w14:textId="77777777" w:rsidR="00C30954" w:rsidRDefault="00000000" w:rsidP="00282A23">
            <w:pPr>
              <w:spacing w:after="0" w:line="252" w:lineRule="auto"/>
              <w:jc w:val="both"/>
            </w:pPr>
            <w:r>
              <w:rPr>
                <w:rFonts w:eastAsia="Times New Roman"/>
                <w:sz w:val="16"/>
              </w:rPr>
              <w:t>Inflamed-endothelium peptide targeting</w:t>
            </w:r>
          </w:p>
        </w:tc>
        <w:tc>
          <w:tcPr>
            <w:tcW w:w="3168" w:type="dxa"/>
            <w:tcMar>
              <w:top w:w="95" w:type="dxa"/>
              <w:left w:w="100" w:type="dxa"/>
              <w:bottom w:w="95" w:type="dxa"/>
              <w:right w:w="100" w:type="dxa"/>
            </w:tcMar>
            <w:vAlign w:val="center"/>
          </w:tcPr>
          <w:p w14:paraId="103EEBAC" w14:textId="77777777" w:rsidR="00C30954" w:rsidRDefault="00000000" w:rsidP="00282A23">
            <w:pPr>
              <w:spacing w:after="0" w:line="252" w:lineRule="auto"/>
              <w:jc w:val="both"/>
            </w:pPr>
            <w:r>
              <w:rPr>
                <w:rFonts w:eastAsia="Times New Roman"/>
                <w:sz w:val="16"/>
              </w:rPr>
              <w:t>ART-1-functionalised liposomes increase arthritic-joint homing before tissue penetration.</w:t>
            </w:r>
          </w:p>
        </w:tc>
        <w:tc>
          <w:tcPr>
            <w:tcW w:w="3168" w:type="dxa"/>
            <w:tcMar>
              <w:top w:w="95" w:type="dxa"/>
              <w:left w:w="100" w:type="dxa"/>
              <w:bottom w:w="95" w:type="dxa"/>
              <w:right w:w="100" w:type="dxa"/>
            </w:tcMar>
            <w:vAlign w:val="center"/>
          </w:tcPr>
          <w:p w14:paraId="58E3DE5B" w14:textId="77777777" w:rsidR="00C30954" w:rsidRDefault="00000000" w:rsidP="00282A23">
            <w:pPr>
              <w:spacing w:after="0" w:line="252" w:lineRule="auto"/>
              <w:jc w:val="both"/>
            </w:pPr>
            <w:r>
              <w:rPr>
                <w:rFonts w:eastAsia="Times New Roman"/>
                <w:sz w:val="16"/>
              </w:rPr>
              <w:t>Cross-species endothelial expression and ligand accessibility may differ.</w:t>
            </w:r>
          </w:p>
        </w:tc>
        <w:tc>
          <w:tcPr>
            <w:tcW w:w="1872" w:type="dxa"/>
            <w:tcMar>
              <w:top w:w="95" w:type="dxa"/>
              <w:left w:w="100" w:type="dxa"/>
              <w:bottom w:w="95" w:type="dxa"/>
              <w:right w:w="100" w:type="dxa"/>
            </w:tcMar>
            <w:vAlign w:val="center"/>
          </w:tcPr>
          <w:p w14:paraId="38D61DBA" w14:textId="77777777" w:rsidR="00C30954" w:rsidRDefault="00000000" w:rsidP="00282A23">
            <w:pPr>
              <w:spacing w:after="0" w:line="252" w:lineRule="auto"/>
              <w:jc w:val="both"/>
            </w:pPr>
            <w:r>
              <w:rPr>
                <w:rFonts w:eastAsia="Times New Roman"/>
                <w:sz w:val="16"/>
              </w:rPr>
              <w:t>(Meka et al., 2018)</w:t>
            </w:r>
          </w:p>
        </w:tc>
      </w:tr>
      <w:tr w:rsidR="00C30954" w:rsidRPr="00033A1D" w14:paraId="71FD860C" w14:textId="77777777">
        <w:trPr>
          <w:cantSplit/>
          <w:jc w:val="center"/>
        </w:trPr>
        <w:tc>
          <w:tcPr>
            <w:tcW w:w="1944" w:type="dxa"/>
            <w:tcMar>
              <w:top w:w="95" w:type="dxa"/>
              <w:left w:w="100" w:type="dxa"/>
              <w:bottom w:w="95" w:type="dxa"/>
              <w:right w:w="100" w:type="dxa"/>
            </w:tcMar>
            <w:vAlign w:val="center"/>
          </w:tcPr>
          <w:p w14:paraId="5C593701" w14:textId="77777777" w:rsidR="00C30954" w:rsidRDefault="00000000" w:rsidP="00282A23">
            <w:pPr>
              <w:spacing w:after="0" w:line="252" w:lineRule="auto"/>
              <w:jc w:val="both"/>
            </w:pPr>
            <w:r>
              <w:rPr>
                <w:rFonts w:eastAsia="Times New Roman"/>
                <w:sz w:val="16"/>
              </w:rPr>
              <w:t>Collagen II affinity</w:t>
            </w:r>
          </w:p>
        </w:tc>
        <w:tc>
          <w:tcPr>
            <w:tcW w:w="3168" w:type="dxa"/>
            <w:tcMar>
              <w:top w:w="95" w:type="dxa"/>
              <w:left w:w="100" w:type="dxa"/>
              <w:bottom w:w="95" w:type="dxa"/>
              <w:right w:w="100" w:type="dxa"/>
            </w:tcMar>
            <w:vAlign w:val="center"/>
          </w:tcPr>
          <w:p w14:paraId="659FFC19" w14:textId="77777777" w:rsidR="00C30954" w:rsidRDefault="00000000" w:rsidP="00282A23">
            <w:pPr>
              <w:spacing w:after="0" w:line="252" w:lineRule="auto"/>
              <w:jc w:val="both"/>
            </w:pPr>
            <w:r>
              <w:rPr>
                <w:rFonts w:eastAsia="Times New Roman"/>
                <w:sz w:val="16"/>
              </w:rPr>
              <w:t>WYRGRL and related peptides bind cartilage matrix and can create a local depot.</w:t>
            </w:r>
          </w:p>
        </w:tc>
        <w:tc>
          <w:tcPr>
            <w:tcW w:w="3168" w:type="dxa"/>
            <w:tcMar>
              <w:top w:w="95" w:type="dxa"/>
              <w:left w:w="100" w:type="dxa"/>
              <w:bottom w:w="95" w:type="dxa"/>
              <w:right w:w="100" w:type="dxa"/>
            </w:tcMar>
            <w:vAlign w:val="center"/>
          </w:tcPr>
          <w:p w14:paraId="45974A03" w14:textId="77777777" w:rsidR="00C30954" w:rsidRDefault="00000000" w:rsidP="00282A23">
            <w:pPr>
              <w:spacing w:after="0" w:line="252" w:lineRule="auto"/>
              <w:jc w:val="both"/>
            </w:pPr>
            <w:r>
              <w:rPr>
                <w:rFonts w:eastAsia="Times New Roman"/>
                <w:sz w:val="16"/>
              </w:rPr>
              <w:t>Binding may depend on matrix damage and can be spatially heterogeneous in OA.</w:t>
            </w:r>
          </w:p>
        </w:tc>
        <w:tc>
          <w:tcPr>
            <w:tcW w:w="1872" w:type="dxa"/>
            <w:tcMar>
              <w:top w:w="95" w:type="dxa"/>
              <w:left w:w="100" w:type="dxa"/>
              <w:bottom w:w="95" w:type="dxa"/>
              <w:right w:w="100" w:type="dxa"/>
            </w:tcMar>
            <w:vAlign w:val="center"/>
          </w:tcPr>
          <w:p w14:paraId="57FF2364" w14:textId="77777777" w:rsidR="00C30954" w:rsidRPr="00033A1D" w:rsidRDefault="00000000" w:rsidP="00282A23">
            <w:pPr>
              <w:spacing w:after="0" w:line="252" w:lineRule="auto"/>
              <w:jc w:val="both"/>
              <w:rPr>
                <w:lang w:val="nl-BE"/>
              </w:rPr>
            </w:pPr>
            <w:r w:rsidRPr="00033A1D">
              <w:rPr>
                <w:rFonts w:eastAsia="Times New Roman"/>
                <w:sz w:val="16"/>
                <w:lang w:val="nl-BE"/>
              </w:rPr>
              <w:t>(Rothenfluh et al., 2008; Xue et al., 2021; Zhuang et al., 2024)</w:t>
            </w:r>
          </w:p>
        </w:tc>
      </w:tr>
      <w:tr w:rsidR="00C30954" w:rsidRPr="00033A1D" w14:paraId="1C56B5E8" w14:textId="77777777">
        <w:trPr>
          <w:cantSplit/>
          <w:jc w:val="center"/>
        </w:trPr>
        <w:tc>
          <w:tcPr>
            <w:tcW w:w="1944" w:type="dxa"/>
            <w:tcMar>
              <w:top w:w="95" w:type="dxa"/>
              <w:left w:w="100" w:type="dxa"/>
              <w:bottom w:w="95" w:type="dxa"/>
              <w:right w:w="100" w:type="dxa"/>
            </w:tcMar>
            <w:vAlign w:val="center"/>
          </w:tcPr>
          <w:p w14:paraId="260C6895" w14:textId="77777777" w:rsidR="00C30954" w:rsidRDefault="00000000" w:rsidP="00282A23">
            <w:pPr>
              <w:spacing w:after="0" w:line="252" w:lineRule="auto"/>
              <w:jc w:val="both"/>
            </w:pPr>
            <w:r>
              <w:rPr>
                <w:rFonts w:eastAsia="Times New Roman"/>
                <w:sz w:val="16"/>
              </w:rPr>
              <w:t>Electrostatic cartilage targeting</w:t>
            </w:r>
          </w:p>
        </w:tc>
        <w:tc>
          <w:tcPr>
            <w:tcW w:w="3168" w:type="dxa"/>
            <w:tcMar>
              <w:top w:w="95" w:type="dxa"/>
              <w:left w:w="100" w:type="dxa"/>
              <w:bottom w:w="95" w:type="dxa"/>
              <w:right w:w="100" w:type="dxa"/>
            </w:tcMar>
            <w:vAlign w:val="center"/>
          </w:tcPr>
          <w:p w14:paraId="4514D719" w14:textId="77777777" w:rsidR="00C30954" w:rsidRDefault="00000000" w:rsidP="00282A23">
            <w:pPr>
              <w:spacing w:after="0" w:line="252" w:lineRule="auto"/>
              <w:jc w:val="both"/>
            </w:pPr>
            <w:r>
              <w:rPr>
                <w:rFonts w:eastAsia="Times New Roman"/>
                <w:sz w:val="16"/>
              </w:rPr>
              <w:t>Optimally cationic carriers partition into anionic glycosaminoglycan-rich cartilage through reversible binding.</w:t>
            </w:r>
          </w:p>
        </w:tc>
        <w:tc>
          <w:tcPr>
            <w:tcW w:w="3168" w:type="dxa"/>
            <w:tcMar>
              <w:top w:w="95" w:type="dxa"/>
              <w:left w:w="100" w:type="dxa"/>
              <w:bottom w:w="95" w:type="dxa"/>
              <w:right w:w="100" w:type="dxa"/>
            </w:tcMar>
            <w:vAlign w:val="center"/>
          </w:tcPr>
          <w:p w14:paraId="4B8CB20C" w14:textId="77777777" w:rsidR="00C30954" w:rsidRDefault="00000000" w:rsidP="00282A23">
            <w:pPr>
              <w:spacing w:after="0" w:line="252" w:lineRule="auto"/>
              <w:jc w:val="both"/>
            </w:pPr>
            <w:r>
              <w:rPr>
                <w:rFonts w:eastAsia="Times New Roman"/>
                <w:sz w:val="16"/>
              </w:rPr>
              <w:t>Excess charge can cause surface trapping, immunogenicity or off-target binding; inflammation can accelerate clearance and fragmentation.</w:t>
            </w:r>
          </w:p>
        </w:tc>
        <w:tc>
          <w:tcPr>
            <w:tcW w:w="1872" w:type="dxa"/>
            <w:tcMar>
              <w:top w:w="95" w:type="dxa"/>
              <w:left w:w="100" w:type="dxa"/>
              <w:bottom w:w="95" w:type="dxa"/>
              <w:right w:w="100" w:type="dxa"/>
            </w:tcMar>
            <w:vAlign w:val="center"/>
          </w:tcPr>
          <w:p w14:paraId="6F9759A3" w14:textId="77777777" w:rsidR="00C30954" w:rsidRPr="00033A1D" w:rsidRDefault="00000000" w:rsidP="00282A23">
            <w:pPr>
              <w:spacing w:after="0" w:line="252" w:lineRule="auto"/>
              <w:jc w:val="both"/>
              <w:rPr>
                <w:lang w:val="nl-BE"/>
              </w:rPr>
            </w:pPr>
            <w:r w:rsidRPr="00033A1D">
              <w:rPr>
                <w:rFonts w:eastAsia="Times New Roman"/>
                <w:sz w:val="16"/>
                <w:lang w:val="nl-BE"/>
              </w:rPr>
              <w:t>(Bajpayee et al., 2014; Boyer et al., 2025; He et al., 2023; Zhu et al., 2023)</w:t>
            </w:r>
          </w:p>
        </w:tc>
      </w:tr>
      <w:tr w:rsidR="00C30954" w:rsidRPr="00033A1D" w14:paraId="6578E0B0" w14:textId="77777777">
        <w:trPr>
          <w:cantSplit/>
          <w:jc w:val="center"/>
        </w:trPr>
        <w:tc>
          <w:tcPr>
            <w:tcW w:w="1944" w:type="dxa"/>
            <w:tcMar>
              <w:top w:w="95" w:type="dxa"/>
              <w:left w:w="100" w:type="dxa"/>
              <w:bottom w:w="95" w:type="dxa"/>
              <w:right w:w="100" w:type="dxa"/>
            </w:tcMar>
            <w:vAlign w:val="center"/>
          </w:tcPr>
          <w:p w14:paraId="458D4A24" w14:textId="77777777" w:rsidR="00C30954" w:rsidRDefault="00000000" w:rsidP="00282A23">
            <w:pPr>
              <w:spacing w:after="0" w:line="252" w:lineRule="auto"/>
              <w:jc w:val="both"/>
            </w:pPr>
            <w:r>
              <w:rPr>
                <w:rFonts w:eastAsia="Times New Roman"/>
                <w:sz w:val="16"/>
              </w:rPr>
              <w:t>Enzyme/pH-responsive release</w:t>
            </w:r>
          </w:p>
        </w:tc>
        <w:tc>
          <w:tcPr>
            <w:tcW w:w="3168" w:type="dxa"/>
            <w:tcMar>
              <w:top w:w="95" w:type="dxa"/>
              <w:left w:w="100" w:type="dxa"/>
              <w:bottom w:w="95" w:type="dxa"/>
              <w:right w:w="100" w:type="dxa"/>
            </w:tcMar>
            <w:vAlign w:val="center"/>
          </w:tcPr>
          <w:p w14:paraId="58621E25" w14:textId="77777777" w:rsidR="00C30954" w:rsidRDefault="00000000" w:rsidP="00282A23">
            <w:pPr>
              <w:spacing w:after="0" w:line="252" w:lineRule="auto"/>
              <w:jc w:val="both"/>
            </w:pPr>
            <w:r>
              <w:rPr>
                <w:rFonts w:eastAsia="Times New Roman"/>
                <w:sz w:val="16"/>
              </w:rPr>
              <w:t>MMP or acidic conditions alter carrier structure or unmask payload/ligand at diseased sites.</w:t>
            </w:r>
          </w:p>
        </w:tc>
        <w:tc>
          <w:tcPr>
            <w:tcW w:w="3168" w:type="dxa"/>
            <w:tcMar>
              <w:top w:w="95" w:type="dxa"/>
              <w:left w:w="100" w:type="dxa"/>
              <w:bottom w:w="95" w:type="dxa"/>
              <w:right w:w="100" w:type="dxa"/>
            </w:tcMar>
            <w:vAlign w:val="center"/>
          </w:tcPr>
          <w:p w14:paraId="472B4DD4" w14:textId="77777777" w:rsidR="00C30954" w:rsidRDefault="00000000" w:rsidP="00282A23">
            <w:pPr>
              <w:spacing w:after="0" w:line="252" w:lineRule="auto"/>
              <w:jc w:val="both"/>
            </w:pPr>
            <w:r>
              <w:rPr>
                <w:rFonts w:eastAsia="Times New Roman"/>
                <w:sz w:val="16"/>
              </w:rPr>
              <w:t>Trigger magnitude is heterogeneous and in vitro conditions may overstate specificity.</w:t>
            </w:r>
          </w:p>
        </w:tc>
        <w:tc>
          <w:tcPr>
            <w:tcW w:w="1872" w:type="dxa"/>
            <w:tcMar>
              <w:top w:w="95" w:type="dxa"/>
              <w:left w:w="100" w:type="dxa"/>
              <w:bottom w:w="95" w:type="dxa"/>
              <w:right w:w="100" w:type="dxa"/>
            </w:tcMar>
            <w:vAlign w:val="center"/>
          </w:tcPr>
          <w:p w14:paraId="6355966E" w14:textId="77777777" w:rsidR="00C30954" w:rsidRPr="00033A1D" w:rsidRDefault="00000000" w:rsidP="00282A23">
            <w:pPr>
              <w:spacing w:after="0" w:line="252" w:lineRule="auto"/>
              <w:jc w:val="both"/>
              <w:rPr>
                <w:lang w:val="nl-BE"/>
              </w:rPr>
            </w:pPr>
            <w:r w:rsidRPr="00033A1D">
              <w:rPr>
                <w:rFonts w:eastAsia="Times New Roman"/>
                <w:sz w:val="16"/>
                <w:lang w:val="nl-BE"/>
              </w:rPr>
              <w:t>(He et al., 2020; Yi et al., 2025; Zhou et al., 2024)</w:t>
            </w:r>
          </w:p>
        </w:tc>
      </w:tr>
      <w:tr w:rsidR="00C30954" w14:paraId="30CD89B3" w14:textId="77777777">
        <w:trPr>
          <w:cantSplit/>
          <w:jc w:val="center"/>
        </w:trPr>
        <w:tc>
          <w:tcPr>
            <w:tcW w:w="1944" w:type="dxa"/>
            <w:tcMar>
              <w:top w:w="95" w:type="dxa"/>
              <w:left w:w="100" w:type="dxa"/>
              <w:bottom w:w="95" w:type="dxa"/>
              <w:right w:w="100" w:type="dxa"/>
            </w:tcMar>
            <w:vAlign w:val="center"/>
          </w:tcPr>
          <w:p w14:paraId="69509AE6" w14:textId="77777777" w:rsidR="00C30954" w:rsidRDefault="00000000" w:rsidP="00282A23">
            <w:pPr>
              <w:spacing w:after="0" w:line="252" w:lineRule="auto"/>
              <w:jc w:val="both"/>
            </w:pPr>
            <w:r>
              <w:rPr>
                <w:rFonts w:eastAsia="Times New Roman"/>
                <w:sz w:val="16"/>
              </w:rPr>
              <w:t>External near-infrared triggering</w:t>
            </w:r>
          </w:p>
        </w:tc>
        <w:tc>
          <w:tcPr>
            <w:tcW w:w="3168" w:type="dxa"/>
            <w:tcMar>
              <w:top w:w="95" w:type="dxa"/>
              <w:left w:w="100" w:type="dxa"/>
              <w:bottom w:w="95" w:type="dxa"/>
              <w:right w:w="100" w:type="dxa"/>
            </w:tcMar>
            <w:vAlign w:val="center"/>
          </w:tcPr>
          <w:p w14:paraId="54535706" w14:textId="77777777" w:rsidR="00C30954" w:rsidRDefault="00000000" w:rsidP="00282A23">
            <w:pPr>
              <w:spacing w:after="0" w:line="252" w:lineRule="auto"/>
              <w:jc w:val="both"/>
            </w:pPr>
            <w:r>
              <w:rPr>
                <w:rFonts w:eastAsia="Times New Roman"/>
                <w:sz w:val="16"/>
              </w:rPr>
              <w:t>Light can induce release or photothermal effects after localised administration.</w:t>
            </w:r>
          </w:p>
        </w:tc>
        <w:tc>
          <w:tcPr>
            <w:tcW w:w="3168" w:type="dxa"/>
            <w:tcMar>
              <w:top w:w="95" w:type="dxa"/>
              <w:left w:w="100" w:type="dxa"/>
              <w:bottom w:w="95" w:type="dxa"/>
              <w:right w:w="100" w:type="dxa"/>
            </w:tcMar>
            <w:vAlign w:val="center"/>
          </w:tcPr>
          <w:p w14:paraId="1C3E697B" w14:textId="77777777" w:rsidR="00C30954" w:rsidRDefault="00000000" w:rsidP="00282A23">
            <w:pPr>
              <w:spacing w:after="0" w:line="252" w:lineRule="auto"/>
              <w:jc w:val="both"/>
            </w:pPr>
            <w:r>
              <w:rPr>
                <w:rFonts w:eastAsia="Times New Roman"/>
                <w:sz w:val="16"/>
              </w:rPr>
              <w:t>Penetration and dosing practicality in large human joints are uncertain.</w:t>
            </w:r>
          </w:p>
        </w:tc>
        <w:tc>
          <w:tcPr>
            <w:tcW w:w="1872" w:type="dxa"/>
            <w:tcMar>
              <w:top w:w="95" w:type="dxa"/>
              <w:left w:w="100" w:type="dxa"/>
              <w:bottom w:w="95" w:type="dxa"/>
              <w:right w:w="100" w:type="dxa"/>
            </w:tcMar>
            <w:vAlign w:val="center"/>
          </w:tcPr>
          <w:p w14:paraId="21616788" w14:textId="77777777" w:rsidR="00C30954" w:rsidRDefault="00000000" w:rsidP="00282A23">
            <w:pPr>
              <w:spacing w:after="0" w:line="252" w:lineRule="auto"/>
              <w:jc w:val="both"/>
            </w:pPr>
            <w:r>
              <w:rPr>
                <w:rFonts w:eastAsia="Times New Roman"/>
                <w:sz w:val="16"/>
              </w:rPr>
              <w:t>(Xue et al., 2021)</w:t>
            </w:r>
          </w:p>
        </w:tc>
      </w:tr>
    </w:tbl>
    <w:p w14:paraId="582861D5" w14:textId="77777777" w:rsidR="00C30954" w:rsidRDefault="00000000" w:rsidP="00282A23">
      <w:pPr>
        <w:spacing w:before="80" w:after="180"/>
        <w:jc w:val="both"/>
      </w:pPr>
      <w:r>
        <w:rPr>
          <w:rFonts w:eastAsia="Times New Roman"/>
          <w:i/>
          <w:sz w:val="16"/>
        </w:rPr>
        <w:t>Note. HA = hyaluronic acid; MMP = matrix metalloproteinase; OA = osteoarthritis.</w:t>
      </w:r>
    </w:p>
    <w:p w14:paraId="203DFF00" w14:textId="77777777" w:rsidR="00C30954" w:rsidRDefault="00000000" w:rsidP="00282A23">
      <w:pPr>
        <w:pStyle w:val="Heading1"/>
        <w:jc w:val="both"/>
      </w:pPr>
      <w:r>
        <w:rPr>
          <w:rFonts w:ascii="Times New Roman" w:eastAsia="Times New Roman" w:hAnsi="Times New Roman"/>
        </w:rPr>
        <w:t>6. Payloads and Molecular Therapy</w:t>
      </w:r>
    </w:p>
    <w:p w14:paraId="056C5595" w14:textId="77777777" w:rsidR="00C30954" w:rsidRDefault="00000000" w:rsidP="00282A23">
      <w:pPr>
        <w:pStyle w:val="Heading2"/>
        <w:jc w:val="both"/>
      </w:pPr>
      <w:r>
        <w:rPr>
          <w:rFonts w:ascii="Times New Roman" w:eastAsia="Times New Roman" w:hAnsi="Times New Roman"/>
        </w:rPr>
        <w:t>6.1 Glucocorticoids and Small-Molecule Antirheumatic Agents</w:t>
      </w:r>
    </w:p>
    <w:p w14:paraId="281BD98C" w14:textId="77777777" w:rsidR="00C30954" w:rsidRDefault="00000000" w:rsidP="00282A23">
      <w:pPr>
        <w:pStyle w:val="BodyText"/>
        <w:ind w:firstLine="317"/>
      </w:pPr>
      <w:r>
        <w:rPr>
          <w:rFonts w:eastAsia="Times New Roman"/>
        </w:rPr>
        <w:t>Glucocorticoids provide the clearest test of the delivery hypothesis because their anti-inflammatory efficacy is established while systemic exposure creates well-known toxicity. Nanocarriers do not need to invent a new molecular mechanism; they need to change exposure. In experimental RA, liposomal prednisolone produced much stronger and more durable suppression than equivalent free drug, and later work localised liposomes predominantly to inflamed synovial compartments (Metselaar et al., 2003, 2004). PCL-PEG micelles likewise enabled low-dose dexamethasone to accumulate in inflamed joints and reduce disease measures in rats (Wang et al., 2016). The human randomised study of pegylated liposomal prednisolone is therefore unusually informative because it tests whether formulation-mediated redistribution can improve a clinically recognised anti-inflammatory intervention (Metselaar et al., 2022).</w:t>
      </w:r>
    </w:p>
    <w:p w14:paraId="4F758DF9" w14:textId="77777777" w:rsidR="00C30954" w:rsidRDefault="00000000" w:rsidP="00282A23">
      <w:pPr>
        <w:pStyle w:val="BodyText"/>
        <w:ind w:firstLine="317"/>
      </w:pPr>
      <w:r>
        <w:rPr>
          <w:rFonts w:eastAsia="Times New Roman"/>
        </w:rPr>
        <w:t xml:space="preserve">Small-molecule delivery broadens this concept but introduces additional pharmacology. Folate-targeted dendrimer-methotrexate conjugates suppressed experimental arthritis and reduced structural injury while exploiting activated macrophage uptake (Thomas et al., 2011). HA-coated solid lipid nanoparticles carrying prednisolone and human-serum-albumin nanoparticles carrying betulin are further examples in which formulation addresses </w:t>
      </w:r>
      <w:r>
        <w:rPr>
          <w:rFonts w:eastAsia="Times New Roman"/>
        </w:rPr>
        <w:lastRenderedPageBreak/>
        <w:t>exposure or solubility limitations (Yang et al., 2026; Zhou et al., 2018). In OA, cartilage-targeted HA nanomicelles delivering pioglitazone reduced oxidative and catabolic responses and improved experimental structural outcomes (Chen et al., 2023). The evidential weakness common to many such studies is that therapeutic improvement is assessed over short intervals in induced disease models. Better delivery of an active compound is credible; durable modification of heterogeneous human RA or OA is not yet established.</w:t>
      </w:r>
    </w:p>
    <w:p w14:paraId="6BD4798C" w14:textId="77777777" w:rsidR="00C30954" w:rsidRDefault="00000000" w:rsidP="00282A23">
      <w:pPr>
        <w:pStyle w:val="Heading2"/>
        <w:jc w:val="both"/>
      </w:pPr>
      <w:r>
        <w:rPr>
          <w:rFonts w:ascii="Times New Roman" w:eastAsia="Times New Roman" w:hAnsi="Times New Roman"/>
        </w:rPr>
        <w:t>6.2 Small Interfering RNA: Potent Targets, Difficult Intracellular Pharmacology</w:t>
      </w:r>
    </w:p>
    <w:p w14:paraId="5147E5DF" w14:textId="77777777" w:rsidR="00C30954" w:rsidRDefault="00000000" w:rsidP="00282A23">
      <w:pPr>
        <w:pStyle w:val="BodyText"/>
        <w:ind w:firstLine="317"/>
      </w:pPr>
      <w:r>
        <w:rPr>
          <w:rFonts w:eastAsia="Times New Roman"/>
        </w:rPr>
        <w:t>siRNA is attractive because it can suppress disease-driving proteins that are difficult to inhibit selectively with small molecules. Its delivery problem is more demanding than that of a glucocorticoid: the RNA must be protected from degradation, reach the correct tissue and cell, enter by an uptake pathway that preserves viability, escape the endosome and engage the RNA-induced silencing complex in the cytosol. Recent RA and OA reviews catalogue numerous candidate genes, but the decisive challenge is therefore pharmacological delivery rather than target nomination (Sawan et al., 2025; Song et al., 2026).</w:t>
      </w:r>
    </w:p>
    <w:p w14:paraId="4E4A7926" w14:textId="77777777" w:rsidR="00C30954" w:rsidRDefault="00000000" w:rsidP="00282A23">
      <w:pPr>
        <w:pStyle w:val="BodyText"/>
        <w:ind w:firstLine="317"/>
      </w:pPr>
      <w:r>
        <w:rPr>
          <w:rFonts w:eastAsia="Times New Roman"/>
        </w:rPr>
        <w:t>Experimental RA illustrates both promise and complexity. te Boekhorst et al. (2012) administered PLGA nanoparticles containing TNF-targeted siRNA directly into arthritic mouse joints. A low siRNA dose produced sequence-specific reduction in disease activity, yet higher doses did not separate from non-specific siRNA controls. This dose paradox is valuable because it resists the assumption that more siRNA or more nanoparticle necessarily yields more specific benefit; carrier effects, innate responses or saturation can dominate. Lipidoid-polymer hybrid nanoparticles later achieved TNF knockdown and suppression of inflammation after IA delivery in murine arthritis (Jansen et al., 2019). Hybrid polymeric micelles co-delivering dexamethasone and siRNA against NF-kappaB p65 further demonstrated that molecular silencing can be combined with conventional anti-inflammatory therapy (Wang et al., 2017). These models establish feasibility, but they remain far from systemic multi-joint gene silencing in patients.</w:t>
      </w:r>
    </w:p>
    <w:p w14:paraId="1A16782E" w14:textId="77777777" w:rsidR="00C30954" w:rsidRDefault="00000000" w:rsidP="00282A23">
      <w:pPr>
        <w:pStyle w:val="BodyText"/>
        <w:ind w:firstLine="317"/>
      </w:pPr>
      <w:r>
        <w:rPr>
          <w:rFonts w:eastAsia="Times New Roman"/>
        </w:rPr>
        <w:t>OA provides a particularly strong rationale for local siRNA because MMP13 and other catabolic mediators are spatially associated with damaged cartilage. Collagen-targeted nanoparticle depots delivering siRNA against Mmp13 reduced target expression and protected joint structure in two mouse models of post-traumatic OA (Bedingfield et al., 2021). A later theranostic micelle used MMP13-dependent activation to expose an uptake ligand and deliver siRNA while reporting disease-associated fluorescence (Zhou et al., 2024). These studies go beyond retention by linking a carrier to gene silencing and structural readouts. Nonetheless, the mouse cartilage thickness, joint volume and post-traumatic disease kinetics differ greatly from human OA, and sustained suppression of a single catabolic enzyme may not address the network redundancy of established disease.</w:t>
      </w:r>
    </w:p>
    <w:p w14:paraId="6B0D3A3A" w14:textId="77777777" w:rsidR="00C30954" w:rsidRDefault="00000000" w:rsidP="00282A23">
      <w:pPr>
        <w:pStyle w:val="Heading2"/>
        <w:jc w:val="both"/>
      </w:pPr>
      <w:r>
        <w:rPr>
          <w:rFonts w:ascii="Times New Roman" w:eastAsia="Times New Roman" w:hAnsi="Times New Roman"/>
        </w:rPr>
        <w:t>6.3 Messenger RNA and Protein Expression</w:t>
      </w:r>
    </w:p>
    <w:p w14:paraId="757FA1C7" w14:textId="77777777" w:rsidR="00C30954" w:rsidRDefault="00000000" w:rsidP="00282A23">
      <w:pPr>
        <w:pStyle w:val="BodyText"/>
        <w:ind w:firstLine="317"/>
      </w:pPr>
      <w:r>
        <w:rPr>
          <w:rFonts w:eastAsia="Times New Roman"/>
        </w:rPr>
        <w:t>mRNA delivery changes the therapeutic objective from silencing to transient protein production. It can avoid repeated recombinant-protein dosing if local cells become short-lived bioreactors, but it requires efficient cytosolic release and careful control of expression duration. Charge-reversed exosomes delivered reporter mRNA throughout early-stage arthritic human cartilage explants and produced reporter expression after IA administration in a mouse OA model (Zhang et al., 2024). This is strong evidence of tissue and intracellular delivery, but because the encoded protein was a reporter, it should be interpreted as platform validation rather than treatment of OA.</w:t>
      </w:r>
    </w:p>
    <w:p w14:paraId="3C6E3FE9" w14:textId="77777777" w:rsidR="00C30954" w:rsidRDefault="00000000" w:rsidP="00282A23">
      <w:pPr>
        <w:pStyle w:val="BodyText"/>
        <w:ind w:firstLine="317"/>
      </w:pPr>
      <w:r>
        <w:rPr>
          <w:rFonts w:eastAsia="Times New Roman"/>
        </w:rPr>
        <w:t xml:space="preserve">Therapeutic mRNA-LNP work has moved a step further. Kong et al. (2025) delivered mRNA encoding fibroblast growth factor 18 and achieved sustained local expression, deeper chondrocyte access than recombinant protein, and improved outcomes in destabilisation-of-the-medial-meniscus and senile mouse models. The study directly connects a delivery platform with a regenerative molecular product. Yet expression over days in a mouse joint does not resolve questions of dose controllability, repeated dosing, innate immune activation or whether anabolic stimulation is beneficial across inflammatory and late structural OA phenotypes. The same strengths that </w:t>
      </w:r>
      <w:r>
        <w:rPr>
          <w:rFonts w:eastAsia="Times New Roman"/>
        </w:rPr>
        <w:lastRenderedPageBreak/>
        <w:t>make mRNA attractive, namely amplified protein production and flexible sequence design, increase the importance of cell specificity and pharmacodynamic stopping rules.</w:t>
      </w:r>
    </w:p>
    <w:p w14:paraId="6C96A7C8" w14:textId="77777777" w:rsidR="00C30954" w:rsidRDefault="00000000" w:rsidP="00282A23">
      <w:pPr>
        <w:pStyle w:val="Heading2"/>
        <w:jc w:val="both"/>
      </w:pPr>
      <w:r>
        <w:rPr>
          <w:rFonts w:ascii="Times New Roman" w:eastAsia="Times New Roman" w:hAnsi="Times New Roman"/>
        </w:rPr>
        <w:t>6.4 Cytokines, Biologics, Regenerative Factors and Intrinsically Active Nanomaterials</w:t>
      </w:r>
    </w:p>
    <w:p w14:paraId="6AAF9133" w14:textId="77777777" w:rsidR="00C30954" w:rsidRDefault="00000000" w:rsidP="00282A23">
      <w:pPr>
        <w:pStyle w:val="BodyText"/>
        <w:ind w:firstLine="317"/>
      </w:pPr>
      <w:r>
        <w:rPr>
          <w:rFonts w:eastAsia="Times New Roman"/>
        </w:rPr>
        <w:t>Nanoparticles can rescue therapeutics that are biologically potent but pharmacokinetically poor. ART-1-directed liposomal interleukin-27 improved the therapeutic index of the cytokine in experimental autoimmune arthritis by increasing delivery to inflamed joints and reducing off-target exposure (Meka et al., 2018). In OA, charge-reversed exosomes carrying interleukin-1 receptor antagonist sustained anti-catabolic activity in early arthritic cartilage explants where free protein was insufficient under the tested dosing scheme (Pathrikar et al., 2025). Bioinspired lipid nanoparticles have also combined transforming growth factor beta 3 with kartogenin to support cartilage protection and repair in animal models (Zhou et al., 2025). These studies illustrate a general principle: local retention can convert short-lived soluble factors into depot-like therapies, but the optimal duration of cytokine or growth-factor signalling is itself a biological variable.</w:t>
      </w:r>
    </w:p>
    <w:p w14:paraId="6C6240F1" w14:textId="77777777" w:rsidR="00C30954" w:rsidRDefault="00000000" w:rsidP="00282A23">
      <w:pPr>
        <w:pStyle w:val="BodyText"/>
        <w:ind w:firstLine="317"/>
      </w:pPr>
      <w:r>
        <w:rPr>
          <w:rFonts w:eastAsia="Times New Roman"/>
        </w:rPr>
        <w:t>A separate class of molecular therapy is provided by the nanomaterial rather than an encapsulated drug. Folic-acid-modified silver nanoparticles were designed to alter macrophage survival and phenotype through intracellular silver-ion release and redox effects in RA (Yang et al., 2021). Cartilage-targeted cerium oxide nanoparticles use enzyme-mimetic antioxidant behaviour to reduce oxidative stress in OA (Zhuang et al., 2024). Such systems blur the boundary between formulation and active pharmaceutical ingredient. This may be therapeutically advantageous because targeting and activity are physically inseparable, but it complicates toxicology, dose specification and mechanism-based regulation. Long-term safety cannot be inferred from the absence of short-term organ injury, particularly when a material can persist, dissolve or catalyse reactions in a concentration-dependent fashion.</w:t>
      </w:r>
    </w:p>
    <w:p w14:paraId="10626194" w14:textId="77777777" w:rsidR="00C30954" w:rsidRDefault="00000000" w:rsidP="00282A23">
      <w:pPr>
        <w:pStyle w:val="BodyText"/>
        <w:ind w:firstLine="317"/>
      </w:pPr>
      <w:r>
        <w:rPr>
          <w:rFonts w:eastAsia="Times New Roman"/>
        </w:rPr>
        <w:t>Table 4 shows that payload class determines what “successful delivery” must mean. For small molecules, improved joint exposure and reduced systemic exposure may be sufficient. For siRNA and mRNA, localisation is only an early step: cytosolic release and sequence-specific molecular activity are essential. For proteins and cytokines, duration and spatial distribution of signalling may matter as much as total exposure. For catalytically active nanomaterials, material fate becomes inseparable from pharmacology and safety.</w:t>
      </w:r>
    </w:p>
    <w:p w14:paraId="29462057" w14:textId="77777777" w:rsidR="00C30954" w:rsidRDefault="00000000" w:rsidP="00282A23">
      <w:pPr>
        <w:keepNext/>
        <w:spacing w:before="80" w:after="80"/>
        <w:jc w:val="both"/>
      </w:pPr>
      <w:r>
        <w:rPr>
          <w:rFonts w:eastAsia="Times New Roman"/>
          <w:b/>
          <w:color w:val="1F4E79"/>
          <w:sz w:val="20"/>
        </w:rPr>
        <w:t>Table 4. Therapeutic payload classes and the evidentiary requirements for successful delivery</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944"/>
        <w:gridCol w:w="3168"/>
        <w:gridCol w:w="3168"/>
        <w:gridCol w:w="1872"/>
      </w:tblGrid>
      <w:tr w:rsidR="00C30954" w14:paraId="4C414614" w14:textId="77777777">
        <w:trPr>
          <w:tblHeader/>
          <w:jc w:val="center"/>
        </w:trPr>
        <w:tc>
          <w:tcPr>
            <w:tcW w:w="1944" w:type="dxa"/>
            <w:shd w:val="clear" w:color="auto" w:fill="D9E5F2"/>
            <w:tcMar>
              <w:top w:w="100" w:type="dxa"/>
              <w:left w:w="100" w:type="dxa"/>
              <w:bottom w:w="100" w:type="dxa"/>
              <w:right w:w="100" w:type="dxa"/>
            </w:tcMar>
            <w:vAlign w:val="center"/>
          </w:tcPr>
          <w:p w14:paraId="02537E94" w14:textId="77777777" w:rsidR="00C30954" w:rsidRDefault="00000000" w:rsidP="00282A23">
            <w:pPr>
              <w:spacing w:after="0"/>
              <w:jc w:val="both"/>
            </w:pPr>
            <w:r>
              <w:rPr>
                <w:rFonts w:eastAsia="Times New Roman"/>
                <w:b/>
                <w:color w:val="1F4E79"/>
                <w:sz w:val="16"/>
              </w:rPr>
              <w:t>Payload or modality</w:t>
            </w:r>
          </w:p>
        </w:tc>
        <w:tc>
          <w:tcPr>
            <w:tcW w:w="3168" w:type="dxa"/>
            <w:shd w:val="clear" w:color="auto" w:fill="D9E5F2"/>
            <w:tcMar>
              <w:top w:w="100" w:type="dxa"/>
              <w:left w:w="100" w:type="dxa"/>
              <w:bottom w:w="100" w:type="dxa"/>
              <w:right w:w="100" w:type="dxa"/>
            </w:tcMar>
            <w:vAlign w:val="center"/>
          </w:tcPr>
          <w:p w14:paraId="582BA67E" w14:textId="77777777" w:rsidR="00C30954" w:rsidRDefault="00000000" w:rsidP="00282A23">
            <w:pPr>
              <w:spacing w:after="0"/>
              <w:jc w:val="both"/>
            </w:pPr>
            <w:r>
              <w:rPr>
                <w:rFonts w:eastAsia="Times New Roman"/>
                <w:b/>
                <w:color w:val="1F4E79"/>
                <w:sz w:val="16"/>
              </w:rPr>
              <w:t>Delivery problem to solve</w:t>
            </w:r>
          </w:p>
        </w:tc>
        <w:tc>
          <w:tcPr>
            <w:tcW w:w="3168" w:type="dxa"/>
            <w:shd w:val="clear" w:color="auto" w:fill="D9E5F2"/>
            <w:tcMar>
              <w:top w:w="100" w:type="dxa"/>
              <w:left w:w="100" w:type="dxa"/>
              <w:bottom w:w="100" w:type="dxa"/>
              <w:right w:w="100" w:type="dxa"/>
            </w:tcMar>
            <w:vAlign w:val="center"/>
          </w:tcPr>
          <w:p w14:paraId="1D9F087E" w14:textId="77777777" w:rsidR="00C30954" w:rsidRDefault="00000000" w:rsidP="00282A23">
            <w:pPr>
              <w:spacing w:after="0"/>
              <w:jc w:val="both"/>
            </w:pPr>
            <w:r>
              <w:rPr>
                <w:rFonts w:eastAsia="Times New Roman"/>
                <w:b/>
                <w:color w:val="1F4E79"/>
                <w:sz w:val="16"/>
              </w:rPr>
              <w:t>Evidence achieved and key interpretation</w:t>
            </w:r>
          </w:p>
        </w:tc>
        <w:tc>
          <w:tcPr>
            <w:tcW w:w="1872" w:type="dxa"/>
            <w:shd w:val="clear" w:color="auto" w:fill="D9E5F2"/>
            <w:tcMar>
              <w:top w:w="100" w:type="dxa"/>
              <w:left w:w="100" w:type="dxa"/>
              <w:bottom w:w="100" w:type="dxa"/>
              <w:right w:w="100" w:type="dxa"/>
            </w:tcMar>
            <w:vAlign w:val="center"/>
          </w:tcPr>
          <w:p w14:paraId="791596A6" w14:textId="77777777" w:rsidR="00C30954" w:rsidRDefault="00000000" w:rsidP="00282A23">
            <w:pPr>
              <w:spacing w:after="0"/>
              <w:jc w:val="both"/>
            </w:pPr>
            <w:r>
              <w:rPr>
                <w:rFonts w:eastAsia="Times New Roman"/>
                <w:b/>
                <w:color w:val="1F4E79"/>
                <w:sz w:val="16"/>
              </w:rPr>
              <w:t>Supporting references</w:t>
            </w:r>
          </w:p>
        </w:tc>
      </w:tr>
      <w:tr w:rsidR="00C30954" w:rsidRPr="00033A1D" w14:paraId="0A0B8F3B" w14:textId="77777777">
        <w:trPr>
          <w:cantSplit/>
          <w:jc w:val="center"/>
        </w:trPr>
        <w:tc>
          <w:tcPr>
            <w:tcW w:w="1944" w:type="dxa"/>
            <w:tcMar>
              <w:top w:w="95" w:type="dxa"/>
              <w:left w:w="100" w:type="dxa"/>
              <w:bottom w:w="95" w:type="dxa"/>
              <w:right w:w="100" w:type="dxa"/>
            </w:tcMar>
            <w:vAlign w:val="center"/>
          </w:tcPr>
          <w:p w14:paraId="7F2A5D21" w14:textId="77777777" w:rsidR="00C30954" w:rsidRDefault="00000000" w:rsidP="00282A23">
            <w:pPr>
              <w:spacing w:after="0" w:line="252" w:lineRule="auto"/>
              <w:jc w:val="both"/>
            </w:pPr>
            <w:r>
              <w:rPr>
                <w:rFonts w:eastAsia="Times New Roman"/>
                <w:sz w:val="16"/>
              </w:rPr>
              <w:t>Glucocorticoids/small molecules</w:t>
            </w:r>
          </w:p>
        </w:tc>
        <w:tc>
          <w:tcPr>
            <w:tcW w:w="3168" w:type="dxa"/>
            <w:tcMar>
              <w:top w:w="95" w:type="dxa"/>
              <w:left w:w="100" w:type="dxa"/>
              <w:bottom w:w="95" w:type="dxa"/>
              <w:right w:w="100" w:type="dxa"/>
            </w:tcMar>
            <w:vAlign w:val="center"/>
          </w:tcPr>
          <w:p w14:paraId="1743C276" w14:textId="77777777" w:rsidR="00C30954" w:rsidRDefault="00000000" w:rsidP="00282A23">
            <w:pPr>
              <w:spacing w:after="0" w:line="252" w:lineRule="auto"/>
              <w:jc w:val="both"/>
            </w:pPr>
            <w:r>
              <w:rPr>
                <w:rFonts w:eastAsia="Times New Roman"/>
                <w:sz w:val="16"/>
              </w:rPr>
              <w:t>Redistribute exposure, improve solubility or prolong local residence while reducing systemic toxicity.</w:t>
            </w:r>
          </w:p>
        </w:tc>
        <w:tc>
          <w:tcPr>
            <w:tcW w:w="3168" w:type="dxa"/>
            <w:tcMar>
              <w:top w:w="95" w:type="dxa"/>
              <w:left w:w="100" w:type="dxa"/>
              <w:bottom w:w="95" w:type="dxa"/>
              <w:right w:w="100" w:type="dxa"/>
            </w:tcMar>
            <w:vAlign w:val="center"/>
          </w:tcPr>
          <w:p w14:paraId="1D87EBEE" w14:textId="77777777" w:rsidR="00C30954" w:rsidRDefault="00000000" w:rsidP="00282A23">
            <w:pPr>
              <w:spacing w:after="0" w:line="252" w:lineRule="auto"/>
              <w:jc w:val="both"/>
            </w:pPr>
            <w:r>
              <w:rPr>
                <w:rFonts w:eastAsia="Times New Roman"/>
                <w:sz w:val="16"/>
              </w:rPr>
              <w:t>Strong preclinical RA evidence and one randomised RA trial support formulation-mediated therapeutic-index improvement; OA evidence remains preclinical.</w:t>
            </w:r>
          </w:p>
        </w:tc>
        <w:tc>
          <w:tcPr>
            <w:tcW w:w="1872" w:type="dxa"/>
            <w:tcMar>
              <w:top w:w="95" w:type="dxa"/>
              <w:left w:w="100" w:type="dxa"/>
              <w:bottom w:w="95" w:type="dxa"/>
              <w:right w:w="100" w:type="dxa"/>
            </w:tcMar>
            <w:vAlign w:val="center"/>
          </w:tcPr>
          <w:p w14:paraId="0272D2BF" w14:textId="77777777" w:rsidR="00C30954" w:rsidRPr="00033A1D" w:rsidRDefault="00000000" w:rsidP="00282A23">
            <w:pPr>
              <w:spacing w:after="0" w:line="252" w:lineRule="auto"/>
              <w:jc w:val="both"/>
              <w:rPr>
                <w:lang w:val="nl-BE"/>
              </w:rPr>
            </w:pPr>
            <w:r w:rsidRPr="00033A1D">
              <w:rPr>
                <w:rFonts w:eastAsia="Times New Roman"/>
                <w:sz w:val="16"/>
                <w:lang w:val="nl-BE"/>
              </w:rPr>
              <w:t>(Chen et al., 2023; Metselaar et al., 2003, 2022; Wang et al., 2016)</w:t>
            </w:r>
          </w:p>
        </w:tc>
      </w:tr>
      <w:tr w:rsidR="00C30954" w:rsidRPr="00033A1D" w14:paraId="4B1DF913" w14:textId="77777777">
        <w:trPr>
          <w:cantSplit/>
          <w:jc w:val="center"/>
        </w:trPr>
        <w:tc>
          <w:tcPr>
            <w:tcW w:w="1944" w:type="dxa"/>
            <w:tcMar>
              <w:top w:w="95" w:type="dxa"/>
              <w:left w:w="100" w:type="dxa"/>
              <w:bottom w:w="95" w:type="dxa"/>
              <w:right w:w="100" w:type="dxa"/>
            </w:tcMar>
            <w:vAlign w:val="center"/>
          </w:tcPr>
          <w:p w14:paraId="7882737E" w14:textId="77777777" w:rsidR="00C30954" w:rsidRDefault="00000000" w:rsidP="00282A23">
            <w:pPr>
              <w:spacing w:after="0" w:line="252" w:lineRule="auto"/>
              <w:jc w:val="both"/>
            </w:pPr>
            <w:r>
              <w:rPr>
                <w:rFonts w:eastAsia="Times New Roman"/>
                <w:sz w:val="16"/>
              </w:rPr>
              <w:t>siRNA</w:t>
            </w:r>
          </w:p>
        </w:tc>
        <w:tc>
          <w:tcPr>
            <w:tcW w:w="3168" w:type="dxa"/>
            <w:tcMar>
              <w:top w:w="95" w:type="dxa"/>
              <w:left w:w="100" w:type="dxa"/>
              <w:bottom w:w="95" w:type="dxa"/>
              <w:right w:w="100" w:type="dxa"/>
            </w:tcMar>
            <w:vAlign w:val="center"/>
          </w:tcPr>
          <w:p w14:paraId="3F95AE49" w14:textId="77777777" w:rsidR="00C30954" w:rsidRDefault="00000000" w:rsidP="00282A23">
            <w:pPr>
              <w:spacing w:after="0" w:line="252" w:lineRule="auto"/>
              <w:jc w:val="both"/>
            </w:pPr>
            <w:r>
              <w:rPr>
                <w:rFonts w:eastAsia="Times New Roman"/>
                <w:sz w:val="16"/>
              </w:rPr>
              <w:t>Protect RNA, reach target cells, escape endosomes and achieve sequence-specific cytosolic silencing.</w:t>
            </w:r>
          </w:p>
        </w:tc>
        <w:tc>
          <w:tcPr>
            <w:tcW w:w="3168" w:type="dxa"/>
            <w:tcMar>
              <w:top w:w="95" w:type="dxa"/>
              <w:left w:w="100" w:type="dxa"/>
              <w:bottom w:w="95" w:type="dxa"/>
              <w:right w:w="100" w:type="dxa"/>
            </w:tcMar>
            <w:vAlign w:val="center"/>
          </w:tcPr>
          <w:p w14:paraId="6C4C0B72" w14:textId="77777777" w:rsidR="00C30954" w:rsidRDefault="00000000" w:rsidP="00282A23">
            <w:pPr>
              <w:spacing w:after="0" w:line="252" w:lineRule="auto"/>
              <w:jc w:val="both"/>
            </w:pPr>
            <w:r>
              <w:rPr>
                <w:rFonts w:eastAsia="Times New Roman"/>
                <w:sz w:val="16"/>
              </w:rPr>
              <w:t>Gene knockdown and structural benefit are demonstrated in animal RA/OA; non-linear dose effects show that carrier and innate responses can confound specificity.</w:t>
            </w:r>
          </w:p>
        </w:tc>
        <w:tc>
          <w:tcPr>
            <w:tcW w:w="1872" w:type="dxa"/>
            <w:tcMar>
              <w:top w:w="95" w:type="dxa"/>
              <w:left w:w="100" w:type="dxa"/>
              <w:bottom w:w="95" w:type="dxa"/>
              <w:right w:w="100" w:type="dxa"/>
            </w:tcMar>
            <w:vAlign w:val="center"/>
          </w:tcPr>
          <w:p w14:paraId="3C6007F4" w14:textId="77777777" w:rsidR="00C30954" w:rsidRPr="00033A1D" w:rsidRDefault="00000000" w:rsidP="00282A23">
            <w:pPr>
              <w:spacing w:after="0" w:line="252" w:lineRule="auto"/>
              <w:jc w:val="both"/>
              <w:rPr>
                <w:lang w:val="nl-BE"/>
              </w:rPr>
            </w:pPr>
            <w:r w:rsidRPr="00033A1D">
              <w:rPr>
                <w:rFonts w:eastAsia="Times New Roman"/>
                <w:sz w:val="16"/>
                <w:lang w:val="nl-BE"/>
              </w:rPr>
              <w:t>(Bedingfield et al., 2021; Jansen et al., 2019; te Boekhorst et al., 2012; Zhou et al., 2024)</w:t>
            </w:r>
          </w:p>
        </w:tc>
      </w:tr>
      <w:tr w:rsidR="00C30954" w:rsidRPr="00033A1D" w14:paraId="10251777" w14:textId="77777777">
        <w:trPr>
          <w:cantSplit/>
          <w:jc w:val="center"/>
        </w:trPr>
        <w:tc>
          <w:tcPr>
            <w:tcW w:w="1944" w:type="dxa"/>
            <w:tcMar>
              <w:top w:w="95" w:type="dxa"/>
              <w:left w:w="100" w:type="dxa"/>
              <w:bottom w:w="95" w:type="dxa"/>
              <w:right w:w="100" w:type="dxa"/>
            </w:tcMar>
            <w:vAlign w:val="center"/>
          </w:tcPr>
          <w:p w14:paraId="57E93B26" w14:textId="77777777" w:rsidR="00C30954" w:rsidRDefault="00000000" w:rsidP="00282A23">
            <w:pPr>
              <w:spacing w:after="0" w:line="252" w:lineRule="auto"/>
              <w:jc w:val="both"/>
            </w:pPr>
            <w:r>
              <w:rPr>
                <w:rFonts w:eastAsia="Times New Roman"/>
                <w:sz w:val="16"/>
              </w:rPr>
              <w:t>mRNA</w:t>
            </w:r>
          </w:p>
        </w:tc>
        <w:tc>
          <w:tcPr>
            <w:tcW w:w="3168" w:type="dxa"/>
            <w:tcMar>
              <w:top w:w="95" w:type="dxa"/>
              <w:left w:w="100" w:type="dxa"/>
              <w:bottom w:w="95" w:type="dxa"/>
              <w:right w:w="100" w:type="dxa"/>
            </w:tcMar>
            <w:vAlign w:val="center"/>
          </w:tcPr>
          <w:p w14:paraId="298EF434" w14:textId="77777777" w:rsidR="00C30954" w:rsidRDefault="00000000" w:rsidP="00282A23">
            <w:pPr>
              <w:spacing w:after="0" w:line="252" w:lineRule="auto"/>
              <w:jc w:val="both"/>
            </w:pPr>
            <w:r>
              <w:rPr>
                <w:rFonts w:eastAsia="Times New Roman"/>
                <w:sz w:val="16"/>
              </w:rPr>
              <w:t>Deliver intact RNA to cytosol and control magnitude/duration of local protein expression.</w:t>
            </w:r>
          </w:p>
        </w:tc>
        <w:tc>
          <w:tcPr>
            <w:tcW w:w="3168" w:type="dxa"/>
            <w:tcMar>
              <w:top w:w="95" w:type="dxa"/>
              <w:left w:w="100" w:type="dxa"/>
              <w:bottom w:w="95" w:type="dxa"/>
              <w:right w:w="100" w:type="dxa"/>
            </w:tcMar>
            <w:vAlign w:val="center"/>
          </w:tcPr>
          <w:p w14:paraId="6C3B28BC" w14:textId="77777777" w:rsidR="00C30954" w:rsidRDefault="00000000" w:rsidP="00282A23">
            <w:pPr>
              <w:spacing w:after="0" w:line="252" w:lineRule="auto"/>
              <w:jc w:val="both"/>
            </w:pPr>
            <w:r>
              <w:rPr>
                <w:rFonts w:eastAsia="Times New Roman"/>
                <w:sz w:val="16"/>
              </w:rPr>
              <w:t>Reporter expression is demonstrated in human arthritic cartilage explants; therapeutic FGF18 mRNA-LNP has efficacy in mouse OA.</w:t>
            </w:r>
          </w:p>
        </w:tc>
        <w:tc>
          <w:tcPr>
            <w:tcW w:w="1872" w:type="dxa"/>
            <w:tcMar>
              <w:top w:w="95" w:type="dxa"/>
              <w:left w:w="100" w:type="dxa"/>
              <w:bottom w:w="95" w:type="dxa"/>
              <w:right w:w="100" w:type="dxa"/>
            </w:tcMar>
            <w:vAlign w:val="center"/>
          </w:tcPr>
          <w:p w14:paraId="349696D4" w14:textId="77777777" w:rsidR="00C30954" w:rsidRPr="00033A1D" w:rsidRDefault="00000000" w:rsidP="00282A23">
            <w:pPr>
              <w:spacing w:after="0" w:line="252" w:lineRule="auto"/>
              <w:jc w:val="both"/>
              <w:rPr>
                <w:lang w:val="nl-BE"/>
              </w:rPr>
            </w:pPr>
            <w:r w:rsidRPr="00033A1D">
              <w:rPr>
                <w:rFonts w:eastAsia="Times New Roman"/>
                <w:sz w:val="16"/>
                <w:lang w:val="nl-BE"/>
              </w:rPr>
              <w:t>(Kong et al., 2025; Zhang et al., 2024)</w:t>
            </w:r>
          </w:p>
        </w:tc>
      </w:tr>
      <w:tr w:rsidR="00C30954" w:rsidRPr="00033A1D" w14:paraId="5A461860" w14:textId="77777777">
        <w:trPr>
          <w:cantSplit/>
          <w:jc w:val="center"/>
        </w:trPr>
        <w:tc>
          <w:tcPr>
            <w:tcW w:w="1944" w:type="dxa"/>
            <w:tcMar>
              <w:top w:w="95" w:type="dxa"/>
              <w:left w:w="100" w:type="dxa"/>
              <w:bottom w:w="95" w:type="dxa"/>
              <w:right w:w="100" w:type="dxa"/>
            </w:tcMar>
            <w:vAlign w:val="center"/>
          </w:tcPr>
          <w:p w14:paraId="7A01D88A" w14:textId="77777777" w:rsidR="00C30954" w:rsidRDefault="00000000" w:rsidP="00282A23">
            <w:pPr>
              <w:spacing w:after="0" w:line="252" w:lineRule="auto"/>
              <w:jc w:val="both"/>
            </w:pPr>
            <w:r>
              <w:rPr>
                <w:rFonts w:eastAsia="Times New Roman"/>
                <w:sz w:val="16"/>
              </w:rPr>
              <w:t>Cytokines/biologics</w:t>
            </w:r>
          </w:p>
        </w:tc>
        <w:tc>
          <w:tcPr>
            <w:tcW w:w="3168" w:type="dxa"/>
            <w:tcMar>
              <w:top w:w="95" w:type="dxa"/>
              <w:left w:w="100" w:type="dxa"/>
              <w:bottom w:w="95" w:type="dxa"/>
              <w:right w:w="100" w:type="dxa"/>
            </w:tcMar>
            <w:vAlign w:val="center"/>
          </w:tcPr>
          <w:p w14:paraId="33DD1BB2" w14:textId="77777777" w:rsidR="00C30954" w:rsidRDefault="00000000" w:rsidP="00282A23">
            <w:pPr>
              <w:spacing w:after="0" w:line="252" w:lineRule="auto"/>
              <w:jc w:val="both"/>
            </w:pPr>
            <w:r>
              <w:rPr>
                <w:rFonts w:eastAsia="Times New Roman"/>
                <w:sz w:val="16"/>
              </w:rPr>
              <w:t>Prevent rapid clearance and concentrate potent proteins where sustained but controlled signalling is desired.</w:t>
            </w:r>
          </w:p>
        </w:tc>
        <w:tc>
          <w:tcPr>
            <w:tcW w:w="3168" w:type="dxa"/>
            <w:tcMar>
              <w:top w:w="95" w:type="dxa"/>
              <w:left w:w="100" w:type="dxa"/>
              <w:bottom w:w="95" w:type="dxa"/>
              <w:right w:w="100" w:type="dxa"/>
            </w:tcMar>
            <w:vAlign w:val="center"/>
          </w:tcPr>
          <w:p w14:paraId="447C555A" w14:textId="77777777" w:rsidR="00C30954" w:rsidRDefault="00000000" w:rsidP="00282A23">
            <w:pPr>
              <w:spacing w:after="0" w:line="252" w:lineRule="auto"/>
              <w:jc w:val="both"/>
            </w:pPr>
            <w:r>
              <w:rPr>
                <w:rFonts w:eastAsia="Times New Roman"/>
                <w:sz w:val="16"/>
              </w:rPr>
              <w:t>Targeted IL-27 improved experimental RA; charge-reversed exosomes sustained IL-1 receptor antagonist effects in OA cartilage explants.</w:t>
            </w:r>
          </w:p>
        </w:tc>
        <w:tc>
          <w:tcPr>
            <w:tcW w:w="1872" w:type="dxa"/>
            <w:tcMar>
              <w:top w:w="95" w:type="dxa"/>
              <w:left w:w="100" w:type="dxa"/>
              <w:bottom w:w="95" w:type="dxa"/>
              <w:right w:w="100" w:type="dxa"/>
            </w:tcMar>
            <w:vAlign w:val="center"/>
          </w:tcPr>
          <w:p w14:paraId="70E347CB" w14:textId="77777777" w:rsidR="00C30954" w:rsidRPr="00033A1D" w:rsidRDefault="00000000" w:rsidP="00282A23">
            <w:pPr>
              <w:spacing w:after="0" w:line="252" w:lineRule="auto"/>
              <w:jc w:val="both"/>
              <w:rPr>
                <w:lang w:val="nl-BE"/>
              </w:rPr>
            </w:pPr>
            <w:r w:rsidRPr="00033A1D">
              <w:rPr>
                <w:rFonts w:eastAsia="Times New Roman"/>
                <w:sz w:val="16"/>
                <w:lang w:val="nl-BE"/>
              </w:rPr>
              <w:t>(Meka et al., 2018; Pathrikar et al., 2025)</w:t>
            </w:r>
          </w:p>
        </w:tc>
      </w:tr>
      <w:tr w:rsidR="00C30954" w:rsidRPr="00033A1D" w14:paraId="30877D83" w14:textId="77777777">
        <w:trPr>
          <w:cantSplit/>
          <w:jc w:val="center"/>
        </w:trPr>
        <w:tc>
          <w:tcPr>
            <w:tcW w:w="1944" w:type="dxa"/>
            <w:tcMar>
              <w:top w:w="95" w:type="dxa"/>
              <w:left w:w="100" w:type="dxa"/>
              <w:bottom w:w="95" w:type="dxa"/>
              <w:right w:w="100" w:type="dxa"/>
            </w:tcMar>
            <w:vAlign w:val="center"/>
          </w:tcPr>
          <w:p w14:paraId="4E220ECA" w14:textId="77777777" w:rsidR="00C30954" w:rsidRDefault="00000000" w:rsidP="00282A23">
            <w:pPr>
              <w:spacing w:after="0" w:line="252" w:lineRule="auto"/>
              <w:jc w:val="both"/>
            </w:pPr>
            <w:r>
              <w:rPr>
                <w:rFonts w:eastAsia="Times New Roman"/>
                <w:sz w:val="16"/>
              </w:rPr>
              <w:t>Regenerative combinations</w:t>
            </w:r>
          </w:p>
        </w:tc>
        <w:tc>
          <w:tcPr>
            <w:tcW w:w="3168" w:type="dxa"/>
            <w:tcMar>
              <w:top w:w="95" w:type="dxa"/>
              <w:left w:w="100" w:type="dxa"/>
              <w:bottom w:w="95" w:type="dxa"/>
              <w:right w:w="100" w:type="dxa"/>
            </w:tcMar>
            <w:vAlign w:val="center"/>
          </w:tcPr>
          <w:p w14:paraId="0B9E3527" w14:textId="77777777" w:rsidR="00C30954" w:rsidRDefault="00000000" w:rsidP="00282A23">
            <w:pPr>
              <w:spacing w:after="0" w:line="252" w:lineRule="auto"/>
              <w:jc w:val="both"/>
            </w:pPr>
            <w:r>
              <w:rPr>
                <w:rFonts w:eastAsia="Times New Roman"/>
                <w:sz w:val="16"/>
              </w:rPr>
              <w:t>Coordinate prolonged anabolic/reparative signals in cartilage and subchondral tissues.</w:t>
            </w:r>
          </w:p>
        </w:tc>
        <w:tc>
          <w:tcPr>
            <w:tcW w:w="3168" w:type="dxa"/>
            <w:tcMar>
              <w:top w:w="95" w:type="dxa"/>
              <w:left w:w="100" w:type="dxa"/>
              <w:bottom w:w="95" w:type="dxa"/>
              <w:right w:w="100" w:type="dxa"/>
            </w:tcMar>
            <w:vAlign w:val="center"/>
          </w:tcPr>
          <w:p w14:paraId="4F69BD82" w14:textId="77777777" w:rsidR="00C30954" w:rsidRDefault="00000000" w:rsidP="00282A23">
            <w:pPr>
              <w:spacing w:after="0" w:line="252" w:lineRule="auto"/>
              <w:jc w:val="both"/>
            </w:pPr>
            <w:r>
              <w:rPr>
                <w:rFonts w:eastAsia="Times New Roman"/>
                <w:sz w:val="16"/>
              </w:rPr>
              <w:t>Animal OA and cartilage-defect studies show structural repair signals; long-term phenotype and human dosing are unresolved.</w:t>
            </w:r>
          </w:p>
        </w:tc>
        <w:tc>
          <w:tcPr>
            <w:tcW w:w="1872" w:type="dxa"/>
            <w:tcMar>
              <w:top w:w="95" w:type="dxa"/>
              <w:left w:w="100" w:type="dxa"/>
              <w:bottom w:w="95" w:type="dxa"/>
              <w:right w:w="100" w:type="dxa"/>
            </w:tcMar>
            <w:vAlign w:val="center"/>
          </w:tcPr>
          <w:p w14:paraId="269801BD" w14:textId="77777777" w:rsidR="00C30954" w:rsidRPr="00033A1D" w:rsidRDefault="00000000" w:rsidP="00282A23">
            <w:pPr>
              <w:spacing w:after="0" w:line="252" w:lineRule="auto"/>
              <w:jc w:val="both"/>
              <w:rPr>
                <w:lang w:val="nl-BE"/>
              </w:rPr>
            </w:pPr>
            <w:r w:rsidRPr="00033A1D">
              <w:rPr>
                <w:rFonts w:eastAsia="Times New Roman"/>
                <w:sz w:val="16"/>
                <w:lang w:val="nl-BE"/>
              </w:rPr>
              <w:t>(Kong et al., 2025; Mei et al., 2024; Zhou et al., 2025)</w:t>
            </w:r>
          </w:p>
        </w:tc>
      </w:tr>
      <w:tr w:rsidR="00C30954" w:rsidRPr="00033A1D" w14:paraId="08E66F8D" w14:textId="77777777">
        <w:trPr>
          <w:cantSplit/>
          <w:jc w:val="center"/>
        </w:trPr>
        <w:tc>
          <w:tcPr>
            <w:tcW w:w="1944" w:type="dxa"/>
            <w:tcMar>
              <w:top w:w="95" w:type="dxa"/>
              <w:left w:w="100" w:type="dxa"/>
              <w:bottom w:w="95" w:type="dxa"/>
              <w:right w:w="100" w:type="dxa"/>
            </w:tcMar>
            <w:vAlign w:val="center"/>
          </w:tcPr>
          <w:p w14:paraId="58E6D9DD" w14:textId="77777777" w:rsidR="00C30954" w:rsidRDefault="00000000" w:rsidP="00282A23">
            <w:pPr>
              <w:spacing w:after="0" w:line="252" w:lineRule="auto"/>
              <w:jc w:val="both"/>
            </w:pPr>
            <w:r>
              <w:rPr>
                <w:rFonts w:eastAsia="Times New Roman"/>
                <w:sz w:val="16"/>
              </w:rPr>
              <w:lastRenderedPageBreak/>
              <w:t>Intrinsically active nanomaterials</w:t>
            </w:r>
          </w:p>
        </w:tc>
        <w:tc>
          <w:tcPr>
            <w:tcW w:w="3168" w:type="dxa"/>
            <w:tcMar>
              <w:top w:w="95" w:type="dxa"/>
              <w:left w:w="100" w:type="dxa"/>
              <w:bottom w:w="95" w:type="dxa"/>
              <w:right w:w="100" w:type="dxa"/>
            </w:tcMar>
            <w:vAlign w:val="center"/>
          </w:tcPr>
          <w:p w14:paraId="2B40D3DF" w14:textId="77777777" w:rsidR="00C30954" w:rsidRDefault="00000000" w:rsidP="00282A23">
            <w:pPr>
              <w:spacing w:after="0" w:line="252" w:lineRule="auto"/>
              <w:jc w:val="both"/>
            </w:pPr>
            <w:r>
              <w:rPr>
                <w:rFonts w:eastAsia="Times New Roman"/>
                <w:sz w:val="16"/>
              </w:rPr>
              <w:t>Use redox, catalytic or ion-release activity as the therapy as well as the delivery construct.</w:t>
            </w:r>
          </w:p>
        </w:tc>
        <w:tc>
          <w:tcPr>
            <w:tcW w:w="3168" w:type="dxa"/>
            <w:tcMar>
              <w:top w:w="95" w:type="dxa"/>
              <w:left w:w="100" w:type="dxa"/>
              <w:bottom w:w="95" w:type="dxa"/>
              <w:right w:w="100" w:type="dxa"/>
            </w:tcMar>
            <w:vAlign w:val="center"/>
          </w:tcPr>
          <w:p w14:paraId="710CCAA8" w14:textId="77777777" w:rsidR="00C30954" w:rsidRDefault="00000000" w:rsidP="00282A23">
            <w:pPr>
              <w:spacing w:after="0" w:line="252" w:lineRule="auto"/>
              <w:jc w:val="both"/>
            </w:pPr>
            <w:r>
              <w:rPr>
                <w:rFonts w:eastAsia="Times New Roman"/>
                <w:sz w:val="16"/>
              </w:rPr>
              <w:t>Experimental anti-inflammatory/antioxidant activity is plausible, but active-material fate and chronic toxicology require deeper study.</w:t>
            </w:r>
          </w:p>
        </w:tc>
        <w:tc>
          <w:tcPr>
            <w:tcW w:w="1872" w:type="dxa"/>
            <w:tcMar>
              <w:top w:w="95" w:type="dxa"/>
              <w:left w:w="100" w:type="dxa"/>
              <w:bottom w:w="95" w:type="dxa"/>
              <w:right w:w="100" w:type="dxa"/>
            </w:tcMar>
            <w:vAlign w:val="center"/>
          </w:tcPr>
          <w:p w14:paraId="12C77529" w14:textId="77777777" w:rsidR="00C30954" w:rsidRPr="00033A1D" w:rsidRDefault="00000000" w:rsidP="00282A23">
            <w:pPr>
              <w:spacing w:after="0" w:line="252" w:lineRule="auto"/>
              <w:jc w:val="both"/>
              <w:rPr>
                <w:lang w:val="nl-BE"/>
              </w:rPr>
            </w:pPr>
            <w:r w:rsidRPr="00033A1D">
              <w:rPr>
                <w:rFonts w:eastAsia="Times New Roman"/>
                <w:sz w:val="16"/>
                <w:lang w:val="nl-BE"/>
              </w:rPr>
              <w:t>(Yang et al., 2021; Zhuang et al., 2024)</w:t>
            </w:r>
          </w:p>
        </w:tc>
      </w:tr>
    </w:tbl>
    <w:p w14:paraId="0B523CE8" w14:textId="77777777" w:rsidR="00C30954" w:rsidRDefault="00000000" w:rsidP="00282A23">
      <w:pPr>
        <w:spacing w:before="80" w:after="180"/>
        <w:jc w:val="both"/>
      </w:pPr>
      <w:r>
        <w:rPr>
          <w:rFonts w:eastAsia="Times New Roman"/>
          <w:i/>
          <w:sz w:val="16"/>
        </w:rPr>
        <w:t>Note. FGF18 = fibroblast growth factor 18; LNP = lipid nanoparticle; mRNA = messenger RNA; OA = osteoarthritis; RA = rheumatoid arthritis; siRNA = small interfering RNA.</w:t>
      </w:r>
    </w:p>
    <w:p w14:paraId="6CF74B19" w14:textId="77777777" w:rsidR="00C30954" w:rsidRDefault="00000000" w:rsidP="00282A23">
      <w:pPr>
        <w:pStyle w:val="Heading1"/>
        <w:jc w:val="both"/>
      </w:pPr>
      <w:r>
        <w:rPr>
          <w:rFonts w:ascii="Times New Roman" w:eastAsia="Times New Roman" w:hAnsi="Times New Roman"/>
        </w:rPr>
        <w:t>7. Translational Evidence and Critical Bottlenecks</w:t>
      </w:r>
    </w:p>
    <w:p w14:paraId="6608EE79" w14:textId="77777777" w:rsidR="00C30954" w:rsidRDefault="00000000" w:rsidP="00282A23">
      <w:pPr>
        <w:pStyle w:val="Heading2"/>
        <w:jc w:val="both"/>
      </w:pPr>
      <w:r>
        <w:rPr>
          <w:rFonts w:ascii="Times New Roman" w:eastAsia="Times New Roman" w:hAnsi="Times New Roman"/>
        </w:rPr>
        <w:t>7.1 Human Evidence: A Narrow Clinical Bridge</w:t>
      </w:r>
    </w:p>
    <w:p w14:paraId="7FB1837A" w14:textId="77777777" w:rsidR="00C30954" w:rsidRDefault="00000000" w:rsidP="00282A23">
      <w:pPr>
        <w:pStyle w:val="BodyText"/>
        <w:ind w:firstLine="317"/>
      </w:pPr>
      <w:r>
        <w:rPr>
          <w:rFonts w:eastAsia="Times New Roman"/>
        </w:rPr>
        <w:t>Human evidence for nanoparticle-mediated arthritis therapy is much thinner than the preclinical literature suggests. Barrera et al. (2000) provided an early mechanistic demonstration by administering clodronate-containing liposomes IA to patients with longstanding RA before knee replacement. Synovial macrophage markers and adhesion-molecule expression were reduced, and the procedure was tolerated in the small open study. Its value lies in showing that liposomal intervention can alter human synovial biology. It was not designed to establish durable clinical efficacy, did not address multi-joint disease and used macrophage depletion rather than selective disease reprogramming.</w:t>
      </w:r>
    </w:p>
    <w:p w14:paraId="580DD242" w14:textId="77777777" w:rsidR="00C30954" w:rsidRDefault="00000000" w:rsidP="00282A23">
      <w:pPr>
        <w:pStyle w:val="BodyText"/>
        <w:ind w:firstLine="317"/>
      </w:pPr>
      <w:r>
        <w:rPr>
          <w:rFonts w:eastAsia="Times New Roman"/>
        </w:rPr>
        <w:t>The strongest clinical evidence is the randomised, double-blind, active-controlled trial of intravenous pegylated liposomal prednisolone in RA flares (Metselaar et al., 2022). One hundred and fifty patients were randomised to two liposomal prednisolone doses or intramuscular methylprednisolone; short-term European Alliance of Associations for Rheumatology responses favoured the liposomal formulation, while infusion hypersensitivity reactions were more frequent in the liposome groups. The trial is important because it demonstrates a patient-level benefit of a joint-seeking nanomedicine formulation rather than merely favourable imaging or animal histology. Its limits are equally important: it addresses flare control over weeks, not long-term structural modification, and it tests a glucocorticoid whose mechanism is already validated rather than a novel molecular therapy.</w:t>
      </w:r>
    </w:p>
    <w:p w14:paraId="25482065" w14:textId="77777777" w:rsidR="00C30954" w:rsidRDefault="00000000" w:rsidP="00282A23">
      <w:pPr>
        <w:pStyle w:val="BodyText"/>
        <w:ind w:firstLine="317"/>
      </w:pPr>
      <w:r>
        <w:rPr>
          <w:rFonts w:eastAsia="Times New Roman"/>
        </w:rPr>
        <w:t>No comparable human therapeutic evidence was identified for cartilage-targeted OA nanoparticles within the review window. Human tissue has been used to demonstrate deep mRNA delivery by charge-reversed exosomes, but this is an ex vivo platform experiment rather than a clinical intervention (Zhang et al., 2024). The asymmetry between RA and OA is mechanistically understandable. Systemic RA targeting can exploit an inflamed vascular bed and use established anti-inflammatory payloads, whereas OA requires delivery into an avascular matrix and long-term demonstration that local molecular intervention changes a slowly evolving, heterogeneous disease. Claims that OA nanomedicine is close to clinical disease modification should therefore be calibrated to this evidence gap.</w:t>
      </w:r>
    </w:p>
    <w:p w14:paraId="5B0F842D" w14:textId="77777777" w:rsidR="00C30954" w:rsidRDefault="00000000" w:rsidP="00282A23">
      <w:pPr>
        <w:pStyle w:val="Heading2"/>
        <w:jc w:val="both"/>
      </w:pPr>
      <w:r>
        <w:rPr>
          <w:rFonts w:ascii="Times New Roman" w:eastAsia="Times New Roman" w:hAnsi="Times New Roman"/>
        </w:rPr>
        <w:t>7.2 Model Validity, Measurement and the Problem of Over-Interpreting Preclinical Success</w:t>
      </w:r>
    </w:p>
    <w:p w14:paraId="7D4EA91B" w14:textId="77777777" w:rsidR="00C30954" w:rsidRDefault="00000000" w:rsidP="00282A23">
      <w:pPr>
        <w:pStyle w:val="BodyText"/>
        <w:ind w:firstLine="317"/>
      </w:pPr>
      <w:r>
        <w:rPr>
          <w:rFonts w:eastAsia="Times New Roman"/>
        </w:rPr>
        <w:t>Most nanoparticle studies use induced rodent arthritis. These models are indispensable for screening but compress anatomy, disease duration and immune complexity. A mouse or rat knee has a much smaller synovial-fluid volume and thinner cartilage than a human knee; a formulation that penetrates tens of micrometres can appear to solve a transport problem that becomes substantially larger clinically. Surgical post-traumatic OA models also represent a relatively defined initiating injury, whereas human OA includes metabolic, age-related, inflammatory and biomechanical phenotypes. Rabbit evidence begins to address scale, and the finding that inflammation increased clearance and carrier fragmentation is a warning against extrapolating from healthy tissue (Boyer et al., 2025).</w:t>
      </w:r>
    </w:p>
    <w:p w14:paraId="4DBA6D30" w14:textId="77777777" w:rsidR="00C30954" w:rsidRDefault="00000000" w:rsidP="00282A23">
      <w:pPr>
        <w:pStyle w:val="BodyText"/>
        <w:ind w:firstLine="317"/>
      </w:pPr>
      <w:r>
        <w:rPr>
          <w:rFonts w:eastAsia="Times New Roman"/>
        </w:rPr>
        <w:t xml:space="preserve">Measurement can create a second source of optimism. Fluorescent labels are frequently used to infer nanoparticle retention, but a label may remain after carrier disassembly, exchange between lipids or proteins, or </w:t>
      </w:r>
      <w:r>
        <w:rPr>
          <w:rFonts w:eastAsia="Times New Roman"/>
        </w:rPr>
        <w:lastRenderedPageBreak/>
        <w:t>detachment from the therapeutic cargo. Whole-joint imaging lacks the resolution to distinguish synovium, cartilage surface, deep cartilage, meniscus and subchondral compartments. The strongest studies therefore combine imaging with tissue sectioning, molecular target measurements or functional outcomes. Rothenfluh et al. (2008) used a scrambled-peptide comparator to attribute cartilage targeting to ligand affinity; Bajpayee et al. (2014) directly compared size and charge effects; and Bedingfield et al. (2021) linked a cartilage depot to Mmp13 silencing and structural preservation. By contrast, a bright imaging signal without payload pharmacodynamics is weak evidence of therapeutic targeting.</w:t>
      </w:r>
    </w:p>
    <w:p w14:paraId="03FBB85C" w14:textId="77777777" w:rsidR="00C30954" w:rsidRDefault="00000000" w:rsidP="00282A23">
      <w:pPr>
        <w:pStyle w:val="BodyText"/>
        <w:ind w:firstLine="317"/>
      </w:pPr>
      <w:r>
        <w:rPr>
          <w:rFonts w:eastAsia="Times New Roman"/>
        </w:rPr>
        <w:t>Dose is another under-analysed variable. The sequence-specific benefit of low-dose TNF siRNA nanoparticles disappeared at higher doses in the murine study by te Boekhorst et al. (2012). This result suggests that non-specific nanoparticle or nucleic-acid effects can dominate at increasing dose, and it argues for full dose-response designs with empty carrier and scrambled-sequence controls. Similar logic applies to cationic carriers: increasing positive charge may improve cartilage partitioning while simultaneously increasing membrane interactions or immunogenicity, as observed with PEGylated avidin constructs (He et al., 2023). Optimisation should therefore maximise therapeutic index, not imaging intensity or retention as isolated objectives.</w:t>
      </w:r>
    </w:p>
    <w:p w14:paraId="6ADC66CE" w14:textId="77777777" w:rsidR="00C30954" w:rsidRDefault="00000000" w:rsidP="00282A23">
      <w:pPr>
        <w:pStyle w:val="Heading2"/>
        <w:jc w:val="both"/>
      </w:pPr>
      <w:r>
        <w:rPr>
          <w:rFonts w:ascii="Times New Roman" w:eastAsia="Times New Roman" w:hAnsi="Times New Roman"/>
        </w:rPr>
        <w:t>7.3 Pharmacokinetics, Safety, Manufacturing and Regulatory Readiness</w:t>
      </w:r>
    </w:p>
    <w:p w14:paraId="2460CE52" w14:textId="77777777" w:rsidR="00C30954" w:rsidRDefault="00000000" w:rsidP="00282A23">
      <w:pPr>
        <w:pStyle w:val="BodyText"/>
        <w:ind w:firstLine="317"/>
      </w:pPr>
      <w:r>
        <w:rPr>
          <w:rFonts w:eastAsia="Times New Roman"/>
        </w:rPr>
        <w:t>A clinically viable nanomedicine needs pharmacokinetic measurements at three linked levels: intact carrier, released payload and pharmacological effect. Systemically administered RA particles require plasma and organ exposure as well as joint concentration, because hepatic and splenic sequestration can offset any gain in synovial delivery. IA systems need measurements of synovial-fluid clearance, tissue penetration, carrier degradation and systemic escape. Disease state must be incorporated because synovitis and protease activity alter these processes. Without such measurements, an observed therapeutic benefit cannot reliably be translated into a human dosing schedule.</w:t>
      </w:r>
    </w:p>
    <w:p w14:paraId="30D7DF68" w14:textId="77777777" w:rsidR="00C30954" w:rsidRDefault="00000000" w:rsidP="00282A23">
      <w:pPr>
        <w:pStyle w:val="BodyText"/>
        <w:ind w:firstLine="317"/>
      </w:pPr>
      <w:r>
        <w:rPr>
          <w:rFonts w:eastAsia="Times New Roman"/>
        </w:rPr>
        <w:t>Safety assessment should reflect the platform mechanism. Liposomes require attention to infusion and complement-related reactions, highlighted clinically by the higher frequency of hypersensitivity during liposomal prednisolone infusion (Metselaar et al., 2022). Cationic carriers require evaluation of membrane interactions and adaptive immune responses (He et al., 2023). Inorganic and metal-organic systems need chronic biodistribution, dissolution and elemental-clearance studies rather than only short-term liver and kidney histology (Qin et al., 2025; Yang et al., 2021; Zhuang et al., 2024). RNA formulations require innate immune activation, sequence-related off-target effects and repeated-dose tolerability. Safety controls should be matched to likely human exposure and should continue after the therapeutic signal has resolved.</w:t>
      </w:r>
    </w:p>
    <w:p w14:paraId="64A2546C" w14:textId="77777777" w:rsidR="00C30954" w:rsidRDefault="00000000" w:rsidP="00282A23">
      <w:pPr>
        <w:pStyle w:val="BodyText"/>
        <w:ind w:firstLine="317"/>
      </w:pPr>
      <w:r>
        <w:rPr>
          <w:rFonts w:eastAsia="Times New Roman"/>
        </w:rPr>
        <w:t>Manufacturing complexity is a major but often underreported determinant of translation. A formulation that contains a nanoparticle core, two drugs, a peptide ligand, a stimuli-responsive linker and an imaging agent may be experimentally elegant but presents multiple critical quality attributes. Size distribution, ligand density, encapsulation efficiency, release profile, residual reagents, sterility, endotoxin, stability and batch-to-batch potency must all be controlled. Extracellular vesicles add source-cell and purification variability; active inorganic particles add catalytic-potency assays; nucleic-acid systems require RNA integrity and encapsulation metrics. Simpler systems may therefore have a translational advantage even if their preclinical effect size is smaller, because reproducibility and quality control are part of therapeutic performance rather than post hoc industrial concerns.</w:t>
      </w:r>
    </w:p>
    <w:p w14:paraId="428DA38D" w14:textId="77777777" w:rsidR="00C30954" w:rsidRDefault="00000000" w:rsidP="00282A23">
      <w:pPr>
        <w:pStyle w:val="BodyText"/>
        <w:ind w:firstLine="317"/>
      </w:pPr>
      <w:r>
        <w:rPr>
          <w:rFonts w:eastAsia="Times New Roman"/>
        </w:rPr>
        <w:t xml:space="preserve">Clinical development will also require endpoints that separate pharmacological redistribution from true disease modification. In RA, a rapid reduction in inflammatory disease activity is a legitimate objective for flare therapy, but it cannot establish that a carrier prevents structural damage or alters the long-term course of disease. In OA, the evidentiary threshold is higher because symptomatic improvement, cartilage imaging and molecular biomarkers can diverge over time. Early-phase trials should therefore pair safety and systemic exposure with joint-level pharmacodynamic evidence, while later studies should prespecify clinically interpretable pain, function and </w:t>
      </w:r>
      <w:r>
        <w:rPr>
          <w:rFonts w:eastAsia="Times New Roman"/>
        </w:rPr>
        <w:lastRenderedPageBreak/>
        <w:t>structural outcomes. Where a platform is designed primarily to lower systemic toxicity, non-inferior local efficacy with demonstrably reduced off-target exposure may be more persuasive than a modest superiority signal achieved through a highly complex carrier. This distinction matters because nanomedicine should be judged against the therapeutic problem it is intended to solve, rather than against a generic expectation that every nanoscale formulation must increase efficacy.</w:t>
      </w:r>
    </w:p>
    <w:p w14:paraId="4EC83CC7" w14:textId="77777777" w:rsidR="00C30954" w:rsidRDefault="00000000" w:rsidP="00282A23">
      <w:pPr>
        <w:pStyle w:val="BodyText"/>
        <w:ind w:firstLine="317"/>
      </w:pPr>
      <w:r>
        <w:rPr>
          <w:rFonts w:eastAsia="Times New Roman"/>
        </w:rPr>
        <w:t>Table 5 positions representative studies on a translational evidence ladder. The table shows that the field has convincing mechanistic proof for joint localisation, cartilage transport and molecular payload delivery, but only a narrow bridge to human therapeutic efficacy. The most informative next experiments are not necessarily more elaborate animal formulations; they are studies that close specific gaps between carrier fate, target engagement, safety and clinically meaningful outcomes.</w:t>
      </w:r>
    </w:p>
    <w:p w14:paraId="72D06EFD" w14:textId="77777777" w:rsidR="00C30954" w:rsidRDefault="00000000" w:rsidP="00282A23">
      <w:pPr>
        <w:keepNext/>
        <w:spacing w:before="80" w:after="80"/>
        <w:jc w:val="both"/>
      </w:pPr>
      <w:r>
        <w:rPr>
          <w:rFonts w:eastAsia="Times New Roman"/>
          <w:b/>
          <w:color w:val="1F4E79"/>
          <w:sz w:val="20"/>
        </w:rPr>
        <w:t>Table 5. Representative translational evidence and the remaining inferential gap</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944"/>
        <w:gridCol w:w="3168"/>
        <w:gridCol w:w="3168"/>
        <w:gridCol w:w="1872"/>
      </w:tblGrid>
      <w:tr w:rsidR="00C30954" w14:paraId="08F441F9" w14:textId="77777777">
        <w:trPr>
          <w:tblHeader/>
          <w:jc w:val="center"/>
        </w:trPr>
        <w:tc>
          <w:tcPr>
            <w:tcW w:w="1944" w:type="dxa"/>
            <w:shd w:val="clear" w:color="auto" w:fill="D9E5F2"/>
            <w:tcMar>
              <w:top w:w="100" w:type="dxa"/>
              <w:left w:w="100" w:type="dxa"/>
              <w:bottom w:w="100" w:type="dxa"/>
              <w:right w:w="100" w:type="dxa"/>
            </w:tcMar>
            <w:vAlign w:val="center"/>
          </w:tcPr>
          <w:p w14:paraId="413ED1CD" w14:textId="77777777" w:rsidR="00C30954" w:rsidRDefault="00000000" w:rsidP="00282A23">
            <w:pPr>
              <w:spacing w:after="0"/>
              <w:jc w:val="both"/>
            </w:pPr>
            <w:r>
              <w:rPr>
                <w:rFonts w:eastAsia="Times New Roman"/>
                <w:b/>
                <w:color w:val="1F4E79"/>
                <w:sz w:val="16"/>
              </w:rPr>
              <w:t>Evidence level / representative study</w:t>
            </w:r>
          </w:p>
        </w:tc>
        <w:tc>
          <w:tcPr>
            <w:tcW w:w="3168" w:type="dxa"/>
            <w:shd w:val="clear" w:color="auto" w:fill="D9E5F2"/>
            <w:tcMar>
              <w:top w:w="100" w:type="dxa"/>
              <w:left w:w="100" w:type="dxa"/>
              <w:bottom w:w="100" w:type="dxa"/>
              <w:right w:w="100" w:type="dxa"/>
            </w:tcMar>
            <w:vAlign w:val="center"/>
          </w:tcPr>
          <w:p w14:paraId="220382E9" w14:textId="77777777" w:rsidR="00C30954" w:rsidRDefault="00000000" w:rsidP="00282A23">
            <w:pPr>
              <w:spacing w:after="0"/>
              <w:jc w:val="both"/>
            </w:pPr>
            <w:r>
              <w:rPr>
                <w:rFonts w:eastAsia="Times New Roman"/>
                <w:b/>
                <w:color w:val="1F4E79"/>
                <w:sz w:val="16"/>
              </w:rPr>
              <w:t>What was demonstrated</w:t>
            </w:r>
          </w:p>
        </w:tc>
        <w:tc>
          <w:tcPr>
            <w:tcW w:w="3168" w:type="dxa"/>
            <w:shd w:val="clear" w:color="auto" w:fill="D9E5F2"/>
            <w:tcMar>
              <w:top w:w="100" w:type="dxa"/>
              <w:left w:w="100" w:type="dxa"/>
              <w:bottom w:w="100" w:type="dxa"/>
              <w:right w:w="100" w:type="dxa"/>
            </w:tcMar>
            <w:vAlign w:val="center"/>
          </w:tcPr>
          <w:p w14:paraId="7BC1EB86" w14:textId="77777777" w:rsidR="00C30954" w:rsidRDefault="00000000" w:rsidP="00282A23">
            <w:pPr>
              <w:spacing w:after="0"/>
              <w:jc w:val="both"/>
            </w:pPr>
            <w:r>
              <w:rPr>
                <w:rFonts w:eastAsia="Times New Roman"/>
                <w:b/>
                <w:color w:val="1F4E79"/>
                <w:sz w:val="16"/>
              </w:rPr>
              <w:t>What remains unproven</w:t>
            </w:r>
          </w:p>
        </w:tc>
        <w:tc>
          <w:tcPr>
            <w:tcW w:w="1872" w:type="dxa"/>
            <w:shd w:val="clear" w:color="auto" w:fill="D9E5F2"/>
            <w:tcMar>
              <w:top w:w="100" w:type="dxa"/>
              <w:left w:w="100" w:type="dxa"/>
              <w:bottom w:w="100" w:type="dxa"/>
              <w:right w:w="100" w:type="dxa"/>
            </w:tcMar>
            <w:vAlign w:val="center"/>
          </w:tcPr>
          <w:p w14:paraId="59756D70" w14:textId="77777777" w:rsidR="00C30954" w:rsidRDefault="00000000" w:rsidP="00282A23">
            <w:pPr>
              <w:spacing w:after="0"/>
              <w:jc w:val="both"/>
            </w:pPr>
            <w:r>
              <w:rPr>
                <w:rFonts w:eastAsia="Times New Roman"/>
                <w:b/>
                <w:color w:val="1F4E79"/>
                <w:sz w:val="16"/>
              </w:rPr>
              <w:t>Supporting references</w:t>
            </w:r>
          </w:p>
        </w:tc>
      </w:tr>
      <w:tr w:rsidR="00C30954" w14:paraId="124AAEF1" w14:textId="77777777">
        <w:trPr>
          <w:cantSplit/>
          <w:jc w:val="center"/>
        </w:trPr>
        <w:tc>
          <w:tcPr>
            <w:tcW w:w="1944" w:type="dxa"/>
            <w:tcMar>
              <w:top w:w="95" w:type="dxa"/>
              <w:left w:w="100" w:type="dxa"/>
              <w:bottom w:w="95" w:type="dxa"/>
              <w:right w:w="100" w:type="dxa"/>
            </w:tcMar>
            <w:vAlign w:val="center"/>
          </w:tcPr>
          <w:p w14:paraId="1D93B098" w14:textId="77777777" w:rsidR="00C30954" w:rsidRDefault="00000000" w:rsidP="00282A23">
            <w:pPr>
              <w:spacing w:after="0" w:line="252" w:lineRule="auto"/>
              <w:jc w:val="both"/>
            </w:pPr>
            <w:r>
              <w:rPr>
                <w:rFonts w:eastAsia="Times New Roman"/>
                <w:sz w:val="16"/>
              </w:rPr>
              <w:t>Human mechanistic RA study</w:t>
            </w:r>
          </w:p>
        </w:tc>
        <w:tc>
          <w:tcPr>
            <w:tcW w:w="3168" w:type="dxa"/>
            <w:tcMar>
              <w:top w:w="95" w:type="dxa"/>
              <w:left w:w="100" w:type="dxa"/>
              <w:bottom w:w="95" w:type="dxa"/>
              <w:right w:w="100" w:type="dxa"/>
            </w:tcMar>
            <w:vAlign w:val="center"/>
          </w:tcPr>
          <w:p w14:paraId="45EA8778" w14:textId="77777777" w:rsidR="00C30954" w:rsidRDefault="00000000" w:rsidP="00282A23">
            <w:pPr>
              <w:spacing w:after="0" w:line="252" w:lineRule="auto"/>
              <w:jc w:val="both"/>
            </w:pPr>
            <w:r>
              <w:rPr>
                <w:rFonts w:eastAsia="Times New Roman"/>
                <w:sz w:val="16"/>
              </w:rPr>
              <w:t>IA clodronate liposomes reduced synovial macrophage and adhesion-marker signals before arthroplasty.</w:t>
            </w:r>
          </w:p>
        </w:tc>
        <w:tc>
          <w:tcPr>
            <w:tcW w:w="3168" w:type="dxa"/>
            <w:tcMar>
              <w:top w:w="95" w:type="dxa"/>
              <w:left w:w="100" w:type="dxa"/>
              <w:bottom w:w="95" w:type="dxa"/>
              <w:right w:w="100" w:type="dxa"/>
            </w:tcMar>
            <w:vAlign w:val="center"/>
          </w:tcPr>
          <w:p w14:paraId="515BCEAD" w14:textId="77777777" w:rsidR="00C30954" w:rsidRDefault="00000000" w:rsidP="00282A23">
            <w:pPr>
              <w:spacing w:after="0" w:line="252" w:lineRule="auto"/>
              <w:jc w:val="both"/>
            </w:pPr>
            <w:r>
              <w:rPr>
                <w:rFonts w:eastAsia="Times New Roman"/>
                <w:sz w:val="16"/>
              </w:rPr>
              <w:t>Durable clinical efficacy, repeated dosing and multi-joint treatment.</w:t>
            </w:r>
          </w:p>
        </w:tc>
        <w:tc>
          <w:tcPr>
            <w:tcW w:w="1872" w:type="dxa"/>
            <w:tcMar>
              <w:top w:w="95" w:type="dxa"/>
              <w:left w:w="100" w:type="dxa"/>
              <w:bottom w:w="95" w:type="dxa"/>
              <w:right w:w="100" w:type="dxa"/>
            </w:tcMar>
            <w:vAlign w:val="center"/>
          </w:tcPr>
          <w:p w14:paraId="4A1492A5" w14:textId="77777777" w:rsidR="00C30954" w:rsidRDefault="00000000" w:rsidP="00282A23">
            <w:pPr>
              <w:spacing w:after="0" w:line="252" w:lineRule="auto"/>
              <w:jc w:val="both"/>
            </w:pPr>
            <w:r>
              <w:rPr>
                <w:rFonts w:eastAsia="Times New Roman"/>
                <w:sz w:val="16"/>
              </w:rPr>
              <w:t>(Barrera et al., 2000)</w:t>
            </w:r>
          </w:p>
        </w:tc>
      </w:tr>
      <w:tr w:rsidR="00C30954" w14:paraId="61B8C0BC" w14:textId="77777777">
        <w:trPr>
          <w:cantSplit/>
          <w:jc w:val="center"/>
        </w:trPr>
        <w:tc>
          <w:tcPr>
            <w:tcW w:w="1944" w:type="dxa"/>
            <w:tcMar>
              <w:top w:w="95" w:type="dxa"/>
              <w:left w:w="100" w:type="dxa"/>
              <w:bottom w:w="95" w:type="dxa"/>
              <w:right w:w="100" w:type="dxa"/>
            </w:tcMar>
            <w:vAlign w:val="center"/>
          </w:tcPr>
          <w:p w14:paraId="562615B6" w14:textId="77777777" w:rsidR="00C30954" w:rsidRDefault="00000000" w:rsidP="00282A23">
            <w:pPr>
              <w:spacing w:after="0" w:line="252" w:lineRule="auto"/>
              <w:jc w:val="both"/>
            </w:pPr>
            <w:r>
              <w:rPr>
                <w:rFonts w:eastAsia="Times New Roman"/>
                <w:sz w:val="16"/>
              </w:rPr>
              <w:t>Human randomised RA trial</w:t>
            </w:r>
          </w:p>
        </w:tc>
        <w:tc>
          <w:tcPr>
            <w:tcW w:w="3168" w:type="dxa"/>
            <w:tcMar>
              <w:top w:w="95" w:type="dxa"/>
              <w:left w:w="100" w:type="dxa"/>
              <w:bottom w:w="95" w:type="dxa"/>
              <w:right w:w="100" w:type="dxa"/>
            </w:tcMar>
            <w:vAlign w:val="center"/>
          </w:tcPr>
          <w:p w14:paraId="0E1BCFDF" w14:textId="77777777" w:rsidR="00C30954" w:rsidRDefault="00000000" w:rsidP="00282A23">
            <w:pPr>
              <w:spacing w:after="0" w:line="252" w:lineRule="auto"/>
              <w:jc w:val="both"/>
            </w:pPr>
            <w:r>
              <w:rPr>
                <w:rFonts w:eastAsia="Times New Roman"/>
                <w:sz w:val="16"/>
              </w:rPr>
              <w:t>Intravenous pegylated liposomal prednisolone improved short-term flare responses versus intramuscular methylprednisolone.</w:t>
            </w:r>
          </w:p>
        </w:tc>
        <w:tc>
          <w:tcPr>
            <w:tcW w:w="3168" w:type="dxa"/>
            <w:tcMar>
              <w:top w:w="95" w:type="dxa"/>
              <w:left w:w="100" w:type="dxa"/>
              <w:bottom w:w="95" w:type="dxa"/>
              <w:right w:w="100" w:type="dxa"/>
            </w:tcMar>
            <w:vAlign w:val="center"/>
          </w:tcPr>
          <w:p w14:paraId="5C024EF0" w14:textId="77777777" w:rsidR="00C30954" w:rsidRDefault="00000000" w:rsidP="00282A23">
            <w:pPr>
              <w:spacing w:after="0" w:line="252" w:lineRule="auto"/>
              <w:jc w:val="both"/>
            </w:pPr>
            <w:r>
              <w:rPr>
                <w:rFonts w:eastAsia="Times New Roman"/>
                <w:sz w:val="16"/>
              </w:rPr>
              <w:t>Long-term structural disease modification and generalisability to novel molecular payloads.</w:t>
            </w:r>
          </w:p>
        </w:tc>
        <w:tc>
          <w:tcPr>
            <w:tcW w:w="1872" w:type="dxa"/>
            <w:tcMar>
              <w:top w:w="95" w:type="dxa"/>
              <w:left w:w="100" w:type="dxa"/>
              <w:bottom w:w="95" w:type="dxa"/>
              <w:right w:w="100" w:type="dxa"/>
            </w:tcMar>
            <w:vAlign w:val="center"/>
          </w:tcPr>
          <w:p w14:paraId="5F9B3E7A" w14:textId="77777777" w:rsidR="00C30954" w:rsidRDefault="00000000" w:rsidP="00282A23">
            <w:pPr>
              <w:spacing w:after="0" w:line="252" w:lineRule="auto"/>
              <w:jc w:val="both"/>
            </w:pPr>
            <w:r>
              <w:rPr>
                <w:rFonts w:eastAsia="Times New Roman"/>
                <w:sz w:val="16"/>
              </w:rPr>
              <w:t>(Metselaar et al., 2022)</w:t>
            </w:r>
          </w:p>
        </w:tc>
      </w:tr>
      <w:tr w:rsidR="00C30954" w:rsidRPr="00033A1D" w14:paraId="68B17846" w14:textId="77777777">
        <w:trPr>
          <w:cantSplit/>
          <w:jc w:val="center"/>
        </w:trPr>
        <w:tc>
          <w:tcPr>
            <w:tcW w:w="1944" w:type="dxa"/>
            <w:tcMar>
              <w:top w:w="95" w:type="dxa"/>
              <w:left w:w="100" w:type="dxa"/>
              <w:bottom w:w="95" w:type="dxa"/>
              <w:right w:w="100" w:type="dxa"/>
            </w:tcMar>
            <w:vAlign w:val="center"/>
          </w:tcPr>
          <w:p w14:paraId="07C6D427" w14:textId="77777777" w:rsidR="00C30954" w:rsidRDefault="00000000" w:rsidP="00282A23">
            <w:pPr>
              <w:spacing w:after="0" w:line="252" w:lineRule="auto"/>
              <w:jc w:val="both"/>
            </w:pPr>
            <w:r>
              <w:rPr>
                <w:rFonts w:eastAsia="Times New Roman"/>
                <w:sz w:val="16"/>
              </w:rPr>
              <w:t>Rodent molecular RA studies</w:t>
            </w:r>
          </w:p>
        </w:tc>
        <w:tc>
          <w:tcPr>
            <w:tcW w:w="3168" w:type="dxa"/>
            <w:tcMar>
              <w:top w:w="95" w:type="dxa"/>
              <w:left w:w="100" w:type="dxa"/>
              <w:bottom w:w="95" w:type="dxa"/>
              <w:right w:w="100" w:type="dxa"/>
            </w:tcMar>
            <w:vAlign w:val="center"/>
          </w:tcPr>
          <w:p w14:paraId="71C58633" w14:textId="77777777" w:rsidR="00C30954" w:rsidRDefault="00000000" w:rsidP="00282A23">
            <w:pPr>
              <w:spacing w:after="0" w:line="252" w:lineRule="auto"/>
              <w:jc w:val="both"/>
            </w:pPr>
            <w:r>
              <w:rPr>
                <w:rFonts w:eastAsia="Times New Roman"/>
                <w:sz w:val="16"/>
              </w:rPr>
              <w:t>siRNA carriers and co-delivery systems achieved gene silencing and anti-inflammatory effects.</w:t>
            </w:r>
          </w:p>
        </w:tc>
        <w:tc>
          <w:tcPr>
            <w:tcW w:w="3168" w:type="dxa"/>
            <w:tcMar>
              <w:top w:w="95" w:type="dxa"/>
              <w:left w:w="100" w:type="dxa"/>
              <w:bottom w:w="95" w:type="dxa"/>
              <w:right w:w="100" w:type="dxa"/>
            </w:tcMar>
            <w:vAlign w:val="center"/>
          </w:tcPr>
          <w:p w14:paraId="41BA4EE9" w14:textId="77777777" w:rsidR="00C30954" w:rsidRDefault="00000000" w:rsidP="00282A23">
            <w:pPr>
              <w:spacing w:after="0" w:line="252" w:lineRule="auto"/>
              <w:jc w:val="both"/>
            </w:pPr>
            <w:r>
              <w:rPr>
                <w:rFonts w:eastAsia="Times New Roman"/>
                <w:sz w:val="16"/>
              </w:rPr>
              <w:t>Human systemic multi-joint delivery, durable cytosolic pharmacology and repeated-dose safety.</w:t>
            </w:r>
          </w:p>
        </w:tc>
        <w:tc>
          <w:tcPr>
            <w:tcW w:w="1872" w:type="dxa"/>
            <w:tcMar>
              <w:top w:w="95" w:type="dxa"/>
              <w:left w:w="100" w:type="dxa"/>
              <w:bottom w:w="95" w:type="dxa"/>
              <w:right w:w="100" w:type="dxa"/>
            </w:tcMar>
            <w:vAlign w:val="center"/>
          </w:tcPr>
          <w:p w14:paraId="23720834" w14:textId="77777777" w:rsidR="00C30954" w:rsidRPr="00033A1D" w:rsidRDefault="00000000" w:rsidP="00282A23">
            <w:pPr>
              <w:spacing w:after="0" w:line="252" w:lineRule="auto"/>
              <w:jc w:val="both"/>
              <w:rPr>
                <w:lang w:val="nl-BE"/>
              </w:rPr>
            </w:pPr>
            <w:r w:rsidRPr="00033A1D">
              <w:rPr>
                <w:rFonts w:eastAsia="Times New Roman"/>
                <w:sz w:val="16"/>
                <w:lang w:val="nl-BE"/>
              </w:rPr>
              <w:t>(Jansen et al., 2019; te Boekhorst et al., 2012; Wang et al., 2017)</w:t>
            </w:r>
          </w:p>
        </w:tc>
      </w:tr>
      <w:tr w:rsidR="00C30954" w14:paraId="1A2138AC" w14:textId="77777777">
        <w:trPr>
          <w:cantSplit/>
          <w:jc w:val="center"/>
        </w:trPr>
        <w:tc>
          <w:tcPr>
            <w:tcW w:w="1944" w:type="dxa"/>
            <w:tcMar>
              <w:top w:w="95" w:type="dxa"/>
              <w:left w:w="100" w:type="dxa"/>
              <w:bottom w:w="95" w:type="dxa"/>
              <w:right w:w="100" w:type="dxa"/>
            </w:tcMar>
            <w:vAlign w:val="center"/>
          </w:tcPr>
          <w:p w14:paraId="7B5FF6E8" w14:textId="77777777" w:rsidR="00C30954" w:rsidRDefault="00000000" w:rsidP="00282A23">
            <w:pPr>
              <w:spacing w:after="0" w:line="252" w:lineRule="auto"/>
              <w:jc w:val="both"/>
            </w:pPr>
            <w:r>
              <w:rPr>
                <w:rFonts w:eastAsia="Times New Roman"/>
                <w:sz w:val="16"/>
              </w:rPr>
              <w:t>Mouse cartilage-targeted OA therapy</w:t>
            </w:r>
          </w:p>
        </w:tc>
        <w:tc>
          <w:tcPr>
            <w:tcW w:w="3168" w:type="dxa"/>
            <w:tcMar>
              <w:top w:w="95" w:type="dxa"/>
              <w:left w:w="100" w:type="dxa"/>
              <w:bottom w:w="95" w:type="dxa"/>
              <w:right w:w="100" w:type="dxa"/>
            </w:tcMar>
            <w:vAlign w:val="center"/>
          </w:tcPr>
          <w:p w14:paraId="2B902E8C" w14:textId="77777777" w:rsidR="00C30954" w:rsidRDefault="00000000" w:rsidP="00282A23">
            <w:pPr>
              <w:spacing w:after="0" w:line="252" w:lineRule="auto"/>
              <w:jc w:val="both"/>
            </w:pPr>
            <w:r>
              <w:rPr>
                <w:rFonts w:eastAsia="Times New Roman"/>
                <w:sz w:val="16"/>
              </w:rPr>
              <w:t>Collagen-targeted siMmp13 depots linked matrix localisation, gene silencing and structural protection.</w:t>
            </w:r>
          </w:p>
        </w:tc>
        <w:tc>
          <w:tcPr>
            <w:tcW w:w="3168" w:type="dxa"/>
            <w:tcMar>
              <w:top w:w="95" w:type="dxa"/>
              <w:left w:w="100" w:type="dxa"/>
              <w:bottom w:w="95" w:type="dxa"/>
              <w:right w:w="100" w:type="dxa"/>
            </w:tcMar>
            <w:vAlign w:val="center"/>
          </w:tcPr>
          <w:p w14:paraId="55568BE5" w14:textId="77777777" w:rsidR="00C30954" w:rsidRDefault="00000000" w:rsidP="00282A23">
            <w:pPr>
              <w:spacing w:after="0" w:line="252" w:lineRule="auto"/>
              <w:jc w:val="both"/>
            </w:pPr>
            <w:r>
              <w:rPr>
                <w:rFonts w:eastAsia="Times New Roman"/>
                <w:sz w:val="16"/>
              </w:rPr>
              <w:t>Scaling to human cartilage thickness, chronic OA phenotypes and long-term safety.</w:t>
            </w:r>
          </w:p>
        </w:tc>
        <w:tc>
          <w:tcPr>
            <w:tcW w:w="1872" w:type="dxa"/>
            <w:tcMar>
              <w:top w:w="95" w:type="dxa"/>
              <w:left w:w="100" w:type="dxa"/>
              <w:bottom w:w="95" w:type="dxa"/>
              <w:right w:w="100" w:type="dxa"/>
            </w:tcMar>
            <w:vAlign w:val="center"/>
          </w:tcPr>
          <w:p w14:paraId="7441C4A1" w14:textId="77777777" w:rsidR="00C30954" w:rsidRDefault="00000000" w:rsidP="00282A23">
            <w:pPr>
              <w:spacing w:after="0" w:line="252" w:lineRule="auto"/>
              <w:jc w:val="both"/>
            </w:pPr>
            <w:r>
              <w:rPr>
                <w:rFonts w:eastAsia="Times New Roman"/>
                <w:sz w:val="16"/>
              </w:rPr>
              <w:t>(Bedingfield et al., 2021)</w:t>
            </w:r>
          </w:p>
        </w:tc>
      </w:tr>
      <w:tr w:rsidR="00C30954" w14:paraId="4AF55119" w14:textId="77777777">
        <w:trPr>
          <w:cantSplit/>
          <w:jc w:val="center"/>
        </w:trPr>
        <w:tc>
          <w:tcPr>
            <w:tcW w:w="1944" w:type="dxa"/>
            <w:tcMar>
              <w:top w:w="95" w:type="dxa"/>
              <w:left w:w="100" w:type="dxa"/>
              <w:bottom w:w="95" w:type="dxa"/>
              <w:right w:w="100" w:type="dxa"/>
            </w:tcMar>
            <w:vAlign w:val="center"/>
          </w:tcPr>
          <w:p w14:paraId="0787CC6B" w14:textId="77777777" w:rsidR="00C30954" w:rsidRDefault="00000000" w:rsidP="00282A23">
            <w:pPr>
              <w:spacing w:after="0" w:line="252" w:lineRule="auto"/>
              <w:jc w:val="both"/>
            </w:pPr>
            <w:r>
              <w:rPr>
                <w:rFonts w:eastAsia="Times New Roman"/>
                <w:sz w:val="16"/>
              </w:rPr>
              <w:t>Human cartilage explant plus mouse gene-delivery model</w:t>
            </w:r>
          </w:p>
        </w:tc>
        <w:tc>
          <w:tcPr>
            <w:tcW w:w="3168" w:type="dxa"/>
            <w:tcMar>
              <w:top w:w="95" w:type="dxa"/>
              <w:left w:w="100" w:type="dxa"/>
              <w:bottom w:w="95" w:type="dxa"/>
              <w:right w:w="100" w:type="dxa"/>
            </w:tcMar>
            <w:vAlign w:val="center"/>
          </w:tcPr>
          <w:p w14:paraId="7FB9E59B" w14:textId="77777777" w:rsidR="00C30954" w:rsidRDefault="00000000" w:rsidP="00282A23">
            <w:pPr>
              <w:spacing w:after="0" w:line="252" w:lineRule="auto"/>
              <w:jc w:val="both"/>
            </w:pPr>
            <w:r>
              <w:rPr>
                <w:rFonts w:eastAsia="Times New Roman"/>
                <w:sz w:val="16"/>
              </w:rPr>
              <w:t>Charge-reversed exosomes delivered reporter mRNA into deep arthritic cartilage and chondrocytes.</w:t>
            </w:r>
          </w:p>
        </w:tc>
        <w:tc>
          <w:tcPr>
            <w:tcW w:w="3168" w:type="dxa"/>
            <w:tcMar>
              <w:top w:w="95" w:type="dxa"/>
              <w:left w:w="100" w:type="dxa"/>
              <w:bottom w:w="95" w:type="dxa"/>
              <w:right w:w="100" w:type="dxa"/>
            </w:tcMar>
            <w:vAlign w:val="center"/>
          </w:tcPr>
          <w:p w14:paraId="19AA691E" w14:textId="77777777" w:rsidR="00C30954" w:rsidRDefault="00000000" w:rsidP="00282A23">
            <w:pPr>
              <w:spacing w:after="0" w:line="252" w:lineRule="auto"/>
              <w:jc w:val="both"/>
            </w:pPr>
            <w:r>
              <w:rPr>
                <w:rFonts w:eastAsia="Times New Roman"/>
                <w:sz w:val="16"/>
              </w:rPr>
              <w:t>Therapeutic-gene efficacy in patients and scalable exosome manufacturing.</w:t>
            </w:r>
          </w:p>
        </w:tc>
        <w:tc>
          <w:tcPr>
            <w:tcW w:w="1872" w:type="dxa"/>
            <w:tcMar>
              <w:top w:w="95" w:type="dxa"/>
              <w:left w:w="100" w:type="dxa"/>
              <w:bottom w:w="95" w:type="dxa"/>
              <w:right w:w="100" w:type="dxa"/>
            </w:tcMar>
            <w:vAlign w:val="center"/>
          </w:tcPr>
          <w:p w14:paraId="398F567A" w14:textId="77777777" w:rsidR="00C30954" w:rsidRDefault="00000000" w:rsidP="00282A23">
            <w:pPr>
              <w:spacing w:after="0" w:line="252" w:lineRule="auto"/>
              <w:jc w:val="both"/>
            </w:pPr>
            <w:r>
              <w:rPr>
                <w:rFonts w:eastAsia="Times New Roman"/>
                <w:sz w:val="16"/>
              </w:rPr>
              <w:t>(Zhang et al., 2024)</w:t>
            </w:r>
          </w:p>
        </w:tc>
      </w:tr>
      <w:tr w:rsidR="00C30954" w14:paraId="61B78EC4" w14:textId="77777777">
        <w:trPr>
          <w:cantSplit/>
          <w:jc w:val="center"/>
        </w:trPr>
        <w:tc>
          <w:tcPr>
            <w:tcW w:w="1944" w:type="dxa"/>
            <w:tcMar>
              <w:top w:w="95" w:type="dxa"/>
              <w:left w:w="100" w:type="dxa"/>
              <w:bottom w:w="95" w:type="dxa"/>
              <w:right w:w="100" w:type="dxa"/>
            </w:tcMar>
            <w:vAlign w:val="center"/>
          </w:tcPr>
          <w:p w14:paraId="40351090" w14:textId="77777777" w:rsidR="00C30954" w:rsidRDefault="00000000" w:rsidP="00282A23">
            <w:pPr>
              <w:spacing w:after="0" w:line="252" w:lineRule="auto"/>
              <w:jc w:val="both"/>
            </w:pPr>
            <w:r>
              <w:rPr>
                <w:rFonts w:eastAsia="Times New Roman"/>
                <w:sz w:val="16"/>
              </w:rPr>
              <w:t>Rabbit post-traumatic OA transport study</w:t>
            </w:r>
          </w:p>
        </w:tc>
        <w:tc>
          <w:tcPr>
            <w:tcW w:w="3168" w:type="dxa"/>
            <w:tcMar>
              <w:top w:w="95" w:type="dxa"/>
              <w:left w:w="100" w:type="dxa"/>
              <w:bottom w:w="95" w:type="dxa"/>
              <w:right w:w="100" w:type="dxa"/>
            </w:tcMar>
            <w:vAlign w:val="center"/>
          </w:tcPr>
          <w:p w14:paraId="4EC92E0B" w14:textId="77777777" w:rsidR="00C30954" w:rsidRDefault="00000000" w:rsidP="00282A23">
            <w:pPr>
              <w:spacing w:after="0" w:line="252" w:lineRule="auto"/>
              <w:jc w:val="both"/>
            </w:pPr>
            <w:r>
              <w:rPr>
                <w:rFonts w:eastAsia="Times New Roman"/>
                <w:sz w:val="16"/>
              </w:rPr>
              <w:t>Cationic peptide carriers penetrated cartilage, while disease increased vascular clearance and proteolysis.</w:t>
            </w:r>
          </w:p>
        </w:tc>
        <w:tc>
          <w:tcPr>
            <w:tcW w:w="3168" w:type="dxa"/>
            <w:tcMar>
              <w:top w:w="95" w:type="dxa"/>
              <w:left w:w="100" w:type="dxa"/>
              <w:bottom w:w="95" w:type="dxa"/>
              <w:right w:w="100" w:type="dxa"/>
            </w:tcMar>
            <w:vAlign w:val="center"/>
          </w:tcPr>
          <w:p w14:paraId="16F82BA6" w14:textId="77777777" w:rsidR="00C30954" w:rsidRDefault="00000000" w:rsidP="00282A23">
            <w:pPr>
              <w:spacing w:after="0" w:line="252" w:lineRule="auto"/>
              <w:jc w:val="both"/>
            </w:pPr>
            <w:r>
              <w:rPr>
                <w:rFonts w:eastAsia="Times New Roman"/>
                <w:sz w:val="16"/>
              </w:rPr>
              <w:t>Therapeutic payload efficacy and prediction of human IA kinetics.</w:t>
            </w:r>
          </w:p>
        </w:tc>
        <w:tc>
          <w:tcPr>
            <w:tcW w:w="1872" w:type="dxa"/>
            <w:tcMar>
              <w:top w:w="95" w:type="dxa"/>
              <w:left w:w="100" w:type="dxa"/>
              <w:bottom w:w="95" w:type="dxa"/>
              <w:right w:w="100" w:type="dxa"/>
            </w:tcMar>
            <w:vAlign w:val="center"/>
          </w:tcPr>
          <w:p w14:paraId="49AF3601" w14:textId="77777777" w:rsidR="00C30954" w:rsidRDefault="00000000" w:rsidP="00282A23">
            <w:pPr>
              <w:spacing w:after="0" w:line="252" w:lineRule="auto"/>
              <w:jc w:val="both"/>
            </w:pPr>
            <w:r>
              <w:rPr>
                <w:rFonts w:eastAsia="Times New Roman"/>
                <w:sz w:val="16"/>
              </w:rPr>
              <w:t>(Boyer et al., 2025)</w:t>
            </w:r>
          </w:p>
        </w:tc>
      </w:tr>
      <w:tr w:rsidR="00C30954" w14:paraId="259B8429" w14:textId="77777777">
        <w:trPr>
          <w:cantSplit/>
          <w:jc w:val="center"/>
        </w:trPr>
        <w:tc>
          <w:tcPr>
            <w:tcW w:w="1944" w:type="dxa"/>
            <w:tcMar>
              <w:top w:w="95" w:type="dxa"/>
              <w:left w:w="100" w:type="dxa"/>
              <w:bottom w:w="95" w:type="dxa"/>
              <w:right w:w="100" w:type="dxa"/>
            </w:tcMar>
            <w:vAlign w:val="center"/>
          </w:tcPr>
          <w:p w14:paraId="59ECDD34" w14:textId="77777777" w:rsidR="00C30954" w:rsidRDefault="00000000" w:rsidP="00282A23">
            <w:pPr>
              <w:spacing w:after="0" w:line="252" w:lineRule="auto"/>
              <w:jc w:val="both"/>
            </w:pPr>
            <w:r>
              <w:rPr>
                <w:rFonts w:eastAsia="Times New Roman"/>
                <w:sz w:val="16"/>
              </w:rPr>
              <w:t>Mouse therapeutic mRNA-LNP OA study</w:t>
            </w:r>
          </w:p>
        </w:tc>
        <w:tc>
          <w:tcPr>
            <w:tcW w:w="3168" w:type="dxa"/>
            <w:tcMar>
              <w:top w:w="95" w:type="dxa"/>
              <w:left w:w="100" w:type="dxa"/>
              <w:bottom w:w="95" w:type="dxa"/>
              <w:right w:w="100" w:type="dxa"/>
            </w:tcMar>
            <w:vAlign w:val="center"/>
          </w:tcPr>
          <w:p w14:paraId="6EEEF239" w14:textId="77777777" w:rsidR="00C30954" w:rsidRDefault="00000000" w:rsidP="00282A23">
            <w:pPr>
              <w:spacing w:after="0" w:line="252" w:lineRule="auto"/>
              <w:jc w:val="both"/>
            </w:pPr>
            <w:r>
              <w:rPr>
                <w:rFonts w:eastAsia="Times New Roman"/>
                <w:sz w:val="16"/>
              </w:rPr>
              <w:t>FGF18 mRNA produced sustained local expression and improved surgical and ageing OA outcomes.</w:t>
            </w:r>
          </w:p>
        </w:tc>
        <w:tc>
          <w:tcPr>
            <w:tcW w:w="3168" w:type="dxa"/>
            <w:tcMar>
              <w:top w:w="95" w:type="dxa"/>
              <w:left w:w="100" w:type="dxa"/>
              <w:bottom w:w="95" w:type="dxa"/>
              <w:right w:w="100" w:type="dxa"/>
            </w:tcMar>
            <w:vAlign w:val="center"/>
          </w:tcPr>
          <w:p w14:paraId="5FCF68D8" w14:textId="77777777" w:rsidR="00C30954" w:rsidRDefault="00000000" w:rsidP="00282A23">
            <w:pPr>
              <w:spacing w:after="0" w:line="252" w:lineRule="auto"/>
              <w:jc w:val="both"/>
            </w:pPr>
            <w:r>
              <w:rPr>
                <w:rFonts w:eastAsia="Times New Roman"/>
                <w:sz w:val="16"/>
              </w:rPr>
              <w:t>Dose control, repeated dosing, large-joint translation and human disease modification.</w:t>
            </w:r>
          </w:p>
        </w:tc>
        <w:tc>
          <w:tcPr>
            <w:tcW w:w="1872" w:type="dxa"/>
            <w:tcMar>
              <w:top w:w="95" w:type="dxa"/>
              <w:left w:w="100" w:type="dxa"/>
              <w:bottom w:w="95" w:type="dxa"/>
              <w:right w:w="100" w:type="dxa"/>
            </w:tcMar>
            <w:vAlign w:val="center"/>
          </w:tcPr>
          <w:p w14:paraId="32F6154A" w14:textId="77777777" w:rsidR="00C30954" w:rsidRDefault="00000000" w:rsidP="00282A23">
            <w:pPr>
              <w:spacing w:after="0" w:line="252" w:lineRule="auto"/>
              <w:jc w:val="both"/>
            </w:pPr>
            <w:r>
              <w:rPr>
                <w:rFonts w:eastAsia="Times New Roman"/>
                <w:sz w:val="16"/>
              </w:rPr>
              <w:t>(Kong et al., 2025)</w:t>
            </w:r>
          </w:p>
        </w:tc>
      </w:tr>
    </w:tbl>
    <w:p w14:paraId="5A29EF49" w14:textId="77777777" w:rsidR="00C30954" w:rsidRDefault="00000000" w:rsidP="00282A23">
      <w:pPr>
        <w:spacing w:before="80" w:after="180"/>
        <w:jc w:val="both"/>
      </w:pPr>
      <w:r>
        <w:rPr>
          <w:rFonts w:eastAsia="Times New Roman"/>
          <w:i/>
          <w:sz w:val="16"/>
        </w:rPr>
        <w:t>Note. FGF18 = fibroblast growth factor 18; IA = intra-articular; LNP = lipid nanoparticle; mRNA = messenger RNA; OA = osteoarthritis; RA = rheumatoid arthritis; siRNA = small interfering RNA.</w:t>
      </w:r>
    </w:p>
    <w:p w14:paraId="15CDADEC" w14:textId="77777777" w:rsidR="00C30954" w:rsidRDefault="00000000" w:rsidP="00282A23">
      <w:pPr>
        <w:pStyle w:val="Heading1"/>
        <w:jc w:val="both"/>
      </w:pPr>
      <w:r>
        <w:rPr>
          <w:rFonts w:ascii="Times New Roman" w:eastAsia="Times New Roman" w:hAnsi="Times New Roman"/>
        </w:rPr>
        <w:t>8. Future Directions</w:t>
      </w:r>
    </w:p>
    <w:p w14:paraId="0E95E784" w14:textId="77777777" w:rsidR="00C30954" w:rsidRDefault="00000000" w:rsidP="00282A23">
      <w:pPr>
        <w:pStyle w:val="BodyText"/>
        <w:ind w:firstLine="317"/>
      </w:pPr>
      <w:r>
        <w:rPr>
          <w:rFonts w:eastAsia="Times New Roman"/>
        </w:rPr>
        <w:t>The immediate priority is to standardise what constitutes evidence of targeting. Studies should report at least one quantitative metric for anatomical localisation, one for the intended tissue or cell compartment, and one for payload-specific pharmacodynamics. When a fluorescent surrogate is used, a complementary assay should determine whether intact carrier or active cargo shares the same kinetics. Active-targeting studies should compare ligand-bearing and physicochemically matched non-targeted particles and, where possible, use receptor blockade or competing ligand to demonstrate mechanism. This approach would prevent whole-joint fluorescence from being interpreted as proof of cell-selective delivery.</w:t>
      </w:r>
    </w:p>
    <w:p w14:paraId="27DF6FF2" w14:textId="77777777" w:rsidR="00C30954" w:rsidRDefault="00000000" w:rsidP="00282A23">
      <w:pPr>
        <w:pStyle w:val="BodyText"/>
        <w:ind w:firstLine="317"/>
      </w:pPr>
      <w:r>
        <w:rPr>
          <w:rFonts w:eastAsia="Times New Roman"/>
        </w:rPr>
        <w:t xml:space="preserve">Second, disease-state pharmacokinetics must replace healthy-tissue optimisation as the dominant development paradigm. OA carriers should be tested in cartilage with clinically relevant matrix depletion, synovitis and protease </w:t>
      </w:r>
      <w:r>
        <w:rPr>
          <w:rFonts w:eastAsia="Times New Roman"/>
        </w:rPr>
        <w:lastRenderedPageBreak/>
        <w:t>activity, followed by large-animal joints that approximate human transport distances and synovial volumes. The rabbit work showing increased clearance and proteolysis in post-traumatic OA provides a clear rationale for this progression (Boyer et al., 2025). RA systems should similarly test whether biodistribution changes as inflammation is suppressed across repeated doses. Longitudinal carrier, payload and pharmacodynamic measurements would allow adaptive dosing rather than assuming constant joint permeability.</w:t>
      </w:r>
    </w:p>
    <w:p w14:paraId="41D66B35" w14:textId="77777777" w:rsidR="00C30954" w:rsidRDefault="00000000" w:rsidP="00282A23">
      <w:pPr>
        <w:pStyle w:val="BodyText"/>
        <w:ind w:firstLine="317"/>
      </w:pPr>
      <w:r>
        <w:rPr>
          <w:rFonts w:eastAsia="Times New Roman"/>
        </w:rPr>
        <w:t>Third, molecular therapies need cell-resolved pharmacokinetic-pharmacodynamic studies. For siRNA, the relevant chain is extracellular protection, cell uptake, endosomal escape, cytosolic guide-strand activity, target-protein suppression and downstream disease response. The non-linear dose response observed with TNF siRNA nanoparticles shows why this chain cannot be inferred from injected dose (te Boekhorst et al., 2012). For mRNA, studies should quantify which joint cells express the encoded protein, the magnitude and duration of expression, innate immune activation and the consequences of repeat dosing. Therapeutic mRNA-LNP work with FGF18 provides a credible starting point but should move into larger joints and heterogeneous OA models (Kong et al., 2025).</w:t>
      </w:r>
    </w:p>
    <w:p w14:paraId="59DBB75B" w14:textId="77777777" w:rsidR="00C30954" w:rsidRDefault="00000000" w:rsidP="00282A23">
      <w:pPr>
        <w:pStyle w:val="BodyText"/>
        <w:ind w:firstLine="317"/>
      </w:pPr>
      <w:r>
        <w:rPr>
          <w:rFonts w:eastAsia="Times New Roman"/>
        </w:rPr>
        <w:t xml:space="preserve">Fourth, comparative effectiveness should become a preclinical norm. Many studies compare a nanoparticle with free drug at equal nominal dose, which demonstrates formulation benefit but not whether the selected targeting feature is optimal. Head-to-head comparisons should include non-targeted carrier, free payload, clinically relevant standard therapy and, when feasible, a simpler delivery system. Structural outcomes should be complemented by pain/function endpoints for OA and validated disease-activity or imaging measures for RA. Longer follow-up is essential </w:t>
      </w:r>
      <w:proofErr w:type="gramStart"/>
      <w:r>
        <w:rPr>
          <w:rFonts w:eastAsia="Times New Roman"/>
        </w:rPr>
        <w:t>where</w:t>
      </w:r>
      <w:proofErr w:type="gramEnd"/>
      <w:r>
        <w:rPr>
          <w:rFonts w:eastAsia="Times New Roman"/>
        </w:rPr>
        <w:t xml:space="preserve"> claims concern cartilage preservation, regeneration or disease modification rather than acute inflammation.</w:t>
      </w:r>
    </w:p>
    <w:p w14:paraId="5D15F580" w14:textId="77777777" w:rsidR="00C30954" w:rsidRDefault="00000000" w:rsidP="00282A23">
      <w:pPr>
        <w:pStyle w:val="BodyText"/>
        <w:ind w:firstLine="317"/>
      </w:pPr>
      <w:r>
        <w:rPr>
          <w:rFonts w:eastAsia="Times New Roman"/>
        </w:rPr>
        <w:t>Fifth, safety and chemistry, manufacturing and controls should be incorporated before late-stage efficacy optimisation. Repeated-dose complement activation, adaptive immunogenicity, cationic-carrier reactivity and long-term inorganic-material fate require platform-specific programmes. Formulations should be designed around scalable mixing, sterilisation or aseptic manufacture, validated potency assays and storage stability. Extracellular vesicle systems in particular need reproducible source-cell specifications, purification and cargo-loading procedures. Reducing unnecessary components may improve the probability of clinical translation more than adding another targeting ligand or imaging function.</w:t>
      </w:r>
    </w:p>
    <w:p w14:paraId="2E78085E" w14:textId="77777777" w:rsidR="00C30954" w:rsidRDefault="00000000" w:rsidP="00282A23">
      <w:pPr>
        <w:pStyle w:val="BodyText"/>
        <w:ind w:firstLine="317"/>
      </w:pPr>
      <w:r>
        <w:rPr>
          <w:rFonts w:eastAsia="Times New Roman"/>
        </w:rPr>
        <w:t>A parallel priority is to improve comparability and reproducibility across laboratories. Minimum reporting should include hydrodynamic size distribution, surface charge in physiologically relevant media, payload loading, release conditions, ligand density when applicable, endotoxin status and storage history, together with the actual administered particle and payload doses. Biodistribution data should distinguish free label from carrier-associated signal wherever technically possible. Shared benchmark formulations and common cartilage-penetration or synovial-uptake assays would help determine whether a new material genuinely improves transport rather than benefiting from a different imaging method or disease model. Replication in an independent laboratory would be particularly valuable for platforms that combine several active components or report exceptionally large treatment effects. These practices are methodologically prosaic compared with inventing new nanostructures, but they would make cross-platform design rules substantially more reliable.</w:t>
      </w:r>
    </w:p>
    <w:p w14:paraId="4DE5C1F5" w14:textId="77777777" w:rsidR="00C30954" w:rsidRDefault="00000000" w:rsidP="00282A23">
      <w:pPr>
        <w:pStyle w:val="BodyText"/>
        <w:ind w:firstLine="317"/>
      </w:pPr>
      <w:r>
        <w:rPr>
          <w:rFonts w:eastAsia="Times New Roman"/>
        </w:rPr>
        <w:t>The longer-term goal is phenotype-matched joint nanomedicine. RA patients differ in synovial cellular composition, vascularity and macrophage activation; OA joints differ in synovitis, cartilage charge density, matrix damage and subchondral involvement. Imaging or fluid biomarkers could eventually identify which transport barrier dominates in an individual joint and select a systemic, synovial-cell-targeted, cartilage-binding or molecular-regenerative strategy accordingly. Such precision will require prospective human pharmacology rather than retrospective categorisation of successful animal formulations. The field will advance most efficiently when material design is treated as one component of a measurable therapeutic system, not as an endpoint in itself.</w:t>
      </w:r>
    </w:p>
    <w:p w14:paraId="024EBC9C" w14:textId="77777777" w:rsidR="00C30954" w:rsidRDefault="00000000" w:rsidP="00282A23">
      <w:pPr>
        <w:pStyle w:val="Heading1"/>
        <w:jc w:val="both"/>
      </w:pPr>
      <w:r>
        <w:rPr>
          <w:rFonts w:ascii="Times New Roman" w:eastAsia="Times New Roman" w:hAnsi="Times New Roman"/>
        </w:rPr>
        <w:lastRenderedPageBreak/>
        <w:t>9. Conclusions</w:t>
      </w:r>
    </w:p>
    <w:p w14:paraId="21A64FAA" w14:textId="77777777" w:rsidR="00C30954" w:rsidRDefault="00000000" w:rsidP="00282A23">
      <w:pPr>
        <w:pStyle w:val="BodyText"/>
        <w:ind w:firstLine="317"/>
      </w:pPr>
      <w:r>
        <w:rPr>
          <w:rFonts w:eastAsia="Times New Roman"/>
        </w:rPr>
        <w:t>Nanoparticle-mediated targeting can materially change the pharmacology of arthritic-joint therapy, but its value depends on the delivery problem being solved. In RA, the strongest evidence supports systemic formulations that exploit inflamed synovial access and, where useful, add macrophage or endothelial selectivity. In OA, direct IA administration shifts the challenge from anatomical access to durable residence, cartilage penetration and cell-level delivery. Collagen affinity and reversible electrostatic interactions provide particularly credible mechanisms for converting cartilage from a barrier into a reservoir. Lipid, polymeric, protein, inorganic and biomimetic platforms each offer useful design features, but increasing structural complexity also increases uncertainty in safety, manufacturing and mechanism attribution.</w:t>
      </w:r>
    </w:p>
    <w:p w14:paraId="044AFFEF" w14:textId="77777777" w:rsidR="00C30954" w:rsidRDefault="00000000" w:rsidP="00282A23">
      <w:pPr>
        <w:pStyle w:val="BodyText"/>
        <w:ind w:firstLine="317"/>
      </w:pPr>
      <w:r>
        <w:rPr>
          <w:rFonts w:eastAsia="Times New Roman"/>
        </w:rPr>
        <w:t>The evidence for molecular therapy is expanding from small-molecule redistribution to siRNA silencing, mRNA-driven protein expression, cytokine depots and intrinsically active nanomaterials. These advances make the definition of targeting more demanding: joint localisation alone is insufficient when therapeutic activity requires cytosolic release or controlled expression. Human translation remains the central weakness. A randomised RA trial of pegylated liposomal prednisolone demonstrates that nanocarrier-mediated redistribution can improve a clinically meaningful response, whereas OA targeting remains predominantly preclinical. The most defensible path forward is therefore not maximal nanocarrier complexity, but mechanistically matched design supported by intact-carrier pharmacokinetics, cell-resolved target engagement, disease-relevant models, long-term safety and manufacturable formulations. Those standards would allow genuinely targeted therapy to be distinguished from prolonged retention or imaging enrichment and would provide a stronger basis for clinical development.</w:t>
      </w:r>
    </w:p>
    <w:p w14:paraId="4C492FC4" w14:textId="77777777" w:rsidR="00C30954" w:rsidRDefault="00000000" w:rsidP="00282A23">
      <w:pPr>
        <w:pStyle w:val="Heading1"/>
        <w:jc w:val="both"/>
      </w:pPr>
      <w:r>
        <w:rPr>
          <w:rFonts w:ascii="Times New Roman" w:eastAsia="Times New Roman" w:hAnsi="Times New Roman"/>
        </w:rPr>
        <w:t>10. Limitations</w:t>
      </w:r>
    </w:p>
    <w:p w14:paraId="2EBA5808" w14:textId="77777777" w:rsidR="00C30954" w:rsidRDefault="00000000" w:rsidP="00282A23">
      <w:pPr>
        <w:pStyle w:val="BodyText"/>
        <w:ind w:firstLine="317"/>
      </w:pPr>
      <w:r>
        <w:rPr>
          <w:rFonts w:eastAsia="Times New Roman"/>
        </w:rPr>
        <w:t>As a critical narrative review, this article is intrinsically vulnerable to selection and interpretive bias despite a transparent search strategy, explicit eligibility criteria and structured appraisal. The literature was not screened with a prospectively registered systematic-review protocol, and quantitative meta-analysis was not appropriate because carrier chemistry, disease models, routes, doses and outcomes were highly heterogeneous. Access was concentrated in openly searchable scholarly sources rather than subscription-only bibliographic databases, and the final synthesis was restricted to sources for which bibliographic identity and relevance could be verified. English-language selection may have excluded relevant work published in other languages.</w:t>
      </w:r>
    </w:p>
    <w:p w14:paraId="3DCFFEFA" w14:textId="77777777" w:rsidR="00C30954" w:rsidRDefault="00000000" w:rsidP="00282A23">
      <w:pPr>
        <w:pStyle w:val="BodyText"/>
        <w:ind w:firstLine="317"/>
        <w:rPr>
          <w:rFonts w:eastAsia="Times New Roman"/>
        </w:rPr>
      </w:pPr>
      <w:r>
        <w:rPr>
          <w:rFonts w:eastAsia="Times New Roman"/>
        </w:rPr>
        <w:t>The underlying evidence base also limits the conclusions. Most therapeutic studies use rodents, follow disease for relatively short periods and employ models that do not reproduce the anatomical scale, chronicity or heterogeneity of human RA and OA. Many studies quantify fluorescent retention without proving intact-carrier or active-payload persistence, and long-term safety is less developed than short-term efficacy. Publication bias towards successful nanocarrier designs is likely, while negative or non-replicating studies are comparatively difficult to identify. The field is also evolving rapidly, so formulations published after the specified search end date are not represented. These constraints mean that mechanistic confidence is stronger than confidence in clinical effectiveness for most platforms, particularly in OA.</w:t>
      </w:r>
    </w:p>
    <w:p w14:paraId="6F758F04" w14:textId="77777777" w:rsidR="00471013" w:rsidRDefault="00471013" w:rsidP="00282A23">
      <w:pPr>
        <w:spacing w:after="0" w:line="240" w:lineRule="auto"/>
        <w:jc w:val="both"/>
        <w:rPr>
          <w:rFonts w:cs="Times New Roman"/>
          <w:b/>
        </w:rPr>
      </w:pPr>
      <w:r w:rsidRPr="000839CE">
        <w:rPr>
          <w:rFonts w:cs="Times New Roman"/>
          <w:b/>
        </w:rPr>
        <w:t>Declaration of AI Use</w:t>
      </w:r>
    </w:p>
    <w:p w14:paraId="0BFC7043" w14:textId="77777777" w:rsidR="00471013" w:rsidRDefault="00471013" w:rsidP="00282A23">
      <w:pPr>
        <w:spacing w:after="0" w:line="240" w:lineRule="auto"/>
        <w:jc w:val="both"/>
        <w:rPr>
          <w:rFonts w:cs="Times New Roman"/>
          <w:b/>
        </w:rPr>
      </w:pPr>
    </w:p>
    <w:p w14:paraId="6E6B6BB7" w14:textId="77777777" w:rsidR="00471013" w:rsidRDefault="00471013" w:rsidP="00282A23">
      <w:pPr>
        <w:spacing w:after="0" w:line="240" w:lineRule="auto"/>
        <w:jc w:val="both"/>
        <w:rPr>
          <w:rFonts w:cs="Times New Roman"/>
          <w:b/>
        </w:rPr>
      </w:pPr>
    </w:p>
    <w:p w14:paraId="2A104038" w14:textId="77777777" w:rsidR="00471013" w:rsidRDefault="00471013" w:rsidP="00282A23">
      <w:pPr>
        <w:spacing w:after="0" w:line="240" w:lineRule="auto"/>
        <w:jc w:val="both"/>
        <w:rPr>
          <w:rFonts w:cs="Times New Roman"/>
          <w:b/>
        </w:rPr>
      </w:pPr>
    </w:p>
    <w:p w14:paraId="4C7C7E2F" w14:textId="77777777" w:rsidR="00471013" w:rsidRPr="002D08AC" w:rsidRDefault="00471013" w:rsidP="00282A23">
      <w:pPr>
        <w:spacing w:after="0" w:line="240" w:lineRule="auto"/>
        <w:jc w:val="both"/>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F01A2BF" w14:textId="77777777" w:rsidR="00471013" w:rsidRDefault="00471013" w:rsidP="00282A23">
      <w:pPr>
        <w:pStyle w:val="BodyText"/>
        <w:ind w:firstLine="317"/>
      </w:pPr>
    </w:p>
    <w:p w14:paraId="5CCD52C6" w14:textId="77777777" w:rsidR="00C30954" w:rsidRDefault="00000000" w:rsidP="00282A23">
      <w:pPr>
        <w:pStyle w:val="Heading1"/>
        <w:jc w:val="both"/>
      </w:pPr>
      <w:r>
        <w:rPr>
          <w:rFonts w:ascii="Times New Roman" w:eastAsia="Times New Roman" w:hAnsi="Times New Roman"/>
        </w:rPr>
        <w:lastRenderedPageBreak/>
        <w:t>References</w:t>
      </w:r>
    </w:p>
    <w:p w14:paraId="75A037A2" w14:textId="77777777" w:rsidR="00033A1D" w:rsidRDefault="00033A1D" w:rsidP="00033A1D">
      <w:pPr>
        <w:pStyle w:val="isselectedend"/>
        <w:ind w:left="540" w:hanging="540"/>
        <w:jc w:val="both"/>
      </w:pPr>
      <w:proofErr w:type="spellStart"/>
      <w:r>
        <w:t>Baethge</w:t>
      </w:r>
      <w:proofErr w:type="spellEnd"/>
      <w:r>
        <w:t xml:space="preserve">, C., Goldbeck-Wood, S., &amp; Mertens, S. (2019). SANRA—a scale for the quality assessment of narrative review articles. </w:t>
      </w:r>
      <w:r>
        <w:rPr>
          <w:rStyle w:val="Emphasis"/>
        </w:rPr>
        <w:t>Research Integrity and Peer Review, 4</w:t>
      </w:r>
      <w:r>
        <w:t xml:space="preserve">, 5. </w:t>
      </w:r>
      <w:hyperlink r:id="rId8" w:history="1">
        <w:r>
          <w:rPr>
            <w:rStyle w:val="Hyperlink"/>
          </w:rPr>
          <w:t>https://doi.org/10.1186/s41073-019-0064-8</w:t>
        </w:r>
      </w:hyperlink>
    </w:p>
    <w:p w14:paraId="1E833C70" w14:textId="77777777" w:rsidR="00033A1D" w:rsidRPr="00033A1D" w:rsidRDefault="00033A1D" w:rsidP="00033A1D">
      <w:pPr>
        <w:pStyle w:val="isselectedend"/>
        <w:ind w:left="540" w:hanging="540"/>
        <w:jc w:val="both"/>
        <w:rPr>
          <w:lang w:val="nl-BE"/>
        </w:rPr>
      </w:pPr>
      <w:r>
        <w:t xml:space="preserve">Bajpayee, A. G., Wong, C. R., Bawendi, M. G., Frank, E. H., &amp; </w:t>
      </w:r>
      <w:proofErr w:type="spellStart"/>
      <w:r>
        <w:t>Grodzinsky</w:t>
      </w:r>
      <w:proofErr w:type="spellEnd"/>
      <w:r>
        <w:t xml:space="preserve">, A. J. (2014). Avidin as a model for charge driven transport into cartilage and drug delivery for treating </w:t>
      </w:r>
      <w:proofErr w:type="gramStart"/>
      <w:r>
        <w:t>early stage</w:t>
      </w:r>
      <w:proofErr w:type="gramEnd"/>
      <w:r>
        <w:t xml:space="preserve"> post-traumatic osteoarthritis. </w:t>
      </w:r>
      <w:r w:rsidRPr="00033A1D">
        <w:rPr>
          <w:rStyle w:val="Emphasis"/>
          <w:lang w:val="nl-BE"/>
        </w:rPr>
        <w:t>Biomaterials, 35</w:t>
      </w:r>
      <w:r w:rsidRPr="00033A1D">
        <w:rPr>
          <w:lang w:val="nl-BE"/>
        </w:rPr>
        <w:t xml:space="preserve">(1), 538–549. </w:t>
      </w:r>
      <w:hyperlink r:id="rId9" w:history="1">
        <w:r w:rsidRPr="00033A1D">
          <w:rPr>
            <w:rStyle w:val="Hyperlink"/>
            <w:lang w:val="nl-BE"/>
          </w:rPr>
          <w:t>https://doi.org/10.1016/j.biomaterials.2013.09.091</w:t>
        </w:r>
      </w:hyperlink>
    </w:p>
    <w:p w14:paraId="2BB24E75" w14:textId="77777777" w:rsidR="00033A1D" w:rsidRDefault="00033A1D" w:rsidP="00033A1D">
      <w:pPr>
        <w:pStyle w:val="isselectedend"/>
        <w:ind w:left="540" w:hanging="540"/>
        <w:jc w:val="both"/>
      </w:pPr>
      <w:r w:rsidRPr="00033A1D">
        <w:rPr>
          <w:lang w:val="nl-BE"/>
        </w:rPr>
        <w:t xml:space="preserve">Barrera, P., Blom, A., van Lent, P. L. E. M., van Bloois, L., Beijnen, J. H., van Rooijen, N., de Waal Malefijt, M. C., van de Putte, L. B. A., Storm, G., &amp; van den Berg, W. B. (2000). </w:t>
      </w:r>
      <w:r>
        <w:t xml:space="preserve">Synovial macrophage depletion with clodronate-containing liposomes in rheumatoid arthritis. </w:t>
      </w:r>
      <w:r>
        <w:rPr>
          <w:rStyle w:val="Emphasis"/>
        </w:rPr>
        <w:t>Arthritis &amp; Rheumatism, 43</w:t>
      </w:r>
      <w:r>
        <w:t xml:space="preserve">(9), 1951–1959. </w:t>
      </w:r>
      <w:hyperlink r:id="rId10" w:history="1">
        <w:r>
          <w:rPr>
            <w:rStyle w:val="Hyperlink"/>
          </w:rPr>
          <w:t>https://doi.org/10.1002/1529-0131(200009)43:9&lt;1951::AID-ANR5&gt;3.0.CO;2-K</w:t>
        </w:r>
      </w:hyperlink>
    </w:p>
    <w:p w14:paraId="7278BA10" w14:textId="77777777" w:rsidR="00033A1D" w:rsidRDefault="00033A1D" w:rsidP="00033A1D">
      <w:pPr>
        <w:pStyle w:val="isselectedend"/>
        <w:ind w:left="540" w:hanging="540"/>
        <w:jc w:val="both"/>
      </w:pPr>
      <w:r>
        <w:t xml:space="preserve">Bedingfield, S. K., Colazo, J. M., Yu, F., Liu, D. D., Jackson, M. A., Himmel, L. E., Cho, H., Crofford, L. J., Hasty, K. A., &amp; Duvall, C. L. (2021). Amelioration of post-traumatic osteoarthritis via nanoparticle depots delivering small interfering RNA to damaged cartilage. </w:t>
      </w:r>
      <w:r>
        <w:rPr>
          <w:rStyle w:val="Emphasis"/>
        </w:rPr>
        <w:t>Nature Biomedical Engineering, 5</w:t>
      </w:r>
      <w:r>
        <w:t xml:space="preserve">(9), 1069–1083. </w:t>
      </w:r>
      <w:hyperlink r:id="rId11" w:history="1">
        <w:r>
          <w:rPr>
            <w:rStyle w:val="Hyperlink"/>
          </w:rPr>
          <w:t>https://doi.org/10.1038/s41551-021-00780-3</w:t>
        </w:r>
      </w:hyperlink>
    </w:p>
    <w:p w14:paraId="1C86F6AB" w14:textId="77777777" w:rsidR="00033A1D" w:rsidRDefault="00033A1D" w:rsidP="00033A1D">
      <w:pPr>
        <w:pStyle w:val="isselectedend"/>
        <w:ind w:left="540" w:hanging="540"/>
        <w:jc w:val="both"/>
      </w:pPr>
      <w:r>
        <w:t xml:space="preserve">Boyer, T. L., Chao, O., Hakim, B., Childress, L., </w:t>
      </w:r>
      <w:proofErr w:type="spellStart"/>
      <w:r>
        <w:t>Meslier</w:t>
      </w:r>
      <w:proofErr w:type="spellEnd"/>
      <w:r>
        <w:t xml:space="preserve">, Q. A., Iyengar, S. M., Ondrechen, M. J., Porter, R. M., &amp; Bajpayee, A. G. (2025). Cartilage targeting cationic peptide carriers display deep cartilage penetration and retention in a rabbit model of post-traumatic osteoarthritis. </w:t>
      </w:r>
      <w:r>
        <w:rPr>
          <w:rStyle w:val="Emphasis"/>
        </w:rPr>
        <w:t>Osteoarthritis and Cartilage, 33</w:t>
      </w:r>
      <w:r>
        <w:t xml:space="preserve">(6), 721–734. </w:t>
      </w:r>
      <w:hyperlink r:id="rId12" w:history="1">
        <w:r>
          <w:rPr>
            <w:rStyle w:val="Hyperlink"/>
          </w:rPr>
          <w:t>https://doi.org/10.1016/j.joca.2025.04.001</w:t>
        </w:r>
      </w:hyperlink>
    </w:p>
    <w:p w14:paraId="00B1C588" w14:textId="77777777" w:rsidR="00033A1D" w:rsidRDefault="00033A1D" w:rsidP="00033A1D">
      <w:pPr>
        <w:pStyle w:val="isselectedend"/>
        <w:ind w:left="540" w:hanging="540"/>
        <w:jc w:val="both"/>
      </w:pPr>
      <w:r>
        <w:t xml:space="preserve">Chen, J., Xu, W., Dai, T., Jiao, S., Xue, X., Jiang, J., Li, S., &amp; Meng, Q. (2023). Pioglitazone-loaded cartilage-targeted </w:t>
      </w:r>
      <w:proofErr w:type="spellStart"/>
      <w:r>
        <w:t>nanomicelles</w:t>
      </w:r>
      <w:proofErr w:type="spellEnd"/>
      <w:r>
        <w:t xml:space="preserve"> (</w:t>
      </w:r>
      <w:proofErr w:type="spellStart"/>
      <w:r>
        <w:t>Pio@C-HA-DOs</w:t>
      </w:r>
      <w:proofErr w:type="spellEnd"/>
      <w:r>
        <w:t xml:space="preserve">) for osteoarthritis treatment. </w:t>
      </w:r>
      <w:r>
        <w:rPr>
          <w:rStyle w:val="Emphasis"/>
        </w:rPr>
        <w:t>International Journal of Nanomedicine, 18</w:t>
      </w:r>
      <w:r>
        <w:t xml:space="preserve">, 5871–5890. </w:t>
      </w:r>
      <w:hyperlink r:id="rId13" w:history="1">
        <w:r>
          <w:rPr>
            <w:rStyle w:val="Hyperlink"/>
          </w:rPr>
          <w:t>https://doi.org/10.2147/IJN.S428938</w:t>
        </w:r>
      </w:hyperlink>
    </w:p>
    <w:p w14:paraId="3EF3A9DB" w14:textId="77777777" w:rsidR="00033A1D" w:rsidRDefault="00033A1D" w:rsidP="00033A1D">
      <w:pPr>
        <w:pStyle w:val="isselectedend"/>
        <w:ind w:left="540" w:hanging="540"/>
        <w:jc w:val="both"/>
      </w:pPr>
      <w:r>
        <w:t xml:space="preserve">Di Matteo, A., Bathon, J. M., &amp; Emery, P. (2023). Rheumatoid arthritis. </w:t>
      </w:r>
      <w:r>
        <w:rPr>
          <w:rStyle w:val="Emphasis"/>
        </w:rPr>
        <w:t>The Lancet, 402</w:t>
      </w:r>
      <w:r>
        <w:t xml:space="preserve">(10416), 2019–2033. </w:t>
      </w:r>
      <w:hyperlink r:id="rId14" w:history="1">
        <w:r>
          <w:rPr>
            <w:rStyle w:val="Hyperlink"/>
          </w:rPr>
          <w:t>https://doi.org/10.1016/S0140-6736(23)01525-8</w:t>
        </w:r>
      </w:hyperlink>
    </w:p>
    <w:p w14:paraId="24C7F9EC" w14:textId="77777777" w:rsidR="00033A1D" w:rsidRDefault="00033A1D" w:rsidP="00033A1D">
      <w:pPr>
        <w:pStyle w:val="isselectedend"/>
        <w:ind w:left="540" w:hanging="540"/>
        <w:jc w:val="both"/>
      </w:pPr>
      <w:proofErr w:type="spellStart"/>
      <w:r>
        <w:t>Girase</w:t>
      </w:r>
      <w:proofErr w:type="spellEnd"/>
      <w:r>
        <w:t xml:space="preserve">, R., </w:t>
      </w:r>
      <w:proofErr w:type="spellStart"/>
      <w:r>
        <w:t>Gujarathi</w:t>
      </w:r>
      <w:proofErr w:type="spellEnd"/>
      <w:r>
        <w:t xml:space="preserve">, N. A., </w:t>
      </w:r>
      <w:proofErr w:type="spellStart"/>
      <w:r>
        <w:t>Sukhia</w:t>
      </w:r>
      <w:proofErr w:type="spellEnd"/>
      <w:r>
        <w:t xml:space="preserve">, A., Kota, S. S. N., Patil, T. S., Aher, A. A., Agrawal, Y. O., Ojha, S., Sharma, C., &amp; Goyal, S. N. (2025). Targeted nanoliposomes for precision rheumatoid arthritis therapy: A review on mechanisms and in vivo potential. </w:t>
      </w:r>
      <w:r>
        <w:rPr>
          <w:rStyle w:val="Emphasis"/>
        </w:rPr>
        <w:t>Drug Delivery, 32</w:t>
      </w:r>
      <w:r>
        <w:t xml:space="preserve">(1), 2459772. </w:t>
      </w:r>
      <w:hyperlink r:id="rId15" w:history="1">
        <w:r>
          <w:rPr>
            <w:rStyle w:val="Hyperlink"/>
          </w:rPr>
          <w:t>https://doi.org/10.1080/10717544.2025.2459772</w:t>
        </w:r>
      </w:hyperlink>
    </w:p>
    <w:p w14:paraId="26CB9CFD" w14:textId="77777777" w:rsidR="00033A1D" w:rsidRDefault="00033A1D" w:rsidP="00033A1D">
      <w:pPr>
        <w:pStyle w:val="isselectedend"/>
        <w:ind w:left="540" w:hanging="540"/>
        <w:jc w:val="both"/>
      </w:pPr>
      <w:r>
        <w:t xml:space="preserve">He, L., Fan, D., Liang, W., Wang, Q., &amp; Fang, J. (2020). Matrix metalloproteinase-responsive PEGylated lipid nanoparticles for controlled drug delivery in the treatment of rheumatoid arthritis. </w:t>
      </w:r>
      <w:r>
        <w:rPr>
          <w:rStyle w:val="Emphasis"/>
        </w:rPr>
        <w:t>ACS Applied Bio Materials, 3</w:t>
      </w:r>
      <w:r>
        <w:t xml:space="preserve">(5), 3276–3284. </w:t>
      </w:r>
      <w:hyperlink r:id="rId16" w:history="1">
        <w:r>
          <w:rPr>
            <w:rStyle w:val="Hyperlink"/>
          </w:rPr>
          <w:t>https://doi.org/10.1021/acsabm.0c00242</w:t>
        </w:r>
      </w:hyperlink>
    </w:p>
    <w:p w14:paraId="6C526FF9" w14:textId="77777777" w:rsidR="00033A1D" w:rsidRDefault="00033A1D" w:rsidP="00033A1D">
      <w:pPr>
        <w:pStyle w:val="isselectedend"/>
        <w:ind w:left="540" w:hanging="540"/>
        <w:jc w:val="both"/>
      </w:pPr>
      <w:r>
        <w:t xml:space="preserve">He, T., Zhang, C., Colombani, T., Bencherif, S. A., Porter, R. M., &amp; Bajpayee, A. G. (2023). Intra-articular kinetics of a cartilage targeting cationic PEGylated protein for applications in drug delivery. </w:t>
      </w:r>
      <w:r>
        <w:rPr>
          <w:rStyle w:val="Emphasis"/>
        </w:rPr>
        <w:t>Osteoarthritis and Cartilage, 31</w:t>
      </w:r>
      <w:r>
        <w:t xml:space="preserve">(2), 187–198. </w:t>
      </w:r>
      <w:hyperlink r:id="rId17" w:history="1">
        <w:r>
          <w:rPr>
            <w:rStyle w:val="Hyperlink"/>
          </w:rPr>
          <w:t>https://doi.org/10.1016/j.joca.2022.09.010</w:t>
        </w:r>
      </w:hyperlink>
    </w:p>
    <w:p w14:paraId="319E8A09" w14:textId="77777777" w:rsidR="00033A1D" w:rsidRDefault="00033A1D" w:rsidP="00033A1D">
      <w:pPr>
        <w:pStyle w:val="isselectedend"/>
        <w:ind w:left="540" w:hanging="540"/>
        <w:jc w:val="both"/>
      </w:pPr>
      <w:r>
        <w:lastRenderedPageBreak/>
        <w:t xml:space="preserve">He, Q., Xing, J., Kang, J., Yang, Y., Ma, D., &amp; Zhang, L. (2026). Nanomedicine strategies for rheumatoid arthritis: Precision delivery and immune microenvironment modulation. </w:t>
      </w:r>
      <w:r>
        <w:rPr>
          <w:rStyle w:val="Emphasis"/>
        </w:rPr>
        <w:t>International Journal of Nanomedicine, 21</w:t>
      </w:r>
      <w:r>
        <w:t xml:space="preserve">, 618790. </w:t>
      </w:r>
      <w:hyperlink r:id="rId18" w:history="1">
        <w:r>
          <w:rPr>
            <w:rStyle w:val="Hyperlink"/>
          </w:rPr>
          <w:t>https://doi.org/10.2147/IJN.S618790</w:t>
        </w:r>
      </w:hyperlink>
    </w:p>
    <w:p w14:paraId="2A22485F" w14:textId="77777777" w:rsidR="00033A1D" w:rsidRDefault="00033A1D" w:rsidP="00033A1D">
      <w:pPr>
        <w:pStyle w:val="isselectedend"/>
        <w:ind w:left="540" w:hanging="540"/>
        <w:jc w:val="both"/>
      </w:pPr>
      <w:r>
        <w:t xml:space="preserve">Huang, K., Li, Q., Lin, H., Shen, Q., Wu, Y., Tian, T., Ma, C., Shi, S., Xiao, J., &amp; Lin, Y. (2025). Cartilage-penetrating framework nucleic acid nanoparticles ameliorate osteoarthritis by promoting drug delivery and chondrocyte uptake. </w:t>
      </w:r>
      <w:r>
        <w:rPr>
          <w:rStyle w:val="Emphasis"/>
        </w:rPr>
        <w:t>Advanced Science, 12</w:t>
      </w:r>
      <w:r>
        <w:t xml:space="preserve">(26), e2502661. </w:t>
      </w:r>
      <w:hyperlink r:id="rId19" w:history="1">
        <w:r>
          <w:rPr>
            <w:rStyle w:val="Hyperlink"/>
          </w:rPr>
          <w:t>https://doi.org/10.1002/advs.202502661</w:t>
        </w:r>
      </w:hyperlink>
    </w:p>
    <w:p w14:paraId="003F3AD5" w14:textId="77777777" w:rsidR="00033A1D" w:rsidRDefault="00033A1D" w:rsidP="00033A1D">
      <w:pPr>
        <w:pStyle w:val="isselectedend"/>
        <w:ind w:left="540" w:hanging="540"/>
        <w:jc w:val="both"/>
      </w:pPr>
      <w:r>
        <w:t xml:space="preserve">Hunter, D. J., &amp; Bierma-Zeinstra, S. (2019). Osteoarthritis. </w:t>
      </w:r>
      <w:r>
        <w:rPr>
          <w:rStyle w:val="Emphasis"/>
        </w:rPr>
        <w:t>The Lancet, 393</w:t>
      </w:r>
      <w:r>
        <w:t xml:space="preserve">(10182), 1745–1759. </w:t>
      </w:r>
      <w:hyperlink r:id="rId20" w:history="1">
        <w:r>
          <w:rPr>
            <w:rStyle w:val="Hyperlink"/>
          </w:rPr>
          <w:t>https://doi.org/10.1016/S0140-6736(19)30417-9</w:t>
        </w:r>
      </w:hyperlink>
    </w:p>
    <w:p w14:paraId="14C0BA73" w14:textId="77777777" w:rsidR="00033A1D" w:rsidRDefault="00033A1D" w:rsidP="00033A1D">
      <w:pPr>
        <w:pStyle w:val="isselectedend"/>
        <w:ind w:left="540" w:hanging="540"/>
        <w:jc w:val="both"/>
      </w:pPr>
      <w:r w:rsidRPr="00033A1D">
        <w:rPr>
          <w:lang w:val="nl-BE"/>
        </w:rPr>
        <w:t xml:space="preserve">Jansen, M. A. A., Klausen, L. H., Thanki, K., Lyngsø, J., Skov Pedersen, J., Franzyk, H., Nielsen, H. M., van Eden, W., Dong, M., Broere, F., Foged, C., &amp; Zeng, X. (2019). </w:t>
      </w:r>
      <w:proofErr w:type="spellStart"/>
      <w:r>
        <w:t>Lipidoid</w:t>
      </w:r>
      <w:proofErr w:type="spellEnd"/>
      <w:r>
        <w:t xml:space="preserve">-polymer hybrid nanoparticles loaded with TNF siRNA suppress inflammation after intra-articular administration in a murine experimental arthritis model. </w:t>
      </w:r>
      <w:r>
        <w:rPr>
          <w:rStyle w:val="Emphasis"/>
        </w:rPr>
        <w:t>European Journal of Pharmaceutics and Biopharmaceutics, 142</w:t>
      </w:r>
      <w:r>
        <w:t xml:space="preserve">, 38–48. </w:t>
      </w:r>
      <w:hyperlink r:id="rId21" w:history="1">
        <w:r>
          <w:rPr>
            <w:rStyle w:val="Hyperlink"/>
          </w:rPr>
          <w:t>https://doi.org/10.1016/j.ejpb.2019.06.009</w:t>
        </w:r>
      </w:hyperlink>
    </w:p>
    <w:p w14:paraId="40BD82AE" w14:textId="77777777" w:rsidR="00033A1D" w:rsidRDefault="00033A1D" w:rsidP="00033A1D">
      <w:pPr>
        <w:pStyle w:val="isselectedend"/>
        <w:ind w:left="540" w:hanging="540"/>
        <w:jc w:val="both"/>
      </w:pPr>
      <w:r w:rsidRPr="00033A1D">
        <w:rPr>
          <w:lang w:val="nl-BE"/>
        </w:rPr>
        <w:t xml:space="preserve">Katz, J. N., Arant, K. R., &amp; Loeser, R. F. (2021). </w:t>
      </w:r>
      <w:r>
        <w:t xml:space="preserve">Diagnosis and treatment of hip and knee osteoarthritis: A review. </w:t>
      </w:r>
      <w:r>
        <w:rPr>
          <w:rStyle w:val="Emphasis"/>
        </w:rPr>
        <w:t>JAMA, 325</w:t>
      </w:r>
      <w:r>
        <w:t xml:space="preserve">(6), 568–578. </w:t>
      </w:r>
      <w:hyperlink r:id="rId22" w:history="1">
        <w:r>
          <w:rPr>
            <w:rStyle w:val="Hyperlink"/>
          </w:rPr>
          <w:t>https://doi.org/10.1001/jama.2020.22171</w:t>
        </w:r>
      </w:hyperlink>
    </w:p>
    <w:p w14:paraId="414B1832" w14:textId="77777777" w:rsidR="00033A1D" w:rsidRDefault="00033A1D" w:rsidP="00033A1D">
      <w:pPr>
        <w:pStyle w:val="isselectedend"/>
        <w:ind w:left="540" w:hanging="540"/>
        <w:jc w:val="both"/>
      </w:pPr>
      <w:r>
        <w:t xml:space="preserve">Kong, K., Li, B., Chang, Y., Zhao, C., Qiao, H., Jin, M., Wu, X., Fan, W., Wang, L., Qi, Y., Xu, Y., Zhai, Z., Ma, P., &amp; Li, H. (2025). Delivery of FGF18 using mRNA-LNP protects the cartilage against degeneration via alleviating chondrocyte senescence. </w:t>
      </w:r>
      <w:r>
        <w:rPr>
          <w:rStyle w:val="Emphasis"/>
        </w:rPr>
        <w:t>Journal of Nanobiotechnology, 23</w:t>
      </w:r>
      <w:r>
        <w:t xml:space="preserve">(1), 34. </w:t>
      </w:r>
      <w:hyperlink r:id="rId23" w:history="1">
        <w:r>
          <w:rPr>
            <w:rStyle w:val="Hyperlink"/>
          </w:rPr>
          <w:t>https://doi.org/10.1186/s12951-025-03103-9</w:t>
        </w:r>
      </w:hyperlink>
    </w:p>
    <w:p w14:paraId="78EC110D" w14:textId="77777777" w:rsidR="00033A1D" w:rsidRDefault="00033A1D" w:rsidP="00033A1D">
      <w:pPr>
        <w:pStyle w:val="isselectedend"/>
        <w:ind w:left="540" w:hanging="540"/>
        <w:jc w:val="both"/>
      </w:pPr>
      <w:r>
        <w:t xml:space="preserve">Mei, H., Sha, C., </w:t>
      </w:r>
      <w:proofErr w:type="spellStart"/>
      <w:r>
        <w:t>Lv</w:t>
      </w:r>
      <w:proofErr w:type="spellEnd"/>
      <w:r>
        <w:t xml:space="preserve">, Q., Liu, H., Jiang, L., Song, Q., Zeng, Y., Zhou, J., Zheng, Y., Zhong, W., Zhou, J., &amp; Li, J. (2024). Multifunctional polymeric </w:t>
      </w:r>
      <w:proofErr w:type="spellStart"/>
      <w:r>
        <w:t>nanocapsules</w:t>
      </w:r>
      <w:proofErr w:type="spellEnd"/>
      <w:r>
        <w:t xml:space="preserve"> with enhanced cartilage penetration and retention for osteoarthritis treatment. </w:t>
      </w:r>
      <w:r>
        <w:rPr>
          <w:rStyle w:val="Emphasis"/>
        </w:rPr>
        <w:t>Journal of Controlled Release, 374</w:t>
      </w:r>
      <w:r>
        <w:t xml:space="preserve">, 466–477. </w:t>
      </w:r>
      <w:hyperlink r:id="rId24" w:history="1">
        <w:r>
          <w:rPr>
            <w:rStyle w:val="Hyperlink"/>
          </w:rPr>
          <w:t>https://doi.org/10.1016/j.jconrel.2024.08.031</w:t>
        </w:r>
      </w:hyperlink>
    </w:p>
    <w:p w14:paraId="1357063A" w14:textId="77777777" w:rsidR="00033A1D" w:rsidRDefault="00033A1D" w:rsidP="00033A1D">
      <w:pPr>
        <w:pStyle w:val="isselectedend"/>
        <w:ind w:left="540" w:hanging="540"/>
        <w:jc w:val="both"/>
      </w:pPr>
      <w:r>
        <w:t xml:space="preserve">Meka, R. R., Venkatesha, S. H., &amp; Moudgil, K. D. (2018). Peptide-directed liposomal delivery improves the therapeutic index of an immunomodulatory cytokine in controlling autoimmune arthritis. </w:t>
      </w:r>
      <w:r>
        <w:rPr>
          <w:rStyle w:val="Emphasis"/>
        </w:rPr>
        <w:t>Journal of Controlled Release, 286</w:t>
      </w:r>
      <w:r>
        <w:t xml:space="preserve">, 279–288. </w:t>
      </w:r>
      <w:hyperlink r:id="rId25" w:history="1">
        <w:r>
          <w:rPr>
            <w:rStyle w:val="Hyperlink"/>
          </w:rPr>
          <w:t>https://doi.org/10.1016/j.jconrel.2018.08.007</w:t>
        </w:r>
      </w:hyperlink>
    </w:p>
    <w:p w14:paraId="0C96A522" w14:textId="77777777" w:rsidR="00033A1D" w:rsidRPr="00033A1D" w:rsidRDefault="00033A1D" w:rsidP="00033A1D">
      <w:pPr>
        <w:pStyle w:val="isselectedend"/>
        <w:ind w:left="540" w:hanging="540"/>
        <w:jc w:val="both"/>
        <w:rPr>
          <w:lang w:val="nl-BE"/>
        </w:rPr>
      </w:pPr>
      <w:proofErr w:type="spellStart"/>
      <w:r>
        <w:t>Metselaar</w:t>
      </w:r>
      <w:proofErr w:type="spellEnd"/>
      <w:r>
        <w:t xml:space="preserve">, J. M., </w:t>
      </w:r>
      <w:proofErr w:type="spellStart"/>
      <w:r>
        <w:t>Wauben</w:t>
      </w:r>
      <w:proofErr w:type="spellEnd"/>
      <w:r>
        <w:t xml:space="preserve">, M. H. M., Wagenaar-Hilbers, J. P. A., Boerman, O. C., &amp; Storm, G. (2003). Complete remission of experimental arthritis by joint targeting of glucocorticoids with long-circulating liposomes. </w:t>
      </w:r>
      <w:r w:rsidRPr="00033A1D">
        <w:rPr>
          <w:rStyle w:val="Emphasis"/>
          <w:lang w:val="nl-BE"/>
        </w:rPr>
        <w:t>Arthritis &amp; Rheumatism, 48</w:t>
      </w:r>
      <w:r w:rsidRPr="00033A1D">
        <w:rPr>
          <w:lang w:val="nl-BE"/>
        </w:rPr>
        <w:t xml:space="preserve">(7), 2059–2066. </w:t>
      </w:r>
      <w:hyperlink r:id="rId26" w:history="1">
        <w:r w:rsidRPr="00033A1D">
          <w:rPr>
            <w:rStyle w:val="Hyperlink"/>
            <w:lang w:val="nl-BE"/>
          </w:rPr>
          <w:t>https://doi.org/10.1002/art.11140</w:t>
        </w:r>
      </w:hyperlink>
    </w:p>
    <w:p w14:paraId="0A49B676" w14:textId="77777777" w:rsidR="00033A1D" w:rsidRDefault="00033A1D" w:rsidP="00033A1D">
      <w:pPr>
        <w:pStyle w:val="isselectedend"/>
        <w:ind w:left="540" w:hanging="540"/>
        <w:jc w:val="both"/>
      </w:pPr>
      <w:r w:rsidRPr="00033A1D">
        <w:rPr>
          <w:lang w:val="nl-BE"/>
        </w:rPr>
        <w:t xml:space="preserve">Metselaar, J. M., van den Berg, W. B., Holthuysen, A. E. M., Wauben, M. H. M., Storm, G., &amp; van Lent, P. L. E. M. (2004). </w:t>
      </w:r>
      <w:r>
        <w:t xml:space="preserve">Liposomal targeting of glucocorticoids to synovial lining cells strongly increases therapeutic benefit in collagen type II arthritis. </w:t>
      </w:r>
      <w:r>
        <w:rPr>
          <w:rStyle w:val="Emphasis"/>
        </w:rPr>
        <w:t>Annals of the Rheumatic Diseases, 63</w:t>
      </w:r>
      <w:r>
        <w:t xml:space="preserve">(4), 348–353. </w:t>
      </w:r>
      <w:hyperlink r:id="rId27" w:history="1">
        <w:r>
          <w:rPr>
            <w:rStyle w:val="Hyperlink"/>
          </w:rPr>
          <w:t>https://doi.org/10.1136/ard.2003.009944</w:t>
        </w:r>
      </w:hyperlink>
    </w:p>
    <w:p w14:paraId="48E98DAE" w14:textId="77777777" w:rsidR="00033A1D" w:rsidRDefault="00033A1D" w:rsidP="00033A1D">
      <w:pPr>
        <w:pStyle w:val="isselectedend"/>
        <w:ind w:left="540" w:hanging="540"/>
        <w:jc w:val="both"/>
      </w:pPr>
      <w:proofErr w:type="spellStart"/>
      <w:r>
        <w:t>Metselaar</w:t>
      </w:r>
      <w:proofErr w:type="spellEnd"/>
      <w:r>
        <w:t xml:space="preserve">, J. M., </w:t>
      </w:r>
      <w:proofErr w:type="spellStart"/>
      <w:r>
        <w:t>Middelink</w:t>
      </w:r>
      <w:proofErr w:type="spellEnd"/>
      <w:r>
        <w:t xml:space="preserve">, L. M., Wortel, C. H., Bos, R., van Laar, J. M., Vonkeman, H. E., Westhovens, R., Lammers, T., Yao, S.-L., </w:t>
      </w:r>
      <w:proofErr w:type="spellStart"/>
      <w:r>
        <w:t>Kothekar</w:t>
      </w:r>
      <w:proofErr w:type="spellEnd"/>
      <w:r>
        <w:t xml:space="preserve">, M., Raut, A., &amp; Bijlsma, J. W. J. (2022). Intravenous pegylated liposomal prednisolone outperforms intramuscular methylprednisolone in </w:t>
      </w:r>
      <w:r>
        <w:lastRenderedPageBreak/>
        <w:t xml:space="preserve">treating rheumatoid arthritis flares: A randomized controlled clinical trial. </w:t>
      </w:r>
      <w:r>
        <w:rPr>
          <w:rStyle w:val="Emphasis"/>
        </w:rPr>
        <w:t>Journal of Controlled Release, 341</w:t>
      </w:r>
      <w:r>
        <w:t xml:space="preserve">, 548–554. </w:t>
      </w:r>
      <w:hyperlink r:id="rId28" w:history="1">
        <w:r>
          <w:rPr>
            <w:rStyle w:val="Hyperlink"/>
          </w:rPr>
          <w:t>https://doi.org/10.1016/j.jconrel.2021.12.007</w:t>
        </w:r>
      </w:hyperlink>
    </w:p>
    <w:p w14:paraId="42ED2A9F" w14:textId="77777777" w:rsidR="00033A1D" w:rsidRDefault="00033A1D" w:rsidP="00033A1D">
      <w:pPr>
        <w:pStyle w:val="isselectedend"/>
        <w:ind w:left="540" w:hanging="540"/>
        <w:jc w:val="both"/>
      </w:pPr>
      <w:r>
        <w:t xml:space="preserve">Morici, L., </w:t>
      </w:r>
      <w:proofErr w:type="spellStart"/>
      <w:r>
        <w:t>Allémann</w:t>
      </w:r>
      <w:proofErr w:type="spellEnd"/>
      <w:r>
        <w:t xml:space="preserve">, E., Rodríguez-Nogales, C., &amp; Jordan, O. (2024). Cartilage-targeted drug nanocarriers for osteoarthritis therapy. </w:t>
      </w:r>
      <w:r>
        <w:rPr>
          <w:rStyle w:val="Emphasis"/>
        </w:rPr>
        <w:t>International Journal of Pharmaceutics, 666</w:t>
      </w:r>
      <w:r>
        <w:t xml:space="preserve">, 124843. </w:t>
      </w:r>
      <w:hyperlink r:id="rId29" w:history="1">
        <w:r>
          <w:rPr>
            <w:rStyle w:val="Hyperlink"/>
          </w:rPr>
          <w:t>https://doi.org/10.1016/j.ijpharm.2024.124843</w:t>
        </w:r>
      </w:hyperlink>
    </w:p>
    <w:p w14:paraId="1F88EA82" w14:textId="77777777" w:rsidR="00033A1D" w:rsidRDefault="00033A1D" w:rsidP="00033A1D">
      <w:pPr>
        <w:pStyle w:val="isselectedend"/>
        <w:ind w:left="540" w:hanging="540"/>
        <w:jc w:val="both"/>
      </w:pPr>
      <w:proofErr w:type="spellStart"/>
      <w:r>
        <w:t>Pathrikar</w:t>
      </w:r>
      <w:proofErr w:type="spellEnd"/>
      <w:r>
        <w:t xml:space="preserve">, T. V., Baby, H. M., Hakim, B., Zhang, H., Millán Cotto, H. A., </w:t>
      </w:r>
      <w:proofErr w:type="spellStart"/>
      <w:r>
        <w:t>Kondiboyina</w:t>
      </w:r>
      <w:proofErr w:type="spellEnd"/>
      <w:r>
        <w:t xml:space="preserve">, V., Zhang, C., &amp; Bajpayee, A. G. (2025). Cartilage-targeting exosomes for delivery of receptor antagonist of interleukin-1 in osteoarthritis treatment. </w:t>
      </w:r>
      <w:r>
        <w:rPr>
          <w:rStyle w:val="Emphasis"/>
        </w:rPr>
        <w:t>Osteoarthritis and Cartilage, 33</w:t>
      </w:r>
      <w:r>
        <w:t xml:space="preserve">(7), 835–847. </w:t>
      </w:r>
      <w:hyperlink r:id="rId30" w:history="1">
        <w:r>
          <w:rPr>
            <w:rStyle w:val="Hyperlink"/>
          </w:rPr>
          <w:t>https://doi.org/10.1016/j.joca.2025.02.785</w:t>
        </w:r>
      </w:hyperlink>
    </w:p>
    <w:p w14:paraId="62994169" w14:textId="77777777" w:rsidR="00033A1D" w:rsidRDefault="00033A1D" w:rsidP="00033A1D">
      <w:pPr>
        <w:pStyle w:val="isselectedend"/>
        <w:ind w:left="540" w:hanging="540"/>
        <w:jc w:val="both"/>
      </w:pPr>
      <w:r>
        <w:t xml:space="preserve">Qin, M., Chen, P., Chen, H., Liu, F., He, W., &amp; Yao, E. (2025). Hyaluronic acid-anchored nanoparticles co-delivering emodin and siRNA confers protection against rheumatoid arthritis via macrophage polarization. </w:t>
      </w:r>
      <w:r>
        <w:rPr>
          <w:rStyle w:val="Emphasis"/>
        </w:rPr>
        <w:t>Materials Today Bio, 33</w:t>
      </w:r>
      <w:r>
        <w:t xml:space="preserve">, 102074. </w:t>
      </w:r>
      <w:hyperlink r:id="rId31" w:history="1">
        <w:r>
          <w:rPr>
            <w:rStyle w:val="Hyperlink"/>
          </w:rPr>
          <w:t>https://doi.org/10.1016/j.mtbio.2025.102074</w:t>
        </w:r>
      </w:hyperlink>
    </w:p>
    <w:p w14:paraId="2C6F3E39" w14:textId="77777777" w:rsidR="00033A1D" w:rsidRDefault="00033A1D" w:rsidP="00033A1D">
      <w:pPr>
        <w:pStyle w:val="isselectedend"/>
        <w:ind w:left="540" w:hanging="540"/>
        <w:jc w:val="both"/>
      </w:pPr>
      <w:proofErr w:type="spellStart"/>
      <w:r>
        <w:t>Rothenfluh</w:t>
      </w:r>
      <w:proofErr w:type="spellEnd"/>
      <w:r>
        <w:t xml:space="preserve">, D. A., Bermudez, H., O’Neil, C. P., &amp; Hubbell, J. A. (2008). </w:t>
      </w:r>
      <w:proofErr w:type="spellStart"/>
      <w:r>
        <w:t>Biofunctional</w:t>
      </w:r>
      <w:proofErr w:type="spellEnd"/>
      <w:r>
        <w:t xml:space="preserve"> polymer nanoparticles for intra-articular targeting and retention in cartilage. </w:t>
      </w:r>
      <w:r>
        <w:rPr>
          <w:rStyle w:val="Emphasis"/>
        </w:rPr>
        <w:t>Nature Materials, 7</w:t>
      </w:r>
      <w:r>
        <w:t xml:space="preserve">(3), 248–254. </w:t>
      </w:r>
      <w:hyperlink r:id="rId32" w:history="1">
        <w:r>
          <w:rPr>
            <w:rStyle w:val="Hyperlink"/>
          </w:rPr>
          <w:t>https://doi.org/10.1038/nmat2116</w:t>
        </w:r>
      </w:hyperlink>
    </w:p>
    <w:p w14:paraId="42B2EBD2" w14:textId="77777777" w:rsidR="00033A1D" w:rsidRDefault="00033A1D" w:rsidP="00033A1D">
      <w:pPr>
        <w:pStyle w:val="isselectedend"/>
        <w:ind w:left="540" w:hanging="540"/>
        <w:jc w:val="both"/>
      </w:pPr>
      <w:r>
        <w:t xml:space="preserve">Sawan, S., Kumari, A., Majie, A., Ghosh, A., Karmakar, V., Kumari, N., Ghosh, S., &amp; </w:t>
      </w:r>
      <w:proofErr w:type="spellStart"/>
      <w:r>
        <w:t>Gorain</w:t>
      </w:r>
      <w:proofErr w:type="spellEnd"/>
      <w:r>
        <w:t xml:space="preserve">, B. (2025). siRNA-based nanotherapeutic approaches for targeted delivery in rheumatoid arthritis. </w:t>
      </w:r>
      <w:r>
        <w:rPr>
          <w:rStyle w:val="Emphasis"/>
        </w:rPr>
        <w:t>Biomaterials Advances, 168</w:t>
      </w:r>
      <w:r>
        <w:t xml:space="preserve">, 214120. </w:t>
      </w:r>
      <w:hyperlink r:id="rId33" w:history="1">
        <w:r>
          <w:rPr>
            <w:rStyle w:val="Hyperlink"/>
          </w:rPr>
          <w:t>https://doi.org/10.1016/j.bioadv.2024.214120</w:t>
        </w:r>
      </w:hyperlink>
    </w:p>
    <w:p w14:paraId="650DAC55" w14:textId="77777777" w:rsidR="00033A1D" w:rsidRDefault="00033A1D" w:rsidP="00033A1D">
      <w:pPr>
        <w:pStyle w:val="isselectedend"/>
        <w:ind w:left="540" w:hanging="540"/>
        <w:jc w:val="both"/>
      </w:pPr>
      <w:r>
        <w:t xml:space="preserve">Shi, R., Fu, J., Li, M., Zhang, A., Huang, S., Yang, X., Liang, Y., Quan, Y., He, S., Huang, S., Li, L., Sun, X., Gong, T., Zhang, L., Lin, Q., &amp; Zhang, Z. (2025). Monocyte membrane-coated drug nanocrystals for enhanced targeted therapy of rheumatoid arthritis. </w:t>
      </w:r>
      <w:r>
        <w:rPr>
          <w:rStyle w:val="Emphasis"/>
        </w:rPr>
        <w:t>Journal of Controlled Release, 384</w:t>
      </w:r>
      <w:r>
        <w:t xml:space="preserve">, 113919. </w:t>
      </w:r>
      <w:hyperlink r:id="rId34" w:history="1">
        <w:r>
          <w:rPr>
            <w:rStyle w:val="Hyperlink"/>
          </w:rPr>
          <w:t>https://doi.org/10.1016/j.jconrel.2025.113919</w:t>
        </w:r>
      </w:hyperlink>
    </w:p>
    <w:p w14:paraId="589918F0" w14:textId="77777777" w:rsidR="00033A1D" w:rsidRPr="00033A1D" w:rsidRDefault="00033A1D" w:rsidP="00033A1D">
      <w:pPr>
        <w:pStyle w:val="isselectedend"/>
        <w:ind w:left="540" w:hanging="540"/>
        <w:jc w:val="both"/>
        <w:rPr>
          <w:lang w:val="nl-BE"/>
        </w:rPr>
      </w:pPr>
      <w:r>
        <w:t xml:space="preserve">Song, S., Liu, W., Wang, S., Guo, N., Li, M., Xie, J., Luo, X., Yan, X., Xu, B., &amp; Xu, Y. (2026). Progress in siRNA therapy and delivery platforms for osteoarthritis. </w:t>
      </w:r>
      <w:proofErr w:type="spellStart"/>
      <w:r>
        <w:rPr>
          <w:rStyle w:val="Emphasis"/>
        </w:rPr>
        <w:t>iScience</w:t>
      </w:r>
      <w:proofErr w:type="spellEnd"/>
      <w:r>
        <w:rPr>
          <w:rStyle w:val="Emphasis"/>
        </w:rPr>
        <w:t>, 29</w:t>
      </w:r>
      <w:r>
        <w:t xml:space="preserve">(4), 115163. </w:t>
      </w:r>
      <w:hyperlink r:id="rId35" w:history="1">
        <w:r w:rsidRPr="00033A1D">
          <w:rPr>
            <w:rStyle w:val="Hyperlink"/>
            <w:lang w:val="nl-BE"/>
          </w:rPr>
          <w:t>https://doi.org/10.1016/j.isci.2026.115163</w:t>
        </w:r>
      </w:hyperlink>
    </w:p>
    <w:p w14:paraId="045E83C9" w14:textId="77777777" w:rsidR="00033A1D" w:rsidRDefault="00033A1D" w:rsidP="00033A1D">
      <w:pPr>
        <w:pStyle w:val="isselectedend"/>
        <w:ind w:left="540" w:hanging="540"/>
        <w:jc w:val="both"/>
      </w:pPr>
      <w:r w:rsidRPr="00033A1D">
        <w:rPr>
          <w:lang w:val="nl-BE"/>
        </w:rPr>
        <w:t xml:space="preserve">te Boekhorst, B. C. M., Jensen, L. B., Colombo, S., Varkouhi, A. K., Schiffelers, R. M., Lammers, T., Storm, G., Nielsen, H. M., Strijkers, G. J., Foged, C., &amp; Nicolay, K. (2012). </w:t>
      </w:r>
      <w:r>
        <w:t xml:space="preserve">MRI-assessed therapeutic effects of locally administered PLGA nanoparticles loaded with anti-inflammatory siRNA in a murine arthritis model. </w:t>
      </w:r>
      <w:r>
        <w:rPr>
          <w:rStyle w:val="Emphasis"/>
        </w:rPr>
        <w:t>Journal of Controlled Release, 161</w:t>
      </w:r>
      <w:r>
        <w:t xml:space="preserve">(3), 772–780. </w:t>
      </w:r>
      <w:hyperlink r:id="rId36" w:history="1">
        <w:r>
          <w:rPr>
            <w:rStyle w:val="Hyperlink"/>
          </w:rPr>
          <w:t>https://doi.org/10.1016/j.jconrel.2012.05.004</w:t>
        </w:r>
      </w:hyperlink>
    </w:p>
    <w:p w14:paraId="38F26C45" w14:textId="77777777" w:rsidR="00033A1D" w:rsidRDefault="00033A1D" w:rsidP="00033A1D">
      <w:pPr>
        <w:pStyle w:val="isselectedend"/>
        <w:ind w:left="540" w:hanging="540"/>
        <w:jc w:val="both"/>
      </w:pPr>
      <w:r>
        <w:t xml:space="preserve">Thomas, T. P., </w:t>
      </w:r>
      <w:proofErr w:type="spellStart"/>
      <w:r>
        <w:t>Goonewardena</w:t>
      </w:r>
      <w:proofErr w:type="spellEnd"/>
      <w:r>
        <w:t xml:space="preserve">, S. N., Majoros, I. J., Kotlyar, A., Cao, Z., </w:t>
      </w:r>
      <w:proofErr w:type="spellStart"/>
      <w:r>
        <w:t>Leroueil</w:t>
      </w:r>
      <w:proofErr w:type="spellEnd"/>
      <w:r>
        <w:t xml:space="preserve">, P. R., &amp; Baker, J. R., Jr. (2011). Folate-targeted nanoparticles show efficacy in the treatment of inflammatory arthritis. </w:t>
      </w:r>
      <w:r>
        <w:rPr>
          <w:rStyle w:val="Emphasis"/>
        </w:rPr>
        <w:t>Arthritis &amp; Rheumatism, 63</w:t>
      </w:r>
      <w:r>
        <w:t xml:space="preserve">(9), 2671–2680. </w:t>
      </w:r>
      <w:hyperlink r:id="rId37" w:history="1">
        <w:r>
          <w:rPr>
            <w:rStyle w:val="Hyperlink"/>
          </w:rPr>
          <w:t>https://doi.org/10.1002/art.30459</w:t>
        </w:r>
      </w:hyperlink>
    </w:p>
    <w:p w14:paraId="47305A06" w14:textId="77777777" w:rsidR="00033A1D" w:rsidRDefault="00033A1D" w:rsidP="00033A1D">
      <w:pPr>
        <w:pStyle w:val="isselectedend"/>
        <w:ind w:left="540" w:hanging="540"/>
        <w:jc w:val="both"/>
      </w:pPr>
      <w:r>
        <w:t xml:space="preserve">Wang, Q., Jiang, J., Chen, W., Jiang, H., Zhang, Z., &amp; Sun, X. (2016). Targeted delivery of low-dose dexamethasone using PCL-PEG micelles for effective treatment of rheumatoid arthritis. </w:t>
      </w:r>
      <w:r>
        <w:rPr>
          <w:rStyle w:val="Emphasis"/>
        </w:rPr>
        <w:t>Journal of Controlled Release, 230</w:t>
      </w:r>
      <w:r>
        <w:t xml:space="preserve">, 64–72. </w:t>
      </w:r>
      <w:hyperlink r:id="rId38" w:history="1">
        <w:r>
          <w:rPr>
            <w:rStyle w:val="Hyperlink"/>
          </w:rPr>
          <w:t>https://doi.org/10.1016/j.jconrel.2016.03.035</w:t>
        </w:r>
      </w:hyperlink>
    </w:p>
    <w:p w14:paraId="24FA728C" w14:textId="77777777" w:rsidR="00033A1D" w:rsidRPr="00033A1D" w:rsidRDefault="00033A1D" w:rsidP="00033A1D">
      <w:pPr>
        <w:pStyle w:val="isselectedend"/>
        <w:ind w:left="540" w:hanging="540"/>
        <w:jc w:val="both"/>
        <w:rPr>
          <w:lang w:val="nl-BE"/>
        </w:rPr>
      </w:pPr>
      <w:r>
        <w:lastRenderedPageBreak/>
        <w:t>Wang, Q., Jiang, H., Li, Y., Chen, W., Li, H., Peng, K., Zhang, Z., &amp; Sun, X. (2017). Targeting NF-</w:t>
      </w:r>
      <w:proofErr w:type="spellStart"/>
      <w:r>
        <w:t>κB</w:t>
      </w:r>
      <w:proofErr w:type="spellEnd"/>
      <w:r>
        <w:t xml:space="preserve"> signaling with polymeric hybrid micelles that co-deliver siRNA and dexamethasone for arthritis therapy. </w:t>
      </w:r>
      <w:r w:rsidRPr="00033A1D">
        <w:rPr>
          <w:rStyle w:val="Emphasis"/>
          <w:lang w:val="nl-BE"/>
        </w:rPr>
        <w:t>Biomaterials, 122</w:t>
      </w:r>
      <w:r w:rsidRPr="00033A1D">
        <w:rPr>
          <w:lang w:val="nl-BE"/>
        </w:rPr>
        <w:t xml:space="preserve">, 10–22. </w:t>
      </w:r>
      <w:hyperlink r:id="rId39" w:history="1">
        <w:r w:rsidRPr="00033A1D">
          <w:rPr>
            <w:rStyle w:val="Hyperlink"/>
            <w:lang w:val="nl-BE"/>
          </w:rPr>
          <w:t>https://doi.org/10.1016/j.biomaterials.2017.01.008</w:t>
        </w:r>
      </w:hyperlink>
    </w:p>
    <w:p w14:paraId="37091A95" w14:textId="77777777" w:rsidR="00033A1D" w:rsidRDefault="00033A1D" w:rsidP="00033A1D">
      <w:pPr>
        <w:pStyle w:val="isselectedend"/>
        <w:ind w:left="540" w:hanging="540"/>
        <w:jc w:val="both"/>
      </w:pPr>
      <w:r w:rsidRPr="00033A1D">
        <w:rPr>
          <w:lang w:val="nl-BE"/>
        </w:rPr>
        <w:t xml:space="preserve">Xue, S., Zhou, X., Sang, W., Wang, C., Lu, H., Xu, Y., Zhong, Y., Zhu, L., He, C., &amp; Ma, J. (2021). </w:t>
      </w:r>
      <w:r>
        <w:t xml:space="preserve">Cartilage-targeting peptide-modified dual-drug delivery nanoplatform with NIR laser response for osteoarthritis therapy. </w:t>
      </w:r>
      <w:r>
        <w:rPr>
          <w:rStyle w:val="Emphasis"/>
        </w:rPr>
        <w:t>Bioactive Materials, 6</w:t>
      </w:r>
      <w:r>
        <w:t xml:space="preserve">(8), 2372–2389. </w:t>
      </w:r>
      <w:hyperlink r:id="rId40" w:history="1">
        <w:r>
          <w:rPr>
            <w:rStyle w:val="Hyperlink"/>
          </w:rPr>
          <w:t>https://doi.org/10.1016/j.bioactmat.2021.01.017</w:t>
        </w:r>
      </w:hyperlink>
    </w:p>
    <w:p w14:paraId="734DA908" w14:textId="77777777" w:rsidR="00033A1D" w:rsidRDefault="00033A1D" w:rsidP="00033A1D">
      <w:pPr>
        <w:pStyle w:val="isselectedend"/>
        <w:ind w:left="540" w:hanging="540"/>
        <w:jc w:val="both"/>
      </w:pPr>
      <w:r w:rsidRPr="00033A1D">
        <w:rPr>
          <w:lang w:val="nl-BE"/>
        </w:rPr>
        <w:t xml:space="preserve">Yang, Y., Guo, L., Wang, Z., Liu, P., Liu, X., Ding, J., &amp; Zhou, W. (2021). </w:t>
      </w:r>
      <w:r>
        <w:t xml:space="preserve">Targeted silver nanoparticles for rheumatoid arthritis therapy via macrophage apoptosis and re-polarization. </w:t>
      </w:r>
      <w:r>
        <w:rPr>
          <w:rStyle w:val="Emphasis"/>
        </w:rPr>
        <w:t>Biomaterials, 264</w:t>
      </w:r>
      <w:r>
        <w:t xml:space="preserve">, 120390. </w:t>
      </w:r>
      <w:hyperlink r:id="rId41" w:history="1">
        <w:r>
          <w:rPr>
            <w:rStyle w:val="Hyperlink"/>
          </w:rPr>
          <w:t>https://doi.org/10.1016/j.biomaterials.2020.120390</w:t>
        </w:r>
      </w:hyperlink>
    </w:p>
    <w:p w14:paraId="055A8F1F" w14:textId="77777777" w:rsidR="00033A1D" w:rsidRDefault="00033A1D" w:rsidP="00033A1D">
      <w:pPr>
        <w:pStyle w:val="isselectedend"/>
        <w:ind w:left="540" w:hanging="540"/>
        <w:jc w:val="both"/>
      </w:pPr>
      <w:r>
        <w:t xml:space="preserve">Yang, L., Lin, Y., Zhang, L., He, Z., Li, J., Wang, Y., Li, C., Shuai, Z., Tan, X., Fu, S., Wang, C., Liu, Z., Du, X., Sun, X., &amp; Zhong, Z. (2026). Targeted delivery to joints of the rheumatoid arthritis drug </w:t>
      </w:r>
      <w:proofErr w:type="spellStart"/>
      <w:r>
        <w:t>betulin</w:t>
      </w:r>
      <w:proofErr w:type="spellEnd"/>
      <w:r>
        <w:t xml:space="preserve"> using folic acid-coated nanoparticles based on human serum albumin. </w:t>
      </w:r>
      <w:r>
        <w:rPr>
          <w:rStyle w:val="Emphasis"/>
        </w:rPr>
        <w:t>International Journal of Biological Macromolecules, 340</w:t>
      </w:r>
      <w:r>
        <w:t xml:space="preserve">(Pt 2), 150150. </w:t>
      </w:r>
      <w:hyperlink r:id="rId42" w:history="1">
        <w:r>
          <w:rPr>
            <w:rStyle w:val="Hyperlink"/>
          </w:rPr>
          <w:t>https://doi.org/10.1016/j.ijbiomac.2026.150150</w:t>
        </w:r>
      </w:hyperlink>
    </w:p>
    <w:p w14:paraId="7E314B6F" w14:textId="77777777" w:rsidR="00033A1D" w:rsidRDefault="00033A1D" w:rsidP="00033A1D">
      <w:pPr>
        <w:pStyle w:val="isselectedend"/>
        <w:ind w:left="540" w:hanging="540"/>
        <w:jc w:val="both"/>
      </w:pPr>
      <w:r>
        <w:t xml:space="preserve">Yi, G., Li, M., Zhou, J., Li, J., Song, X., Li, S., Liu, J., Zhang, H., &amp; Chen, Z. (2025). Novel pH-responsive lipid nanoparticles deliver UA-mediated mitophagy and ferroptosis for osteoarthritis treatment. </w:t>
      </w:r>
      <w:r>
        <w:rPr>
          <w:rStyle w:val="Emphasis"/>
        </w:rPr>
        <w:t>Materials Today Bio, 32</w:t>
      </w:r>
      <w:r>
        <w:t xml:space="preserve">, 101697. </w:t>
      </w:r>
      <w:hyperlink r:id="rId43" w:history="1">
        <w:r>
          <w:rPr>
            <w:rStyle w:val="Hyperlink"/>
          </w:rPr>
          <w:t>https://doi.org/10.1016/j.mtbio.2025.101697</w:t>
        </w:r>
      </w:hyperlink>
    </w:p>
    <w:p w14:paraId="4427E3D9" w14:textId="77777777" w:rsidR="00033A1D" w:rsidRDefault="00033A1D" w:rsidP="00033A1D">
      <w:pPr>
        <w:pStyle w:val="isselectedend"/>
        <w:ind w:left="540" w:hanging="540"/>
        <w:jc w:val="both"/>
      </w:pPr>
      <w:r>
        <w:t xml:space="preserve">Zha, D., Li, G., Jin, X., &amp; Zhang, X. (2026). Advancing arthritis therapy: The frontier of targeted and responsive nanomedicine. </w:t>
      </w:r>
      <w:r>
        <w:rPr>
          <w:rStyle w:val="Emphasis"/>
        </w:rPr>
        <w:t>International Journal of Nanomedicine, 21</w:t>
      </w:r>
      <w:r>
        <w:t xml:space="preserve">, 598968. </w:t>
      </w:r>
      <w:hyperlink r:id="rId44" w:history="1">
        <w:r>
          <w:rPr>
            <w:rStyle w:val="Hyperlink"/>
          </w:rPr>
          <w:t>https://doi.org/10.2147/IJN.S598968</w:t>
        </w:r>
      </w:hyperlink>
    </w:p>
    <w:p w14:paraId="495CE5DB" w14:textId="77777777" w:rsidR="00033A1D" w:rsidRDefault="00033A1D" w:rsidP="00033A1D">
      <w:pPr>
        <w:pStyle w:val="isselectedend"/>
        <w:ind w:left="540" w:hanging="540"/>
        <w:jc w:val="both"/>
      </w:pPr>
      <w:r>
        <w:t xml:space="preserve">Zhang, C., Pathrikar, T. V., Baby, H. M., Li, J., Zhang, H., </w:t>
      </w:r>
      <w:proofErr w:type="spellStart"/>
      <w:r>
        <w:t>Selvadoss</w:t>
      </w:r>
      <w:proofErr w:type="spellEnd"/>
      <w:r>
        <w:t xml:space="preserve">, A., Ovchinnikova, A., Ionescu, A., </w:t>
      </w:r>
      <w:proofErr w:type="spellStart"/>
      <w:r>
        <w:t>Chubinskaya</w:t>
      </w:r>
      <w:proofErr w:type="spellEnd"/>
      <w:r>
        <w:t xml:space="preserve">, S., Miller, R. E., &amp; Bajpayee, A. G. (2024). Charge-reversed exosomes for targeted gene delivery to cartilage for osteoarthritis treatment. </w:t>
      </w:r>
      <w:r>
        <w:rPr>
          <w:rStyle w:val="Emphasis"/>
        </w:rPr>
        <w:t>Small Methods, 8</w:t>
      </w:r>
      <w:r>
        <w:t xml:space="preserve">(9), e2301443. </w:t>
      </w:r>
      <w:hyperlink r:id="rId45" w:history="1">
        <w:r>
          <w:rPr>
            <w:rStyle w:val="Hyperlink"/>
          </w:rPr>
          <w:t>https://doi.org/10.1002/smtd.202301443</w:t>
        </w:r>
      </w:hyperlink>
    </w:p>
    <w:p w14:paraId="0BEADD3A" w14:textId="77777777" w:rsidR="00033A1D" w:rsidRDefault="00033A1D" w:rsidP="00033A1D">
      <w:pPr>
        <w:pStyle w:val="isselectedend"/>
        <w:ind w:left="540" w:hanging="540"/>
        <w:jc w:val="both"/>
      </w:pPr>
      <w:r>
        <w:t xml:space="preserve">Zhang, Y., Cheng, X., Tian, J., Liu, J., Teng, Y., Chen, J., Wu, Z., Ding, H., &amp; Zhang, Z. (2026). How selective are nanomaterials to treat osteoarthritis. </w:t>
      </w:r>
      <w:r>
        <w:rPr>
          <w:rStyle w:val="Emphasis"/>
        </w:rPr>
        <w:t>International Journal of Nanomedicine, 21</w:t>
      </w:r>
      <w:r>
        <w:t xml:space="preserve">, 601362. </w:t>
      </w:r>
      <w:hyperlink r:id="rId46" w:history="1">
        <w:r>
          <w:rPr>
            <w:rStyle w:val="Hyperlink"/>
          </w:rPr>
          <w:t>https://doi.org/10.2147/IJN.S601362</w:t>
        </w:r>
      </w:hyperlink>
    </w:p>
    <w:p w14:paraId="4C35A54E" w14:textId="77777777" w:rsidR="00033A1D" w:rsidRDefault="00033A1D" w:rsidP="00033A1D">
      <w:pPr>
        <w:pStyle w:val="isselectedend"/>
        <w:ind w:left="540" w:hanging="540"/>
        <w:jc w:val="both"/>
      </w:pPr>
      <w:r>
        <w:t xml:space="preserve">Zhou, M., Hou, J., Zhong, Z., Hao, N., Lin, Y., &amp; Li, C. (2018). Targeted delivery of hyaluronic acid-coated solid lipid nanoparticles for rheumatoid arthritis therapy. </w:t>
      </w:r>
      <w:r>
        <w:rPr>
          <w:rStyle w:val="Emphasis"/>
        </w:rPr>
        <w:t>Drug Delivery, 25</w:t>
      </w:r>
      <w:r>
        <w:t xml:space="preserve">(1), 716–722. </w:t>
      </w:r>
      <w:hyperlink r:id="rId47" w:history="1">
        <w:r>
          <w:rPr>
            <w:rStyle w:val="Hyperlink"/>
          </w:rPr>
          <w:t>https://doi.org/10.1080/10717544.2018.1447050</w:t>
        </w:r>
      </w:hyperlink>
    </w:p>
    <w:p w14:paraId="411373C2" w14:textId="77777777" w:rsidR="00033A1D" w:rsidRDefault="00033A1D" w:rsidP="00033A1D">
      <w:pPr>
        <w:pStyle w:val="isselectedend"/>
        <w:ind w:left="540" w:hanging="540"/>
        <w:jc w:val="both"/>
      </w:pPr>
      <w:r>
        <w:t xml:space="preserve">Zhou, D., Wei, Y., Sheng, S., Wang, M., </w:t>
      </w:r>
      <w:proofErr w:type="spellStart"/>
      <w:r>
        <w:t>Lv</w:t>
      </w:r>
      <w:proofErr w:type="spellEnd"/>
      <w:r>
        <w:t xml:space="preserve">, J., Zhao, B., Chen, X., Xu, K., Bai, L., Wu, Y., Song, P., Cao, L., Zhou, F., Zhang, H., Shi, Z., &amp; Su, J. (2024). MMP13-targeted siRNA-loaded micelles for diagnosis and treatment of posttraumatic osteoarthritis. </w:t>
      </w:r>
      <w:r>
        <w:rPr>
          <w:rStyle w:val="Emphasis"/>
        </w:rPr>
        <w:t>Bioactive Materials, 37</w:t>
      </w:r>
      <w:r>
        <w:t xml:space="preserve">, 378–392. </w:t>
      </w:r>
      <w:hyperlink r:id="rId48" w:history="1">
        <w:r>
          <w:rPr>
            <w:rStyle w:val="Hyperlink"/>
          </w:rPr>
          <w:t>https://doi.org/10.1016/j.bioactmat.2024.04.010</w:t>
        </w:r>
      </w:hyperlink>
    </w:p>
    <w:p w14:paraId="224CABD3" w14:textId="77777777" w:rsidR="00033A1D" w:rsidRPr="00033A1D" w:rsidRDefault="00033A1D" w:rsidP="00033A1D">
      <w:pPr>
        <w:pStyle w:val="isselectedend"/>
        <w:ind w:left="540" w:hanging="540"/>
        <w:jc w:val="both"/>
        <w:rPr>
          <w:lang w:val="nl-BE"/>
        </w:rPr>
      </w:pPr>
      <w:r>
        <w:t xml:space="preserve">Zhou, J., Wang, G., Zhou, Y., Lin, X., Zhao, Z., Xue, Y., An, Y., Shao, H., Wang, Y., Hou, S., Wang, L., &amp; Fan, Y. (2025). Bioinspired lipid nanoparticles with prolonged cartilage retention boost regeneration in early osteoarthritis and large cartilage defects. </w:t>
      </w:r>
      <w:r w:rsidRPr="00033A1D">
        <w:rPr>
          <w:rStyle w:val="Emphasis"/>
          <w:lang w:val="nl-BE"/>
        </w:rPr>
        <w:t>ACS Nano, 19</w:t>
      </w:r>
      <w:r w:rsidRPr="00033A1D">
        <w:rPr>
          <w:lang w:val="nl-BE"/>
        </w:rPr>
        <w:t xml:space="preserve">(14), 13654–13672. </w:t>
      </w:r>
      <w:hyperlink r:id="rId49" w:history="1">
        <w:r w:rsidRPr="00033A1D">
          <w:rPr>
            <w:rStyle w:val="Hyperlink"/>
            <w:lang w:val="nl-BE"/>
          </w:rPr>
          <w:t>https://doi.org/10.1021/acsnano.4c13828</w:t>
        </w:r>
      </w:hyperlink>
    </w:p>
    <w:p w14:paraId="72688907" w14:textId="77777777" w:rsidR="00033A1D" w:rsidRDefault="00033A1D" w:rsidP="00033A1D">
      <w:pPr>
        <w:pStyle w:val="isselectedend"/>
        <w:ind w:left="540" w:hanging="540"/>
        <w:jc w:val="both"/>
      </w:pPr>
      <w:r w:rsidRPr="00033A1D">
        <w:rPr>
          <w:lang w:val="nl-BE"/>
        </w:rPr>
        <w:lastRenderedPageBreak/>
        <w:t xml:space="preserve">Zhu, C., Zhang, Z., Wen, Y., Song, X., Zhu, J., Yao, Y., &amp; Li, J. (2023). </w:t>
      </w:r>
      <w:r>
        <w:t xml:space="preserve">Cationic micelles as nanocarriers for enhancing intra-cartilage drug penetration and retention. </w:t>
      </w:r>
      <w:r>
        <w:rPr>
          <w:rStyle w:val="Emphasis"/>
        </w:rPr>
        <w:t>Journal of Materials Chemistry B, 11</w:t>
      </w:r>
      <w:r>
        <w:t xml:space="preserve">(8), 1670–1683. </w:t>
      </w:r>
      <w:hyperlink r:id="rId50" w:history="1">
        <w:r>
          <w:rPr>
            <w:rStyle w:val="Hyperlink"/>
          </w:rPr>
          <w:t>https://doi.org/10.1039/D2TB02050E</w:t>
        </w:r>
      </w:hyperlink>
    </w:p>
    <w:p w14:paraId="2F5DC768" w14:textId="77777777" w:rsidR="00033A1D" w:rsidRDefault="00033A1D" w:rsidP="00033A1D">
      <w:pPr>
        <w:pStyle w:val="NormalWeb"/>
        <w:ind w:left="540" w:hanging="540"/>
        <w:jc w:val="both"/>
      </w:pPr>
      <w:r>
        <w:t xml:space="preserve">Zhuang, H., Ren, X., Li, H., Zhang, Y., &amp; Zhou, P. (2024). Cartilage-targeting peptide-modified cerium oxide nanoparticles alleviate oxidative stress and cartilage damage in osteoarthritis. </w:t>
      </w:r>
      <w:r>
        <w:rPr>
          <w:rStyle w:val="Emphasis"/>
        </w:rPr>
        <w:t>Journal of Nanobiotechnology, 22</w:t>
      </w:r>
      <w:r>
        <w:t xml:space="preserve">(1), 784. </w:t>
      </w:r>
      <w:hyperlink r:id="rId51" w:history="1">
        <w:r>
          <w:rPr>
            <w:rStyle w:val="Hyperlink"/>
          </w:rPr>
          <w:t>https://doi.org/10.1186/s12951-024-03068-1</w:t>
        </w:r>
      </w:hyperlink>
    </w:p>
    <w:p w14:paraId="45471685" w14:textId="26DFDFFA" w:rsidR="00C30954" w:rsidRPr="00282A23" w:rsidRDefault="00C30954" w:rsidP="00033A1D">
      <w:pPr>
        <w:spacing w:after="80" w:line="240" w:lineRule="auto"/>
        <w:ind w:left="360" w:hanging="360"/>
        <w:jc w:val="both"/>
      </w:pPr>
    </w:p>
    <w:sectPr w:rsidR="00C30954" w:rsidRPr="00282A23" w:rsidSect="00034616">
      <w:headerReference w:type="even" r:id="rId52"/>
      <w:headerReference w:type="default" r:id="rId53"/>
      <w:footerReference w:type="even" r:id="rId54"/>
      <w:footerReference w:type="default" r:id="rId55"/>
      <w:headerReference w:type="first" r:id="rId56"/>
      <w:footerReference w:type="first" r:id="rId57"/>
      <w:pgSz w:w="12240" w:h="15840"/>
      <w:pgMar w:top="1080" w:right="1037" w:bottom="1080"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1851D" w14:textId="77777777" w:rsidR="006305BF" w:rsidRDefault="006305BF" w:rsidP="00F23769">
      <w:pPr>
        <w:spacing w:after="0" w:line="240" w:lineRule="auto"/>
      </w:pPr>
      <w:r>
        <w:separator/>
      </w:r>
    </w:p>
  </w:endnote>
  <w:endnote w:type="continuationSeparator" w:id="0">
    <w:p w14:paraId="12085993" w14:textId="77777777" w:rsidR="006305BF" w:rsidRDefault="006305BF" w:rsidP="00F23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F365F" w14:textId="77777777" w:rsidR="00F23769" w:rsidRDefault="00F23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995F" w14:textId="77777777" w:rsidR="00F23769" w:rsidRDefault="00F237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AEF9E" w14:textId="77777777" w:rsidR="00F23769" w:rsidRDefault="00F23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10DAB" w14:textId="77777777" w:rsidR="006305BF" w:rsidRDefault="006305BF" w:rsidP="00F23769">
      <w:pPr>
        <w:spacing w:after="0" w:line="240" w:lineRule="auto"/>
      </w:pPr>
      <w:r>
        <w:separator/>
      </w:r>
    </w:p>
  </w:footnote>
  <w:footnote w:type="continuationSeparator" w:id="0">
    <w:p w14:paraId="6DF0069E" w14:textId="77777777" w:rsidR="006305BF" w:rsidRDefault="006305BF" w:rsidP="00F237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6833" w14:textId="77777777" w:rsidR="00F23769" w:rsidRDefault="00000000">
    <w:pPr>
      <w:pStyle w:val="Header"/>
    </w:pPr>
    <w:r>
      <w:rPr>
        <w:noProof/>
      </w:rPr>
      <w:pict w14:anchorId="227C67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394610" o:spid="_x0000_s1026" type="#_x0000_t136" style="position:absolute;margin-left:0;margin-top:0;width:645pt;height:71.6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790E" w14:textId="77777777" w:rsidR="00F23769" w:rsidRDefault="00000000">
    <w:pPr>
      <w:pStyle w:val="Header"/>
    </w:pPr>
    <w:r>
      <w:rPr>
        <w:noProof/>
      </w:rPr>
      <w:pict w14:anchorId="42E4EB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394611" o:spid="_x0000_s1027" type="#_x0000_t136" style="position:absolute;margin-left:0;margin-top:0;width:645pt;height:71.6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F4E30" w14:textId="77777777" w:rsidR="00F23769" w:rsidRDefault="00000000">
    <w:pPr>
      <w:pStyle w:val="Header"/>
    </w:pPr>
    <w:r>
      <w:rPr>
        <w:noProof/>
      </w:rPr>
      <w:pict w14:anchorId="6B0CCF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394609" o:spid="_x0000_s1025" type="#_x0000_t136" style="position:absolute;margin-left:0;margin-top:0;width:645pt;height:71.6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8649470">
    <w:abstractNumId w:val="8"/>
  </w:num>
  <w:num w:numId="2" w16cid:durableId="1672948561">
    <w:abstractNumId w:val="6"/>
  </w:num>
  <w:num w:numId="3" w16cid:durableId="1455634767">
    <w:abstractNumId w:val="5"/>
  </w:num>
  <w:num w:numId="4" w16cid:durableId="1232425799">
    <w:abstractNumId w:val="4"/>
  </w:num>
  <w:num w:numId="5" w16cid:durableId="1780100825">
    <w:abstractNumId w:val="7"/>
  </w:num>
  <w:num w:numId="6" w16cid:durableId="103769201">
    <w:abstractNumId w:val="3"/>
  </w:num>
  <w:num w:numId="7" w16cid:durableId="339819103">
    <w:abstractNumId w:val="2"/>
  </w:num>
  <w:num w:numId="8" w16cid:durableId="1091313256">
    <w:abstractNumId w:val="1"/>
  </w:num>
  <w:num w:numId="9" w16cid:durableId="2000190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wMjAwMLMwMTA3MzFU0lEKTi0uzszPAykwrAUAqxg99iwAAAA="/>
  </w:docVars>
  <w:rsids>
    <w:rsidRoot w:val="00B47730"/>
    <w:rsid w:val="00033A1D"/>
    <w:rsid w:val="00034616"/>
    <w:rsid w:val="0006063C"/>
    <w:rsid w:val="000659A3"/>
    <w:rsid w:val="0015074B"/>
    <w:rsid w:val="0022215D"/>
    <w:rsid w:val="00282A23"/>
    <w:rsid w:val="0029639D"/>
    <w:rsid w:val="00326F90"/>
    <w:rsid w:val="0038725B"/>
    <w:rsid w:val="00471013"/>
    <w:rsid w:val="006305BF"/>
    <w:rsid w:val="0073580C"/>
    <w:rsid w:val="008358C0"/>
    <w:rsid w:val="00A1303F"/>
    <w:rsid w:val="00AA1D8D"/>
    <w:rsid w:val="00B47730"/>
    <w:rsid w:val="00B63C1C"/>
    <w:rsid w:val="00C30954"/>
    <w:rsid w:val="00CB0664"/>
    <w:rsid w:val="00CE040B"/>
    <w:rsid w:val="00EA4075"/>
    <w:rsid w:val="00F237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E8ED8A"/>
  <w14:defaultImageDpi w14:val="300"/>
  <w15:docId w15:val="{3E04ED8E-543D-4CB8-AF00-E94A4FD92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27"/>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jc w:val="both"/>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033A1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033A1D"/>
    <w:rPr>
      <w:color w:val="0000FF"/>
      <w:u w:val="single"/>
    </w:rPr>
  </w:style>
  <w:style w:type="paragraph" w:styleId="NormalWeb">
    <w:name w:val="Normal (Web)"/>
    <w:basedOn w:val="Normal"/>
    <w:uiPriority w:val="99"/>
    <w:semiHidden/>
    <w:unhideWhenUsed/>
    <w:rsid w:val="00033A1D"/>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147/IJN.S428938" TargetMode="External"/><Relationship Id="rId18" Type="http://schemas.openxmlformats.org/officeDocument/2006/relationships/hyperlink" Target="https://doi.org/10.2147/IJN.S618790" TargetMode="External"/><Relationship Id="rId26" Type="http://schemas.openxmlformats.org/officeDocument/2006/relationships/hyperlink" Target="https://doi.org/10.1002/art.11140" TargetMode="External"/><Relationship Id="rId39" Type="http://schemas.openxmlformats.org/officeDocument/2006/relationships/hyperlink" Target="https://doi.org/10.1016/j.biomaterials.2017.01.008" TargetMode="External"/><Relationship Id="rId21" Type="http://schemas.openxmlformats.org/officeDocument/2006/relationships/hyperlink" Target="https://doi.org/10.1016/j.ejpb.2019.06.009" TargetMode="External"/><Relationship Id="rId34" Type="http://schemas.openxmlformats.org/officeDocument/2006/relationships/hyperlink" Target="https://doi.org/10.1016/j.jconrel.2025.113919" TargetMode="External"/><Relationship Id="rId42" Type="http://schemas.openxmlformats.org/officeDocument/2006/relationships/hyperlink" Target="https://doi.org/10.1016/j.ijbiomac.2026.150150" TargetMode="External"/><Relationship Id="rId47" Type="http://schemas.openxmlformats.org/officeDocument/2006/relationships/hyperlink" Target="https://doi.org/10.1080/10717544.2018.1447050" TargetMode="External"/><Relationship Id="rId50" Type="http://schemas.openxmlformats.org/officeDocument/2006/relationships/hyperlink" Target="https://doi.org/10.1039/D2TB02050E"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21/acsabm.0c00242" TargetMode="External"/><Relationship Id="rId29" Type="http://schemas.openxmlformats.org/officeDocument/2006/relationships/hyperlink" Target="https://doi.org/10.1016/j.ijpharm.2024.124843" TargetMode="External"/><Relationship Id="rId11" Type="http://schemas.openxmlformats.org/officeDocument/2006/relationships/hyperlink" Target="https://doi.org/10.1038/s41551-021-00780-3" TargetMode="External"/><Relationship Id="rId24" Type="http://schemas.openxmlformats.org/officeDocument/2006/relationships/hyperlink" Target="https://doi.org/10.1016/j.jconrel.2024.08.031" TargetMode="External"/><Relationship Id="rId32" Type="http://schemas.openxmlformats.org/officeDocument/2006/relationships/hyperlink" Target="https://doi.org/10.1038/nmat2116" TargetMode="External"/><Relationship Id="rId37" Type="http://schemas.openxmlformats.org/officeDocument/2006/relationships/hyperlink" Target="https://doi.org/10.1002/art.30459" TargetMode="External"/><Relationship Id="rId40" Type="http://schemas.openxmlformats.org/officeDocument/2006/relationships/hyperlink" Target="https://doi.org/10.1016/j.bioactmat.2021.01.017" TargetMode="External"/><Relationship Id="rId45" Type="http://schemas.openxmlformats.org/officeDocument/2006/relationships/hyperlink" Target="https://doi.org/10.1002/smtd.202301443"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doi.org/10.1002/advs.202502661" TargetMode="External"/><Relationship Id="rId4" Type="http://schemas.openxmlformats.org/officeDocument/2006/relationships/settings" Target="settings.xml"/><Relationship Id="rId9" Type="http://schemas.openxmlformats.org/officeDocument/2006/relationships/hyperlink" Target="https://doi.org/10.1016/j.biomaterials.2013.09.091" TargetMode="External"/><Relationship Id="rId14" Type="http://schemas.openxmlformats.org/officeDocument/2006/relationships/hyperlink" Target="https://doi.org/10.1016/S0140-6736(23)01525-8" TargetMode="External"/><Relationship Id="rId22" Type="http://schemas.openxmlformats.org/officeDocument/2006/relationships/hyperlink" Target="https://doi.org/10.1001/jama.2020.22171" TargetMode="External"/><Relationship Id="rId27" Type="http://schemas.openxmlformats.org/officeDocument/2006/relationships/hyperlink" Target="https://doi.org/10.1136/ard.2003.009944" TargetMode="External"/><Relationship Id="rId30" Type="http://schemas.openxmlformats.org/officeDocument/2006/relationships/hyperlink" Target="https://doi.org/10.1016/j.joca.2025.02.785" TargetMode="External"/><Relationship Id="rId35" Type="http://schemas.openxmlformats.org/officeDocument/2006/relationships/hyperlink" Target="https://doi.org/10.1016/j.isci.2026.115163" TargetMode="External"/><Relationship Id="rId43" Type="http://schemas.openxmlformats.org/officeDocument/2006/relationships/hyperlink" Target="https://doi.org/10.1016/j.mtbio.2025.101697" TargetMode="External"/><Relationship Id="rId48" Type="http://schemas.openxmlformats.org/officeDocument/2006/relationships/hyperlink" Target="https://doi.org/10.1016/j.bioactmat.2024.04.010" TargetMode="External"/><Relationship Id="rId56" Type="http://schemas.openxmlformats.org/officeDocument/2006/relationships/header" Target="header3.xml"/><Relationship Id="rId8" Type="http://schemas.openxmlformats.org/officeDocument/2006/relationships/hyperlink" Target="https://doi.org/10.1186/s41073-019-0064-8" TargetMode="External"/><Relationship Id="rId51" Type="http://schemas.openxmlformats.org/officeDocument/2006/relationships/hyperlink" Target="https://doi.org/10.1186/s12951-024-03068-1" TargetMode="External"/><Relationship Id="rId3" Type="http://schemas.openxmlformats.org/officeDocument/2006/relationships/styles" Target="styles.xml"/><Relationship Id="rId12" Type="http://schemas.openxmlformats.org/officeDocument/2006/relationships/hyperlink" Target="https://doi.org/10.1016/j.joca.2025.04.001" TargetMode="External"/><Relationship Id="rId17" Type="http://schemas.openxmlformats.org/officeDocument/2006/relationships/hyperlink" Target="https://doi.org/10.1016/j.joca.2022.09.010" TargetMode="External"/><Relationship Id="rId25" Type="http://schemas.openxmlformats.org/officeDocument/2006/relationships/hyperlink" Target="https://doi.org/10.1016/j.jconrel.2018.08.007" TargetMode="External"/><Relationship Id="rId33" Type="http://schemas.openxmlformats.org/officeDocument/2006/relationships/hyperlink" Target="https://doi.org/10.1016/j.bioadv.2024.214120" TargetMode="External"/><Relationship Id="rId38" Type="http://schemas.openxmlformats.org/officeDocument/2006/relationships/hyperlink" Target="https://doi.org/10.1016/j.jconrel.2016.03.035" TargetMode="External"/><Relationship Id="rId46" Type="http://schemas.openxmlformats.org/officeDocument/2006/relationships/hyperlink" Target="https://doi.org/10.2147/IJN.S601362" TargetMode="External"/><Relationship Id="rId59" Type="http://schemas.openxmlformats.org/officeDocument/2006/relationships/theme" Target="theme/theme1.xml"/><Relationship Id="rId20" Type="http://schemas.openxmlformats.org/officeDocument/2006/relationships/hyperlink" Target="https://doi.org/10.1016/S0140-6736(19)30417-9" TargetMode="External"/><Relationship Id="rId41" Type="http://schemas.openxmlformats.org/officeDocument/2006/relationships/hyperlink" Target="https://doi.org/10.1016/j.biomaterials.2020.120390"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80/10717544.2025.2459772" TargetMode="External"/><Relationship Id="rId23" Type="http://schemas.openxmlformats.org/officeDocument/2006/relationships/hyperlink" Target="https://doi.org/10.1186/s12951-025-03103-9" TargetMode="External"/><Relationship Id="rId28" Type="http://schemas.openxmlformats.org/officeDocument/2006/relationships/hyperlink" Target="https://doi.org/10.1016/j.jconrel.2021.12.007" TargetMode="External"/><Relationship Id="rId36" Type="http://schemas.openxmlformats.org/officeDocument/2006/relationships/hyperlink" Target="https://doi.org/10.1016/j.jconrel.2012.05.004" TargetMode="External"/><Relationship Id="rId49" Type="http://schemas.openxmlformats.org/officeDocument/2006/relationships/hyperlink" Target="https://doi.org/10.1021/acsnano.4c13828" TargetMode="External"/><Relationship Id="rId57" Type="http://schemas.openxmlformats.org/officeDocument/2006/relationships/footer" Target="footer3.xml"/><Relationship Id="rId10" Type="http://schemas.openxmlformats.org/officeDocument/2006/relationships/hyperlink" Target="https://doi.org/10.1002/1529-0131%28200009%2943%3A9%3C1951%3A%3AAID-ANR5%3E3.0.CO%3B2-K" TargetMode="External"/><Relationship Id="rId31" Type="http://schemas.openxmlformats.org/officeDocument/2006/relationships/hyperlink" Target="https://doi.org/10.1016/j.mtbio.2025.102074" TargetMode="External"/><Relationship Id="rId44" Type="http://schemas.openxmlformats.org/officeDocument/2006/relationships/hyperlink" Target="https://doi.org/10.2147/IJN.S598968" TargetMode="External"/><Relationship Id="rId5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13753</Words>
  <Characters>78396</Characters>
  <Application>Microsoft Office Word</Application>
  <DocSecurity>0</DocSecurity>
  <Lines>653</Lines>
  <Paragraphs>183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Nanoparticle-Mediated Targeting of the Arthritic Joint: A Critical Narrative Review of Drug Delivery and Molecular Therapy</dc:title>
  <dc:subject>Critical narrative review of nanoparticle-mediated targeting in rheumatoid arthritis and osteoarthritis</dc:subject>
  <dc:creator/>
  <cp:keywords>arthritis nanomedicine; cartilage targeting; drug delivery systems; intra-articular delivery; lipid nanoparticles; rheumatoid arthritis; RNA therapeutics</cp:keywords>
  <dc:description/>
  <cp:lastModifiedBy>Editor-90</cp:lastModifiedBy>
  <cp:revision>6</cp:revision>
  <dcterms:created xsi:type="dcterms:W3CDTF">2013-12-23T23:15:00Z</dcterms:created>
  <dcterms:modified xsi:type="dcterms:W3CDTF">2026-08-26T04:10:00Z</dcterms:modified>
  <cp:category/>
</cp:coreProperties>
</file>