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D09FE" w14:textId="77777777" w:rsidR="00274E5D" w:rsidRPr="00274E5D" w:rsidRDefault="00274E5D" w:rsidP="00274E5D">
      <w:pPr>
        <w:spacing w:after="160"/>
        <w:jc w:val="center"/>
        <w:rPr>
          <w:b/>
          <w:bCs/>
          <w:i/>
          <w:iCs/>
          <w:sz w:val="28"/>
          <w:szCs w:val="28"/>
          <w:u w:val="single"/>
          <w:lang w:val="en-US"/>
        </w:rPr>
      </w:pPr>
      <w:r>
        <w:rPr>
          <w:b/>
          <w:bCs/>
          <w:i/>
          <w:iCs/>
          <w:sz w:val="28"/>
          <w:szCs w:val="28"/>
          <w:u w:val="single"/>
          <w:lang w:val="en-US"/>
        </w:rPr>
        <w:t>Original Research Article</w:t>
      </w:r>
    </w:p>
    <w:p w14:paraId="7C054583" w14:textId="77777777" w:rsidR="00B45B5B" w:rsidRPr="00627298" w:rsidRDefault="005146C7">
      <w:pPr>
        <w:spacing w:after="160"/>
        <w:jc w:val="center"/>
        <w:rPr>
          <w:lang w:val="en-US"/>
        </w:rPr>
      </w:pPr>
      <w:r>
        <w:rPr>
          <w:b/>
          <w:bCs/>
          <w:sz w:val="28"/>
          <w:szCs w:val="28"/>
          <w:lang w:val="en-US"/>
        </w:rPr>
        <w:t>Quality of Life in Hair Disorders: A Prospective Study Using a Validated Dermatology-Specific Questionnaire</w:t>
      </w:r>
    </w:p>
    <w:p w14:paraId="7148B689" w14:textId="77777777" w:rsidR="002E3E49" w:rsidRDefault="002E3E49">
      <w:pPr>
        <w:spacing w:before="240" w:after="120"/>
        <w:rPr>
          <w:b/>
          <w:bCs/>
          <w:sz w:val="22"/>
          <w:szCs w:val="22"/>
        </w:rPr>
      </w:pPr>
    </w:p>
    <w:p w14:paraId="0D8FA108" w14:textId="77777777" w:rsidR="00B45B5B" w:rsidRDefault="005146C7">
      <w:pPr>
        <w:spacing w:before="240" w:after="120"/>
      </w:pPr>
      <w:r>
        <w:rPr>
          <w:b/>
          <w:bCs/>
          <w:sz w:val="22"/>
          <w:szCs w:val="22"/>
        </w:rPr>
        <w:t>ABSTRACT</w:t>
      </w:r>
    </w:p>
    <w:tbl>
      <w:tblPr>
        <w:tblW w:w="9360" w:type="dxa"/>
        <w:tblBorders>
          <w:top w:val="single" w:sz="6" w:space="0" w:color="808080"/>
          <w:left w:val="single" w:sz="6" w:space="0" w:color="808080"/>
          <w:bottom w:val="single" w:sz="6" w:space="0" w:color="808080"/>
          <w:right w:val="single" w:sz="6" w:space="0" w:color="808080"/>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B45B5B" w:rsidRPr="001B48F5" w14:paraId="497ACD10" w14:textId="77777777">
        <w:tc>
          <w:tcPr>
            <w:tcW w:w="9360" w:type="dxa"/>
            <w:tcMar>
              <w:top w:w="120" w:type="dxa"/>
              <w:left w:w="160" w:type="dxa"/>
              <w:bottom w:w="120" w:type="dxa"/>
              <w:right w:w="160" w:type="dxa"/>
            </w:tcMar>
          </w:tcPr>
          <w:p w14:paraId="5A215BBD" w14:textId="0E3E8323" w:rsidR="00B45B5B" w:rsidRPr="001B48F5" w:rsidRDefault="005146C7">
            <w:pPr>
              <w:spacing w:after="90" w:line="252" w:lineRule="auto"/>
              <w:jc w:val="both"/>
              <w:rPr>
                <w:lang w:val="en-US"/>
              </w:rPr>
            </w:pPr>
            <w:r>
              <w:rPr>
                <w:b/>
                <w:bCs/>
                <w:lang w:val="en-US"/>
              </w:rPr>
              <w:t xml:space="preserve">Aims: </w:t>
            </w:r>
            <w:r w:rsidR="00AD6113" w:rsidRPr="00F843F1">
              <w:rPr>
                <w:lang w:val="en-US"/>
              </w:rPr>
              <w:t>The study aims t</w:t>
            </w:r>
            <w:r w:rsidRPr="00F843F1">
              <w:rPr>
                <w:lang w:val="en-US"/>
              </w:rPr>
              <w:t>o</w:t>
            </w:r>
            <w:r>
              <w:rPr>
                <w:lang w:val="en-US"/>
              </w:rPr>
              <w:t xml:space="preserve"> evaluate the impact of a wide spectrum of hair disorders on quality of life (QoL), to identify the epidemiological and clinical factors associated with greater impairment, and to assess the change in QoL after six months of treatment.</w:t>
            </w:r>
          </w:p>
          <w:p w14:paraId="4CC94577" w14:textId="77777777" w:rsidR="00B45B5B" w:rsidRPr="001B48F5" w:rsidRDefault="005146C7">
            <w:pPr>
              <w:spacing w:after="90" w:line="252" w:lineRule="auto"/>
              <w:jc w:val="both"/>
              <w:rPr>
                <w:lang w:val="en-US"/>
              </w:rPr>
            </w:pPr>
            <w:r>
              <w:rPr>
                <w:b/>
                <w:bCs/>
                <w:lang w:val="en-US"/>
              </w:rPr>
              <w:t xml:space="preserve">Study design: </w:t>
            </w:r>
            <w:r>
              <w:rPr>
                <w:lang w:val="en-US"/>
              </w:rPr>
              <w:t>Prospective, observational, analytical study with longitudinal follow-up.</w:t>
            </w:r>
          </w:p>
          <w:p w14:paraId="607ABDF8" w14:textId="77777777" w:rsidR="00B45B5B" w:rsidRPr="00627298" w:rsidRDefault="005146C7">
            <w:pPr>
              <w:spacing w:after="90" w:line="252" w:lineRule="auto"/>
              <w:jc w:val="both"/>
              <w:rPr>
                <w:lang w:val="en-US"/>
              </w:rPr>
            </w:pPr>
            <w:r>
              <w:rPr>
                <w:b/>
                <w:bCs/>
                <w:lang w:val="en-US"/>
              </w:rPr>
              <w:t xml:space="preserve">Place and Duration of Study: </w:t>
            </w:r>
            <w:r>
              <w:rPr>
                <w:lang w:val="en-US"/>
              </w:rPr>
              <w:t>Dermatology Department, Ibn Sina University Hospital Center, Rabat, Morocco, over a 10-month period (October 2023 to July 2024).</w:t>
            </w:r>
          </w:p>
          <w:p w14:paraId="5FD6C7D5" w14:textId="77777777" w:rsidR="00B45B5B" w:rsidRPr="00627298" w:rsidRDefault="005146C7">
            <w:pPr>
              <w:spacing w:after="90" w:line="252" w:lineRule="auto"/>
              <w:jc w:val="both"/>
              <w:rPr>
                <w:lang w:val="en-US"/>
              </w:rPr>
            </w:pPr>
            <w:r>
              <w:rPr>
                <w:b/>
                <w:bCs/>
                <w:lang w:val="en-US"/>
              </w:rPr>
              <w:t xml:space="preserve">Methodology: </w:t>
            </w:r>
            <w:r>
              <w:rPr>
                <w:lang w:val="en-US"/>
              </w:rPr>
              <w:t xml:space="preserve">Consecutive adult patients presenting with a hair disorder completed a validated dialectal Arabic version of the Dermatology Life Quality Index (DLQI). Pregnant or breastfeeding women, patients receiving chemotherapy and patients with a known psychiatric disorder were excluded. Age, sex, marital status, educational level, place of residence, disease duration and consultation delay were recorded, </w:t>
            </w:r>
            <w:r>
              <w:rPr>
                <w:highlight w:val="yellow"/>
                <w:lang w:val="en-US"/>
              </w:rPr>
              <w:t>and the DLQI assessment was repeated</w:t>
            </w:r>
            <w:r>
              <w:rPr>
                <w:lang w:val="en-US"/>
              </w:rPr>
              <w:t xml:space="preserve"> after six months of treatment.</w:t>
            </w:r>
          </w:p>
          <w:p w14:paraId="4DBD1011" w14:textId="77777777" w:rsidR="00B45B5B" w:rsidRPr="001B48F5" w:rsidRDefault="005146C7">
            <w:pPr>
              <w:spacing w:after="90" w:line="252" w:lineRule="auto"/>
              <w:jc w:val="both"/>
              <w:rPr>
                <w:lang w:val="en-US"/>
              </w:rPr>
            </w:pPr>
            <w:r>
              <w:rPr>
                <w:b/>
                <w:bCs/>
                <w:lang w:val="en-US"/>
              </w:rPr>
              <w:t xml:space="preserve">Results: </w:t>
            </w:r>
            <w:r>
              <w:rPr>
                <w:lang w:val="en-US"/>
              </w:rPr>
              <w:t>A total of 318 patients were included (median age 43 years, range 18–85), with a marked female predominance (81.8%). The median delay before the first consultation was 24 months, and only 12.9% of patients presented within the first six months. Frontal fibrosing alopecia was the most frequent diagnosis, followed by androgenetic alopecia and alopecia areata. The mean DLQI score was 9.54 (moderate impact), and 36.5% of patients reported a severe impact. The highest scores were recorded in folliculitis decalvans and the lowest in benign scalp tumours; aesthetic concern was the most affected domain. Higher DLQI scores were significantly associated with age under 30 years (</w:t>
            </w:r>
            <w:r>
              <w:rPr>
                <w:i/>
                <w:iCs/>
                <w:lang w:val="en-US"/>
              </w:rPr>
              <w:t>P</w:t>
            </w:r>
            <w:r>
              <w:rPr>
                <w:lang w:val="en-US"/>
              </w:rPr>
              <w:t xml:space="preserve"> = .04), rural residence (</w:t>
            </w:r>
            <w:r>
              <w:rPr>
                <w:i/>
                <w:iCs/>
                <w:lang w:val="en-US"/>
              </w:rPr>
              <w:t>P</w:t>
            </w:r>
            <w:r>
              <w:rPr>
                <w:lang w:val="en-US"/>
              </w:rPr>
              <w:t xml:space="preserve"> = .04) and single marital status (</w:t>
            </w:r>
            <w:r>
              <w:rPr>
                <w:i/>
                <w:iCs/>
                <w:lang w:val="en-US"/>
              </w:rPr>
              <w:t>P</w:t>
            </w:r>
            <w:r>
              <w:rPr>
                <w:lang w:val="en-US"/>
              </w:rPr>
              <w:t xml:space="preserve"> &lt; .001), whereas presentation within the first six months was associated with lower scores (</w:t>
            </w:r>
            <w:r>
              <w:rPr>
                <w:i/>
                <w:iCs/>
                <w:lang w:val="en-US"/>
              </w:rPr>
              <w:t>P</w:t>
            </w:r>
            <w:r>
              <w:rPr>
                <w:lang w:val="en-US"/>
              </w:rPr>
              <w:t xml:space="preserve"> &lt; .01). No significant association was found with sex, disease duration or educational level. After six months of treatment, </w:t>
            </w:r>
            <w:r>
              <w:rPr>
                <w:highlight w:val="yellow"/>
                <w:lang w:val="en-US"/>
              </w:rPr>
              <w:t>the mean DLQI score improved significantly</w:t>
            </w:r>
            <w:r>
              <w:rPr>
                <w:lang w:val="en-US"/>
              </w:rPr>
              <w:t xml:space="preserve"> (</w:t>
            </w:r>
            <w:r>
              <w:rPr>
                <w:i/>
                <w:iCs/>
                <w:lang w:val="en-US"/>
              </w:rPr>
              <w:t>P</w:t>
            </w:r>
            <w:r>
              <w:rPr>
                <w:lang w:val="en-US"/>
              </w:rPr>
              <w:t xml:space="preserve"> &lt; .001), with comparable benefit across frontal fibrosing alopecia, androgenetic alopecia and alopecia areata.</w:t>
            </w:r>
          </w:p>
          <w:p w14:paraId="691E4646" w14:textId="77777777" w:rsidR="00B45B5B" w:rsidRPr="001B48F5" w:rsidRDefault="005146C7">
            <w:pPr>
              <w:spacing w:after="90" w:line="252" w:lineRule="auto"/>
              <w:jc w:val="both"/>
              <w:rPr>
                <w:lang w:val="en-US"/>
              </w:rPr>
            </w:pPr>
            <w:r>
              <w:rPr>
                <w:b/>
                <w:bCs/>
                <w:lang w:val="en-US"/>
              </w:rPr>
              <w:t xml:space="preserve">Conclusion: </w:t>
            </w:r>
            <w:r>
              <w:rPr>
                <w:lang w:val="en-US"/>
              </w:rPr>
              <w:t xml:space="preserve">Across a wide spectrum of hair disorders, QoL impairment was frequent (87.2% of patients) and </w:t>
            </w:r>
            <w:r>
              <w:rPr>
                <w:highlight w:val="yellow"/>
                <w:lang w:val="en-US"/>
              </w:rPr>
              <w:t>greatest among younger, single and rural patients and among those with folliculitis decalvans</w:t>
            </w:r>
            <w:r>
              <w:rPr>
                <w:lang w:val="en-US"/>
              </w:rPr>
              <w:t>. The DLQI proved useful both for identifying the most affected patients and for monitoring treatment response. Beyond medical treatment, integrating psychological or psychiatric support into routine trichological care may further improve patient outcomes.</w:t>
            </w:r>
          </w:p>
        </w:tc>
      </w:tr>
    </w:tbl>
    <w:p w14:paraId="2D9A632D" w14:textId="77777777" w:rsidR="00D97220" w:rsidRPr="00AD6113" w:rsidRDefault="005146C7" w:rsidP="00D97220">
      <w:pPr>
        <w:pStyle w:val="pdq2pgselectionanchorcontainer"/>
        <w:rPr>
          <w:b/>
          <w:bCs/>
        </w:rPr>
      </w:pPr>
      <w:r>
        <w:rPr>
          <w:b/>
          <w:bCs/>
          <w:i/>
          <w:iCs/>
        </w:rPr>
        <w:t xml:space="preserve">Keywords: </w:t>
      </w:r>
      <w:r w:rsidR="00D97220" w:rsidRPr="00AD6113">
        <w:rPr>
          <w:rStyle w:val="Strong"/>
          <w:b w:val="0"/>
          <w:bCs w:val="0"/>
        </w:rPr>
        <w:t xml:space="preserve">Hair disorders; alopecia; quality of life; Dermatology Life Quality Index; frontal fibrosing alopecia; folliculitis decalvans; androgenetic alopecia; alopecia areata; patient-reported outcomes; </w:t>
      </w:r>
      <w:proofErr w:type="spellStart"/>
      <w:r w:rsidR="00D97220" w:rsidRPr="00AD6113">
        <w:rPr>
          <w:rStyle w:val="Strong"/>
          <w:b w:val="0"/>
          <w:bCs w:val="0"/>
        </w:rPr>
        <w:t>psychodermatology</w:t>
      </w:r>
      <w:proofErr w:type="spellEnd"/>
    </w:p>
    <w:p w14:paraId="0719AC4B" w14:textId="16DB8B4B" w:rsidR="00B45B5B" w:rsidRPr="001B48F5" w:rsidRDefault="00B45B5B">
      <w:pPr>
        <w:spacing w:before="120" w:after="200"/>
        <w:jc w:val="both"/>
        <w:rPr>
          <w:lang w:val="en-US"/>
        </w:rPr>
      </w:pPr>
    </w:p>
    <w:p w14:paraId="7EF365AD" w14:textId="77777777" w:rsidR="00B45B5B" w:rsidRPr="001B48F5" w:rsidRDefault="005146C7">
      <w:pPr>
        <w:spacing w:before="240" w:after="120"/>
        <w:rPr>
          <w:lang w:val="en-US"/>
        </w:rPr>
      </w:pPr>
      <w:r>
        <w:rPr>
          <w:b/>
          <w:bCs/>
          <w:sz w:val="22"/>
          <w:szCs w:val="22"/>
          <w:lang w:val="en-US"/>
        </w:rPr>
        <w:t>1. INTRODUCTION</w:t>
      </w:r>
    </w:p>
    <w:p w14:paraId="5A909309" w14:textId="77777777" w:rsidR="00B45B5B" w:rsidRPr="001B48F5" w:rsidRDefault="005146C7">
      <w:pPr>
        <w:spacing w:after="140" w:line="264" w:lineRule="auto"/>
        <w:jc w:val="both"/>
        <w:rPr>
          <w:lang w:val="en-US"/>
        </w:rPr>
      </w:pPr>
      <w:r>
        <w:rPr>
          <w:lang w:val="en-US"/>
        </w:rPr>
        <w:t>Hair is a central component of physical appearance, personal identity and self-image; consequently, disorders that alter its density, distribution or integrity may carry a psychosocial burden that far exceeds their apparent clinical severity.</w:t>
      </w:r>
    </w:p>
    <w:p w14:paraId="77659D67" w14:textId="77777777" w:rsidR="00B45B5B" w:rsidRPr="001B48F5" w:rsidRDefault="005146C7">
      <w:pPr>
        <w:spacing w:after="140" w:line="264" w:lineRule="auto"/>
        <w:jc w:val="both"/>
        <w:rPr>
          <w:lang w:val="en-US"/>
        </w:rPr>
      </w:pPr>
      <w:r>
        <w:rPr>
          <w:lang w:val="en-US"/>
        </w:rPr>
        <w:lastRenderedPageBreak/>
        <w:t>Hair disorders are common in daily dermatological practice and are frequently perceived as benign. In reality, they encompass a heterogeneous group of conditions—ranging from non-scarring forms such as androgenetic alopecia, alopecia areata and telogen effluvium to irreversible scarring alopecias such as frontal fibrosing alopecia and folliculitis decalvans—each with a distinct natural history and prognosis. Because these conditions are highly visible and often chronic or unpredictable, they may generate embarrassment, reduced self-confidence, social withdrawal and, in some patients, symptoms of anxiety or depression.</w:t>
      </w:r>
    </w:p>
    <w:p w14:paraId="10547028" w14:textId="77777777" w:rsidR="004A18E3" w:rsidRDefault="00000000">
      <w:pPr>
        <w:spacing w:after="140" w:line="264" w:lineRule="auto"/>
        <w:jc w:val="both"/>
        <w:rPr>
          <w:lang w:val="en-US"/>
        </w:rPr>
      </w:pPr>
      <w:r>
        <w:rPr>
          <w:b/>
          <w:highlight w:val="yellow"/>
        </w:rPr>
        <w:t>Recent reviews further characterise alopecia areata as a heterogeneous immune-mediated disorder in which an unpredictable clinical course and treatment limitations may compound the psychosocial burden, reinforcing the value of multidisciplinary assessment (Chatterjee et al., 2026). Contemporary patient-reported studies similarly indicate that emotional distress, stigma and activity impairment may extend beyond the visible extent of hair loss and may not be adequately represented by clinician-rated severity alone (Mesinkovska et al., 2023; Vañó-Galván et al., 2023; Christou et al., 2025).</w:t>
      </w:r>
    </w:p>
    <w:p w14:paraId="125F6C33" w14:textId="77777777" w:rsidR="00B45B5B" w:rsidRPr="001B48F5" w:rsidRDefault="005146C7">
      <w:pPr>
        <w:spacing w:after="140" w:line="264" w:lineRule="auto"/>
        <w:jc w:val="both"/>
        <w:rPr>
          <w:lang w:val="en-US"/>
        </w:rPr>
      </w:pPr>
      <w:r>
        <w:rPr>
          <w:lang w:val="en-US"/>
        </w:rPr>
        <w:t>The Dermatology Life Quality Index (DLQI) is the most widely used dermatology-specific, patient-reported instrument for measuring health-related quality of life (QoL); it comprises ten items scored from 0 to 30, with higher scores denoting greater impairment (Finlay &amp; Khan, 1994). The European Academy of Dermatology and Venereology (EADV) Task Force on Quality of Life recommends the DLQI, together with hair- and disease-specific instruments, for the assessment of alopecia (Chernyshov et al., 2021). Although a large body of work has examined QoL in individual hair disorders—most often alopecia areata—few studies have applied a single validated instrument prospectively across the full spectrum of hair disease, and fewer still have reassessed QoL after a defined period of treatment.</w:t>
      </w:r>
    </w:p>
    <w:p w14:paraId="71C6A6CF" w14:textId="77777777" w:rsidR="004A18E3" w:rsidRDefault="00000000">
      <w:pPr>
        <w:spacing w:after="140" w:line="264" w:lineRule="auto"/>
        <w:jc w:val="both"/>
        <w:rPr>
          <w:lang w:val="en-US"/>
        </w:rPr>
      </w:pPr>
      <w:r>
        <w:rPr>
          <w:b/>
          <w:highlight w:val="yellow"/>
        </w:rPr>
        <w:t>Nevertheless, evidence remains limited on the prospective use of a single validated quality-of-life instrument across a broad range of scarring and non-scarring hair disorders in a Moroccan clinical population, particularly when outcomes are reassessed after a defined treatment period. Addressing this gap may clarify how the burden differs across diagnoses and whether patient-reported quality of life changes during routine clinical management.</w:t>
      </w:r>
    </w:p>
    <w:p w14:paraId="6CFA3B92" w14:textId="77777777" w:rsidR="00B45B5B" w:rsidRPr="001B48F5" w:rsidRDefault="005146C7">
      <w:pPr>
        <w:spacing w:after="140" w:line="264" w:lineRule="auto"/>
        <w:jc w:val="both"/>
        <w:rPr>
          <w:lang w:val="en-US"/>
        </w:rPr>
      </w:pPr>
      <w:r>
        <w:rPr>
          <w:lang w:val="en-US"/>
        </w:rPr>
        <w:t>The present study was designed to address this gap. Our primary objective was to evaluate the impact of hair disorders on QoL by assessing emotional burden, symptom severity and interference with daily activities, using a validated dialectal Arabic version of the DLQI in a Moroccan population. Secondary objectives were to identify the epidemiological and clinical factors associated with greater impairment, to compare our findings with previously published data, and to assess the change in QoL after six months of treatment.</w:t>
      </w:r>
    </w:p>
    <w:p w14:paraId="56CC514A" w14:textId="77777777" w:rsidR="00B45B5B" w:rsidRPr="001B48F5" w:rsidRDefault="005146C7">
      <w:pPr>
        <w:spacing w:before="240" w:after="120"/>
        <w:rPr>
          <w:lang w:val="en-US"/>
        </w:rPr>
      </w:pPr>
      <w:r>
        <w:rPr>
          <w:b/>
          <w:bCs/>
          <w:sz w:val="22"/>
          <w:szCs w:val="22"/>
          <w:lang w:val="en-US"/>
        </w:rPr>
        <w:t>2. MATERIALS AND METHODS</w:t>
      </w:r>
    </w:p>
    <w:p w14:paraId="77576A75" w14:textId="77777777" w:rsidR="00B45B5B" w:rsidRPr="001B48F5" w:rsidRDefault="005146C7">
      <w:pPr>
        <w:spacing w:before="160" w:after="90"/>
        <w:rPr>
          <w:lang w:val="en-US"/>
        </w:rPr>
      </w:pPr>
      <w:r>
        <w:rPr>
          <w:b/>
          <w:bCs/>
          <w:sz w:val="22"/>
          <w:szCs w:val="22"/>
          <w:lang w:val="en-US"/>
        </w:rPr>
        <w:t>2.1 Study Design and Population</w:t>
      </w:r>
    </w:p>
    <w:p w14:paraId="6F9BFDE4" w14:textId="77777777" w:rsidR="00B45B5B" w:rsidRPr="001B48F5" w:rsidRDefault="005146C7">
      <w:pPr>
        <w:spacing w:after="140" w:line="264" w:lineRule="auto"/>
        <w:jc w:val="both"/>
        <w:rPr>
          <w:lang w:val="en-US"/>
        </w:rPr>
      </w:pPr>
      <w:r>
        <w:rPr>
          <w:lang w:val="en-US"/>
        </w:rPr>
        <w:t>We conducted a prospective, observational, analytical, cross-sectional study with longitudinal follow-up over a 10-month period, from October 2023 to July 2024, in the Dermatology Department of Ibn Sina University Hospital Center, Rabat, Morocco. Consecutive adult patients (≥ 18 years) presenting with a hair disorder were invited to participate.</w:t>
      </w:r>
    </w:p>
    <w:p w14:paraId="4E68098A" w14:textId="77777777" w:rsidR="00B45B5B" w:rsidRPr="001B48F5" w:rsidRDefault="005146C7">
      <w:pPr>
        <w:spacing w:after="140" w:line="264" w:lineRule="auto"/>
        <w:jc w:val="both"/>
        <w:rPr>
          <w:lang w:val="en-US"/>
        </w:rPr>
      </w:pPr>
      <w:r>
        <w:rPr>
          <w:lang w:val="en-US"/>
        </w:rPr>
        <w:t xml:space="preserve">Pregnant or breastfeeding women, patients undergoing chemotherapy and patients with a known psychiatric disorder </w:t>
      </w:r>
      <w:r>
        <w:rPr>
          <w:highlight w:val="yellow"/>
          <w:lang w:val="en-US"/>
        </w:rPr>
        <w:t>were excluded in order to limit</w:t>
      </w:r>
      <w:r>
        <w:rPr>
          <w:lang w:val="en-US"/>
        </w:rPr>
        <w:t xml:space="preserve"> confounding of the QoL assessment by conditions independently affecting mood or by treatment-related hair loss.</w:t>
      </w:r>
    </w:p>
    <w:p w14:paraId="0842DAC3" w14:textId="77777777" w:rsidR="00B45B5B" w:rsidRPr="001B48F5" w:rsidRDefault="005146C7">
      <w:pPr>
        <w:spacing w:before="160" w:after="90"/>
        <w:rPr>
          <w:lang w:val="en-US"/>
        </w:rPr>
      </w:pPr>
      <w:r>
        <w:rPr>
          <w:b/>
          <w:bCs/>
          <w:sz w:val="22"/>
          <w:szCs w:val="22"/>
          <w:lang w:val="en-US"/>
        </w:rPr>
        <w:t>2.2 Assessment Instrument</w:t>
      </w:r>
    </w:p>
    <w:p w14:paraId="07CF2656" w14:textId="77777777" w:rsidR="00B45B5B" w:rsidRPr="001B48F5" w:rsidRDefault="005146C7">
      <w:pPr>
        <w:spacing w:after="140" w:line="264" w:lineRule="auto"/>
        <w:jc w:val="both"/>
        <w:rPr>
          <w:lang w:val="en-US"/>
        </w:rPr>
      </w:pPr>
      <w:r>
        <w:rPr>
          <w:lang w:val="en-US"/>
        </w:rPr>
        <w:t xml:space="preserve">QoL was assessed using a validated dialectal Arabic version of the DLQI. The questionnaire explores symptoms and feelings, daily activities, leisure, work or school, personal relationships and treatment over </w:t>
      </w:r>
      <w:r>
        <w:rPr>
          <w:lang w:val="en-US"/>
        </w:rPr>
        <w:lastRenderedPageBreak/>
        <w:t>the preceding week. Total scores were interpreted according to the standard bands: 0–1 no effect, 2–5 small effect, 6–10 moderate effect, 11–20 very large effect and 21–30 extremely large effect on the patient's life (Finlay &amp; Khan, 1994). The dialectal Arabic version used in this study is the Moroccan translation and cross-cultural adaptation of the DLQI (Khoudri et al., 2009).</w:t>
      </w:r>
    </w:p>
    <w:p w14:paraId="30FE6D43" w14:textId="77777777" w:rsidR="00B45B5B" w:rsidRPr="001B48F5" w:rsidRDefault="005146C7">
      <w:pPr>
        <w:spacing w:before="160" w:after="90"/>
        <w:rPr>
          <w:lang w:val="en-US"/>
        </w:rPr>
      </w:pPr>
      <w:r>
        <w:rPr>
          <w:b/>
          <w:bCs/>
          <w:sz w:val="22"/>
          <w:szCs w:val="22"/>
          <w:lang w:val="en-US"/>
        </w:rPr>
        <w:t>2.3 Variables Collected</w:t>
      </w:r>
    </w:p>
    <w:p w14:paraId="2BB269C6" w14:textId="77777777" w:rsidR="00B45B5B" w:rsidRPr="001B48F5" w:rsidRDefault="005146C7">
      <w:pPr>
        <w:spacing w:after="140" w:line="264" w:lineRule="auto"/>
        <w:jc w:val="both"/>
        <w:rPr>
          <w:lang w:val="en-US"/>
        </w:rPr>
      </w:pPr>
      <w:r>
        <w:rPr>
          <w:lang w:val="en-US"/>
        </w:rPr>
        <w:t xml:space="preserve">Epidemiological and clinical variables were recorded to allow comparison with previously published studies and included age, sex, marital status, educational level, place of residence, disease duration and the delay before the first consultation. The specific hair disorder </w:t>
      </w:r>
      <w:r>
        <w:rPr>
          <w:highlight w:val="yellow"/>
          <w:lang w:val="en-US"/>
        </w:rPr>
        <w:t>was established on clinical grounds and, where indicated, on trichoscopic and histological grounds</w:t>
      </w:r>
      <w:r>
        <w:rPr>
          <w:lang w:val="en-US"/>
        </w:rPr>
        <w:t>. The DLQI was administered at baseline and repeated after six months of treatment.</w:t>
      </w:r>
    </w:p>
    <w:p w14:paraId="7690A0E0" w14:textId="77777777" w:rsidR="00B45B5B" w:rsidRPr="001B48F5" w:rsidRDefault="005146C7">
      <w:pPr>
        <w:spacing w:before="160" w:after="90"/>
        <w:rPr>
          <w:lang w:val="en-US"/>
        </w:rPr>
      </w:pPr>
      <w:r>
        <w:rPr>
          <w:b/>
          <w:bCs/>
          <w:sz w:val="22"/>
          <w:szCs w:val="22"/>
          <w:lang w:val="en-US"/>
        </w:rPr>
        <w:t>2.4 Statistical Analysis</w:t>
      </w:r>
    </w:p>
    <w:p w14:paraId="2578AA50" w14:textId="77777777" w:rsidR="00B45B5B" w:rsidRPr="001B48F5" w:rsidRDefault="005146C7">
      <w:pPr>
        <w:spacing w:after="140" w:line="264" w:lineRule="auto"/>
        <w:jc w:val="both"/>
        <w:rPr>
          <w:lang w:val="en-US"/>
        </w:rPr>
      </w:pPr>
      <w:r>
        <w:rPr>
          <w:lang w:val="en-US"/>
        </w:rPr>
        <w:t>Quantitative variables were summarised as medians (with ranges) or means with standard deviations, and qualitative variables as frequencies and percentages. Analyses were performed using jamovi</w:t>
      </w:r>
      <w:r>
        <w:rPr>
          <w:highlight w:val="yellow"/>
          <w:lang w:val="en-US"/>
        </w:rPr>
        <w:t xml:space="preserve"> (version 2.3.28), and Microsoft Excel was used for initial data entry and management</w:t>
      </w:r>
      <w:r>
        <w:rPr>
          <w:lang w:val="en-US"/>
        </w:rPr>
        <w:t xml:space="preserve">. The normality of continuous variables was assessed with the </w:t>
      </w:r>
      <w:r>
        <w:rPr>
          <w:highlight w:val="yellow"/>
          <w:lang w:val="en-US"/>
        </w:rPr>
        <w:t>Shapiro–Wilk</w:t>
      </w:r>
      <w:r>
        <w:rPr>
          <w:lang w:val="en-US"/>
        </w:rPr>
        <w:t xml:space="preserve"> test; as DLQI scores departed from a normal distribution, non-parametric tests were used throughout. Associations between DLQI scores and epidemiological or clinical factors (age, sex, marital status, educational level, place of residence, consultation delay, and diagnosis) were tested using the </w:t>
      </w:r>
      <w:r>
        <w:rPr>
          <w:highlight w:val="yellow"/>
          <w:lang w:val="en-US"/>
        </w:rPr>
        <w:t>Mann–Whitney</w:t>
      </w:r>
      <w:r>
        <w:rPr>
          <w:lang w:val="en-US"/>
        </w:rPr>
        <w:t xml:space="preserve"> U test for two independent groups, without correction for multiple comparisons. The change in DLQI after six months of treatment was assessed using the Wilcoxon signed-rank test for paired samples. All tests were two-tailed, and a </w:t>
      </w:r>
      <w:r>
        <w:rPr>
          <w:i/>
          <w:iCs/>
          <w:lang w:val="en-US"/>
        </w:rPr>
        <w:t>P</w:t>
      </w:r>
      <w:r>
        <w:rPr>
          <w:lang w:val="en-US"/>
        </w:rPr>
        <w:t xml:space="preserve"> &lt; .05 was considered statistically significant.</w:t>
      </w:r>
    </w:p>
    <w:p w14:paraId="212A7922" w14:textId="77777777" w:rsidR="00B45B5B" w:rsidRPr="001B48F5" w:rsidRDefault="005146C7">
      <w:pPr>
        <w:spacing w:before="240" w:after="120"/>
        <w:rPr>
          <w:lang w:val="en-US"/>
        </w:rPr>
      </w:pPr>
      <w:r>
        <w:rPr>
          <w:b/>
          <w:bCs/>
          <w:sz w:val="22"/>
          <w:szCs w:val="22"/>
          <w:lang w:val="en-US"/>
        </w:rPr>
        <w:t>3. RESULTS</w:t>
      </w:r>
    </w:p>
    <w:p w14:paraId="7575DE6C" w14:textId="77777777" w:rsidR="00B45B5B" w:rsidRPr="001B48F5" w:rsidRDefault="005146C7">
      <w:pPr>
        <w:spacing w:before="160" w:after="90"/>
        <w:rPr>
          <w:lang w:val="en-US"/>
        </w:rPr>
      </w:pPr>
      <w:r>
        <w:rPr>
          <w:b/>
          <w:bCs/>
          <w:sz w:val="22"/>
          <w:szCs w:val="22"/>
          <w:lang w:val="en-US"/>
        </w:rPr>
        <w:t>3.1 Patient Characteristics</w:t>
      </w:r>
    </w:p>
    <w:p w14:paraId="45E2C39B" w14:textId="77777777" w:rsidR="00B45B5B" w:rsidRPr="001B48F5" w:rsidRDefault="005146C7">
      <w:pPr>
        <w:spacing w:after="140" w:line="264" w:lineRule="auto"/>
        <w:jc w:val="both"/>
        <w:rPr>
          <w:lang w:val="en-US"/>
        </w:rPr>
      </w:pPr>
      <w:r>
        <w:rPr>
          <w:lang w:val="en-US"/>
        </w:rPr>
        <w:t>Three hundred and eighteen patients were included. The median age was 43 years (range 18–85), and there was a marked female predominance (81.8%). More than half of the participants were married (52.5%). The median delay before the first consultation was 24 months, and only 12.9% of patients sought medical attention within the first six months of symptom onset.</w:t>
      </w:r>
    </w:p>
    <w:p w14:paraId="2776DA37" w14:textId="77777777" w:rsidR="00B45B5B" w:rsidRPr="001B48F5" w:rsidRDefault="005146C7">
      <w:pPr>
        <w:spacing w:before="160" w:after="90"/>
        <w:rPr>
          <w:lang w:val="en-US"/>
        </w:rPr>
      </w:pPr>
      <w:r>
        <w:rPr>
          <w:b/>
          <w:bCs/>
          <w:sz w:val="22"/>
          <w:szCs w:val="22"/>
          <w:lang w:val="en-US"/>
        </w:rPr>
        <w:t>3.2 Distribution of Diagnoses and Disease-Specific Scores</w:t>
      </w:r>
    </w:p>
    <w:p w14:paraId="159E3FB5" w14:textId="77777777" w:rsidR="00B45B5B" w:rsidRPr="001B48F5" w:rsidRDefault="005146C7">
      <w:pPr>
        <w:spacing w:after="140" w:line="264" w:lineRule="auto"/>
        <w:jc w:val="both"/>
        <w:rPr>
          <w:lang w:val="en-US"/>
        </w:rPr>
      </w:pPr>
      <w:r>
        <w:rPr>
          <w:lang w:val="en-US"/>
        </w:rPr>
        <w:t xml:space="preserve">Frontal fibrosing alopecia was the most frequent diagnosis, followed by androgenetic alopecia and alopecia areata. Mean DLQI scores varied widely across diagnoses (Table 1). The highest scores were observed in folliculitis decalvans (15.41) and seborrhoeic dermatitis (14.21), whereas the lowest were recorded in benign scalp tumours (2.53), sarcoidosis and tinea capitis (3.00 each). At the disease level, the differences reached statistical significance for folliculitis decalvans and benign scalp tumours (both </w:t>
      </w:r>
      <w:r>
        <w:rPr>
          <w:i/>
          <w:iCs/>
          <w:lang w:val="en-US"/>
        </w:rPr>
        <w:t>P</w:t>
      </w:r>
      <w:r>
        <w:rPr>
          <w:lang w:val="en-US"/>
        </w:rPr>
        <w:t xml:space="preserve"> &lt; .01) and for acne keloidalis nuchae (</w:t>
      </w:r>
      <w:r>
        <w:rPr>
          <w:i/>
          <w:iCs/>
          <w:lang w:val="en-US"/>
        </w:rPr>
        <w:t>P</w:t>
      </w:r>
      <w:r>
        <w:rPr>
          <w:lang w:val="en-US"/>
        </w:rPr>
        <w:t xml:space="preserve"> = .04).</w:t>
      </w:r>
    </w:p>
    <w:p w14:paraId="72FEC06B" w14:textId="77777777" w:rsidR="00B45B5B" w:rsidRPr="001B48F5" w:rsidRDefault="005146C7">
      <w:pPr>
        <w:spacing w:before="60" w:after="60"/>
        <w:rPr>
          <w:lang w:val="en-US"/>
        </w:rPr>
      </w:pPr>
      <w:r>
        <w:rPr>
          <w:b/>
          <w:bCs/>
          <w:lang w:val="en-US"/>
        </w:rPr>
        <w:t>Table 1. Mean Dermatology Life Quality Index (DLQI) score by hair disorder.</w:t>
      </w:r>
    </w:p>
    <w:tbl>
      <w:tblPr>
        <w:tblStyle w:val="PlainTable3"/>
        <w:tblW w:w="9360" w:type="dxa"/>
        <w:tblLook w:val="0620" w:firstRow="1" w:lastRow="0" w:firstColumn="0" w:lastColumn="0" w:noHBand="1" w:noVBand="1"/>
      </w:tblPr>
      <w:tblGrid>
        <w:gridCol w:w="3400"/>
        <w:gridCol w:w="1100"/>
        <w:gridCol w:w="1700"/>
        <w:gridCol w:w="1300"/>
        <w:gridCol w:w="1860"/>
      </w:tblGrid>
      <w:tr w:rsidR="001B48F5" w:rsidRPr="001B48F5" w14:paraId="7BB187C0" w14:textId="77777777" w:rsidTr="001B48F5">
        <w:trPr>
          <w:cnfStyle w:val="100000000000" w:firstRow="1" w:lastRow="0" w:firstColumn="0" w:lastColumn="0" w:oddVBand="0" w:evenVBand="0" w:oddHBand="0" w:evenHBand="0" w:firstRowFirstColumn="0" w:firstRowLastColumn="0" w:lastRowFirstColumn="0" w:lastRowLastColumn="0"/>
        </w:trPr>
        <w:tc>
          <w:tcPr>
            <w:tcW w:w="3400" w:type="dxa"/>
          </w:tcPr>
          <w:p w14:paraId="3228B585" w14:textId="77777777" w:rsidR="00B45B5B" w:rsidRPr="001B48F5" w:rsidRDefault="005146C7" w:rsidP="001B48F5">
            <w:pPr>
              <w:spacing w:line="480" w:lineRule="auto"/>
              <w:rPr>
                <w:color w:val="000000" w:themeColor="text1"/>
              </w:rPr>
            </w:pPr>
            <w:r>
              <w:rPr>
                <w:color w:val="000000" w:themeColor="text1"/>
                <w:sz w:val="19"/>
                <w:szCs w:val="19"/>
              </w:rPr>
              <w:t>Hair disorder</w:t>
            </w:r>
          </w:p>
        </w:tc>
        <w:tc>
          <w:tcPr>
            <w:tcW w:w="1100" w:type="dxa"/>
          </w:tcPr>
          <w:p w14:paraId="5EC8717A" w14:textId="77777777" w:rsidR="000605A5" w:rsidRDefault="000547D7">
            <w:pPr>
              <w:spacing w:line="480" w:lineRule="auto"/>
              <w:jc w:val="center"/>
              <w:rPr>
                <w:color w:val="000000" w:themeColor="text1"/>
              </w:rPr>
            </w:pPr>
            <w:r>
              <w:rPr>
                <w:color w:val="000000" w:themeColor="text1"/>
                <w:sz w:val="19"/>
                <w:szCs w:val="19"/>
              </w:rPr>
              <w:t>n</w:t>
            </w:r>
          </w:p>
        </w:tc>
        <w:tc>
          <w:tcPr>
            <w:tcW w:w="1700" w:type="dxa"/>
          </w:tcPr>
          <w:p w14:paraId="4AB63E12" w14:textId="77777777" w:rsidR="00B45B5B" w:rsidRPr="001B48F5" w:rsidRDefault="005146C7" w:rsidP="001B48F5">
            <w:pPr>
              <w:spacing w:line="480" w:lineRule="auto"/>
              <w:jc w:val="center"/>
              <w:rPr>
                <w:color w:val="000000" w:themeColor="text1"/>
              </w:rPr>
            </w:pPr>
            <w:r>
              <w:rPr>
                <w:color w:val="000000" w:themeColor="text1"/>
                <w:sz w:val="19"/>
                <w:szCs w:val="19"/>
              </w:rPr>
              <w:t>Mean DLQI</w:t>
            </w:r>
          </w:p>
        </w:tc>
        <w:tc>
          <w:tcPr>
            <w:tcW w:w="1300" w:type="dxa"/>
          </w:tcPr>
          <w:p w14:paraId="4C780FD5" w14:textId="77777777" w:rsidR="000605A5" w:rsidRDefault="000547D7">
            <w:pPr>
              <w:spacing w:line="480" w:lineRule="auto"/>
              <w:jc w:val="center"/>
              <w:rPr>
                <w:color w:val="000000" w:themeColor="text1"/>
              </w:rPr>
            </w:pPr>
            <w:r>
              <w:rPr>
                <w:color w:val="000000" w:themeColor="text1"/>
                <w:sz w:val="19"/>
                <w:szCs w:val="19"/>
              </w:rPr>
              <w:t>SD</w:t>
            </w:r>
          </w:p>
        </w:tc>
        <w:tc>
          <w:tcPr>
            <w:tcW w:w="1860" w:type="dxa"/>
          </w:tcPr>
          <w:p w14:paraId="3504294F" w14:textId="77777777" w:rsidR="00B45B5B" w:rsidRPr="001B48F5" w:rsidRDefault="005146C7" w:rsidP="001B48F5">
            <w:pPr>
              <w:spacing w:line="480" w:lineRule="auto"/>
              <w:jc w:val="center"/>
              <w:rPr>
                <w:color w:val="000000" w:themeColor="text1"/>
              </w:rPr>
            </w:pPr>
            <w:r>
              <w:rPr>
                <w:i/>
                <w:iCs/>
                <w:color w:val="000000" w:themeColor="text1"/>
                <w:sz w:val="19"/>
                <w:szCs w:val="19"/>
              </w:rPr>
              <w:t>P</w:t>
            </w:r>
            <w:r>
              <w:rPr>
                <w:color w:val="000000" w:themeColor="text1"/>
                <w:sz w:val="19"/>
                <w:szCs w:val="19"/>
              </w:rPr>
              <w:t>-value</w:t>
            </w:r>
          </w:p>
        </w:tc>
      </w:tr>
      <w:tr w:rsidR="001B48F5" w:rsidRPr="001B48F5" w14:paraId="48B4550A" w14:textId="77777777" w:rsidTr="001B48F5">
        <w:tc>
          <w:tcPr>
            <w:tcW w:w="3400" w:type="dxa"/>
          </w:tcPr>
          <w:p w14:paraId="64B1B899" w14:textId="77777777" w:rsidR="00B45B5B" w:rsidRPr="001B48F5" w:rsidRDefault="005146C7" w:rsidP="001B48F5">
            <w:pPr>
              <w:spacing w:line="480" w:lineRule="auto"/>
              <w:rPr>
                <w:color w:val="000000" w:themeColor="text1"/>
              </w:rPr>
            </w:pPr>
            <w:r>
              <w:rPr>
                <w:color w:val="000000" w:themeColor="text1"/>
                <w:sz w:val="19"/>
                <w:szCs w:val="19"/>
              </w:rPr>
              <w:t>Folliculitis decalvans</w:t>
            </w:r>
          </w:p>
        </w:tc>
        <w:tc>
          <w:tcPr>
            <w:tcW w:w="1100" w:type="dxa"/>
          </w:tcPr>
          <w:p w14:paraId="1103BC7F" w14:textId="77777777" w:rsidR="000605A5" w:rsidRDefault="000547D7">
            <w:pPr>
              <w:spacing w:line="480" w:lineRule="auto"/>
              <w:jc w:val="center"/>
              <w:rPr>
                <w:color w:val="000000" w:themeColor="text1"/>
              </w:rPr>
            </w:pPr>
            <w:r>
              <w:rPr>
                <w:color w:val="000000" w:themeColor="text1"/>
                <w:sz w:val="19"/>
                <w:szCs w:val="19"/>
              </w:rPr>
              <w:t>17</w:t>
            </w:r>
          </w:p>
        </w:tc>
        <w:tc>
          <w:tcPr>
            <w:tcW w:w="1700" w:type="dxa"/>
          </w:tcPr>
          <w:p w14:paraId="576311BA" w14:textId="77777777" w:rsidR="00B45B5B" w:rsidRPr="001B48F5" w:rsidRDefault="005146C7" w:rsidP="001B48F5">
            <w:pPr>
              <w:spacing w:line="480" w:lineRule="auto"/>
              <w:jc w:val="center"/>
              <w:rPr>
                <w:color w:val="000000" w:themeColor="text1"/>
              </w:rPr>
            </w:pPr>
            <w:r>
              <w:rPr>
                <w:color w:val="000000" w:themeColor="text1"/>
                <w:sz w:val="19"/>
                <w:szCs w:val="19"/>
              </w:rPr>
              <w:t>15.41</w:t>
            </w:r>
          </w:p>
        </w:tc>
        <w:tc>
          <w:tcPr>
            <w:tcW w:w="1300" w:type="dxa"/>
          </w:tcPr>
          <w:p w14:paraId="0EABF240" w14:textId="77777777" w:rsidR="000605A5" w:rsidRDefault="000547D7">
            <w:pPr>
              <w:spacing w:line="480" w:lineRule="auto"/>
              <w:jc w:val="center"/>
              <w:rPr>
                <w:color w:val="000000" w:themeColor="text1"/>
              </w:rPr>
            </w:pPr>
            <w:r>
              <w:rPr>
                <w:color w:val="000000" w:themeColor="text1"/>
                <w:sz w:val="19"/>
                <w:szCs w:val="19"/>
              </w:rPr>
              <w:t>7.16</w:t>
            </w:r>
          </w:p>
        </w:tc>
        <w:tc>
          <w:tcPr>
            <w:tcW w:w="1860" w:type="dxa"/>
          </w:tcPr>
          <w:p w14:paraId="75794761" w14:textId="77777777" w:rsidR="00B45B5B" w:rsidRPr="001B48F5" w:rsidRDefault="005146C7" w:rsidP="001B48F5">
            <w:pPr>
              <w:spacing w:line="480" w:lineRule="auto"/>
              <w:jc w:val="center"/>
              <w:rPr>
                <w:color w:val="000000" w:themeColor="text1"/>
              </w:rPr>
            </w:pPr>
            <w:r>
              <w:rPr>
                <w:b/>
                <w:bCs/>
                <w:color w:val="000000" w:themeColor="text1"/>
                <w:sz w:val="19"/>
                <w:szCs w:val="19"/>
              </w:rPr>
              <w:t>&lt; .01</w:t>
            </w:r>
          </w:p>
        </w:tc>
      </w:tr>
      <w:tr w:rsidR="001B48F5" w:rsidRPr="001B48F5" w14:paraId="55CC5B6C" w14:textId="77777777" w:rsidTr="001B48F5">
        <w:tc>
          <w:tcPr>
            <w:tcW w:w="3400" w:type="dxa"/>
          </w:tcPr>
          <w:p w14:paraId="492F43C3" w14:textId="77777777" w:rsidR="00B45B5B" w:rsidRPr="001B48F5" w:rsidRDefault="005146C7" w:rsidP="001B48F5">
            <w:pPr>
              <w:spacing w:line="480" w:lineRule="auto"/>
              <w:rPr>
                <w:color w:val="000000" w:themeColor="text1"/>
              </w:rPr>
            </w:pPr>
            <w:r>
              <w:rPr>
                <w:color w:val="000000" w:themeColor="text1"/>
                <w:sz w:val="19"/>
                <w:szCs w:val="19"/>
              </w:rPr>
              <w:t>Seborrhoeic dermatitis</w:t>
            </w:r>
          </w:p>
        </w:tc>
        <w:tc>
          <w:tcPr>
            <w:tcW w:w="1100" w:type="dxa"/>
          </w:tcPr>
          <w:p w14:paraId="35477598" w14:textId="77777777" w:rsidR="000605A5" w:rsidRDefault="000547D7">
            <w:pPr>
              <w:spacing w:line="480" w:lineRule="auto"/>
              <w:jc w:val="center"/>
              <w:rPr>
                <w:color w:val="000000" w:themeColor="text1"/>
              </w:rPr>
            </w:pPr>
            <w:r>
              <w:rPr>
                <w:color w:val="000000" w:themeColor="text1"/>
                <w:sz w:val="19"/>
                <w:szCs w:val="19"/>
              </w:rPr>
              <w:t>14</w:t>
            </w:r>
          </w:p>
        </w:tc>
        <w:tc>
          <w:tcPr>
            <w:tcW w:w="1700" w:type="dxa"/>
          </w:tcPr>
          <w:p w14:paraId="11771553" w14:textId="77777777" w:rsidR="00B45B5B" w:rsidRPr="001B48F5" w:rsidRDefault="005146C7" w:rsidP="001B48F5">
            <w:pPr>
              <w:spacing w:line="480" w:lineRule="auto"/>
              <w:jc w:val="center"/>
              <w:rPr>
                <w:color w:val="000000" w:themeColor="text1"/>
              </w:rPr>
            </w:pPr>
            <w:r>
              <w:rPr>
                <w:color w:val="000000" w:themeColor="text1"/>
                <w:sz w:val="19"/>
                <w:szCs w:val="19"/>
              </w:rPr>
              <w:t>14.21</w:t>
            </w:r>
          </w:p>
        </w:tc>
        <w:tc>
          <w:tcPr>
            <w:tcW w:w="1300" w:type="dxa"/>
          </w:tcPr>
          <w:p w14:paraId="2079C11C" w14:textId="77777777" w:rsidR="000605A5" w:rsidRDefault="000547D7">
            <w:pPr>
              <w:spacing w:line="480" w:lineRule="auto"/>
              <w:jc w:val="center"/>
              <w:rPr>
                <w:color w:val="000000" w:themeColor="text1"/>
              </w:rPr>
            </w:pPr>
            <w:r>
              <w:rPr>
                <w:color w:val="000000" w:themeColor="text1"/>
                <w:sz w:val="19"/>
                <w:szCs w:val="19"/>
              </w:rPr>
              <w:t>9.21</w:t>
            </w:r>
          </w:p>
        </w:tc>
        <w:tc>
          <w:tcPr>
            <w:tcW w:w="1860" w:type="dxa"/>
          </w:tcPr>
          <w:p w14:paraId="79F20C3C" w14:textId="77777777" w:rsidR="00B45B5B" w:rsidRPr="001B48F5" w:rsidRDefault="005146C7" w:rsidP="001B48F5">
            <w:pPr>
              <w:spacing w:line="480" w:lineRule="auto"/>
              <w:jc w:val="center"/>
              <w:rPr>
                <w:color w:val="000000" w:themeColor="text1"/>
              </w:rPr>
            </w:pPr>
            <w:r>
              <w:rPr>
                <w:color w:val="000000" w:themeColor="text1"/>
                <w:sz w:val="19"/>
                <w:szCs w:val="19"/>
              </w:rPr>
              <w:t>.06</w:t>
            </w:r>
          </w:p>
        </w:tc>
      </w:tr>
      <w:tr w:rsidR="001B48F5" w:rsidRPr="001B48F5" w14:paraId="0B3E9AFF" w14:textId="77777777" w:rsidTr="001B48F5">
        <w:tc>
          <w:tcPr>
            <w:tcW w:w="3400" w:type="dxa"/>
          </w:tcPr>
          <w:p w14:paraId="1BDC215E" w14:textId="77777777" w:rsidR="00B45B5B" w:rsidRPr="001B48F5" w:rsidRDefault="005146C7" w:rsidP="001B48F5">
            <w:pPr>
              <w:spacing w:line="480" w:lineRule="auto"/>
              <w:rPr>
                <w:color w:val="000000" w:themeColor="text1"/>
              </w:rPr>
            </w:pPr>
            <w:r>
              <w:rPr>
                <w:color w:val="000000" w:themeColor="text1"/>
                <w:sz w:val="19"/>
                <w:szCs w:val="19"/>
              </w:rPr>
              <w:t>Psoriasis</w:t>
            </w:r>
          </w:p>
        </w:tc>
        <w:tc>
          <w:tcPr>
            <w:tcW w:w="1100" w:type="dxa"/>
          </w:tcPr>
          <w:p w14:paraId="66F8D289" w14:textId="77777777" w:rsidR="000605A5" w:rsidRDefault="000547D7">
            <w:pPr>
              <w:spacing w:line="480" w:lineRule="auto"/>
              <w:jc w:val="center"/>
              <w:rPr>
                <w:color w:val="000000" w:themeColor="text1"/>
              </w:rPr>
            </w:pPr>
            <w:r>
              <w:rPr>
                <w:color w:val="000000" w:themeColor="text1"/>
                <w:sz w:val="19"/>
                <w:szCs w:val="19"/>
              </w:rPr>
              <w:t>8</w:t>
            </w:r>
          </w:p>
        </w:tc>
        <w:tc>
          <w:tcPr>
            <w:tcW w:w="1700" w:type="dxa"/>
          </w:tcPr>
          <w:p w14:paraId="72B1C53B" w14:textId="77777777" w:rsidR="00B45B5B" w:rsidRPr="001B48F5" w:rsidRDefault="005146C7" w:rsidP="001B48F5">
            <w:pPr>
              <w:spacing w:line="480" w:lineRule="auto"/>
              <w:jc w:val="center"/>
              <w:rPr>
                <w:color w:val="000000" w:themeColor="text1"/>
              </w:rPr>
            </w:pPr>
            <w:r>
              <w:rPr>
                <w:color w:val="000000" w:themeColor="text1"/>
                <w:sz w:val="19"/>
                <w:szCs w:val="19"/>
              </w:rPr>
              <w:t>10.71</w:t>
            </w:r>
          </w:p>
        </w:tc>
        <w:tc>
          <w:tcPr>
            <w:tcW w:w="1300" w:type="dxa"/>
          </w:tcPr>
          <w:p w14:paraId="28E8651E" w14:textId="77777777" w:rsidR="000605A5" w:rsidRDefault="000547D7">
            <w:pPr>
              <w:spacing w:line="480" w:lineRule="auto"/>
              <w:jc w:val="center"/>
              <w:rPr>
                <w:color w:val="000000" w:themeColor="text1"/>
              </w:rPr>
            </w:pPr>
            <w:r>
              <w:rPr>
                <w:color w:val="000000" w:themeColor="text1"/>
                <w:sz w:val="19"/>
                <w:szCs w:val="19"/>
              </w:rPr>
              <w:t>7.50</w:t>
            </w:r>
          </w:p>
        </w:tc>
        <w:tc>
          <w:tcPr>
            <w:tcW w:w="1860" w:type="dxa"/>
          </w:tcPr>
          <w:p w14:paraId="767BECF6" w14:textId="77777777" w:rsidR="00B45B5B" w:rsidRPr="001B48F5" w:rsidRDefault="005146C7" w:rsidP="001B48F5">
            <w:pPr>
              <w:spacing w:line="480" w:lineRule="auto"/>
              <w:jc w:val="center"/>
              <w:rPr>
                <w:color w:val="000000" w:themeColor="text1"/>
              </w:rPr>
            </w:pPr>
            <w:r>
              <w:rPr>
                <w:color w:val="000000" w:themeColor="text1"/>
                <w:sz w:val="19"/>
                <w:szCs w:val="19"/>
              </w:rPr>
              <w:t>.28</w:t>
            </w:r>
          </w:p>
        </w:tc>
      </w:tr>
      <w:tr w:rsidR="001B48F5" w:rsidRPr="001B48F5" w14:paraId="6AC95A6A" w14:textId="77777777" w:rsidTr="001B48F5">
        <w:tc>
          <w:tcPr>
            <w:tcW w:w="3400" w:type="dxa"/>
          </w:tcPr>
          <w:p w14:paraId="7BCCE566" w14:textId="77777777" w:rsidR="00B45B5B" w:rsidRPr="001B48F5" w:rsidRDefault="005146C7" w:rsidP="001B48F5">
            <w:pPr>
              <w:spacing w:line="480" w:lineRule="auto"/>
              <w:rPr>
                <w:color w:val="000000" w:themeColor="text1"/>
                <w:lang w:val="en-US"/>
              </w:rPr>
            </w:pPr>
            <w:r>
              <w:rPr>
                <w:color w:val="000000" w:themeColor="text1"/>
                <w:sz w:val="19"/>
                <w:szCs w:val="19"/>
                <w:lang w:val="en-US"/>
              </w:rPr>
              <w:t>Dissecting cellulitis of the scalp</w:t>
            </w:r>
          </w:p>
        </w:tc>
        <w:tc>
          <w:tcPr>
            <w:tcW w:w="1100" w:type="dxa"/>
          </w:tcPr>
          <w:p w14:paraId="7E89862B" w14:textId="77777777" w:rsidR="000605A5" w:rsidRDefault="000547D7">
            <w:pPr>
              <w:spacing w:line="480" w:lineRule="auto"/>
              <w:jc w:val="center"/>
              <w:rPr>
                <w:color w:val="000000" w:themeColor="text1"/>
              </w:rPr>
            </w:pPr>
            <w:r>
              <w:rPr>
                <w:color w:val="000000" w:themeColor="text1"/>
                <w:sz w:val="19"/>
                <w:szCs w:val="19"/>
              </w:rPr>
              <w:t>11</w:t>
            </w:r>
          </w:p>
        </w:tc>
        <w:tc>
          <w:tcPr>
            <w:tcW w:w="1700" w:type="dxa"/>
          </w:tcPr>
          <w:p w14:paraId="7CED133B" w14:textId="77777777" w:rsidR="00B45B5B" w:rsidRPr="001B48F5" w:rsidRDefault="005146C7" w:rsidP="001B48F5">
            <w:pPr>
              <w:spacing w:line="480" w:lineRule="auto"/>
              <w:jc w:val="center"/>
              <w:rPr>
                <w:color w:val="000000" w:themeColor="text1"/>
              </w:rPr>
            </w:pPr>
            <w:r>
              <w:rPr>
                <w:color w:val="000000" w:themeColor="text1"/>
                <w:sz w:val="19"/>
                <w:szCs w:val="19"/>
              </w:rPr>
              <w:t>10.64</w:t>
            </w:r>
          </w:p>
        </w:tc>
        <w:tc>
          <w:tcPr>
            <w:tcW w:w="1300" w:type="dxa"/>
          </w:tcPr>
          <w:p w14:paraId="2E07C921" w14:textId="77777777" w:rsidR="000605A5" w:rsidRDefault="000547D7">
            <w:pPr>
              <w:spacing w:line="480" w:lineRule="auto"/>
              <w:jc w:val="center"/>
              <w:rPr>
                <w:color w:val="000000" w:themeColor="text1"/>
              </w:rPr>
            </w:pPr>
            <w:r>
              <w:rPr>
                <w:color w:val="000000" w:themeColor="text1"/>
                <w:sz w:val="19"/>
                <w:szCs w:val="19"/>
              </w:rPr>
              <w:t>6.56</w:t>
            </w:r>
          </w:p>
        </w:tc>
        <w:tc>
          <w:tcPr>
            <w:tcW w:w="1860" w:type="dxa"/>
          </w:tcPr>
          <w:p w14:paraId="7BBBB2DA" w14:textId="77777777" w:rsidR="00B45B5B" w:rsidRPr="001B48F5" w:rsidRDefault="005146C7" w:rsidP="001B48F5">
            <w:pPr>
              <w:spacing w:line="480" w:lineRule="auto"/>
              <w:jc w:val="center"/>
              <w:rPr>
                <w:color w:val="000000" w:themeColor="text1"/>
              </w:rPr>
            </w:pPr>
            <w:r>
              <w:rPr>
                <w:color w:val="000000" w:themeColor="text1"/>
                <w:sz w:val="19"/>
                <w:szCs w:val="19"/>
              </w:rPr>
              <w:t>.58</w:t>
            </w:r>
          </w:p>
        </w:tc>
      </w:tr>
      <w:tr w:rsidR="001B48F5" w:rsidRPr="001B48F5" w14:paraId="22B8E6BD" w14:textId="77777777" w:rsidTr="001B48F5">
        <w:tc>
          <w:tcPr>
            <w:tcW w:w="3400" w:type="dxa"/>
          </w:tcPr>
          <w:p w14:paraId="499E9336" w14:textId="77777777" w:rsidR="00B45B5B" w:rsidRPr="001B48F5" w:rsidRDefault="005146C7" w:rsidP="001B48F5">
            <w:pPr>
              <w:spacing w:line="480" w:lineRule="auto"/>
              <w:rPr>
                <w:color w:val="000000" w:themeColor="text1"/>
              </w:rPr>
            </w:pPr>
            <w:r>
              <w:rPr>
                <w:color w:val="000000" w:themeColor="text1"/>
                <w:sz w:val="19"/>
                <w:szCs w:val="19"/>
              </w:rPr>
              <w:t>Acne keloidalis nuchae</w:t>
            </w:r>
          </w:p>
        </w:tc>
        <w:tc>
          <w:tcPr>
            <w:tcW w:w="1100" w:type="dxa"/>
          </w:tcPr>
          <w:p w14:paraId="63825E73" w14:textId="77777777" w:rsidR="000605A5" w:rsidRDefault="000547D7">
            <w:pPr>
              <w:spacing w:line="480" w:lineRule="auto"/>
              <w:jc w:val="center"/>
              <w:rPr>
                <w:color w:val="000000" w:themeColor="text1"/>
              </w:rPr>
            </w:pPr>
            <w:r>
              <w:rPr>
                <w:color w:val="000000" w:themeColor="text1"/>
                <w:sz w:val="19"/>
                <w:szCs w:val="19"/>
              </w:rPr>
              <w:t>8</w:t>
            </w:r>
          </w:p>
        </w:tc>
        <w:tc>
          <w:tcPr>
            <w:tcW w:w="1700" w:type="dxa"/>
          </w:tcPr>
          <w:p w14:paraId="1B6E47D5" w14:textId="77777777" w:rsidR="00B45B5B" w:rsidRPr="001B48F5" w:rsidRDefault="005146C7" w:rsidP="001B48F5">
            <w:pPr>
              <w:spacing w:line="480" w:lineRule="auto"/>
              <w:jc w:val="center"/>
              <w:rPr>
                <w:color w:val="000000" w:themeColor="text1"/>
              </w:rPr>
            </w:pPr>
            <w:r>
              <w:rPr>
                <w:color w:val="000000" w:themeColor="text1"/>
                <w:sz w:val="19"/>
                <w:szCs w:val="19"/>
              </w:rPr>
              <w:t>10.25</w:t>
            </w:r>
          </w:p>
        </w:tc>
        <w:tc>
          <w:tcPr>
            <w:tcW w:w="1300" w:type="dxa"/>
          </w:tcPr>
          <w:p w14:paraId="70C678FD" w14:textId="77777777" w:rsidR="000605A5" w:rsidRDefault="000547D7">
            <w:pPr>
              <w:spacing w:line="480" w:lineRule="auto"/>
              <w:jc w:val="center"/>
              <w:rPr>
                <w:color w:val="000000" w:themeColor="text1"/>
              </w:rPr>
            </w:pPr>
            <w:r>
              <w:rPr>
                <w:color w:val="000000" w:themeColor="text1"/>
                <w:sz w:val="19"/>
                <w:szCs w:val="19"/>
              </w:rPr>
              <w:t>11.30</w:t>
            </w:r>
          </w:p>
        </w:tc>
        <w:tc>
          <w:tcPr>
            <w:tcW w:w="1860" w:type="dxa"/>
          </w:tcPr>
          <w:p w14:paraId="091C6E1C" w14:textId="77777777" w:rsidR="00B45B5B" w:rsidRPr="001B48F5" w:rsidRDefault="005146C7" w:rsidP="001B48F5">
            <w:pPr>
              <w:spacing w:line="480" w:lineRule="auto"/>
              <w:jc w:val="center"/>
              <w:rPr>
                <w:color w:val="000000" w:themeColor="text1"/>
              </w:rPr>
            </w:pPr>
            <w:r>
              <w:rPr>
                <w:b/>
                <w:bCs/>
                <w:color w:val="000000" w:themeColor="text1"/>
                <w:sz w:val="19"/>
                <w:szCs w:val="19"/>
              </w:rPr>
              <w:t>.04</w:t>
            </w:r>
          </w:p>
        </w:tc>
      </w:tr>
      <w:tr w:rsidR="001B48F5" w:rsidRPr="001B48F5" w14:paraId="4F947251" w14:textId="77777777" w:rsidTr="001B48F5">
        <w:tc>
          <w:tcPr>
            <w:tcW w:w="3400" w:type="dxa"/>
          </w:tcPr>
          <w:p w14:paraId="2A78ADD7" w14:textId="77777777" w:rsidR="00B45B5B" w:rsidRPr="001B48F5" w:rsidRDefault="005146C7" w:rsidP="001B48F5">
            <w:pPr>
              <w:spacing w:line="480" w:lineRule="auto"/>
              <w:rPr>
                <w:color w:val="000000" w:themeColor="text1"/>
              </w:rPr>
            </w:pPr>
            <w:r>
              <w:rPr>
                <w:color w:val="000000" w:themeColor="text1"/>
                <w:sz w:val="19"/>
                <w:szCs w:val="19"/>
              </w:rPr>
              <w:lastRenderedPageBreak/>
              <w:t>Alopecia areata</w:t>
            </w:r>
          </w:p>
        </w:tc>
        <w:tc>
          <w:tcPr>
            <w:tcW w:w="1100" w:type="dxa"/>
          </w:tcPr>
          <w:p w14:paraId="72B1C806" w14:textId="77777777" w:rsidR="000605A5" w:rsidRDefault="000547D7">
            <w:pPr>
              <w:spacing w:line="480" w:lineRule="auto"/>
              <w:jc w:val="center"/>
              <w:rPr>
                <w:color w:val="000000" w:themeColor="text1"/>
              </w:rPr>
            </w:pPr>
            <w:r>
              <w:rPr>
                <w:color w:val="000000" w:themeColor="text1"/>
                <w:sz w:val="19"/>
                <w:szCs w:val="19"/>
              </w:rPr>
              <w:t>40</w:t>
            </w:r>
          </w:p>
        </w:tc>
        <w:tc>
          <w:tcPr>
            <w:tcW w:w="1700" w:type="dxa"/>
          </w:tcPr>
          <w:p w14:paraId="295393DA" w14:textId="77777777" w:rsidR="00B45B5B" w:rsidRPr="001B48F5" w:rsidRDefault="005146C7" w:rsidP="001B48F5">
            <w:pPr>
              <w:spacing w:line="480" w:lineRule="auto"/>
              <w:jc w:val="center"/>
              <w:rPr>
                <w:color w:val="000000" w:themeColor="text1"/>
              </w:rPr>
            </w:pPr>
            <w:r>
              <w:rPr>
                <w:color w:val="000000" w:themeColor="text1"/>
                <w:sz w:val="19"/>
                <w:szCs w:val="19"/>
              </w:rPr>
              <w:t>10.22</w:t>
            </w:r>
          </w:p>
        </w:tc>
        <w:tc>
          <w:tcPr>
            <w:tcW w:w="1300" w:type="dxa"/>
          </w:tcPr>
          <w:p w14:paraId="065BEDD6" w14:textId="77777777" w:rsidR="000605A5" w:rsidRDefault="000547D7">
            <w:pPr>
              <w:spacing w:line="480" w:lineRule="auto"/>
              <w:jc w:val="center"/>
              <w:rPr>
                <w:color w:val="000000" w:themeColor="text1"/>
              </w:rPr>
            </w:pPr>
            <w:r>
              <w:rPr>
                <w:color w:val="000000" w:themeColor="text1"/>
                <w:sz w:val="19"/>
                <w:szCs w:val="19"/>
              </w:rPr>
              <w:t>4.81</w:t>
            </w:r>
          </w:p>
        </w:tc>
        <w:tc>
          <w:tcPr>
            <w:tcW w:w="1860" w:type="dxa"/>
          </w:tcPr>
          <w:p w14:paraId="0FBFE3D7" w14:textId="77777777" w:rsidR="00B45B5B" w:rsidRPr="001B48F5" w:rsidRDefault="005146C7" w:rsidP="001B48F5">
            <w:pPr>
              <w:spacing w:line="480" w:lineRule="auto"/>
              <w:jc w:val="center"/>
              <w:rPr>
                <w:color w:val="000000" w:themeColor="text1"/>
              </w:rPr>
            </w:pPr>
            <w:r>
              <w:rPr>
                <w:color w:val="000000" w:themeColor="text1"/>
                <w:sz w:val="19"/>
                <w:szCs w:val="19"/>
              </w:rPr>
              <w:t>.18</w:t>
            </w:r>
          </w:p>
        </w:tc>
      </w:tr>
      <w:tr w:rsidR="001B48F5" w:rsidRPr="001B48F5" w14:paraId="6BD8593B" w14:textId="77777777" w:rsidTr="001B48F5">
        <w:tc>
          <w:tcPr>
            <w:tcW w:w="3400" w:type="dxa"/>
          </w:tcPr>
          <w:p w14:paraId="0CF264A5" w14:textId="77777777" w:rsidR="00B45B5B" w:rsidRPr="001B48F5" w:rsidRDefault="005146C7" w:rsidP="001B48F5">
            <w:pPr>
              <w:spacing w:line="480" w:lineRule="auto"/>
              <w:rPr>
                <w:color w:val="000000" w:themeColor="text1"/>
              </w:rPr>
            </w:pPr>
            <w:r>
              <w:rPr>
                <w:color w:val="000000" w:themeColor="text1"/>
                <w:sz w:val="19"/>
                <w:szCs w:val="19"/>
              </w:rPr>
              <w:t>Lupus (scalp involvement)</w:t>
            </w:r>
          </w:p>
        </w:tc>
        <w:tc>
          <w:tcPr>
            <w:tcW w:w="1100" w:type="dxa"/>
          </w:tcPr>
          <w:p w14:paraId="4A0BD1E7" w14:textId="77777777" w:rsidR="000605A5" w:rsidRDefault="000547D7">
            <w:pPr>
              <w:spacing w:line="480" w:lineRule="auto"/>
              <w:jc w:val="center"/>
              <w:rPr>
                <w:color w:val="000000" w:themeColor="text1"/>
              </w:rPr>
            </w:pPr>
            <w:r>
              <w:rPr>
                <w:color w:val="000000" w:themeColor="text1"/>
                <w:sz w:val="19"/>
                <w:szCs w:val="19"/>
              </w:rPr>
              <w:t>13</w:t>
            </w:r>
          </w:p>
        </w:tc>
        <w:tc>
          <w:tcPr>
            <w:tcW w:w="1700" w:type="dxa"/>
          </w:tcPr>
          <w:p w14:paraId="42805B17" w14:textId="77777777" w:rsidR="00B45B5B" w:rsidRPr="001B48F5" w:rsidRDefault="005146C7" w:rsidP="001B48F5">
            <w:pPr>
              <w:spacing w:line="480" w:lineRule="auto"/>
              <w:jc w:val="center"/>
              <w:rPr>
                <w:color w:val="000000" w:themeColor="text1"/>
              </w:rPr>
            </w:pPr>
            <w:r>
              <w:rPr>
                <w:color w:val="000000" w:themeColor="text1"/>
                <w:sz w:val="19"/>
                <w:szCs w:val="19"/>
              </w:rPr>
              <w:t>10.00</w:t>
            </w:r>
          </w:p>
        </w:tc>
        <w:tc>
          <w:tcPr>
            <w:tcW w:w="1300" w:type="dxa"/>
          </w:tcPr>
          <w:p w14:paraId="513368D5" w14:textId="77777777" w:rsidR="000605A5" w:rsidRDefault="000547D7">
            <w:pPr>
              <w:spacing w:line="480" w:lineRule="auto"/>
              <w:jc w:val="center"/>
              <w:rPr>
                <w:color w:val="000000" w:themeColor="text1"/>
              </w:rPr>
            </w:pPr>
            <w:r>
              <w:rPr>
                <w:color w:val="000000" w:themeColor="text1"/>
                <w:sz w:val="19"/>
                <w:szCs w:val="19"/>
              </w:rPr>
              <w:t>5.37</w:t>
            </w:r>
          </w:p>
        </w:tc>
        <w:tc>
          <w:tcPr>
            <w:tcW w:w="1860" w:type="dxa"/>
          </w:tcPr>
          <w:p w14:paraId="3C49874D" w14:textId="77777777" w:rsidR="00B45B5B" w:rsidRPr="001B48F5" w:rsidRDefault="005146C7" w:rsidP="001B48F5">
            <w:pPr>
              <w:spacing w:line="480" w:lineRule="auto"/>
              <w:jc w:val="center"/>
              <w:rPr>
                <w:color w:val="000000" w:themeColor="text1"/>
              </w:rPr>
            </w:pPr>
            <w:r>
              <w:rPr>
                <w:color w:val="000000" w:themeColor="text1"/>
                <w:sz w:val="19"/>
                <w:szCs w:val="19"/>
              </w:rPr>
              <w:t>.53</w:t>
            </w:r>
          </w:p>
        </w:tc>
      </w:tr>
      <w:tr w:rsidR="001B48F5" w:rsidRPr="001B48F5" w14:paraId="52853098" w14:textId="77777777" w:rsidTr="001B48F5">
        <w:tc>
          <w:tcPr>
            <w:tcW w:w="3400" w:type="dxa"/>
          </w:tcPr>
          <w:p w14:paraId="65E4187A" w14:textId="77777777" w:rsidR="00B45B5B" w:rsidRPr="001B48F5" w:rsidRDefault="005146C7" w:rsidP="001B48F5">
            <w:pPr>
              <w:spacing w:line="480" w:lineRule="auto"/>
              <w:rPr>
                <w:color w:val="000000" w:themeColor="text1"/>
              </w:rPr>
            </w:pPr>
            <w:r>
              <w:rPr>
                <w:color w:val="000000" w:themeColor="text1"/>
                <w:sz w:val="19"/>
                <w:szCs w:val="19"/>
              </w:rPr>
              <w:t>Frontal fibrosing alopecia</w:t>
            </w:r>
          </w:p>
        </w:tc>
        <w:tc>
          <w:tcPr>
            <w:tcW w:w="1100" w:type="dxa"/>
          </w:tcPr>
          <w:p w14:paraId="7A8BFDD2" w14:textId="77777777" w:rsidR="000605A5" w:rsidRDefault="000547D7">
            <w:pPr>
              <w:spacing w:line="480" w:lineRule="auto"/>
              <w:jc w:val="center"/>
              <w:rPr>
                <w:color w:val="000000" w:themeColor="text1"/>
              </w:rPr>
            </w:pPr>
            <w:r>
              <w:rPr>
                <w:color w:val="000000" w:themeColor="text1"/>
                <w:sz w:val="19"/>
                <w:szCs w:val="19"/>
              </w:rPr>
              <w:t>92</w:t>
            </w:r>
          </w:p>
        </w:tc>
        <w:tc>
          <w:tcPr>
            <w:tcW w:w="1700" w:type="dxa"/>
          </w:tcPr>
          <w:p w14:paraId="67956B01" w14:textId="77777777" w:rsidR="00B45B5B" w:rsidRPr="001B48F5" w:rsidRDefault="005146C7" w:rsidP="001B48F5">
            <w:pPr>
              <w:spacing w:line="480" w:lineRule="auto"/>
              <w:jc w:val="center"/>
              <w:rPr>
                <w:color w:val="000000" w:themeColor="text1"/>
              </w:rPr>
            </w:pPr>
            <w:r>
              <w:rPr>
                <w:color w:val="000000" w:themeColor="text1"/>
                <w:sz w:val="19"/>
                <w:szCs w:val="19"/>
              </w:rPr>
              <w:t>9.98</w:t>
            </w:r>
          </w:p>
        </w:tc>
        <w:tc>
          <w:tcPr>
            <w:tcW w:w="1300" w:type="dxa"/>
          </w:tcPr>
          <w:p w14:paraId="6A37002B" w14:textId="77777777" w:rsidR="000605A5" w:rsidRDefault="000547D7">
            <w:pPr>
              <w:spacing w:line="480" w:lineRule="auto"/>
              <w:jc w:val="center"/>
              <w:rPr>
                <w:color w:val="000000" w:themeColor="text1"/>
              </w:rPr>
            </w:pPr>
            <w:r>
              <w:rPr>
                <w:color w:val="000000" w:themeColor="text1"/>
                <w:sz w:val="19"/>
                <w:szCs w:val="19"/>
              </w:rPr>
              <w:t>5.43</w:t>
            </w:r>
          </w:p>
        </w:tc>
        <w:tc>
          <w:tcPr>
            <w:tcW w:w="1860" w:type="dxa"/>
          </w:tcPr>
          <w:p w14:paraId="5B0E66A8" w14:textId="77777777" w:rsidR="00B45B5B" w:rsidRPr="001B48F5" w:rsidRDefault="005146C7" w:rsidP="001B48F5">
            <w:pPr>
              <w:spacing w:line="480" w:lineRule="auto"/>
              <w:jc w:val="center"/>
              <w:rPr>
                <w:color w:val="000000" w:themeColor="text1"/>
              </w:rPr>
            </w:pPr>
            <w:r>
              <w:rPr>
                <w:color w:val="000000" w:themeColor="text1"/>
                <w:sz w:val="19"/>
                <w:szCs w:val="19"/>
              </w:rPr>
              <w:t>.22</w:t>
            </w:r>
          </w:p>
        </w:tc>
      </w:tr>
      <w:tr w:rsidR="001B48F5" w:rsidRPr="001B48F5" w14:paraId="4B9FFB2C" w14:textId="77777777" w:rsidTr="001B48F5">
        <w:tc>
          <w:tcPr>
            <w:tcW w:w="3400" w:type="dxa"/>
          </w:tcPr>
          <w:p w14:paraId="5AA610D5" w14:textId="77777777" w:rsidR="00B45B5B" w:rsidRPr="001B48F5" w:rsidRDefault="005146C7" w:rsidP="001B48F5">
            <w:pPr>
              <w:spacing w:line="480" w:lineRule="auto"/>
              <w:rPr>
                <w:color w:val="000000" w:themeColor="text1"/>
              </w:rPr>
            </w:pPr>
            <w:r>
              <w:rPr>
                <w:color w:val="000000" w:themeColor="text1"/>
                <w:sz w:val="19"/>
                <w:szCs w:val="19"/>
              </w:rPr>
              <w:t>Androgenetic alopecia</w:t>
            </w:r>
          </w:p>
        </w:tc>
        <w:tc>
          <w:tcPr>
            <w:tcW w:w="1100" w:type="dxa"/>
          </w:tcPr>
          <w:p w14:paraId="2FE09E83" w14:textId="77777777" w:rsidR="000605A5" w:rsidRDefault="000547D7">
            <w:pPr>
              <w:spacing w:line="480" w:lineRule="auto"/>
              <w:jc w:val="center"/>
              <w:rPr>
                <w:color w:val="000000" w:themeColor="text1"/>
              </w:rPr>
            </w:pPr>
            <w:r>
              <w:rPr>
                <w:color w:val="000000" w:themeColor="text1"/>
                <w:sz w:val="19"/>
                <w:szCs w:val="19"/>
              </w:rPr>
              <w:t>47</w:t>
            </w:r>
          </w:p>
        </w:tc>
        <w:tc>
          <w:tcPr>
            <w:tcW w:w="1700" w:type="dxa"/>
          </w:tcPr>
          <w:p w14:paraId="572DC6FA" w14:textId="77777777" w:rsidR="00B45B5B" w:rsidRPr="001B48F5" w:rsidRDefault="005146C7" w:rsidP="001B48F5">
            <w:pPr>
              <w:spacing w:line="480" w:lineRule="auto"/>
              <w:jc w:val="center"/>
              <w:rPr>
                <w:color w:val="000000" w:themeColor="text1"/>
              </w:rPr>
            </w:pPr>
            <w:r>
              <w:rPr>
                <w:color w:val="000000" w:themeColor="text1"/>
                <w:sz w:val="19"/>
                <w:szCs w:val="19"/>
              </w:rPr>
              <w:t>9.00</w:t>
            </w:r>
          </w:p>
        </w:tc>
        <w:tc>
          <w:tcPr>
            <w:tcW w:w="1300" w:type="dxa"/>
          </w:tcPr>
          <w:p w14:paraId="1237584A" w14:textId="77777777" w:rsidR="000605A5" w:rsidRDefault="000547D7">
            <w:pPr>
              <w:spacing w:line="480" w:lineRule="auto"/>
              <w:jc w:val="center"/>
              <w:rPr>
                <w:color w:val="000000" w:themeColor="text1"/>
              </w:rPr>
            </w:pPr>
            <w:r>
              <w:rPr>
                <w:color w:val="000000" w:themeColor="text1"/>
                <w:sz w:val="19"/>
                <w:szCs w:val="19"/>
              </w:rPr>
              <w:t>6.77</w:t>
            </w:r>
          </w:p>
        </w:tc>
        <w:tc>
          <w:tcPr>
            <w:tcW w:w="1860" w:type="dxa"/>
          </w:tcPr>
          <w:p w14:paraId="7042BED6" w14:textId="77777777" w:rsidR="00B45B5B" w:rsidRPr="001B48F5" w:rsidRDefault="005146C7" w:rsidP="001B48F5">
            <w:pPr>
              <w:spacing w:line="480" w:lineRule="auto"/>
              <w:jc w:val="center"/>
              <w:rPr>
                <w:color w:val="000000" w:themeColor="text1"/>
              </w:rPr>
            </w:pPr>
            <w:r>
              <w:rPr>
                <w:color w:val="000000" w:themeColor="text1"/>
                <w:sz w:val="19"/>
                <w:szCs w:val="19"/>
              </w:rPr>
              <w:t>.48</w:t>
            </w:r>
          </w:p>
        </w:tc>
      </w:tr>
      <w:tr w:rsidR="001B48F5" w:rsidRPr="001B48F5" w14:paraId="13EA067A" w14:textId="77777777" w:rsidTr="001B48F5">
        <w:tc>
          <w:tcPr>
            <w:tcW w:w="3400" w:type="dxa"/>
          </w:tcPr>
          <w:p w14:paraId="5373A252" w14:textId="77777777" w:rsidR="00B45B5B" w:rsidRPr="001B48F5" w:rsidRDefault="005146C7" w:rsidP="001B48F5">
            <w:pPr>
              <w:spacing w:line="480" w:lineRule="auto"/>
              <w:rPr>
                <w:color w:val="000000" w:themeColor="text1"/>
              </w:rPr>
            </w:pPr>
            <w:r>
              <w:rPr>
                <w:color w:val="000000" w:themeColor="text1"/>
                <w:sz w:val="19"/>
                <w:szCs w:val="19"/>
              </w:rPr>
              <w:t>Lichen planopilaris</w:t>
            </w:r>
          </w:p>
        </w:tc>
        <w:tc>
          <w:tcPr>
            <w:tcW w:w="1100" w:type="dxa"/>
          </w:tcPr>
          <w:p w14:paraId="16270DBE" w14:textId="77777777" w:rsidR="000605A5" w:rsidRDefault="000547D7">
            <w:pPr>
              <w:spacing w:line="480" w:lineRule="auto"/>
              <w:jc w:val="center"/>
              <w:rPr>
                <w:color w:val="000000" w:themeColor="text1"/>
              </w:rPr>
            </w:pPr>
            <w:r>
              <w:rPr>
                <w:color w:val="000000" w:themeColor="text1"/>
                <w:sz w:val="19"/>
                <w:szCs w:val="19"/>
              </w:rPr>
              <w:t>15</w:t>
            </w:r>
          </w:p>
        </w:tc>
        <w:tc>
          <w:tcPr>
            <w:tcW w:w="1700" w:type="dxa"/>
          </w:tcPr>
          <w:p w14:paraId="7346DF5A" w14:textId="77777777" w:rsidR="00B45B5B" w:rsidRPr="001B48F5" w:rsidRDefault="005146C7" w:rsidP="001B48F5">
            <w:pPr>
              <w:spacing w:line="480" w:lineRule="auto"/>
              <w:jc w:val="center"/>
              <w:rPr>
                <w:color w:val="000000" w:themeColor="text1"/>
              </w:rPr>
            </w:pPr>
            <w:r>
              <w:rPr>
                <w:color w:val="000000" w:themeColor="text1"/>
                <w:sz w:val="19"/>
                <w:szCs w:val="19"/>
              </w:rPr>
              <w:t>8.73</w:t>
            </w:r>
          </w:p>
        </w:tc>
        <w:tc>
          <w:tcPr>
            <w:tcW w:w="1300" w:type="dxa"/>
          </w:tcPr>
          <w:p w14:paraId="00F37BC8" w14:textId="77777777" w:rsidR="000605A5" w:rsidRDefault="000547D7">
            <w:pPr>
              <w:spacing w:line="480" w:lineRule="auto"/>
              <w:jc w:val="center"/>
              <w:rPr>
                <w:color w:val="000000" w:themeColor="text1"/>
              </w:rPr>
            </w:pPr>
            <w:r>
              <w:rPr>
                <w:color w:val="000000" w:themeColor="text1"/>
                <w:sz w:val="19"/>
                <w:szCs w:val="19"/>
              </w:rPr>
              <w:t>5.86</w:t>
            </w:r>
          </w:p>
        </w:tc>
        <w:tc>
          <w:tcPr>
            <w:tcW w:w="1860" w:type="dxa"/>
          </w:tcPr>
          <w:p w14:paraId="17E05358" w14:textId="77777777" w:rsidR="00B45B5B" w:rsidRPr="001B48F5" w:rsidRDefault="005146C7" w:rsidP="001B48F5">
            <w:pPr>
              <w:spacing w:line="480" w:lineRule="auto"/>
              <w:jc w:val="center"/>
              <w:rPr>
                <w:color w:val="000000" w:themeColor="text1"/>
              </w:rPr>
            </w:pPr>
            <w:r>
              <w:rPr>
                <w:color w:val="000000" w:themeColor="text1"/>
                <w:sz w:val="19"/>
                <w:szCs w:val="19"/>
              </w:rPr>
              <w:t>.81</w:t>
            </w:r>
          </w:p>
        </w:tc>
      </w:tr>
      <w:tr w:rsidR="001B48F5" w:rsidRPr="001B48F5" w14:paraId="1ED6820A" w14:textId="77777777" w:rsidTr="001B48F5">
        <w:tc>
          <w:tcPr>
            <w:tcW w:w="3400" w:type="dxa"/>
          </w:tcPr>
          <w:p w14:paraId="14073B72" w14:textId="77777777" w:rsidR="00B45B5B" w:rsidRPr="001B48F5" w:rsidRDefault="005146C7" w:rsidP="001B48F5">
            <w:pPr>
              <w:spacing w:line="480" w:lineRule="auto"/>
              <w:rPr>
                <w:color w:val="000000" w:themeColor="text1"/>
              </w:rPr>
            </w:pPr>
            <w:r>
              <w:rPr>
                <w:color w:val="000000" w:themeColor="text1"/>
                <w:sz w:val="19"/>
                <w:szCs w:val="19"/>
              </w:rPr>
              <w:t>Trichotillomania</w:t>
            </w:r>
          </w:p>
        </w:tc>
        <w:tc>
          <w:tcPr>
            <w:tcW w:w="1100" w:type="dxa"/>
          </w:tcPr>
          <w:p w14:paraId="74803A52" w14:textId="77777777" w:rsidR="000605A5" w:rsidRDefault="000547D7">
            <w:pPr>
              <w:spacing w:line="480" w:lineRule="auto"/>
              <w:jc w:val="center"/>
              <w:rPr>
                <w:color w:val="000000" w:themeColor="text1"/>
              </w:rPr>
            </w:pPr>
            <w:r>
              <w:rPr>
                <w:color w:val="000000" w:themeColor="text1"/>
                <w:sz w:val="19"/>
                <w:szCs w:val="19"/>
              </w:rPr>
              <w:t>1</w:t>
            </w:r>
          </w:p>
        </w:tc>
        <w:tc>
          <w:tcPr>
            <w:tcW w:w="1700" w:type="dxa"/>
          </w:tcPr>
          <w:p w14:paraId="764A634B" w14:textId="77777777" w:rsidR="00B45B5B" w:rsidRPr="001B48F5" w:rsidRDefault="005146C7" w:rsidP="001B48F5">
            <w:pPr>
              <w:spacing w:line="480" w:lineRule="auto"/>
              <w:jc w:val="center"/>
              <w:rPr>
                <w:color w:val="000000" w:themeColor="text1"/>
              </w:rPr>
            </w:pPr>
            <w:r>
              <w:rPr>
                <w:color w:val="000000" w:themeColor="text1"/>
                <w:sz w:val="19"/>
                <w:szCs w:val="19"/>
              </w:rPr>
              <w:t>8.00</w:t>
            </w:r>
          </w:p>
        </w:tc>
        <w:tc>
          <w:tcPr>
            <w:tcW w:w="1300" w:type="dxa"/>
          </w:tcPr>
          <w:p w14:paraId="1ED03473" w14:textId="77777777" w:rsidR="000605A5" w:rsidRDefault="000547D7">
            <w:pPr>
              <w:spacing w:line="480" w:lineRule="auto"/>
              <w:jc w:val="center"/>
              <w:rPr>
                <w:color w:val="000000" w:themeColor="text1"/>
              </w:rPr>
            </w:pPr>
            <w:r>
              <w:rPr>
                <w:color w:val="000000" w:themeColor="text1"/>
                <w:sz w:val="19"/>
                <w:szCs w:val="19"/>
              </w:rPr>
              <w:t>–</w:t>
            </w:r>
          </w:p>
        </w:tc>
        <w:tc>
          <w:tcPr>
            <w:tcW w:w="1860" w:type="dxa"/>
          </w:tcPr>
          <w:p w14:paraId="3478F186" w14:textId="77777777" w:rsidR="00B45B5B" w:rsidRPr="001B48F5" w:rsidRDefault="005146C7" w:rsidP="001B48F5">
            <w:pPr>
              <w:spacing w:line="480" w:lineRule="auto"/>
              <w:jc w:val="center"/>
              <w:rPr>
                <w:color w:val="000000" w:themeColor="text1"/>
              </w:rPr>
            </w:pPr>
            <w:r>
              <w:rPr>
                <w:color w:val="000000" w:themeColor="text1"/>
                <w:sz w:val="19"/>
                <w:szCs w:val="19"/>
              </w:rPr>
              <w:t>.85</w:t>
            </w:r>
          </w:p>
        </w:tc>
      </w:tr>
      <w:tr w:rsidR="001B48F5" w:rsidRPr="001B48F5" w14:paraId="6F4775AB" w14:textId="77777777" w:rsidTr="001B48F5">
        <w:tc>
          <w:tcPr>
            <w:tcW w:w="3400" w:type="dxa"/>
          </w:tcPr>
          <w:p w14:paraId="264783BD" w14:textId="77777777" w:rsidR="00B45B5B" w:rsidRPr="001B48F5" w:rsidRDefault="005146C7" w:rsidP="001B48F5">
            <w:pPr>
              <w:spacing w:line="480" w:lineRule="auto"/>
              <w:rPr>
                <w:color w:val="000000" w:themeColor="text1"/>
              </w:rPr>
            </w:pPr>
            <w:r>
              <w:rPr>
                <w:color w:val="000000" w:themeColor="text1"/>
                <w:sz w:val="19"/>
                <w:szCs w:val="19"/>
              </w:rPr>
              <w:t>Telogen effluvium</w:t>
            </w:r>
          </w:p>
        </w:tc>
        <w:tc>
          <w:tcPr>
            <w:tcW w:w="1100" w:type="dxa"/>
          </w:tcPr>
          <w:p w14:paraId="2095B5CA" w14:textId="77777777" w:rsidR="000605A5" w:rsidRDefault="000547D7">
            <w:pPr>
              <w:spacing w:line="480" w:lineRule="auto"/>
              <w:jc w:val="center"/>
              <w:rPr>
                <w:color w:val="000000" w:themeColor="text1"/>
              </w:rPr>
            </w:pPr>
            <w:r>
              <w:rPr>
                <w:color w:val="000000" w:themeColor="text1"/>
                <w:sz w:val="19"/>
                <w:szCs w:val="19"/>
              </w:rPr>
              <w:t>16</w:t>
            </w:r>
          </w:p>
        </w:tc>
        <w:tc>
          <w:tcPr>
            <w:tcW w:w="1700" w:type="dxa"/>
          </w:tcPr>
          <w:p w14:paraId="2A6BCED7" w14:textId="77777777" w:rsidR="00B45B5B" w:rsidRPr="001B48F5" w:rsidRDefault="005146C7" w:rsidP="001B48F5">
            <w:pPr>
              <w:spacing w:line="480" w:lineRule="auto"/>
              <w:jc w:val="center"/>
              <w:rPr>
                <w:color w:val="000000" w:themeColor="text1"/>
              </w:rPr>
            </w:pPr>
            <w:r>
              <w:rPr>
                <w:color w:val="000000" w:themeColor="text1"/>
                <w:sz w:val="19"/>
                <w:szCs w:val="19"/>
              </w:rPr>
              <w:t>6.81</w:t>
            </w:r>
          </w:p>
        </w:tc>
        <w:tc>
          <w:tcPr>
            <w:tcW w:w="1300" w:type="dxa"/>
          </w:tcPr>
          <w:p w14:paraId="04EADA63" w14:textId="77777777" w:rsidR="000605A5" w:rsidRDefault="000547D7">
            <w:pPr>
              <w:spacing w:line="480" w:lineRule="auto"/>
              <w:jc w:val="center"/>
              <w:rPr>
                <w:color w:val="000000" w:themeColor="text1"/>
              </w:rPr>
            </w:pPr>
            <w:r>
              <w:rPr>
                <w:color w:val="000000" w:themeColor="text1"/>
                <w:sz w:val="19"/>
                <w:szCs w:val="19"/>
              </w:rPr>
              <w:t>5.06</w:t>
            </w:r>
          </w:p>
        </w:tc>
        <w:tc>
          <w:tcPr>
            <w:tcW w:w="1860" w:type="dxa"/>
          </w:tcPr>
          <w:p w14:paraId="40C8B7FF" w14:textId="77777777" w:rsidR="00B45B5B" w:rsidRPr="001B48F5" w:rsidRDefault="005146C7" w:rsidP="001B48F5">
            <w:pPr>
              <w:spacing w:line="480" w:lineRule="auto"/>
              <w:jc w:val="center"/>
              <w:rPr>
                <w:color w:val="000000" w:themeColor="text1"/>
              </w:rPr>
            </w:pPr>
            <w:r>
              <w:rPr>
                <w:color w:val="000000" w:themeColor="text1"/>
                <w:sz w:val="19"/>
                <w:szCs w:val="19"/>
              </w:rPr>
              <w:t>.10</w:t>
            </w:r>
          </w:p>
        </w:tc>
      </w:tr>
      <w:tr w:rsidR="001B48F5" w:rsidRPr="001B48F5" w14:paraId="778F3194" w14:textId="77777777" w:rsidTr="001B48F5">
        <w:tc>
          <w:tcPr>
            <w:tcW w:w="3400" w:type="dxa"/>
          </w:tcPr>
          <w:p w14:paraId="237A1EA1" w14:textId="77777777" w:rsidR="00B45B5B" w:rsidRPr="001B48F5" w:rsidRDefault="005146C7" w:rsidP="001B48F5">
            <w:pPr>
              <w:spacing w:line="480" w:lineRule="auto"/>
              <w:rPr>
                <w:color w:val="000000" w:themeColor="text1"/>
              </w:rPr>
            </w:pPr>
            <w:r>
              <w:rPr>
                <w:color w:val="000000" w:themeColor="text1"/>
                <w:sz w:val="19"/>
                <w:szCs w:val="19"/>
              </w:rPr>
              <w:t>Tinea capitis</w:t>
            </w:r>
          </w:p>
        </w:tc>
        <w:tc>
          <w:tcPr>
            <w:tcW w:w="1100" w:type="dxa"/>
          </w:tcPr>
          <w:p w14:paraId="1EF5C38F" w14:textId="77777777" w:rsidR="000605A5" w:rsidRDefault="000547D7">
            <w:pPr>
              <w:spacing w:line="480" w:lineRule="auto"/>
              <w:jc w:val="center"/>
              <w:rPr>
                <w:color w:val="000000" w:themeColor="text1"/>
              </w:rPr>
            </w:pPr>
            <w:r>
              <w:rPr>
                <w:color w:val="000000" w:themeColor="text1"/>
                <w:sz w:val="19"/>
                <w:szCs w:val="19"/>
              </w:rPr>
              <w:t>3</w:t>
            </w:r>
          </w:p>
        </w:tc>
        <w:tc>
          <w:tcPr>
            <w:tcW w:w="1700" w:type="dxa"/>
          </w:tcPr>
          <w:p w14:paraId="555BF9D9" w14:textId="77777777" w:rsidR="00B45B5B" w:rsidRPr="001B48F5" w:rsidRDefault="005146C7" w:rsidP="001B48F5">
            <w:pPr>
              <w:spacing w:line="480" w:lineRule="auto"/>
              <w:jc w:val="center"/>
              <w:rPr>
                <w:color w:val="000000" w:themeColor="text1"/>
              </w:rPr>
            </w:pPr>
            <w:r>
              <w:rPr>
                <w:color w:val="000000" w:themeColor="text1"/>
                <w:sz w:val="19"/>
                <w:szCs w:val="19"/>
              </w:rPr>
              <w:t>3.00</w:t>
            </w:r>
          </w:p>
        </w:tc>
        <w:tc>
          <w:tcPr>
            <w:tcW w:w="1300" w:type="dxa"/>
          </w:tcPr>
          <w:p w14:paraId="448CDCD0" w14:textId="77777777" w:rsidR="000605A5" w:rsidRDefault="000547D7">
            <w:pPr>
              <w:spacing w:line="480" w:lineRule="auto"/>
              <w:jc w:val="center"/>
              <w:rPr>
                <w:color w:val="000000" w:themeColor="text1"/>
              </w:rPr>
            </w:pPr>
            <w:r>
              <w:rPr>
                <w:color w:val="000000" w:themeColor="text1"/>
                <w:sz w:val="19"/>
                <w:szCs w:val="19"/>
              </w:rPr>
              <w:t>1.73</w:t>
            </w:r>
          </w:p>
        </w:tc>
        <w:tc>
          <w:tcPr>
            <w:tcW w:w="1860" w:type="dxa"/>
          </w:tcPr>
          <w:p w14:paraId="6AFFEF60" w14:textId="77777777" w:rsidR="00B45B5B" w:rsidRPr="001B48F5" w:rsidRDefault="005146C7" w:rsidP="001B48F5">
            <w:pPr>
              <w:spacing w:line="480" w:lineRule="auto"/>
              <w:jc w:val="center"/>
              <w:rPr>
                <w:color w:val="000000" w:themeColor="text1"/>
              </w:rPr>
            </w:pPr>
            <w:r>
              <w:rPr>
                <w:color w:val="000000" w:themeColor="text1"/>
                <w:sz w:val="19"/>
                <w:szCs w:val="19"/>
              </w:rPr>
              <w:t>.06</w:t>
            </w:r>
          </w:p>
        </w:tc>
      </w:tr>
      <w:tr w:rsidR="001B48F5" w:rsidRPr="001B48F5" w14:paraId="334DA135" w14:textId="77777777" w:rsidTr="001B48F5">
        <w:tc>
          <w:tcPr>
            <w:tcW w:w="3400" w:type="dxa"/>
          </w:tcPr>
          <w:p w14:paraId="4B6DF6C6" w14:textId="77777777" w:rsidR="00B45B5B" w:rsidRPr="001B48F5" w:rsidRDefault="005146C7" w:rsidP="001B48F5">
            <w:pPr>
              <w:spacing w:line="480" w:lineRule="auto"/>
              <w:rPr>
                <w:color w:val="000000" w:themeColor="text1"/>
              </w:rPr>
            </w:pPr>
            <w:r>
              <w:rPr>
                <w:color w:val="000000" w:themeColor="text1"/>
                <w:sz w:val="19"/>
                <w:szCs w:val="19"/>
              </w:rPr>
              <w:t>Sarcoidosis</w:t>
            </w:r>
          </w:p>
        </w:tc>
        <w:tc>
          <w:tcPr>
            <w:tcW w:w="1100" w:type="dxa"/>
          </w:tcPr>
          <w:p w14:paraId="54A0D515" w14:textId="77777777" w:rsidR="000605A5" w:rsidRDefault="000547D7">
            <w:pPr>
              <w:spacing w:line="480" w:lineRule="auto"/>
              <w:jc w:val="center"/>
              <w:rPr>
                <w:color w:val="000000" w:themeColor="text1"/>
              </w:rPr>
            </w:pPr>
            <w:r>
              <w:rPr>
                <w:color w:val="000000" w:themeColor="text1"/>
                <w:sz w:val="19"/>
                <w:szCs w:val="19"/>
              </w:rPr>
              <w:t>1</w:t>
            </w:r>
          </w:p>
        </w:tc>
        <w:tc>
          <w:tcPr>
            <w:tcW w:w="1700" w:type="dxa"/>
          </w:tcPr>
          <w:p w14:paraId="391B6796" w14:textId="77777777" w:rsidR="00B45B5B" w:rsidRPr="001B48F5" w:rsidRDefault="005146C7" w:rsidP="001B48F5">
            <w:pPr>
              <w:spacing w:line="480" w:lineRule="auto"/>
              <w:jc w:val="center"/>
              <w:rPr>
                <w:color w:val="000000" w:themeColor="text1"/>
              </w:rPr>
            </w:pPr>
            <w:r>
              <w:rPr>
                <w:color w:val="000000" w:themeColor="text1"/>
                <w:sz w:val="19"/>
                <w:szCs w:val="19"/>
              </w:rPr>
              <w:t>3.00</w:t>
            </w:r>
          </w:p>
        </w:tc>
        <w:tc>
          <w:tcPr>
            <w:tcW w:w="1300" w:type="dxa"/>
          </w:tcPr>
          <w:p w14:paraId="6B61C0FA" w14:textId="77777777" w:rsidR="000605A5" w:rsidRDefault="000547D7">
            <w:pPr>
              <w:spacing w:line="480" w:lineRule="auto"/>
              <w:jc w:val="center"/>
              <w:rPr>
                <w:color w:val="000000" w:themeColor="text1"/>
              </w:rPr>
            </w:pPr>
            <w:r>
              <w:rPr>
                <w:color w:val="000000" w:themeColor="text1"/>
                <w:sz w:val="19"/>
                <w:szCs w:val="19"/>
              </w:rPr>
              <w:t>–</w:t>
            </w:r>
          </w:p>
        </w:tc>
        <w:tc>
          <w:tcPr>
            <w:tcW w:w="1860" w:type="dxa"/>
          </w:tcPr>
          <w:p w14:paraId="20352EB5" w14:textId="77777777" w:rsidR="00B45B5B" w:rsidRPr="001B48F5" w:rsidRDefault="005146C7" w:rsidP="001B48F5">
            <w:pPr>
              <w:spacing w:line="480" w:lineRule="auto"/>
              <w:jc w:val="center"/>
              <w:rPr>
                <w:color w:val="000000" w:themeColor="text1"/>
              </w:rPr>
            </w:pPr>
            <w:r>
              <w:rPr>
                <w:color w:val="000000" w:themeColor="text1"/>
                <w:sz w:val="19"/>
                <w:szCs w:val="19"/>
              </w:rPr>
              <w:t>.28</w:t>
            </w:r>
          </w:p>
        </w:tc>
      </w:tr>
      <w:tr w:rsidR="001B48F5" w:rsidRPr="001B48F5" w14:paraId="577C906F" w14:textId="77777777" w:rsidTr="001B48F5">
        <w:tc>
          <w:tcPr>
            <w:tcW w:w="3400" w:type="dxa"/>
          </w:tcPr>
          <w:p w14:paraId="442E44B9" w14:textId="77777777" w:rsidR="00B45B5B" w:rsidRPr="001B48F5" w:rsidRDefault="005146C7" w:rsidP="001B48F5">
            <w:pPr>
              <w:spacing w:line="480" w:lineRule="auto"/>
              <w:rPr>
                <w:color w:val="000000" w:themeColor="text1"/>
              </w:rPr>
            </w:pPr>
            <w:r>
              <w:rPr>
                <w:color w:val="000000" w:themeColor="text1"/>
                <w:sz w:val="19"/>
                <w:szCs w:val="19"/>
              </w:rPr>
              <w:t>Benign scalp tumour</w:t>
            </w:r>
          </w:p>
        </w:tc>
        <w:tc>
          <w:tcPr>
            <w:tcW w:w="1100" w:type="dxa"/>
          </w:tcPr>
          <w:p w14:paraId="3E0F3836" w14:textId="77777777" w:rsidR="000605A5" w:rsidRDefault="000547D7">
            <w:pPr>
              <w:spacing w:line="480" w:lineRule="auto"/>
              <w:jc w:val="center"/>
              <w:rPr>
                <w:color w:val="000000" w:themeColor="text1"/>
              </w:rPr>
            </w:pPr>
            <w:r>
              <w:rPr>
                <w:color w:val="000000" w:themeColor="text1"/>
                <w:sz w:val="19"/>
                <w:szCs w:val="19"/>
              </w:rPr>
              <w:t>32</w:t>
            </w:r>
          </w:p>
        </w:tc>
        <w:tc>
          <w:tcPr>
            <w:tcW w:w="1700" w:type="dxa"/>
          </w:tcPr>
          <w:p w14:paraId="68EC42A3" w14:textId="77777777" w:rsidR="00B45B5B" w:rsidRPr="001B48F5" w:rsidRDefault="005146C7" w:rsidP="001B48F5">
            <w:pPr>
              <w:spacing w:line="480" w:lineRule="auto"/>
              <w:jc w:val="center"/>
              <w:rPr>
                <w:color w:val="000000" w:themeColor="text1"/>
              </w:rPr>
            </w:pPr>
            <w:r>
              <w:rPr>
                <w:color w:val="000000" w:themeColor="text1"/>
                <w:sz w:val="19"/>
                <w:szCs w:val="19"/>
              </w:rPr>
              <w:t>2.53</w:t>
            </w:r>
          </w:p>
        </w:tc>
        <w:tc>
          <w:tcPr>
            <w:tcW w:w="1300" w:type="dxa"/>
          </w:tcPr>
          <w:p w14:paraId="4AC54AF2" w14:textId="77777777" w:rsidR="000605A5" w:rsidRDefault="000547D7">
            <w:pPr>
              <w:spacing w:line="480" w:lineRule="auto"/>
              <w:jc w:val="center"/>
              <w:rPr>
                <w:color w:val="000000" w:themeColor="text1"/>
              </w:rPr>
            </w:pPr>
            <w:r>
              <w:rPr>
                <w:color w:val="000000" w:themeColor="text1"/>
                <w:sz w:val="19"/>
                <w:szCs w:val="19"/>
              </w:rPr>
              <w:t>4.16</w:t>
            </w:r>
          </w:p>
        </w:tc>
        <w:tc>
          <w:tcPr>
            <w:tcW w:w="1860" w:type="dxa"/>
          </w:tcPr>
          <w:p w14:paraId="0DD8F6B1" w14:textId="77777777" w:rsidR="00B45B5B" w:rsidRPr="001B48F5" w:rsidRDefault="005146C7" w:rsidP="001B48F5">
            <w:pPr>
              <w:spacing w:line="480" w:lineRule="auto"/>
              <w:jc w:val="center"/>
              <w:rPr>
                <w:color w:val="000000" w:themeColor="text1"/>
              </w:rPr>
            </w:pPr>
            <w:r>
              <w:rPr>
                <w:b/>
                <w:bCs/>
                <w:color w:val="000000" w:themeColor="text1"/>
                <w:sz w:val="19"/>
                <w:szCs w:val="19"/>
              </w:rPr>
              <w:t>&lt; .01</w:t>
            </w:r>
          </w:p>
        </w:tc>
      </w:tr>
    </w:tbl>
    <w:p w14:paraId="60BDCBA3" w14:textId="77777777" w:rsidR="00B45B5B" w:rsidRPr="001B48F5" w:rsidRDefault="005146C7">
      <w:pPr>
        <w:spacing w:before="60" w:after="160"/>
        <w:rPr>
          <w:lang w:val="en-US"/>
        </w:rPr>
      </w:pPr>
      <w:r>
        <w:rPr>
          <w:i/>
          <w:iCs/>
          <w:color w:val="808080"/>
          <w:sz w:val="17"/>
          <w:szCs w:val="17"/>
          <w:lang w:val="en-US"/>
        </w:rPr>
        <w:t>Significant P-values are shown in bold. DLQI bands: 0–1 no effect, 2–5 small, 6–10 moderate, 11–20 very large, 21–30 extremely large effect.</w:t>
      </w:r>
    </w:p>
    <w:p w14:paraId="6C3A19D5" w14:textId="77777777" w:rsidR="00B45B5B" w:rsidRPr="001B48F5" w:rsidRDefault="005146C7">
      <w:pPr>
        <w:spacing w:before="160" w:after="90"/>
        <w:rPr>
          <w:lang w:val="en-US"/>
        </w:rPr>
      </w:pPr>
      <w:r>
        <w:rPr>
          <w:b/>
          <w:bCs/>
          <w:sz w:val="22"/>
          <w:szCs w:val="22"/>
          <w:lang w:val="en-US"/>
        </w:rPr>
        <w:t>3.3 Overall Impact on Quality of Life</w:t>
      </w:r>
    </w:p>
    <w:p w14:paraId="0BFDF69F" w14:textId="77777777" w:rsidR="00B45B5B" w:rsidRPr="001B48F5" w:rsidRDefault="005146C7">
      <w:pPr>
        <w:spacing w:after="140" w:line="264" w:lineRule="auto"/>
        <w:jc w:val="both"/>
        <w:rPr>
          <w:lang w:val="en-US"/>
        </w:rPr>
      </w:pPr>
      <w:r>
        <w:rPr>
          <w:lang w:val="en-US"/>
        </w:rPr>
        <w:t xml:space="preserve">The mean DLQI score across the whole cohort was 9.54, indicating an overall moderate impact on QoL. A severe impact was observed in 36.5% of patients, and impairment of any degree was present in 87.2%. Among the DLQI domains, </w:t>
      </w:r>
      <w:r>
        <w:rPr>
          <w:highlight w:val="yellow"/>
          <w:lang w:val="en-US"/>
        </w:rPr>
        <w:t>aesthetic concern was the most affected domain</w:t>
      </w:r>
      <w:r>
        <w:rPr>
          <w:lang w:val="en-US"/>
        </w:rPr>
        <w:t>.</w:t>
      </w:r>
    </w:p>
    <w:p w14:paraId="28EAD727" w14:textId="77777777" w:rsidR="00B45B5B" w:rsidRPr="001B48F5" w:rsidRDefault="005146C7">
      <w:pPr>
        <w:spacing w:before="160" w:after="90"/>
        <w:rPr>
          <w:lang w:val="en-US"/>
        </w:rPr>
      </w:pPr>
      <w:r>
        <w:rPr>
          <w:b/>
          <w:bCs/>
          <w:sz w:val="22"/>
          <w:szCs w:val="22"/>
          <w:lang w:val="en-US"/>
        </w:rPr>
        <w:t>3.4 Factors Associated with Quality-of-Life Impairment</w:t>
      </w:r>
    </w:p>
    <w:p w14:paraId="544CBF25" w14:textId="77777777" w:rsidR="00B45B5B" w:rsidRPr="001B48F5" w:rsidRDefault="005146C7">
      <w:pPr>
        <w:spacing w:after="140" w:line="264" w:lineRule="auto"/>
        <w:jc w:val="both"/>
        <w:rPr>
          <w:lang w:val="en-US"/>
        </w:rPr>
      </w:pPr>
      <w:r>
        <w:rPr>
          <w:lang w:val="en-US"/>
        </w:rPr>
        <w:t>Significantly higher DLQI scores were associated with age under 30 years (</w:t>
      </w:r>
      <w:r>
        <w:rPr>
          <w:i/>
          <w:iCs/>
          <w:lang w:val="en-US"/>
        </w:rPr>
        <w:t>P</w:t>
      </w:r>
      <w:r>
        <w:rPr>
          <w:lang w:val="en-US"/>
        </w:rPr>
        <w:t xml:space="preserve"> = .04), rural residence (</w:t>
      </w:r>
      <w:r>
        <w:rPr>
          <w:i/>
          <w:iCs/>
          <w:lang w:val="en-US"/>
        </w:rPr>
        <w:t>P</w:t>
      </w:r>
      <w:r>
        <w:rPr>
          <w:lang w:val="en-US"/>
        </w:rPr>
        <w:t xml:space="preserve"> = .04) and single marital status (</w:t>
      </w:r>
      <w:r>
        <w:rPr>
          <w:i/>
          <w:iCs/>
          <w:lang w:val="en-US"/>
        </w:rPr>
        <w:t>P</w:t>
      </w:r>
      <w:r>
        <w:rPr>
          <w:lang w:val="en-US"/>
        </w:rPr>
        <w:t xml:space="preserve"> &lt; .001). Conversely, patients who consulted within the first six months had significantly lower scores (</w:t>
      </w:r>
      <w:r>
        <w:rPr>
          <w:i/>
          <w:iCs/>
          <w:lang w:val="en-US"/>
        </w:rPr>
        <w:t>P</w:t>
      </w:r>
      <w:r>
        <w:rPr>
          <w:lang w:val="en-US"/>
        </w:rPr>
        <w:t xml:space="preserve"> &lt; .01). No statistically significant association was found with sex, disease duration or educational level.</w:t>
      </w:r>
    </w:p>
    <w:p w14:paraId="1F4DCF53" w14:textId="77777777" w:rsidR="00B45B5B" w:rsidRPr="001B48F5" w:rsidRDefault="005146C7">
      <w:pPr>
        <w:spacing w:before="160" w:after="90"/>
        <w:rPr>
          <w:lang w:val="en-US"/>
        </w:rPr>
      </w:pPr>
      <w:r>
        <w:rPr>
          <w:b/>
          <w:bCs/>
          <w:sz w:val="22"/>
          <w:szCs w:val="22"/>
          <w:lang w:val="en-US"/>
        </w:rPr>
        <w:t>3.5 Change After Six Months of Treatment</w:t>
      </w:r>
    </w:p>
    <w:p w14:paraId="071777AD" w14:textId="77777777" w:rsidR="00B45B5B" w:rsidRPr="001B48F5" w:rsidRDefault="005146C7">
      <w:pPr>
        <w:spacing w:after="140" w:line="264" w:lineRule="auto"/>
        <w:jc w:val="both"/>
        <w:rPr>
          <w:lang w:val="en-US"/>
        </w:rPr>
      </w:pPr>
      <w:r>
        <w:rPr>
          <w:lang w:val="en-US"/>
        </w:rPr>
        <w:t xml:space="preserve">Among the 150 patients who had reached the six-month follow-up visit at the time of analysis, the mean DLQI score fell from 12.38 (SD 0.44) at baseline to 9.67 (SD 0.49) at six months, </w:t>
      </w:r>
      <w:r>
        <w:rPr>
          <w:highlight w:val="yellow"/>
          <w:lang w:val="en-US"/>
        </w:rPr>
        <w:t>a mean reduction of 2.71 points</w:t>
      </w:r>
      <w:r>
        <w:rPr>
          <w:lang w:val="en-US"/>
        </w:rPr>
        <w:t xml:space="preserve"> (</w:t>
      </w:r>
      <w:r>
        <w:rPr>
          <w:i/>
          <w:iCs/>
          <w:lang w:val="en-US"/>
        </w:rPr>
        <w:t>P</w:t>
      </w:r>
      <w:r>
        <w:rPr>
          <w:lang w:val="en-US"/>
        </w:rPr>
        <w:t xml:space="preserve"> &lt; .001). The magnitude of benefit was comparable across frontal fibrosing alopecia (12.05 [SD 4.98] to 9.72 [SD 5.26]; </w:t>
      </w:r>
      <w:r>
        <w:rPr>
          <w:i/>
          <w:iCs/>
          <w:lang w:val="en-US"/>
        </w:rPr>
        <w:t>P</w:t>
      </w:r>
      <w:r>
        <w:rPr>
          <w:lang w:val="en-US"/>
        </w:rPr>
        <w:t xml:space="preserve"> &lt; .01), androgenetic alopecia (12.26 [SD 6.57] to 9.87 [SD 6.90]; </w:t>
      </w:r>
      <w:r>
        <w:rPr>
          <w:i/>
          <w:iCs/>
          <w:lang w:val="en-US"/>
        </w:rPr>
        <w:t>P</w:t>
      </w:r>
      <w:r>
        <w:rPr>
          <w:lang w:val="en-US"/>
        </w:rPr>
        <w:t xml:space="preserve"> &lt; .01) and alopecia areata (10.56 [SD 4.65] to 7.38 [SD 4.74]; </w:t>
      </w:r>
      <w:r>
        <w:rPr>
          <w:i/>
          <w:iCs/>
          <w:lang w:val="en-US"/>
        </w:rPr>
        <w:t>P</w:t>
      </w:r>
      <w:r>
        <w:rPr>
          <w:lang w:val="en-US"/>
        </w:rPr>
        <w:t xml:space="preserve"> &lt; .01). The remaining 168 patients had not yet reached the six-month visit at the time of the analysis and were not lost to follow-up.</w:t>
      </w:r>
    </w:p>
    <w:p w14:paraId="2A56D721" w14:textId="77777777" w:rsidR="00B45B5B" w:rsidRPr="001B48F5" w:rsidRDefault="005146C7">
      <w:pPr>
        <w:spacing w:before="240" w:after="120"/>
        <w:rPr>
          <w:lang w:val="en-US"/>
        </w:rPr>
      </w:pPr>
      <w:r>
        <w:rPr>
          <w:b/>
          <w:bCs/>
          <w:sz w:val="22"/>
          <w:szCs w:val="22"/>
          <w:lang w:val="en-US"/>
        </w:rPr>
        <w:t>4. DISCUSSION</w:t>
      </w:r>
    </w:p>
    <w:p w14:paraId="6087D811" w14:textId="77777777" w:rsidR="00B45B5B" w:rsidRPr="001B48F5" w:rsidRDefault="005146C7">
      <w:pPr>
        <w:spacing w:after="140" w:line="264" w:lineRule="auto"/>
        <w:jc w:val="both"/>
        <w:rPr>
          <w:lang w:val="en-US"/>
        </w:rPr>
      </w:pPr>
      <w:r>
        <w:rPr>
          <w:lang w:val="en-US"/>
        </w:rPr>
        <w:t>In this prospective study of 318 patients spanning the full spectrum of hair disease, hair disorders had a frequent and clinically meaningful impact on QoL: 87.2% of patients reported some degree of impairment, the mean DLQI of 9.54 corresponded to a moderate effect, and more than one in three patients (36.5%) experienced a severe impact. These figures reinforce the view that hair disorders, although often labelled benign, should not be regarded as trivial from the patient's perspective.</w:t>
      </w:r>
    </w:p>
    <w:p w14:paraId="5678DE2A" w14:textId="77777777" w:rsidR="00B45B5B" w:rsidRPr="001B48F5" w:rsidRDefault="005146C7">
      <w:pPr>
        <w:spacing w:before="160" w:after="90"/>
        <w:rPr>
          <w:lang w:val="en-US"/>
        </w:rPr>
      </w:pPr>
      <w:r>
        <w:rPr>
          <w:b/>
          <w:bCs/>
          <w:sz w:val="22"/>
          <w:szCs w:val="22"/>
          <w:lang w:val="en-US"/>
        </w:rPr>
        <w:t>4.1 The DLQI as a Measurement Tool in Hair Disease</w:t>
      </w:r>
    </w:p>
    <w:p w14:paraId="75EFD0DD" w14:textId="77777777" w:rsidR="00B45B5B" w:rsidRPr="001B48F5" w:rsidRDefault="005146C7">
      <w:pPr>
        <w:spacing w:after="140" w:line="264" w:lineRule="auto"/>
        <w:jc w:val="both"/>
        <w:rPr>
          <w:lang w:val="en-US"/>
        </w:rPr>
      </w:pPr>
      <w:r>
        <w:rPr>
          <w:lang w:val="en-US"/>
        </w:rPr>
        <w:t xml:space="preserve">We deliberately chose the DLQI because it is the best-established dermatology-specific patient-reported outcome measure and is recommended by the EADV Task Force for the assessment of alopecia alongside disease-specific tools (Chernyshov et al., 2021). Its brevity, ease of administration and </w:t>
      </w:r>
      <w:r>
        <w:rPr>
          <w:highlight w:val="yellow"/>
          <w:lang w:val="en-US"/>
        </w:rPr>
        <w:t xml:space="preserve">availability in </w:t>
      </w:r>
      <w:r>
        <w:rPr>
          <w:highlight w:val="yellow"/>
          <w:lang w:val="en-US"/>
        </w:rPr>
        <w:lastRenderedPageBreak/>
        <w:t>numerous validated translations, including the dialectal Arabic version adapted for our population, make it</w:t>
      </w:r>
      <w:r>
        <w:rPr>
          <w:lang w:val="en-US"/>
        </w:rPr>
        <w:t xml:space="preserve"> well suited to routine clinical use and to cross-cultural comparison. At the same time, a generic dermatology instrument may not fully capture concerns that are specific to hair loss, such as the salience of visible scalp involvement or hairstyle-related coping; hair- and disease-specific instruments (for example the Hairdex or the Frontal Fibrosing Alopecia Quality of Life Index) have been developed precisely to address this limitation and, for some conditions, discriminate severe cases more effectively than the DLQI (Fhager et al., 2023; Porriño-Bustamante et al., 2023). Our results should therefore be read as a robust but potentially conservative estimate of the true disease-specific burden.</w:t>
      </w:r>
    </w:p>
    <w:p w14:paraId="0C2CA5CD" w14:textId="77777777" w:rsidR="00B45B5B" w:rsidRPr="001B48F5" w:rsidRDefault="005146C7">
      <w:pPr>
        <w:spacing w:before="160" w:after="90"/>
        <w:rPr>
          <w:lang w:val="en-US"/>
        </w:rPr>
      </w:pPr>
      <w:r>
        <w:rPr>
          <w:b/>
          <w:bCs/>
          <w:sz w:val="22"/>
          <w:szCs w:val="22"/>
          <w:lang w:val="en-US"/>
        </w:rPr>
        <w:t>4.2 Magnitude of Impairment in Context</w:t>
      </w:r>
    </w:p>
    <w:p w14:paraId="27E15229" w14:textId="77777777" w:rsidR="00B45B5B" w:rsidRPr="001B48F5" w:rsidRDefault="005146C7">
      <w:pPr>
        <w:spacing w:after="140" w:line="264" w:lineRule="auto"/>
        <w:jc w:val="both"/>
        <w:rPr>
          <w:lang w:val="en-US"/>
        </w:rPr>
      </w:pPr>
      <w:r>
        <w:rPr>
          <w:lang w:val="en-US"/>
        </w:rPr>
        <w:t xml:space="preserve">The mean DLQI of 9.54 </w:t>
      </w:r>
      <w:r>
        <w:rPr>
          <w:highlight w:val="yellow"/>
          <w:lang w:val="en-US"/>
        </w:rPr>
        <w:t>lies near the middle of the internationally reported range</w:t>
      </w:r>
      <w:r>
        <w:rPr>
          <w:lang w:val="en-US"/>
        </w:rPr>
        <w:t>. A large study of patients with alopecia areata and androgenetic alopecia in China reported a lower mean DLQI of 6.3 (Zhang &amp; Zhang, 2017), whereas more recent comparative work has reported means above 12 for both alopecia areata and androgenetic alopecia, corresponding to a large effect (Samagani et al., 2026). Differences in case mix, disease severity, cultural context and the proportion of scarring alopecias plausibly account for this variation. Notably, our cohort was enriched for frontal fibrosing alopecia and included folliculitis decalvans, a distribution that differs from series dominated by androgenetic alopecia and that may shape the overall score.</w:t>
      </w:r>
    </w:p>
    <w:p w14:paraId="0A19BA93" w14:textId="77777777" w:rsidR="00B45B5B" w:rsidRPr="001B48F5" w:rsidRDefault="005146C7">
      <w:pPr>
        <w:spacing w:before="160" w:after="90"/>
        <w:rPr>
          <w:lang w:val="en-US"/>
        </w:rPr>
      </w:pPr>
      <w:r>
        <w:rPr>
          <w:b/>
          <w:bCs/>
          <w:sz w:val="22"/>
          <w:szCs w:val="22"/>
          <w:lang w:val="en-US"/>
        </w:rPr>
        <w:t>4.3 Frontal Fibrosing Alopecia: The Most Frequent Diagnosis</w:t>
      </w:r>
    </w:p>
    <w:p w14:paraId="18175E6A" w14:textId="77777777" w:rsidR="00B45B5B" w:rsidRPr="001B48F5" w:rsidRDefault="005146C7">
      <w:pPr>
        <w:spacing w:after="140" w:line="264" w:lineRule="auto"/>
        <w:jc w:val="both"/>
        <w:rPr>
          <w:lang w:val="en-US"/>
        </w:rPr>
      </w:pPr>
      <w:r>
        <w:rPr>
          <w:lang w:val="en-US"/>
        </w:rPr>
        <w:t xml:space="preserve">Frontal fibrosing alopecia was the single most common diagnosis in our series, mirroring its markedly rising incidence over the past two decades and its status as the most frequent primary scarring alopecia in many contemporary trichology clinics. Its mean DLQI in our cohort (9.98) was higher than the mild impact typically reported in the literature: previous DLQI-based series have described only a slight average effect, with median scores as low as 2, even though a majority of patients still report some degree of impairment </w:t>
      </w:r>
      <w:r>
        <w:rPr>
          <w:highlight w:val="yellow"/>
          <w:lang w:val="en-US"/>
        </w:rPr>
        <w:t>(Saceda-Corralo et al., 2018)</w:t>
      </w:r>
      <w:r>
        <w:rPr>
          <w:lang w:val="en-US"/>
        </w:rPr>
        <w:t>. Standardised measures of anxiety, depression and illness perception further reveal that many patients experience the condition as a chronic disease with an unpredictable course and significant personal consequences. In our subgroup analysis, marital status was the only factor significantly associated with the DLQI in frontal fibrosing alopecia (</w:t>
      </w:r>
      <w:r>
        <w:rPr>
          <w:i/>
          <w:iCs/>
          <w:lang w:val="en-US"/>
        </w:rPr>
        <w:t>P</w:t>
      </w:r>
      <w:r>
        <w:rPr>
          <w:lang w:val="en-US"/>
        </w:rPr>
        <w:t xml:space="preserve"> = .005). The apparent discrepancy between a sometimes modest DLQI and substantial underlying psychological distress underscores the argument that generic instruments can underestimate the burden of scarring alopecia, and it supports the complementary use of disease-specific tools such as the Frontal Fibrosing Alopecia Quality of Life Index (Porriño-Bustamante et al., 2023).</w:t>
      </w:r>
    </w:p>
    <w:p w14:paraId="538DC726" w14:textId="77777777" w:rsidR="00B45B5B" w:rsidRDefault="005146C7">
      <w:pPr>
        <w:spacing w:before="160" w:after="90"/>
      </w:pPr>
      <w:r>
        <w:rPr>
          <w:b/>
          <w:bCs/>
          <w:sz w:val="22"/>
          <w:szCs w:val="22"/>
        </w:rPr>
        <w:t>4.4 Folliculitis Decalvans: The Highest Burden</w:t>
      </w:r>
    </w:p>
    <w:p w14:paraId="011DD0F4" w14:textId="77777777" w:rsidR="00B45B5B" w:rsidRPr="001B48F5" w:rsidRDefault="005146C7">
      <w:pPr>
        <w:spacing w:after="140" w:line="264" w:lineRule="auto"/>
        <w:jc w:val="both"/>
        <w:rPr>
          <w:lang w:val="en-US"/>
        </w:rPr>
      </w:pPr>
      <w:r>
        <w:rPr>
          <w:lang w:val="en-US"/>
        </w:rPr>
        <w:t>The highest DLQI scores in our cohort were recorded in folliculitis decalvans. This is consistent with the nature of the disease—a chronic, relapsing, neutrophilic scarring alopecia that combines painful follicular pustules, crusting and scalp discomfort with progressive, irreversible hair loss. The first dedicated study of QoL in folliculitis decalvans similarly found a considerable impact on patients' lives, with QoL closely correlated with the emotional representation of the disease; strikingly, nearly half of those patients attributed their condition in part to inadequate past medical care (Pindado-Ortega et al., 2018). The prominent symptomatic component of folliculitis decalvans—pain and inflammation, not only hair loss—likely amplifies its DLQI relative to non-scarring alopecias and reinforces the need for early, effective disease control and for attention to the therapeutic relationship.</w:t>
      </w:r>
    </w:p>
    <w:p w14:paraId="6FE5D370" w14:textId="77777777" w:rsidR="00B45B5B" w:rsidRPr="001B48F5" w:rsidRDefault="005146C7">
      <w:pPr>
        <w:spacing w:before="160" w:after="90"/>
        <w:rPr>
          <w:lang w:val="en-US"/>
        </w:rPr>
      </w:pPr>
      <w:r>
        <w:rPr>
          <w:b/>
          <w:bCs/>
          <w:sz w:val="22"/>
          <w:szCs w:val="22"/>
          <w:lang w:val="en-US"/>
        </w:rPr>
        <w:t>4.5 Aesthetic Concern as the Leading Domain</w:t>
      </w:r>
    </w:p>
    <w:p w14:paraId="5EED75BC" w14:textId="77777777" w:rsidR="00B45B5B" w:rsidRPr="001B48F5" w:rsidRDefault="005146C7">
      <w:pPr>
        <w:spacing w:after="140" w:line="264" w:lineRule="auto"/>
        <w:jc w:val="both"/>
        <w:rPr>
          <w:lang w:val="en-US"/>
        </w:rPr>
      </w:pPr>
      <w:r>
        <w:rPr>
          <w:lang w:val="en-US"/>
        </w:rPr>
        <w:t xml:space="preserve">Aesthetic concern was the most affected DLQI domain, in keeping with the central role of hair in appearance and self-image. This finding parallels reports in alopecia areata, where embarrassment and impaired social interaction are the domains most consistently affected and where the magnitude of impact tracks with the extent of visible hair loss (Reid et al., 2012). </w:t>
      </w:r>
      <w:r>
        <w:rPr>
          <w:highlight w:val="yellow"/>
          <w:lang w:val="en-US"/>
        </w:rPr>
        <w:t>This finding also illustrates the psychosocial mechanism</w:t>
      </w:r>
      <w:r>
        <w:rPr>
          <w:lang w:val="en-US"/>
        </w:rPr>
        <w:t xml:space="preserve"> through which even limited or slowly progressive hair loss can meaningfully erode wellbeing.</w:t>
      </w:r>
    </w:p>
    <w:p w14:paraId="56CA9106" w14:textId="77777777" w:rsidR="00B45B5B" w:rsidRPr="001B48F5" w:rsidRDefault="005146C7">
      <w:pPr>
        <w:spacing w:before="160" w:after="90"/>
        <w:rPr>
          <w:lang w:val="en-US"/>
        </w:rPr>
      </w:pPr>
      <w:r>
        <w:rPr>
          <w:b/>
          <w:bCs/>
          <w:sz w:val="22"/>
          <w:szCs w:val="22"/>
          <w:lang w:val="en-US"/>
        </w:rPr>
        <w:lastRenderedPageBreak/>
        <w:t>4.6 Androgenetic Alopecia and Alopecia Areata</w:t>
      </w:r>
    </w:p>
    <w:p w14:paraId="342A8A51" w14:textId="77777777" w:rsidR="00B45B5B" w:rsidRPr="001B48F5" w:rsidRDefault="005146C7">
      <w:pPr>
        <w:spacing w:after="140" w:line="264" w:lineRule="auto"/>
        <w:jc w:val="both"/>
        <w:rPr>
          <w:lang w:val="en-US"/>
        </w:rPr>
      </w:pPr>
      <w:r>
        <w:rPr>
          <w:lang w:val="en-US"/>
        </w:rPr>
        <w:t>For androgenetic alopecia, our mean DLQI (9.00) fell between the values reported in the international literature: it was higher than the moderate mean of 6.3 reported in a large Chinese series (Zhang &amp; Zhang, 2017), but lower than the pronounced impairment described in South Asian cohorts, where mean DLQI scores in the very-large-effect band have been reported and personal relationships emerged as the most affected item (Gupta et al., 2019). A recent systematic review and meta-analysis situated the pooled DLQI for androgenetic alopecia within the moderate range, confirming an average burden consistent with our finding (Huang et al., 2021). In our androgenetic alopecia subgroup, educational level was the only variable significantly associated with the DLQI (</w:t>
      </w:r>
      <w:r>
        <w:rPr>
          <w:i/>
          <w:iCs/>
          <w:lang w:val="en-US"/>
        </w:rPr>
        <w:t>P</w:t>
      </w:r>
      <w:r>
        <w:rPr>
          <w:lang w:val="en-US"/>
        </w:rPr>
        <w:t xml:space="preserve"> = .002).</w:t>
      </w:r>
    </w:p>
    <w:p w14:paraId="5F0917EC" w14:textId="77777777" w:rsidR="00B45B5B" w:rsidRPr="001B48F5" w:rsidRDefault="005146C7">
      <w:pPr>
        <w:spacing w:after="140" w:line="264" w:lineRule="auto"/>
        <w:jc w:val="both"/>
        <w:rPr>
          <w:lang w:val="en-US"/>
        </w:rPr>
      </w:pPr>
      <w:r>
        <w:rPr>
          <w:lang w:val="en-US"/>
        </w:rPr>
        <w:t xml:space="preserve">In alopecia areata, the mean DLQI (10.22) again indicated a moderate impact, but no epidemiological factor reached statistical significance within this subgroup. This contrasts with earlier work linking greater impairment to nail involvement, a positive family history and more severe or extensive disease, and it may reflect differences in case mix or sample size. Nonetheless, the substantial impact we observed is in keeping with the well-documented psychosocial burden of alopecia areata, </w:t>
      </w:r>
      <w:r>
        <w:rPr>
          <w:highlight w:val="yellow"/>
          <w:lang w:val="en-US"/>
        </w:rPr>
        <w:t>for which Janus kinase inhibitors are increasingly used, with accompanying QoL benefits</w:t>
      </w:r>
      <w:r>
        <w:rPr>
          <w:lang w:val="en-US"/>
        </w:rPr>
        <w:t xml:space="preserve"> (King et al., 2022, 2024).</w:t>
      </w:r>
    </w:p>
    <w:p w14:paraId="7AE7920C" w14:textId="77777777" w:rsidR="00B45B5B" w:rsidRPr="001B48F5" w:rsidRDefault="005146C7">
      <w:pPr>
        <w:spacing w:before="160" w:after="90"/>
        <w:rPr>
          <w:lang w:val="en-US"/>
        </w:rPr>
      </w:pPr>
      <w:r>
        <w:rPr>
          <w:b/>
          <w:bCs/>
          <w:sz w:val="22"/>
          <w:szCs w:val="22"/>
          <w:lang w:val="en-US"/>
        </w:rPr>
        <w:t>4.7 Factors Associated with Greater Impairment</w:t>
      </w:r>
    </w:p>
    <w:p w14:paraId="20DAC3FB" w14:textId="77777777" w:rsidR="00B45B5B" w:rsidRPr="001B48F5" w:rsidRDefault="005146C7">
      <w:pPr>
        <w:spacing w:after="140" w:line="264" w:lineRule="auto"/>
        <w:jc w:val="both"/>
        <w:rPr>
          <w:lang w:val="en-US"/>
        </w:rPr>
      </w:pPr>
      <w:r>
        <w:rPr>
          <w:lang w:val="en-US"/>
        </w:rPr>
        <w:t xml:space="preserve">Younger age (under 30 years) was associated with greater impairment, consistent with previous work identifying younger patients—and, in particular, adolescents—as especially vulnerable to the psychosocial consequences of hair loss (Zhang &amp; Zhang, 2017; Hanson et al., 2025). </w:t>
      </w:r>
      <w:r>
        <w:rPr>
          <w:highlight w:val="yellow"/>
          <w:lang w:val="en-US"/>
        </w:rPr>
        <w:t>Being single was strongly associated with higher scores</w:t>
      </w:r>
      <w:r>
        <w:rPr>
          <w:lang w:val="en-US"/>
        </w:rPr>
        <w:t xml:space="preserve">, plausibly reflecting the heightened relevance of appearance to the formation of new relationships and the protective role of an established partnership. Rural residence emerged as a further risk factor, which may relate to differences in social exposure, stigma, health literacy or access to specialised care. The association between earlier consultation and lower DLQI </w:t>
      </w:r>
      <w:r>
        <w:rPr>
          <w:highlight w:val="yellow"/>
          <w:lang w:val="en-US"/>
        </w:rPr>
        <w:t>can be interpreted in two complementary ways</w:t>
      </w:r>
      <w:r>
        <w:rPr>
          <w:lang w:val="en-US"/>
        </w:rPr>
        <w:t>: patients with milder impairment may present sooner, and earlier care may itself limit disease progression and its psychosocial sequelae; the very long median delay of 24 months in our cohort highlights an important opportunity for earlier intervention.</w:t>
      </w:r>
    </w:p>
    <w:p w14:paraId="039D4423" w14:textId="77777777" w:rsidR="00B45B5B" w:rsidRPr="001B48F5" w:rsidRDefault="005146C7">
      <w:pPr>
        <w:spacing w:after="140" w:line="264" w:lineRule="auto"/>
        <w:jc w:val="both"/>
        <w:rPr>
          <w:lang w:val="en-US"/>
        </w:rPr>
      </w:pPr>
      <w:r>
        <w:rPr>
          <w:lang w:val="en-US"/>
        </w:rPr>
        <w:t>We found no significant association between DLQI and sex. Although several studies suggest that women experience greater QoL impairment from hair loss, the marked female predominance of our cohort (81.8%) limited the statistical power to detect a sex difference. The absence of an association with disease duration is in line with observations that clinical chronicity does not map neatly onto perceived burden.</w:t>
      </w:r>
    </w:p>
    <w:p w14:paraId="434B9EEC" w14:textId="77777777" w:rsidR="00B45B5B" w:rsidRPr="001B48F5" w:rsidRDefault="005146C7">
      <w:pPr>
        <w:spacing w:before="160" w:after="90"/>
        <w:rPr>
          <w:lang w:val="en-US"/>
        </w:rPr>
      </w:pPr>
      <w:r>
        <w:rPr>
          <w:b/>
          <w:bCs/>
          <w:sz w:val="22"/>
          <w:szCs w:val="22"/>
          <w:lang w:val="en-US"/>
        </w:rPr>
        <w:t>4.8 Clinical Severity Does Not Predict Quality of Life</w:t>
      </w:r>
    </w:p>
    <w:p w14:paraId="471CA404" w14:textId="77777777" w:rsidR="00B45B5B" w:rsidRPr="001B48F5" w:rsidRDefault="005146C7">
      <w:pPr>
        <w:spacing w:after="140" w:line="264" w:lineRule="auto"/>
        <w:jc w:val="both"/>
        <w:rPr>
          <w:lang w:val="en-US"/>
        </w:rPr>
      </w:pPr>
      <w:r>
        <w:rPr>
          <w:lang w:val="en-US"/>
        </w:rPr>
        <w:t>An important conceptual point emerging from our data is that objectively assessed disease characteristics correlate imperfectly with patient-reported impairment. This aligns with the observation that clinical severity does not reliably predict QoL in women with alopecia areata, telogen effluvium or androgenetic alopecia, and that patients' own ratings of hair-loss severity correlate more strongly with QoL than clinicians' assessments (Reid et al., 2012). This dissociation is a strong argument for routinely incorporating patient-reported outcomes such as the DLQI into trichological practice rather than relying on clinical severity alone.</w:t>
      </w:r>
    </w:p>
    <w:p w14:paraId="30CD16F4" w14:textId="77777777" w:rsidR="00B45B5B" w:rsidRDefault="005146C7">
      <w:pPr>
        <w:spacing w:before="160" w:after="90"/>
      </w:pPr>
      <w:r>
        <w:rPr>
          <w:b/>
          <w:bCs/>
          <w:sz w:val="22"/>
          <w:szCs w:val="22"/>
        </w:rPr>
        <w:t>4.9 Improvement with Treatment</w:t>
      </w:r>
    </w:p>
    <w:p w14:paraId="46F65EE4" w14:textId="77777777" w:rsidR="00B45B5B" w:rsidRPr="001B48F5" w:rsidRDefault="005146C7">
      <w:pPr>
        <w:spacing w:after="140" w:line="264" w:lineRule="auto"/>
        <w:jc w:val="both"/>
        <w:rPr>
          <w:lang w:val="en-US"/>
        </w:rPr>
      </w:pPr>
      <w:r>
        <w:rPr>
          <w:lang w:val="en-US"/>
        </w:rPr>
        <w:t xml:space="preserve">A key strength of our study is the demonstration of a significant improvement in mean DLQI after six months of treatment, with comparable benefit across frontal fibrosing alopecia, androgenetic alopecia and alopecia areata. </w:t>
      </w:r>
      <w:r>
        <w:rPr>
          <w:highlight w:val="yellow"/>
          <w:lang w:val="en-US"/>
        </w:rPr>
        <w:t>This finding supports the responsiveness of the DLQI to clinical change</w:t>
      </w:r>
      <w:r>
        <w:rPr>
          <w:lang w:val="en-US"/>
        </w:rPr>
        <w:t xml:space="preserve"> and supports its use not only for cross-sectional description but also for longitudinal monitoring. The finding is timely: the therapeutic landscape of severe alopecia areata has been transformed by the approval, since 2022, of Janus kinase inhibitors (baricitinib, ritlecitinib and deuruxolitinib), which achieve substantial hair regrowth and are accompanied by measurable gains in QoL (King et al., 2022, 2024). Instruments such as the DLQI provide </w:t>
      </w:r>
      <w:r>
        <w:rPr>
          <w:lang w:val="en-US"/>
        </w:rPr>
        <w:lastRenderedPageBreak/>
        <w:t>the patient-centred metric against which such advances, and more established treatments for other hair disorders, can be judged.</w:t>
      </w:r>
    </w:p>
    <w:p w14:paraId="74A318E8" w14:textId="77777777" w:rsidR="00B45B5B" w:rsidRPr="001B48F5" w:rsidRDefault="005146C7">
      <w:pPr>
        <w:spacing w:before="160" w:after="90"/>
        <w:rPr>
          <w:lang w:val="en-US"/>
        </w:rPr>
      </w:pPr>
      <w:r>
        <w:rPr>
          <w:b/>
          <w:bCs/>
          <w:sz w:val="22"/>
          <w:szCs w:val="22"/>
          <w:lang w:val="en-US"/>
        </w:rPr>
        <w:t>4.10 Clinical Implications</w:t>
      </w:r>
    </w:p>
    <w:p w14:paraId="2FFF7272" w14:textId="77777777" w:rsidR="00B45B5B" w:rsidRPr="001B48F5" w:rsidRDefault="005146C7">
      <w:pPr>
        <w:spacing w:after="140" w:line="264" w:lineRule="auto"/>
        <w:jc w:val="both"/>
        <w:rPr>
          <w:lang w:val="en-US"/>
        </w:rPr>
      </w:pPr>
      <w:r>
        <w:rPr>
          <w:lang w:val="en-US"/>
        </w:rPr>
        <w:t xml:space="preserve">Taken together, our findings argue for a management model that looks beyond the scalp. Systematically screening for QoL impairment—and paying particular attention to younger, single and rural patients and to those with folliculitis decalvans or other scarring alopecias—can help identify individuals who would benefit most from support. Because a substantial minority of patients experience a severe impact, the integration of psychological or psychiatric support into routine trichological care, together with timely and effective disease-directed treatment, </w:t>
      </w:r>
      <w:r>
        <w:rPr>
          <w:highlight w:val="yellow"/>
          <w:lang w:val="en-US"/>
        </w:rPr>
        <w:t>may improve overall patient outcomes</w:t>
      </w:r>
      <w:r>
        <w:rPr>
          <w:lang w:val="en-US"/>
        </w:rPr>
        <w:t>.</w:t>
      </w:r>
    </w:p>
    <w:p w14:paraId="75D6441F" w14:textId="77777777" w:rsidR="00B45B5B" w:rsidRPr="001B48F5" w:rsidRDefault="005146C7">
      <w:pPr>
        <w:spacing w:before="160" w:after="90"/>
        <w:rPr>
          <w:lang w:val="en-US"/>
        </w:rPr>
      </w:pPr>
      <w:r>
        <w:rPr>
          <w:b/>
          <w:bCs/>
          <w:sz w:val="22"/>
          <w:szCs w:val="22"/>
          <w:lang w:val="en-US"/>
        </w:rPr>
        <w:t>4.11 Strengths and Limitations</w:t>
      </w:r>
    </w:p>
    <w:p w14:paraId="380048C1" w14:textId="77777777" w:rsidR="00B45B5B" w:rsidRPr="001B48F5" w:rsidRDefault="005146C7">
      <w:pPr>
        <w:spacing w:after="140" w:line="264" w:lineRule="auto"/>
        <w:jc w:val="both"/>
        <w:rPr>
          <w:lang w:val="en-US"/>
        </w:rPr>
      </w:pPr>
      <w:r>
        <w:rPr>
          <w:lang w:val="en-US"/>
        </w:rPr>
        <w:t>The principal strengths of this work are its prospective design, its large sample size, its use of a validated dialectal Arabic version of the DLQI, and—unusually—its assessment of a wide spectrum of hair disorders together with a six-month follow-up after treatment. Several limitations should be acknowledged. The study was conducted at a single tertiary centre, which may limit generalisability and could over-represent complex or severe cases. The exclusion of patients with known psychiatric disorders, while methodologically justified, may lead to an underestimation of the true psychosocial burden. The DLQI, although validated and widely used, is a generic dermatology instrument and may not fully capture hair-specific concerns; complementary disease-specific tools and formal measures of anxiety and depression were not used. Finally, as an observational study, residual confounding cannot be excluded, and the exact treatments administered varied by diagnosis.</w:t>
      </w:r>
    </w:p>
    <w:p w14:paraId="7DF3F8BD" w14:textId="77777777" w:rsidR="00FA5CAD" w:rsidRPr="00FA5CAD" w:rsidRDefault="005146C7" w:rsidP="00FA5CAD">
      <w:pPr>
        <w:spacing w:before="100" w:beforeAutospacing="1" w:after="100" w:afterAutospacing="1"/>
        <w:outlineLvl w:val="1"/>
        <w:rPr>
          <w:rFonts w:ascii="Times New Roman" w:eastAsia="Times New Roman" w:hAnsi="Times New Roman" w:cs="Times New Roman"/>
          <w:b/>
          <w:bCs/>
          <w:sz w:val="36"/>
          <w:szCs w:val="36"/>
          <w:lang w:val="en-US" w:eastAsia="en-US"/>
        </w:rPr>
      </w:pPr>
      <w:r>
        <w:rPr>
          <w:b/>
          <w:bCs/>
          <w:sz w:val="22"/>
          <w:szCs w:val="22"/>
          <w:lang w:val="en-US"/>
        </w:rPr>
        <w:t xml:space="preserve">5. </w:t>
      </w:r>
      <w:r>
        <w:rPr>
          <w:rFonts w:ascii="Times New Roman" w:eastAsia="Times New Roman" w:hAnsi="Times New Roman" w:cs="Times New Roman"/>
          <w:b/>
          <w:bCs/>
          <w:sz w:val="36"/>
          <w:szCs w:val="36"/>
          <w:lang w:val="en-US" w:eastAsia="en-US"/>
        </w:rPr>
        <w:t>Conclusion</w:t>
      </w:r>
    </w:p>
    <w:p w14:paraId="139A68B1" w14:textId="77777777" w:rsidR="00FA5CAD" w:rsidRPr="00FA5CAD" w:rsidRDefault="00FA5CAD" w:rsidP="00FA5CAD">
      <w:pPr>
        <w:spacing w:before="100" w:beforeAutospacing="1" w:after="100" w:afterAutospacing="1"/>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Hair disorders were associated with measurable quality-of-life impairment in most participants, with an overall mean Dermatology Life Quality Index score indicating a moderate effect. Higher scores were observed among patients younger than 30 years, those who were single and those living in rural areas. Folliculitis decalvans was associated with the highest mean disease-specific score, although interpretation requires consideration of the number of patients within each diagnostic group. Quality-of-life scores decreased after six months of treatment, but the observational design does not establish that treatment alone caused this change. Incorporating patient-reported quality-of-life assessment into dermatological practice may help identify individuals experiencing substantial psychosocial burden and guide appropriate supportive care alongside disease-directed management.</w:t>
      </w:r>
    </w:p>
    <w:p w14:paraId="0AE4B2D5" w14:textId="77777777" w:rsidR="00FA5CAD" w:rsidRPr="00FA5CAD" w:rsidRDefault="00FA5CAD" w:rsidP="00FA5CAD">
      <w:pPr>
        <w:rPr>
          <w:rFonts w:ascii="Times New Roman" w:eastAsia="Calibri" w:hAnsi="Times New Roman" w:cs="Times New Roman"/>
          <w:b/>
          <w:sz w:val="22"/>
          <w:szCs w:val="22"/>
          <w:lang w:val="en-US" w:eastAsia="en-US"/>
        </w:rPr>
      </w:pPr>
      <w:r>
        <w:rPr>
          <w:rFonts w:ascii="Times New Roman" w:eastAsia="Calibri" w:hAnsi="Times New Roman" w:cs="Times New Roman"/>
          <w:b/>
          <w:sz w:val="22"/>
          <w:szCs w:val="22"/>
          <w:lang w:val="en-US" w:eastAsia="en-US"/>
        </w:rPr>
        <w:t>Declaration of AI Use</w:t>
      </w:r>
    </w:p>
    <w:p w14:paraId="02AD4A0F" w14:textId="77777777" w:rsidR="00FA5CAD" w:rsidRPr="00FA5CAD" w:rsidRDefault="00FA5CAD" w:rsidP="00FA5CAD">
      <w:pPr>
        <w:rPr>
          <w:rFonts w:ascii="Times New Roman" w:eastAsia="Calibri" w:hAnsi="Times New Roman" w:cs="Times New Roman"/>
          <w:sz w:val="22"/>
          <w:szCs w:val="22"/>
          <w:lang w:val="en-US" w:eastAsia="en-US"/>
        </w:rPr>
      </w:pPr>
    </w:p>
    <w:p w14:paraId="4CFEC929" w14:textId="77777777" w:rsidR="00FA5CAD" w:rsidRPr="00FA5CAD" w:rsidRDefault="00FA5CAD" w:rsidP="00FA5CAD">
      <w:pPr>
        <w:jc w:val="both"/>
        <w:rPr>
          <w:rFonts w:ascii="Times New Roman" w:eastAsia="Calibri" w:hAnsi="Times New Roman" w:cs="Times New Roman"/>
          <w:sz w:val="22"/>
          <w:szCs w:val="22"/>
          <w:lang w:val="en-US" w:eastAsia="en-US"/>
        </w:rPr>
      </w:pPr>
      <w:r>
        <w:rPr>
          <w:rFonts w:ascii="Times New Roman" w:eastAsia="Calibri" w:hAnsi="Times New Roman" w:cs="Times New Roman"/>
          <w:sz w:val="22"/>
          <w:szCs w:val="22"/>
          <w:lang w:val="en-US" w:eastAsia="en-US"/>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w:t>
      </w:r>
      <w:r>
        <w:rPr>
          <w:rFonts w:ascii="Times New Roman" w:eastAsia="Calibri" w:hAnsi="Times New Roman" w:cs="Times New Roman"/>
          <w:sz w:val="22"/>
          <w:szCs w:val="22"/>
          <w:highlight w:val="yellow"/>
          <w:lang w:val="en-US" w:eastAsia="en-US"/>
        </w:rPr>
        <w:t>grammar checking, language refinement and reference formatting</w:t>
      </w:r>
      <w:r>
        <w:rPr>
          <w:rFonts w:ascii="Times New Roman" w:eastAsia="Calibri" w:hAnsi="Times New Roman" w:cs="Times New Roman"/>
          <w:sz w:val="22"/>
          <w:szCs w:val="22"/>
          <w:lang w:val="en-US" w:eastAsia="en-US"/>
        </w:rPr>
        <w:t>.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5780E13" w14:textId="77777777" w:rsidR="00FA5CAD" w:rsidRDefault="00FA5CAD" w:rsidP="00FA5CAD">
      <w:pPr>
        <w:spacing w:before="240" w:after="120"/>
        <w:rPr>
          <w:b/>
          <w:bCs/>
          <w:sz w:val="22"/>
          <w:szCs w:val="22"/>
          <w:lang w:val="en-US"/>
        </w:rPr>
      </w:pPr>
    </w:p>
    <w:p w14:paraId="49C0DA20" w14:textId="77777777" w:rsidR="00B45B5B" w:rsidRPr="001B48F5" w:rsidRDefault="005146C7">
      <w:pPr>
        <w:spacing w:before="240" w:after="120"/>
        <w:rPr>
          <w:lang w:val="en-US"/>
        </w:rPr>
      </w:pPr>
      <w:r>
        <w:rPr>
          <w:b/>
          <w:bCs/>
          <w:sz w:val="22"/>
          <w:szCs w:val="22"/>
          <w:lang w:val="en-US"/>
        </w:rPr>
        <w:lastRenderedPageBreak/>
        <w:t>CONSENT</w:t>
      </w:r>
    </w:p>
    <w:p w14:paraId="067CD4B2" w14:textId="77777777" w:rsidR="00B45B5B" w:rsidRPr="001B48F5" w:rsidRDefault="005146C7" w:rsidP="00A0137B">
      <w:pPr>
        <w:spacing w:after="140" w:line="264" w:lineRule="auto"/>
        <w:jc w:val="both"/>
        <w:rPr>
          <w:lang w:val="en-US"/>
        </w:rPr>
      </w:pPr>
      <w:r>
        <w:rPr>
          <w:lang w:val="en-US"/>
        </w:rPr>
        <w:t xml:space="preserve">All authors declare that written informed consent was obtained from the participants for their inclusion in the study. </w:t>
      </w:r>
    </w:p>
    <w:p w14:paraId="7DF866AF" w14:textId="77777777" w:rsidR="00B45B5B" w:rsidRPr="001B48F5" w:rsidRDefault="005146C7">
      <w:pPr>
        <w:spacing w:before="240" w:after="120"/>
        <w:rPr>
          <w:lang w:val="en-US"/>
        </w:rPr>
      </w:pPr>
      <w:r>
        <w:rPr>
          <w:b/>
          <w:bCs/>
          <w:sz w:val="22"/>
          <w:szCs w:val="22"/>
          <w:lang w:val="en-US"/>
        </w:rPr>
        <w:t>ETHICAL APPROVAL</w:t>
      </w:r>
    </w:p>
    <w:p w14:paraId="3D88465A" w14:textId="77777777" w:rsidR="00B45B5B" w:rsidRPr="001B48F5" w:rsidRDefault="005146C7">
      <w:pPr>
        <w:spacing w:after="140" w:line="264" w:lineRule="auto"/>
        <w:jc w:val="both"/>
        <w:rPr>
          <w:lang w:val="en-US"/>
        </w:rPr>
      </w:pPr>
      <w:r>
        <w:rPr>
          <w:lang w:val="en-US"/>
        </w:rPr>
        <w:t xml:space="preserve">All authors hereby declare that the study was examined and approved by the appropriate ethics committee and has therefore been performed in accordance with the ethical standards laid down in the 1964 Declaration of Helsinki. </w:t>
      </w:r>
    </w:p>
    <w:p w14:paraId="2FFFD16C" w14:textId="77777777" w:rsidR="00B45B5B" w:rsidRDefault="005146C7">
      <w:pPr>
        <w:spacing w:before="240" w:after="120"/>
        <w:rPr>
          <w:b/>
          <w:bCs/>
          <w:sz w:val="22"/>
          <w:szCs w:val="22"/>
        </w:rPr>
      </w:pPr>
      <w:r>
        <w:rPr>
          <w:b/>
          <w:bCs/>
          <w:sz w:val="22"/>
          <w:szCs w:val="22"/>
        </w:rPr>
        <w:t>REFERENCES</w:t>
      </w:r>
    </w:p>
    <w:p w14:paraId="0907615C" w14:textId="77777777" w:rsidR="002F1D73" w:rsidRPr="002F1D73" w:rsidRDefault="002F1D73" w:rsidP="002F1D73">
      <w:pPr>
        <w:rPr>
          <w:rFonts w:ascii="Times New Roman" w:eastAsia="Times New Roman" w:hAnsi="Times New Roman" w:cs="Times New Roman"/>
          <w:sz w:val="24"/>
          <w:szCs w:val="24"/>
          <w:lang w:val="en-US" w:eastAsia="en-US"/>
        </w:rPr>
      </w:pPr>
      <w:proofErr w:type="gramStart"/>
      <w:r w:rsidRPr="002F1D73">
        <w:rPr>
          <w:rFonts w:ascii="Times New Roman" w:eastAsia="Times New Roman" w:hAnsi="Symbol" w:cs="Times New Roman"/>
          <w:sz w:val="24"/>
          <w:szCs w:val="24"/>
          <w:lang w:val="en-US" w:eastAsia="en-US"/>
        </w:rPr>
        <w:t></w:t>
      </w:r>
      <w:r w:rsidRPr="002F1D73">
        <w:rPr>
          <w:rFonts w:ascii="Times New Roman" w:eastAsia="Times New Roman" w:hAnsi="Times New Roman" w:cs="Times New Roman"/>
          <w:sz w:val="24"/>
          <w:szCs w:val="24"/>
          <w:lang w:val="en-US" w:eastAsia="en-US"/>
        </w:rPr>
        <w:t xml:space="preserve">  Chatterjee</w:t>
      </w:r>
      <w:proofErr w:type="gramEnd"/>
      <w:r w:rsidRPr="002F1D73">
        <w:rPr>
          <w:rFonts w:ascii="Times New Roman" w:eastAsia="Times New Roman" w:hAnsi="Times New Roman" w:cs="Times New Roman"/>
          <w:sz w:val="24"/>
          <w:szCs w:val="24"/>
          <w:lang w:val="en-US" w:eastAsia="en-US"/>
        </w:rPr>
        <w:t xml:space="preserve">, S., Chakraborty, T., Das, M., Paul, N., Guria, S., &amp; Ghosh, S. (2026). Alopecia areata: A comprehensive review of pathogenesis, diagnosis, and emerging therapeutics. </w:t>
      </w:r>
      <w:r w:rsidRPr="002F1D73">
        <w:rPr>
          <w:rFonts w:ascii="Times New Roman" w:eastAsia="Times New Roman" w:hAnsi="Times New Roman" w:cs="Times New Roman"/>
          <w:i/>
          <w:iCs/>
          <w:sz w:val="24"/>
          <w:szCs w:val="24"/>
          <w:lang w:val="en-US" w:eastAsia="en-US"/>
        </w:rPr>
        <w:t>Journal of Advances in Biology &amp; Biotechnology, 29</w:t>
      </w:r>
      <w:r w:rsidRPr="002F1D73">
        <w:rPr>
          <w:rFonts w:ascii="Times New Roman" w:eastAsia="Times New Roman" w:hAnsi="Times New Roman" w:cs="Times New Roman"/>
          <w:sz w:val="24"/>
          <w:szCs w:val="24"/>
          <w:lang w:val="en-US" w:eastAsia="en-US"/>
        </w:rPr>
        <w:t xml:space="preserve">(2), 318–343. </w:t>
      </w:r>
      <w:hyperlink r:id="rId7" w:history="1">
        <w:r w:rsidRPr="002F1D73">
          <w:rPr>
            <w:rFonts w:ascii="Times New Roman" w:eastAsia="Times New Roman" w:hAnsi="Times New Roman" w:cs="Times New Roman"/>
            <w:color w:val="0000FF"/>
            <w:sz w:val="24"/>
            <w:szCs w:val="24"/>
            <w:u w:val="single"/>
            <w:lang w:val="en-US" w:eastAsia="en-US"/>
          </w:rPr>
          <w:t>https://doi.org/10.9734/jabb/2026/v29i23641</w:t>
        </w:r>
      </w:hyperlink>
    </w:p>
    <w:p w14:paraId="7B2EC296" w14:textId="77777777" w:rsidR="002F1D73" w:rsidRPr="002F1D73" w:rsidRDefault="002F1D73" w:rsidP="002F1D73">
      <w:pPr>
        <w:rPr>
          <w:rFonts w:ascii="Times New Roman" w:eastAsia="Times New Roman" w:hAnsi="Times New Roman" w:cs="Times New Roman"/>
          <w:sz w:val="24"/>
          <w:szCs w:val="24"/>
          <w:lang w:val="en-US" w:eastAsia="en-US"/>
        </w:rPr>
      </w:pPr>
      <w:proofErr w:type="gramStart"/>
      <w:r w:rsidRPr="002F1D73">
        <w:rPr>
          <w:rFonts w:ascii="Times New Roman" w:eastAsia="Times New Roman" w:hAnsi="Symbol" w:cs="Times New Roman"/>
          <w:sz w:val="24"/>
          <w:szCs w:val="24"/>
          <w:lang w:val="en-US" w:eastAsia="en-US"/>
        </w:rPr>
        <w:t></w:t>
      </w:r>
      <w:r w:rsidRPr="002F1D73">
        <w:rPr>
          <w:rFonts w:ascii="Times New Roman" w:eastAsia="Times New Roman" w:hAnsi="Times New Roman" w:cs="Times New Roman"/>
          <w:sz w:val="24"/>
          <w:szCs w:val="24"/>
          <w:lang w:val="en-US" w:eastAsia="en-US"/>
        </w:rPr>
        <w:t xml:space="preserve">  Chernyshov</w:t>
      </w:r>
      <w:proofErr w:type="gramEnd"/>
      <w:r w:rsidRPr="002F1D73">
        <w:rPr>
          <w:rFonts w:ascii="Times New Roman" w:eastAsia="Times New Roman" w:hAnsi="Times New Roman" w:cs="Times New Roman"/>
          <w:sz w:val="24"/>
          <w:szCs w:val="24"/>
          <w:lang w:val="en-US" w:eastAsia="en-US"/>
        </w:rPr>
        <w:t xml:space="preserve">, P. V., Tomas-Aragones, L., Finlay, A. Y., Manolache, L., Marron, S. E., Sampogna, F., </w:t>
      </w:r>
      <w:proofErr w:type="spellStart"/>
      <w:r w:rsidRPr="002F1D73">
        <w:rPr>
          <w:rFonts w:ascii="Times New Roman" w:eastAsia="Times New Roman" w:hAnsi="Times New Roman" w:cs="Times New Roman"/>
          <w:sz w:val="24"/>
          <w:szCs w:val="24"/>
          <w:lang w:val="en-US" w:eastAsia="en-US"/>
        </w:rPr>
        <w:t>Spillekom</w:t>
      </w:r>
      <w:proofErr w:type="spellEnd"/>
      <w:r w:rsidRPr="002F1D73">
        <w:rPr>
          <w:rFonts w:ascii="Times New Roman" w:eastAsia="Times New Roman" w:hAnsi="Times New Roman" w:cs="Times New Roman"/>
          <w:sz w:val="24"/>
          <w:szCs w:val="24"/>
          <w:lang w:val="en-US" w:eastAsia="en-US"/>
        </w:rPr>
        <w:t xml:space="preserve">-van Koulil, S., </w:t>
      </w:r>
      <w:proofErr w:type="spellStart"/>
      <w:r w:rsidRPr="002F1D73">
        <w:rPr>
          <w:rFonts w:ascii="Times New Roman" w:eastAsia="Times New Roman" w:hAnsi="Times New Roman" w:cs="Times New Roman"/>
          <w:sz w:val="24"/>
          <w:szCs w:val="24"/>
          <w:lang w:val="en-US" w:eastAsia="en-US"/>
        </w:rPr>
        <w:t>Pustisek</w:t>
      </w:r>
      <w:proofErr w:type="spellEnd"/>
      <w:r w:rsidRPr="002F1D73">
        <w:rPr>
          <w:rFonts w:ascii="Times New Roman" w:eastAsia="Times New Roman" w:hAnsi="Times New Roman" w:cs="Times New Roman"/>
          <w:sz w:val="24"/>
          <w:szCs w:val="24"/>
          <w:lang w:val="en-US" w:eastAsia="en-US"/>
        </w:rPr>
        <w:t xml:space="preserve">, N., Suru, A., Evers, A. W. M., </w:t>
      </w:r>
      <w:proofErr w:type="spellStart"/>
      <w:r w:rsidRPr="002F1D73">
        <w:rPr>
          <w:rFonts w:ascii="Times New Roman" w:eastAsia="Times New Roman" w:hAnsi="Times New Roman" w:cs="Times New Roman"/>
          <w:sz w:val="24"/>
          <w:szCs w:val="24"/>
          <w:lang w:val="en-US" w:eastAsia="en-US"/>
        </w:rPr>
        <w:t>Salavastru</w:t>
      </w:r>
      <w:proofErr w:type="spellEnd"/>
      <w:r w:rsidRPr="002F1D73">
        <w:rPr>
          <w:rFonts w:ascii="Times New Roman" w:eastAsia="Times New Roman" w:hAnsi="Times New Roman" w:cs="Times New Roman"/>
          <w:sz w:val="24"/>
          <w:szCs w:val="24"/>
          <w:lang w:val="en-US" w:eastAsia="en-US"/>
        </w:rPr>
        <w:t xml:space="preserve">, C., Svensson, A., Abeni, D., Blome, C., Poot, F., </w:t>
      </w:r>
      <w:proofErr w:type="spellStart"/>
      <w:r w:rsidRPr="002F1D73">
        <w:rPr>
          <w:rFonts w:ascii="Times New Roman" w:eastAsia="Times New Roman" w:hAnsi="Times New Roman" w:cs="Times New Roman"/>
          <w:sz w:val="24"/>
          <w:szCs w:val="24"/>
          <w:lang w:val="en-US" w:eastAsia="en-US"/>
        </w:rPr>
        <w:t>Jemec</w:t>
      </w:r>
      <w:proofErr w:type="spellEnd"/>
      <w:r w:rsidRPr="002F1D73">
        <w:rPr>
          <w:rFonts w:ascii="Times New Roman" w:eastAsia="Times New Roman" w:hAnsi="Times New Roman" w:cs="Times New Roman"/>
          <w:sz w:val="24"/>
          <w:szCs w:val="24"/>
          <w:lang w:val="en-US" w:eastAsia="en-US"/>
        </w:rPr>
        <w:t xml:space="preserve">, G. B. E., Linder, D., Augustin, M., Bewley, A., … </w:t>
      </w:r>
      <w:proofErr w:type="spellStart"/>
      <w:r w:rsidRPr="002F1D73">
        <w:rPr>
          <w:rFonts w:ascii="Times New Roman" w:eastAsia="Times New Roman" w:hAnsi="Times New Roman" w:cs="Times New Roman"/>
          <w:sz w:val="24"/>
          <w:szCs w:val="24"/>
          <w:lang w:val="en-US" w:eastAsia="en-US"/>
        </w:rPr>
        <w:t>Szepietowski</w:t>
      </w:r>
      <w:proofErr w:type="spellEnd"/>
      <w:r w:rsidRPr="002F1D73">
        <w:rPr>
          <w:rFonts w:ascii="Times New Roman" w:eastAsia="Times New Roman" w:hAnsi="Times New Roman" w:cs="Times New Roman"/>
          <w:sz w:val="24"/>
          <w:szCs w:val="24"/>
          <w:lang w:val="en-US" w:eastAsia="en-US"/>
        </w:rPr>
        <w:t xml:space="preserve">, J. C. (2021). Quality of life measurement in alopecia areata: Position statement of the European Academy of Dermatology and Venereology Task Force on Quality of Life and Patient Oriented Outcomes. </w:t>
      </w:r>
      <w:r w:rsidRPr="002F1D73">
        <w:rPr>
          <w:rFonts w:ascii="Times New Roman" w:eastAsia="Times New Roman" w:hAnsi="Times New Roman" w:cs="Times New Roman"/>
          <w:i/>
          <w:iCs/>
          <w:sz w:val="24"/>
          <w:szCs w:val="24"/>
          <w:lang w:val="en-US" w:eastAsia="en-US"/>
        </w:rPr>
        <w:t>Journal of the European Academy of Dermatology and Venereology, 35</w:t>
      </w:r>
      <w:r w:rsidRPr="002F1D73">
        <w:rPr>
          <w:rFonts w:ascii="Times New Roman" w:eastAsia="Times New Roman" w:hAnsi="Times New Roman" w:cs="Times New Roman"/>
          <w:sz w:val="24"/>
          <w:szCs w:val="24"/>
          <w:lang w:val="en-US" w:eastAsia="en-US"/>
        </w:rPr>
        <w:t xml:space="preserve">(8), 1614–1621. </w:t>
      </w:r>
      <w:hyperlink r:id="rId8" w:history="1">
        <w:r w:rsidRPr="002F1D73">
          <w:rPr>
            <w:rFonts w:ascii="Times New Roman" w:eastAsia="Times New Roman" w:hAnsi="Times New Roman" w:cs="Times New Roman"/>
            <w:color w:val="0000FF"/>
            <w:sz w:val="24"/>
            <w:szCs w:val="24"/>
            <w:u w:val="single"/>
            <w:lang w:val="en-US" w:eastAsia="en-US"/>
          </w:rPr>
          <w:t>https://doi.org/10.1111/jdv.17370</w:t>
        </w:r>
      </w:hyperlink>
    </w:p>
    <w:p w14:paraId="4BEBEF39" w14:textId="77777777" w:rsidR="002F1D73" w:rsidRPr="002F1D73" w:rsidRDefault="002F1D73" w:rsidP="002F1D73">
      <w:pPr>
        <w:rPr>
          <w:rFonts w:ascii="Times New Roman" w:eastAsia="Times New Roman" w:hAnsi="Times New Roman" w:cs="Times New Roman"/>
          <w:sz w:val="24"/>
          <w:szCs w:val="24"/>
          <w:lang w:val="en-US" w:eastAsia="en-US"/>
        </w:rPr>
      </w:pPr>
      <w:proofErr w:type="gramStart"/>
      <w:r w:rsidRPr="002F1D73">
        <w:rPr>
          <w:rFonts w:ascii="Times New Roman" w:eastAsia="Times New Roman" w:hAnsi="Symbol" w:cs="Times New Roman"/>
          <w:sz w:val="24"/>
          <w:szCs w:val="24"/>
          <w:lang w:val="en-US" w:eastAsia="en-US"/>
        </w:rPr>
        <w:t></w:t>
      </w:r>
      <w:r w:rsidRPr="002F1D73">
        <w:rPr>
          <w:rFonts w:ascii="Times New Roman" w:eastAsia="Times New Roman" w:hAnsi="Times New Roman" w:cs="Times New Roman"/>
          <w:sz w:val="24"/>
          <w:szCs w:val="24"/>
          <w:lang w:val="en-US" w:eastAsia="en-US"/>
        </w:rPr>
        <w:t xml:space="preserve">  Christou</w:t>
      </w:r>
      <w:proofErr w:type="gramEnd"/>
      <w:r w:rsidRPr="002F1D73">
        <w:rPr>
          <w:rFonts w:ascii="Times New Roman" w:eastAsia="Times New Roman" w:hAnsi="Times New Roman" w:cs="Times New Roman"/>
          <w:sz w:val="24"/>
          <w:szCs w:val="24"/>
          <w:lang w:val="en-US" w:eastAsia="en-US"/>
        </w:rPr>
        <w:t xml:space="preserve">, E., </w:t>
      </w:r>
      <w:proofErr w:type="spellStart"/>
      <w:r w:rsidRPr="002F1D73">
        <w:rPr>
          <w:rFonts w:ascii="Times New Roman" w:eastAsia="Times New Roman" w:hAnsi="Times New Roman" w:cs="Times New Roman"/>
          <w:sz w:val="24"/>
          <w:szCs w:val="24"/>
          <w:lang w:val="en-US" w:eastAsia="en-US"/>
        </w:rPr>
        <w:t>Lalagianni</w:t>
      </w:r>
      <w:proofErr w:type="spellEnd"/>
      <w:r w:rsidRPr="002F1D73">
        <w:rPr>
          <w:rFonts w:ascii="Times New Roman" w:eastAsia="Times New Roman" w:hAnsi="Times New Roman" w:cs="Times New Roman"/>
          <w:sz w:val="24"/>
          <w:szCs w:val="24"/>
          <w:lang w:val="en-US" w:eastAsia="en-US"/>
        </w:rPr>
        <w:t xml:space="preserve">, N., McSweeney, S. M., Cotter, C., Ung, C. Y., Walburn, J., McCrone, P., Turner, M. A., McGrath, J. A., Weinman, J., &amp; </w:t>
      </w:r>
      <w:proofErr w:type="spellStart"/>
      <w:r w:rsidRPr="002F1D73">
        <w:rPr>
          <w:rFonts w:ascii="Times New Roman" w:eastAsia="Times New Roman" w:hAnsi="Times New Roman" w:cs="Times New Roman"/>
          <w:sz w:val="24"/>
          <w:szCs w:val="24"/>
          <w:lang w:val="en-US" w:eastAsia="en-US"/>
        </w:rPr>
        <w:t>Tziotzios</w:t>
      </w:r>
      <w:proofErr w:type="spellEnd"/>
      <w:r w:rsidRPr="002F1D73">
        <w:rPr>
          <w:rFonts w:ascii="Times New Roman" w:eastAsia="Times New Roman" w:hAnsi="Times New Roman" w:cs="Times New Roman"/>
          <w:sz w:val="24"/>
          <w:szCs w:val="24"/>
          <w:lang w:val="en-US" w:eastAsia="en-US"/>
        </w:rPr>
        <w:t xml:space="preserve">, C. (2025). Psychosocial burden and the impact of illness perceptions and stigma on quality of life, anxiety and depression in alopecia areata: Results from the Alopecia + Me study. </w:t>
      </w:r>
      <w:r w:rsidRPr="002F1D73">
        <w:rPr>
          <w:rFonts w:ascii="Times New Roman" w:eastAsia="Times New Roman" w:hAnsi="Times New Roman" w:cs="Times New Roman"/>
          <w:i/>
          <w:iCs/>
          <w:sz w:val="24"/>
          <w:szCs w:val="24"/>
          <w:lang w:val="en-US" w:eastAsia="en-US"/>
        </w:rPr>
        <w:t>British Journal of Dermatology, 193</w:t>
      </w:r>
      <w:r w:rsidRPr="002F1D73">
        <w:rPr>
          <w:rFonts w:ascii="Times New Roman" w:eastAsia="Times New Roman" w:hAnsi="Times New Roman" w:cs="Times New Roman"/>
          <w:sz w:val="24"/>
          <w:szCs w:val="24"/>
          <w:lang w:val="en-US" w:eastAsia="en-US"/>
        </w:rPr>
        <w:t xml:space="preserve">(3), 458–467. </w:t>
      </w:r>
      <w:hyperlink r:id="rId9" w:history="1">
        <w:r w:rsidRPr="002F1D73">
          <w:rPr>
            <w:rFonts w:ascii="Times New Roman" w:eastAsia="Times New Roman" w:hAnsi="Times New Roman" w:cs="Times New Roman"/>
            <w:color w:val="0000FF"/>
            <w:sz w:val="24"/>
            <w:szCs w:val="24"/>
            <w:u w:val="single"/>
            <w:lang w:val="en-US" w:eastAsia="en-US"/>
          </w:rPr>
          <w:t>https://doi.org/10.1093/bjd/ljaf189</w:t>
        </w:r>
      </w:hyperlink>
    </w:p>
    <w:p w14:paraId="35454BED" w14:textId="77777777" w:rsidR="002F1D73" w:rsidRPr="002F1D73" w:rsidRDefault="002F1D73" w:rsidP="002F1D73">
      <w:pPr>
        <w:rPr>
          <w:rFonts w:ascii="Times New Roman" w:eastAsia="Times New Roman" w:hAnsi="Times New Roman" w:cs="Times New Roman"/>
          <w:sz w:val="24"/>
          <w:szCs w:val="24"/>
          <w:lang w:val="en-US" w:eastAsia="en-US"/>
        </w:rPr>
      </w:pPr>
      <w:proofErr w:type="gramStart"/>
      <w:r w:rsidRPr="002F1D73">
        <w:rPr>
          <w:rFonts w:ascii="Times New Roman" w:eastAsia="Times New Roman" w:hAnsi="Symbol" w:cs="Times New Roman"/>
          <w:sz w:val="24"/>
          <w:szCs w:val="24"/>
          <w:lang w:val="en-US" w:eastAsia="en-US"/>
        </w:rPr>
        <w:t></w:t>
      </w:r>
      <w:r w:rsidRPr="002F1D73">
        <w:rPr>
          <w:rFonts w:ascii="Times New Roman" w:eastAsia="Times New Roman" w:hAnsi="Times New Roman" w:cs="Times New Roman"/>
          <w:sz w:val="24"/>
          <w:szCs w:val="24"/>
          <w:lang w:val="en-US" w:eastAsia="en-US"/>
        </w:rPr>
        <w:t xml:space="preserve">  </w:t>
      </w:r>
      <w:proofErr w:type="spellStart"/>
      <w:r w:rsidRPr="002F1D73">
        <w:rPr>
          <w:rFonts w:ascii="Times New Roman" w:eastAsia="Times New Roman" w:hAnsi="Times New Roman" w:cs="Times New Roman"/>
          <w:sz w:val="24"/>
          <w:szCs w:val="24"/>
          <w:lang w:val="en-US" w:eastAsia="en-US"/>
        </w:rPr>
        <w:t>Fhager</w:t>
      </w:r>
      <w:proofErr w:type="spellEnd"/>
      <w:proofErr w:type="gramEnd"/>
      <w:r w:rsidRPr="002F1D73">
        <w:rPr>
          <w:rFonts w:ascii="Times New Roman" w:eastAsia="Times New Roman" w:hAnsi="Times New Roman" w:cs="Times New Roman"/>
          <w:sz w:val="24"/>
          <w:szCs w:val="24"/>
          <w:lang w:val="en-US" w:eastAsia="en-US"/>
        </w:rPr>
        <w:t xml:space="preserve">, J., Svensson, Å., </w:t>
      </w:r>
      <w:proofErr w:type="spellStart"/>
      <w:r w:rsidRPr="002F1D73">
        <w:rPr>
          <w:rFonts w:ascii="Times New Roman" w:eastAsia="Times New Roman" w:hAnsi="Times New Roman" w:cs="Times New Roman"/>
          <w:sz w:val="24"/>
          <w:szCs w:val="24"/>
          <w:lang w:val="en-US" w:eastAsia="en-US"/>
        </w:rPr>
        <w:t>Örmon</w:t>
      </w:r>
      <w:proofErr w:type="spellEnd"/>
      <w:r w:rsidRPr="002F1D73">
        <w:rPr>
          <w:rFonts w:ascii="Times New Roman" w:eastAsia="Times New Roman" w:hAnsi="Times New Roman" w:cs="Times New Roman"/>
          <w:sz w:val="24"/>
          <w:szCs w:val="24"/>
          <w:lang w:val="en-US" w:eastAsia="en-US"/>
        </w:rPr>
        <w:t xml:space="preserve">, K., Fischer, T. W., &amp; Sjöström, K. (2023). The </w:t>
      </w:r>
      <w:proofErr w:type="spellStart"/>
      <w:r w:rsidRPr="002F1D73">
        <w:rPr>
          <w:rFonts w:ascii="Times New Roman" w:eastAsia="Times New Roman" w:hAnsi="Times New Roman" w:cs="Times New Roman"/>
          <w:sz w:val="24"/>
          <w:szCs w:val="24"/>
          <w:lang w:val="en-US" w:eastAsia="en-US"/>
        </w:rPr>
        <w:t>Hairdex</w:t>
      </w:r>
      <w:proofErr w:type="spellEnd"/>
      <w:r w:rsidRPr="002F1D73">
        <w:rPr>
          <w:rFonts w:ascii="Times New Roman" w:eastAsia="Times New Roman" w:hAnsi="Times New Roman" w:cs="Times New Roman"/>
          <w:sz w:val="24"/>
          <w:szCs w:val="24"/>
          <w:lang w:val="en-US" w:eastAsia="en-US"/>
        </w:rPr>
        <w:t xml:space="preserve"> quality of life instrument—A translation and psychometric validation in patients with alopecia areata. </w:t>
      </w:r>
      <w:r w:rsidRPr="002F1D73">
        <w:rPr>
          <w:rFonts w:ascii="Times New Roman" w:eastAsia="Times New Roman" w:hAnsi="Times New Roman" w:cs="Times New Roman"/>
          <w:i/>
          <w:iCs/>
          <w:sz w:val="24"/>
          <w:szCs w:val="24"/>
          <w:lang w:val="en-US" w:eastAsia="en-US"/>
        </w:rPr>
        <w:t>Skin Health and Disease, 3</w:t>
      </w:r>
      <w:r w:rsidRPr="002F1D73">
        <w:rPr>
          <w:rFonts w:ascii="Times New Roman" w:eastAsia="Times New Roman" w:hAnsi="Times New Roman" w:cs="Times New Roman"/>
          <w:sz w:val="24"/>
          <w:szCs w:val="24"/>
          <w:lang w:val="en-US" w:eastAsia="en-US"/>
        </w:rPr>
        <w:t xml:space="preserve">(3), e220. </w:t>
      </w:r>
      <w:hyperlink r:id="rId10" w:history="1">
        <w:r w:rsidRPr="002F1D73">
          <w:rPr>
            <w:rFonts w:ascii="Times New Roman" w:eastAsia="Times New Roman" w:hAnsi="Times New Roman" w:cs="Times New Roman"/>
            <w:color w:val="0000FF"/>
            <w:sz w:val="24"/>
            <w:szCs w:val="24"/>
            <w:u w:val="single"/>
            <w:lang w:val="en-US" w:eastAsia="en-US"/>
          </w:rPr>
          <w:t>https://doi.org/10.1002/ski2.220</w:t>
        </w:r>
      </w:hyperlink>
    </w:p>
    <w:p w14:paraId="3E7EA45B" w14:textId="77777777" w:rsidR="002F1D73" w:rsidRPr="002F1D73" w:rsidRDefault="002F1D73" w:rsidP="002F1D73">
      <w:pPr>
        <w:rPr>
          <w:rFonts w:ascii="Times New Roman" w:eastAsia="Times New Roman" w:hAnsi="Times New Roman" w:cs="Times New Roman"/>
          <w:sz w:val="24"/>
          <w:szCs w:val="24"/>
          <w:lang w:val="en-US" w:eastAsia="en-US"/>
        </w:rPr>
      </w:pPr>
      <w:proofErr w:type="gramStart"/>
      <w:r w:rsidRPr="002F1D73">
        <w:rPr>
          <w:rFonts w:ascii="Times New Roman" w:eastAsia="Times New Roman" w:hAnsi="Symbol" w:cs="Times New Roman"/>
          <w:sz w:val="24"/>
          <w:szCs w:val="24"/>
          <w:lang w:val="en-US" w:eastAsia="en-US"/>
        </w:rPr>
        <w:t></w:t>
      </w:r>
      <w:r w:rsidRPr="002F1D73">
        <w:rPr>
          <w:rFonts w:ascii="Times New Roman" w:eastAsia="Times New Roman" w:hAnsi="Times New Roman" w:cs="Times New Roman"/>
          <w:sz w:val="24"/>
          <w:szCs w:val="24"/>
          <w:lang w:val="en-US" w:eastAsia="en-US"/>
        </w:rPr>
        <w:t xml:space="preserve">  Finlay</w:t>
      </w:r>
      <w:proofErr w:type="gramEnd"/>
      <w:r w:rsidRPr="002F1D73">
        <w:rPr>
          <w:rFonts w:ascii="Times New Roman" w:eastAsia="Times New Roman" w:hAnsi="Times New Roman" w:cs="Times New Roman"/>
          <w:sz w:val="24"/>
          <w:szCs w:val="24"/>
          <w:lang w:val="en-US" w:eastAsia="en-US"/>
        </w:rPr>
        <w:t xml:space="preserve">, A. Y., &amp; Khan, G. K. (1994). Dermatology Life Quality Index (DLQI)—A simple practical measure for routine clinical use. </w:t>
      </w:r>
      <w:r w:rsidRPr="002F1D73">
        <w:rPr>
          <w:rFonts w:ascii="Times New Roman" w:eastAsia="Times New Roman" w:hAnsi="Times New Roman" w:cs="Times New Roman"/>
          <w:i/>
          <w:iCs/>
          <w:sz w:val="24"/>
          <w:szCs w:val="24"/>
          <w:lang w:val="en-US" w:eastAsia="en-US"/>
        </w:rPr>
        <w:t>Clinical and Experimental Dermatology, 19</w:t>
      </w:r>
      <w:r w:rsidRPr="002F1D73">
        <w:rPr>
          <w:rFonts w:ascii="Times New Roman" w:eastAsia="Times New Roman" w:hAnsi="Times New Roman" w:cs="Times New Roman"/>
          <w:sz w:val="24"/>
          <w:szCs w:val="24"/>
          <w:lang w:val="en-US" w:eastAsia="en-US"/>
        </w:rPr>
        <w:t xml:space="preserve">(3), 210–216. </w:t>
      </w:r>
      <w:hyperlink r:id="rId11" w:history="1">
        <w:r w:rsidRPr="002F1D73">
          <w:rPr>
            <w:rFonts w:ascii="Times New Roman" w:eastAsia="Times New Roman" w:hAnsi="Times New Roman" w:cs="Times New Roman"/>
            <w:color w:val="0000FF"/>
            <w:sz w:val="24"/>
            <w:szCs w:val="24"/>
            <w:u w:val="single"/>
            <w:lang w:val="en-US" w:eastAsia="en-US"/>
          </w:rPr>
          <w:t>https://doi.org/10.1111/j.1365-2230.1994.tb01167.x</w:t>
        </w:r>
      </w:hyperlink>
    </w:p>
    <w:p w14:paraId="1B74080F" w14:textId="77777777" w:rsidR="002F1D73" w:rsidRPr="002F1D73" w:rsidRDefault="002F1D73" w:rsidP="002F1D73">
      <w:pPr>
        <w:rPr>
          <w:rFonts w:ascii="Times New Roman" w:eastAsia="Times New Roman" w:hAnsi="Times New Roman" w:cs="Times New Roman"/>
          <w:sz w:val="24"/>
          <w:szCs w:val="24"/>
          <w:lang w:val="en-US" w:eastAsia="en-US"/>
        </w:rPr>
      </w:pPr>
      <w:proofErr w:type="gramStart"/>
      <w:r w:rsidRPr="002F1D73">
        <w:rPr>
          <w:rFonts w:ascii="Times New Roman" w:eastAsia="Times New Roman" w:hAnsi="Symbol" w:cs="Times New Roman"/>
          <w:sz w:val="24"/>
          <w:szCs w:val="24"/>
          <w:lang w:val="en-US" w:eastAsia="en-US"/>
        </w:rPr>
        <w:t></w:t>
      </w:r>
      <w:r w:rsidRPr="002F1D73">
        <w:rPr>
          <w:rFonts w:ascii="Times New Roman" w:eastAsia="Times New Roman" w:hAnsi="Times New Roman" w:cs="Times New Roman"/>
          <w:sz w:val="24"/>
          <w:szCs w:val="24"/>
          <w:lang w:val="en-US" w:eastAsia="en-US"/>
        </w:rPr>
        <w:t xml:space="preserve">  Gupta</w:t>
      </w:r>
      <w:proofErr w:type="gramEnd"/>
      <w:r w:rsidRPr="002F1D73">
        <w:rPr>
          <w:rFonts w:ascii="Times New Roman" w:eastAsia="Times New Roman" w:hAnsi="Times New Roman" w:cs="Times New Roman"/>
          <w:sz w:val="24"/>
          <w:szCs w:val="24"/>
          <w:lang w:val="en-US" w:eastAsia="en-US"/>
        </w:rPr>
        <w:t xml:space="preserve">, S., Goyal, I., &amp; Mahendra, A. (2019). Quality of life assessment in patients with androgenetic alopecia. </w:t>
      </w:r>
      <w:r w:rsidRPr="002F1D73">
        <w:rPr>
          <w:rFonts w:ascii="Times New Roman" w:eastAsia="Times New Roman" w:hAnsi="Times New Roman" w:cs="Times New Roman"/>
          <w:i/>
          <w:iCs/>
          <w:sz w:val="24"/>
          <w:szCs w:val="24"/>
          <w:lang w:val="en-US" w:eastAsia="en-US"/>
        </w:rPr>
        <w:t>International Journal of Trichology, 11</w:t>
      </w:r>
      <w:r w:rsidRPr="002F1D73">
        <w:rPr>
          <w:rFonts w:ascii="Times New Roman" w:eastAsia="Times New Roman" w:hAnsi="Times New Roman" w:cs="Times New Roman"/>
          <w:sz w:val="24"/>
          <w:szCs w:val="24"/>
          <w:lang w:val="en-US" w:eastAsia="en-US"/>
        </w:rPr>
        <w:t xml:space="preserve">(4), 147–152. </w:t>
      </w:r>
      <w:hyperlink r:id="rId12" w:history="1">
        <w:r w:rsidRPr="002F1D73">
          <w:rPr>
            <w:rFonts w:ascii="Times New Roman" w:eastAsia="Times New Roman" w:hAnsi="Times New Roman" w:cs="Times New Roman"/>
            <w:color w:val="0000FF"/>
            <w:sz w:val="24"/>
            <w:szCs w:val="24"/>
            <w:u w:val="single"/>
            <w:lang w:val="en-US" w:eastAsia="en-US"/>
          </w:rPr>
          <w:t>https://doi.org/10.4103/ijt.ijt_6_19</w:t>
        </w:r>
      </w:hyperlink>
    </w:p>
    <w:p w14:paraId="4D65E87D" w14:textId="77777777" w:rsidR="002F1D73" w:rsidRPr="002F1D73" w:rsidRDefault="002F1D73" w:rsidP="002F1D73">
      <w:pPr>
        <w:rPr>
          <w:rFonts w:ascii="Times New Roman" w:eastAsia="Times New Roman" w:hAnsi="Times New Roman" w:cs="Times New Roman"/>
          <w:sz w:val="24"/>
          <w:szCs w:val="24"/>
          <w:lang w:val="en-US" w:eastAsia="en-US"/>
        </w:rPr>
      </w:pPr>
      <w:proofErr w:type="gramStart"/>
      <w:r w:rsidRPr="002F1D73">
        <w:rPr>
          <w:rFonts w:ascii="Times New Roman" w:eastAsia="Times New Roman" w:hAnsi="Symbol" w:cs="Times New Roman"/>
          <w:sz w:val="24"/>
          <w:szCs w:val="24"/>
          <w:lang w:val="en-US" w:eastAsia="en-US"/>
        </w:rPr>
        <w:t></w:t>
      </w:r>
      <w:r w:rsidRPr="002F1D73">
        <w:rPr>
          <w:rFonts w:ascii="Times New Roman" w:eastAsia="Times New Roman" w:hAnsi="Times New Roman" w:cs="Times New Roman"/>
          <w:sz w:val="24"/>
          <w:szCs w:val="24"/>
          <w:lang w:val="en-US" w:eastAsia="en-US"/>
        </w:rPr>
        <w:t xml:space="preserve">  Hanson</w:t>
      </w:r>
      <w:proofErr w:type="gramEnd"/>
      <w:r w:rsidRPr="002F1D73">
        <w:rPr>
          <w:rFonts w:ascii="Times New Roman" w:eastAsia="Times New Roman" w:hAnsi="Times New Roman" w:cs="Times New Roman"/>
          <w:sz w:val="24"/>
          <w:szCs w:val="24"/>
          <w:lang w:val="en-US" w:eastAsia="en-US"/>
        </w:rPr>
        <w:t xml:space="preserve">, K. A., </w:t>
      </w:r>
      <w:proofErr w:type="spellStart"/>
      <w:r w:rsidRPr="002F1D73">
        <w:rPr>
          <w:rFonts w:ascii="Times New Roman" w:eastAsia="Times New Roman" w:hAnsi="Times New Roman" w:cs="Times New Roman"/>
          <w:sz w:val="24"/>
          <w:szCs w:val="24"/>
          <w:lang w:val="en-US" w:eastAsia="en-US"/>
        </w:rPr>
        <w:t>Vañó</w:t>
      </w:r>
      <w:proofErr w:type="spellEnd"/>
      <w:r w:rsidRPr="002F1D73">
        <w:rPr>
          <w:rFonts w:ascii="Times New Roman" w:eastAsia="Times New Roman" w:hAnsi="Times New Roman" w:cs="Times New Roman"/>
          <w:sz w:val="24"/>
          <w:szCs w:val="24"/>
          <w:lang w:val="en-US" w:eastAsia="en-US"/>
        </w:rPr>
        <w:t xml:space="preserve">-Galván, S., Messenger, A., Tran, H., </w:t>
      </w:r>
      <w:proofErr w:type="spellStart"/>
      <w:r w:rsidRPr="002F1D73">
        <w:rPr>
          <w:rFonts w:ascii="Times New Roman" w:eastAsia="Times New Roman" w:hAnsi="Times New Roman" w:cs="Times New Roman"/>
          <w:sz w:val="24"/>
          <w:szCs w:val="24"/>
          <w:lang w:val="en-US" w:eastAsia="en-US"/>
        </w:rPr>
        <w:t>Napatalung</w:t>
      </w:r>
      <w:proofErr w:type="spellEnd"/>
      <w:r w:rsidRPr="002F1D73">
        <w:rPr>
          <w:rFonts w:ascii="Times New Roman" w:eastAsia="Times New Roman" w:hAnsi="Times New Roman" w:cs="Times New Roman"/>
          <w:sz w:val="24"/>
          <w:szCs w:val="24"/>
          <w:lang w:val="en-US" w:eastAsia="en-US"/>
        </w:rPr>
        <w:t xml:space="preserve">, L., Davis, K. L., Esterberg, L., &amp; Law, E. H. (2025). Comparison of Dermatology Life Quality Index scores in adults and adolescents with alopecia areata. </w:t>
      </w:r>
      <w:r w:rsidRPr="002F1D73">
        <w:rPr>
          <w:rFonts w:ascii="Times New Roman" w:eastAsia="Times New Roman" w:hAnsi="Times New Roman" w:cs="Times New Roman"/>
          <w:i/>
          <w:iCs/>
          <w:sz w:val="24"/>
          <w:szCs w:val="24"/>
          <w:lang w:val="en-US" w:eastAsia="en-US"/>
        </w:rPr>
        <w:t>Dermatology and Therapy, 15</w:t>
      </w:r>
      <w:r w:rsidRPr="002F1D73">
        <w:rPr>
          <w:rFonts w:ascii="Times New Roman" w:eastAsia="Times New Roman" w:hAnsi="Times New Roman" w:cs="Times New Roman"/>
          <w:sz w:val="24"/>
          <w:szCs w:val="24"/>
          <w:lang w:val="en-US" w:eastAsia="en-US"/>
        </w:rPr>
        <w:t xml:space="preserve">(6), 1543–1553. </w:t>
      </w:r>
      <w:hyperlink r:id="rId13" w:history="1">
        <w:r w:rsidRPr="002F1D73">
          <w:rPr>
            <w:rFonts w:ascii="Times New Roman" w:eastAsia="Times New Roman" w:hAnsi="Times New Roman" w:cs="Times New Roman"/>
            <w:color w:val="0000FF"/>
            <w:sz w:val="24"/>
            <w:szCs w:val="24"/>
            <w:u w:val="single"/>
            <w:lang w:val="en-US" w:eastAsia="en-US"/>
          </w:rPr>
          <w:t>https://doi.org/10.1007/s13555-025-01417-y</w:t>
        </w:r>
      </w:hyperlink>
    </w:p>
    <w:p w14:paraId="5994D05C" w14:textId="77777777" w:rsidR="002F1D73" w:rsidRPr="002F1D73" w:rsidRDefault="002F1D73" w:rsidP="002F1D73">
      <w:pPr>
        <w:rPr>
          <w:rFonts w:ascii="Times New Roman" w:eastAsia="Times New Roman" w:hAnsi="Times New Roman" w:cs="Times New Roman"/>
          <w:sz w:val="24"/>
          <w:szCs w:val="24"/>
          <w:lang w:val="en-US" w:eastAsia="en-US"/>
        </w:rPr>
      </w:pPr>
      <w:proofErr w:type="gramStart"/>
      <w:r w:rsidRPr="002F1D73">
        <w:rPr>
          <w:rFonts w:ascii="Times New Roman" w:eastAsia="Times New Roman" w:hAnsi="Symbol" w:cs="Times New Roman"/>
          <w:sz w:val="24"/>
          <w:szCs w:val="24"/>
          <w:lang w:val="en-US" w:eastAsia="en-US"/>
        </w:rPr>
        <w:t></w:t>
      </w:r>
      <w:r w:rsidRPr="002F1D73">
        <w:rPr>
          <w:rFonts w:ascii="Times New Roman" w:eastAsia="Times New Roman" w:hAnsi="Times New Roman" w:cs="Times New Roman"/>
          <w:sz w:val="24"/>
          <w:szCs w:val="24"/>
          <w:lang w:val="en-US" w:eastAsia="en-US"/>
        </w:rPr>
        <w:t xml:space="preserve">  Huang</w:t>
      </w:r>
      <w:proofErr w:type="gramEnd"/>
      <w:r w:rsidRPr="002F1D73">
        <w:rPr>
          <w:rFonts w:ascii="Times New Roman" w:eastAsia="Times New Roman" w:hAnsi="Times New Roman" w:cs="Times New Roman"/>
          <w:sz w:val="24"/>
          <w:szCs w:val="24"/>
          <w:lang w:val="en-US" w:eastAsia="en-US"/>
        </w:rPr>
        <w:t xml:space="preserve">, C. H., Fu, Y., &amp; Chi, C. C. (2021). Health-related quality of life, depression, and self-esteem in patients with androgenetic alopecia: A systematic review and meta-analysis. </w:t>
      </w:r>
      <w:r w:rsidRPr="002F1D73">
        <w:rPr>
          <w:rFonts w:ascii="Times New Roman" w:eastAsia="Times New Roman" w:hAnsi="Times New Roman" w:cs="Times New Roman"/>
          <w:i/>
          <w:iCs/>
          <w:sz w:val="24"/>
          <w:szCs w:val="24"/>
          <w:lang w:val="en-US" w:eastAsia="en-US"/>
        </w:rPr>
        <w:t>JAMA Dermatology, 157</w:t>
      </w:r>
      <w:r w:rsidRPr="002F1D73">
        <w:rPr>
          <w:rFonts w:ascii="Times New Roman" w:eastAsia="Times New Roman" w:hAnsi="Times New Roman" w:cs="Times New Roman"/>
          <w:sz w:val="24"/>
          <w:szCs w:val="24"/>
          <w:lang w:val="en-US" w:eastAsia="en-US"/>
        </w:rPr>
        <w:t xml:space="preserve">(8), 963–970. </w:t>
      </w:r>
      <w:hyperlink r:id="rId14" w:history="1">
        <w:r w:rsidRPr="002F1D73">
          <w:rPr>
            <w:rFonts w:ascii="Times New Roman" w:eastAsia="Times New Roman" w:hAnsi="Times New Roman" w:cs="Times New Roman"/>
            <w:color w:val="0000FF"/>
            <w:sz w:val="24"/>
            <w:szCs w:val="24"/>
            <w:u w:val="single"/>
            <w:lang w:val="en-US" w:eastAsia="en-US"/>
          </w:rPr>
          <w:t>https://doi.org/10.1001/jamadermatol.2021.2196</w:t>
        </w:r>
      </w:hyperlink>
    </w:p>
    <w:p w14:paraId="3D0A482B" w14:textId="77777777" w:rsidR="002F1D73" w:rsidRPr="002F1D73" w:rsidRDefault="002F1D73" w:rsidP="002F1D73">
      <w:pPr>
        <w:rPr>
          <w:rFonts w:ascii="Times New Roman" w:eastAsia="Times New Roman" w:hAnsi="Times New Roman" w:cs="Times New Roman"/>
          <w:sz w:val="24"/>
          <w:szCs w:val="24"/>
          <w:lang w:val="en-US" w:eastAsia="en-US"/>
        </w:rPr>
      </w:pPr>
      <w:proofErr w:type="gramStart"/>
      <w:r w:rsidRPr="002F1D73">
        <w:rPr>
          <w:rFonts w:ascii="Times New Roman" w:eastAsia="Times New Roman" w:hAnsi="Symbol" w:cs="Times New Roman"/>
          <w:sz w:val="24"/>
          <w:szCs w:val="24"/>
          <w:lang w:val="en-US" w:eastAsia="en-US"/>
        </w:rPr>
        <w:t></w:t>
      </w:r>
      <w:r w:rsidRPr="002F1D73">
        <w:rPr>
          <w:rFonts w:ascii="Times New Roman" w:eastAsia="Times New Roman" w:hAnsi="Times New Roman" w:cs="Times New Roman"/>
          <w:sz w:val="24"/>
          <w:szCs w:val="24"/>
          <w:lang w:val="en-US" w:eastAsia="en-US"/>
        </w:rPr>
        <w:t xml:space="preserve">  </w:t>
      </w:r>
      <w:proofErr w:type="spellStart"/>
      <w:r w:rsidRPr="002F1D73">
        <w:rPr>
          <w:rFonts w:ascii="Times New Roman" w:eastAsia="Times New Roman" w:hAnsi="Times New Roman" w:cs="Times New Roman"/>
          <w:sz w:val="24"/>
          <w:szCs w:val="24"/>
          <w:lang w:val="en-US" w:eastAsia="en-US"/>
        </w:rPr>
        <w:t>Khoudri</w:t>
      </w:r>
      <w:proofErr w:type="spellEnd"/>
      <w:proofErr w:type="gramEnd"/>
      <w:r w:rsidRPr="002F1D73">
        <w:rPr>
          <w:rFonts w:ascii="Times New Roman" w:eastAsia="Times New Roman" w:hAnsi="Times New Roman" w:cs="Times New Roman"/>
          <w:sz w:val="24"/>
          <w:szCs w:val="24"/>
          <w:lang w:val="en-US" w:eastAsia="en-US"/>
        </w:rPr>
        <w:t xml:space="preserve">, I., </w:t>
      </w:r>
      <w:proofErr w:type="spellStart"/>
      <w:r w:rsidRPr="002F1D73">
        <w:rPr>
          <w:rFonts w:ascii="Times New Roman" w:eastAsia="Times New Roman" w:hAnsi="Times New Roman" w:cs="Times New Roman"/>
          <w:sz w:val="24"/>
          <w:szCs w:val="24"/>
          <w:lang w:val="en-US" w:eastAsia="en-US"/>
        </w:rPr>
        <w:t>Lamchahab</w:t>
      </w:r>
      <w:proofErr w:type="spellEnd"/>
      <w:r w:rsidRPr="002F1D73">
        <w:rPr>
          <w:rFonts w:ascii="Times New Roman" w:eastAsia="Times New Roman" w:hAnsi="Times New Roman" w:cs="Times New Roman"/>
          <w:sz w:val="24"/>
          <w:szCs w:val="24"/>
          <w:lang w:val="en-US" w:eastAsia="en-US"/>
        </w:rPr>
        <w:t xml:space="preserve">, F. Z., </w:t>
      </w:r>
      <w:proofErr w:type="spellStart"/>
      <w:r w:rsidRPr="002F1D73">
        <w:rPr>
          <w:rFonts w:ascii="Times New Roman" w:eastAsia="Times New Roman" w:hAnsi="Times New Roman" w:cs="Times New Roman"/>
          <w:sz w:val="24"/>
          <w:szCs w:val="24"/>
          <w:lang w:val="en-US" w:eastAsia="en-US"/>
        </w:rPr>
        <w:t>Rmili</w:t>
      </w:r>
      <w:proofErr w:type="spellEnd"/>
      <w:r w:rsidRPr="002F1D73">
        <w:rPr>
          <w:rFonts w:ascii="Times New Roman" w:eastAsia="Times New Roman" w:hAnsi="Times New Roman" w:cs="Times New Roman"/>
          <w:sz w:val="24"/>
          <w:szCs w:val="24"/>
          <w:lang w:val="en-US" w:eastAsia="en-US"/>
        </w:rPr>
        <w:t xml:space="preserve">, M., Ismaili, N., Hassam, B., &amp; </w:t>
      </w:r>
      <w:proofErr w:type="spellStart"/>
      <w:r w:rsidRPr="002F1D73">
        <w:rPr>
          <w:rFonts w:ascii="Times New Roman" w:eastAsia="Times New Roman" w:hAnsi="Times New Roman" w:cs="Times New Roman"/>
          <w:sz w:val="24"/>
          <w:szCs w:val="24"/>
          <w:lang w:val="en-US" w:eastAsia="en-US"/>
        </w:rPr>
        <w:t>Abouqal</w:t>
      </w:r>
      <w:proofErr w:type="spellEnd"/>
      <w:r w:rsidRPr="002F1D73">
        <w:rPr>
          <w:rFonts w:ascii="Times New Roman" w:eastAsia="Times New Roman" w:hAnsi="Times New Roman" w:cs="Times New Roman"/>
          <w:sz w:val="24"/>
          <w:szCs w:val="24"/>
          <w:lang w:val="en-US" w:eastAsia="en-US"/>
        </w:rPr>
        <w:t xml:space="preserve">, R. (2009). </w:t>
      </w:r>
      <w:proofErr w:type="spellStart"/>
      <w:r w:rsidRPr="002F1D73">
        <w:rPr>
          <w:rFonts w:ascii="Times New Roman" w:eastAsia="Times New Roman" w:hAnsi="Times New Roman" w:cs="Times New Roman"/>
          <w:sz w:val="24"/>
          <w:szCs w:val="24"/>
          <w:lang w:val="en-US" w:eastAsia="en-US"/>
        </w:rPr>
        <w:t>Traduction</w:t>
      </w:r>
      <w:proofErr w:type="spellEnd"/>
      <w:r w:rsidRPr="002F1D73">
        <w:rPr>
          <w:rFonts w:ascii="Times New Roman" w:eastAsia="Times New Roman" w:hAnsi="Times New Roman" w:cs="Times New Roman"/>
          <w:sz w:val="24"/>
          <w:szCs w:val="24"/>
          <w:lang w:val="en-US" w:eastAsia="en-US"/>
        </w:rPr>
        <w:t xml:space="preserve">, adaptation </w:t>
      </w:r>
      <w:proofErr w:type="spellStart"/>
      <w:r w:rsidRPr="002F1D73">
        <w:rPr>
          <w:rFonts w:ascii="Times New Roman" w:eastAsia="Times New Roman" w:hAnsi="Times New Roman" w:cs="Times New Roman"/>
          <w:sz w:val="24"/>
          <w:szCs w:val="24"/>
          <w:lang w:val="en-US" w:eastAsia="en-US"/>
        </w:rPr>
        <w:t>transculturelle</w:t>
      </w:r>
      <w:proofErr w:type="spellEnd"/>
      <w:r w:rsidRPr="002F1D73">
        <w:rPr>
          <w:rFonts w:ascii="Times New Roman" w:eastAsia="Times New Roman" w:hAnsi="Times New Roman" w:cs="Times New Roman"/>
          <w:sz w:val="24"/>
          <w:szCs w:val="24"/>
          <w:lang w:val="en-US" w:eastAsia="en-US"/>
        </w:rPr>
        <w:t xml:space="preserve"> et validation de la version </w:t>
      </w:r>
      <w:proofErr w:type="spellStart"/>
      <w:r w:rsidRPr="002F1D73">
        <w:rPr>
          <w:rFonts w:ascii="Times New Roman" w:eastAsia="Times New Roman" w:hAnsi="Times New Roman" w:cs="Times New Roman"/>
          <w:sz w:val="24"/>
          <w:szCs w:val="24"/>
          <w:lang w:val="en-US" w:eastAsia="en-US"/>
        </w:rPr>
        <w:t>arabe</w:t>
      </w:r>
      <w:proofErr w:type="spellEnd"/>
      <w:r w:rsidRPr="002F1D73">
        <w:rPr>
          <w:rFonts w:ascii="Times New Roman" w:eastAsia="Times New Roman" w:hAnsi="Times New Roman" w:cs="Times New Roman"/>
          <w:sz w:val="24"/>
          <w:szCs w:val="24"/>
          <w:lang w:val="en-US" w:eastAsia="en-US"/>
        </w:rPr>
        <w:t xml:space="preserve"> pour le Maroc du </w:t>
      </w:r>
      <w:r w:rsidRPr="002F1D73">
        <w:rPr>
          <w:rFonts w:ascii="Times New Roman" w:eastAsia="Times New Roman" w:hAnsi="Times New Roman" w:cs="Times New Roman"/>
          <w:sz w:val="24"/>
          <w:szCs w:val="24"/>
          <w:lang w:val="en-US" w:eastAsia="en-US"/>
        </w:rPr>
        <w:lastRenderedPageBreak/>
        <w:t xml:space="preserve">Dermatology Life Quality Index (DLQI). </w:t>
      </w:r>
      <w:r w:rsidRPr="002F1D73">
        <w:rPr>
          <w:rFonts w:ascii="Times New Roman" w:eastAsia="Times New Roman" w:hAnsi="Times New Roman" w:cs="Times New Roman"/>
          <w:i/>
          <w:iCs/>
          <w:sz w:val="24"/>
          <w:szCs w:val="24"/>
          <w:lang w:val="en-US" w:eastAsia="en-US"/>
        </w:rPr>
        <w:t xml:space="preserve">Revue </w:t>
      </w:r>
      <w:proofErr w:type="spellStart"/>
      <w:r w:rsidRPr="002F1D73">
        <w:rPr>
          <w:rFonts w:ascii="Times New Roman" w:eastAsia="Times New Roman" w:hAnsi="Times New Roman" w:cs="Times New Roman"/>
          <w:i/>
          <w:iCs/>
          <w:sz w:val="24"/>
          <w:szCs w:val="24"/>
          <w:lang w:val="en-US" w:eastAsia="en-US"/>
        </w:rPr>
        <w:t>d’Épidémiologie</w:t>
      </w:r>
      <w:proofErr w:type="spellEnd"/>
      <w:r w:rsidRPr="002F1D73">
        <w:rPr>
          <w:rFonts w:ascii="Times New Roman" w:eastAsia="Times New Roman" w:hAnsi="Times New Roman" w:cs="Times New Roman"/>
          <w:i/>
          <w:iCs/>
          <w:sz w:val="24"/>
          <w:szCs w:val="24"/>
          <w:lang w:val="en-US" w:eastAsia="en-US"/>
        </w:rPr>
        <w:t xml:space="preserve"> et de Santé Publique, 57</w:t>
      </w:r>
      <w:r w:rsidRPr="002F1D73">
        <w:rPr>
          <w:rFonts w:ascii="Times New Roman" w:eastAsia="Times New Roman" w:hAnsi="Times New Roman" w:cs="Times New Roman"/>
          <w:sz w:val="24"/>
          <w:szCs w:val="24"/>
          <w:lang w:val="en-US" w:eastAsia="en-US"/>
        </w:rPr>
        <w:t xml:space="preserve">(Suppl. 1), S35. </w:t>
      </w:r>
      <w:hyperlink r:id="rId15" w:history="1">
        <w:r w:rsidRPr="002F1D73">
          <w:rPr>
            <w:rFonts w:ascii="Times New Roman" w:eastAsia="Times New Roman" w:hAnsi="Times New Roman" w:cs="Times New Roman"/>
            <w:color w:val="0000FF"/>
            <w:sz w:val="24"/>
            <w:szCs w:val="24"/>
            <w:u w:val="single"/>
            <w:lang w:val="en-US" w:eastAsia="en-US"/>
          </w:rPr>
          <w:t>https://doi.org/10.1016/j.respe.2009.02.122</w:t>
        </w:r>
      </w:hyperlink>
    </w:p>
    <w:p w14:paraId="4E7F5EEE" w14:textId="77777777" w:rsidR="002F1D73" w:rsidRPr="002F1D73" w:rsidRDefault="002F1D73" w:rsidP="002F1D73">
      <w:pPr>
        <w:rPr>
          <w:rFonts w:ascii="Times New Roman" w:eastAsia="Times New Roman" w:hAnsi="Times New Roman" w:cs="Times New Roman"/>
          <w:sz w:val="24"/>
          <w:szCs w:val="24"/>
          <w:lang w:val="en-US" w:eastAsia="en-US"/>
        </w:rPr>
      </w:pPr>
      <w:proofErr w:type="gramStart"/>
      <w:r w:rsidRPr="002F1D73">
        <w:rPr>
          <w:rFonts w:ascii="Times New Roman" w:eastAsia="Times New Roman" w:hAnsi="Symbol" w:cs="Times New Roman"/>
          <w:sz w:val="24"/>
          <w:szCs w:val="24"/>
          <w:lang w:val="en-US" w:eastAsia="en-US"/>
        </w:rPr>
        <w:t></w:t>
      </w:r>
      <w:r w:rsidRPr="002F1D73">
        <w:rPr>
          <w:rFonts w:ascii="Times New Roman" w:eastAsia="Times New Roman" w:hAnsi="Times New Roman" w:cs="Times New Roman"/>
          <w:sz w:val="24"/>
          <w:szCs w:val="24"/>
          <w:lang w:val="en-US" w:eastAsia="en-US"/>
        </w:rPr>
        <w:t xml:space="preserve">  King</w:t>
      </w:r>
      <w:proofErr w:type="gramEnd"/>
      <w:r w:rsidRPr="002F1D73">
        <w:rPr>
          <w:rFonts w:ascii="Times New Roman" w:eastAsia="Times New Roman" w:hAnsi="Times New Roman" w:cs="Times New Roman"/>
          <w:sz w:val="24"/>
          <w:szCs w:val="24"/>
          <w:lang w:val="en-US" w:eastAsia="en-US"/>
        </w:rPr>
        <w:t xml:space="preserve">, B., Ohyama, M., Kwon, O., Zlotogorski, A., Ko, J., </w:t>
      </w:r>
      <w:proofErr w:type="spellStart"/>
      <w:r w:rsidRPr="002F1D73">
        <w:rPr>
          <w:rFonts w:ascii="Times New Roman" w:eastAsia="Times New Roman" w:hAnsi="Times New Roman" w:cs="Times New Roman"/>
          <w:sz w:val="24"/>
          <w:szCs w:val="24"/>
          <w:lang w:val="en-US" w:eastAsia="en-US"/>
        </w:rPr>
        <w:t>Mesinkovska</w:t>
      </w:r>
      <w:proofErr w:type="spellEnd"/>
      <w:r w:rsidRPr="002F1D73">
        <w:rPr>
          <w:rFonts w:ascii="Times New Roman" w:eastAsia="Times New Roman" w:hAnsi="Times New Roman" w:cs="Times New Roman"/>
          <w:sz w:val="24"/>
          <w:szCs w:val="24"/>
          <w:lang w:val="en-US" w:eastAsia="en-US"/>
        </w:rPr>
        <w:t xml:space="preserve">, N. A., Hordinsky, M., Dutronc, Y., Wu, W.-S., McCollam, J., </w:t>
      </w:r>
      <w:proofErr w:type="spellStart"/>
      <w:r w:rsidRPr="002F1D73">
        <w:rPr>
          <w:rFonts w:ascii="Times New Roman" w:eastAsia="Times New Roman" w:hAnsi="Times New Roman" w:cs="Times New Roman"/>
          <w:sz w:val="24"/>
          <w:szCs w:val="24"/>
          <w:lang w:val="en-US" w:eastAsia="en-US"/>
        </w:rPr>
        <w:t>Chiasserini</w:t>
      </w:r>
      <w:proofErr w:type="spellEnd"/>
      <w:r w:rsidRPr="002F1D73">
        <w:rPr>
          <w:rFonts w:ascii="Times New Roman" w:eastAsia="Times New Roman" w:hAnsi="Times New Roman" w:cs="Times New Roman"/>
          <w:sz w:val="24"/>
          <w:szCs w:val="24"/>
          <w:lang w:val="en-US" w:eastAsia="en-US"/>
        </w:rPr>
        <w:t xml:space="preserve">, C., Yu, G., Stanley, S., Holzwarth, K., </w:t>
      </w:r>
      <w:proofErr w:type="spellStart"/>
      <w:r w:rsidRPr="002F1D73">
        <w:rPr>
          <w:rFonts w:ascii="Times New Roman" w:eastAsia="Times New Roman" w:hAnsi="Times New Roman" w:cs="Times New Roman"/>
          <w:sz w:val="24"/>
          <w:szCs w:val="24"/>
          <w:lang w:val="en-US" w:eastAsia="en-US"/>
        </w:rPr>
        <w:t>DeLozier</w:t>
      </w:r>
      <w:proofErr w:type="spellEnd"/>
      <w:r w:rsidRPr="002F1D73">
        <w:rPr>
          <w:rFonts w:ascii="Times New Roman" w:eastAsia="Times New Roman" w:hAnsi="Times New Roman" w:cs="Times New Roman"/>
          <w:sz w:val="24"/>
          <w:szCs w:val="24"/>
          <w:lang w:val="en-US" w:eastAsia="en-US"/>
        </w:rPr>
        <w:t xml:space="preserve">, A. M., &amp; Sinclair, R. (2022). Two phase 3 trials of baricitinib for alopecia areata. </w:t>
      </w:r>
      <w:r w:rsidRPr="002F1D73">
        <w:rPr>
          <w:rFonts w:ascii="Times New Roman" w:eastAsia="Times New Roman" w:hAnsi="Times New Roman" w:cs="Times New Roman"/>
          <w:i/>
          <w:iCs/>
          <w:sz w:val="24"/>
          <w:szCs w:val="24"/>
          <w:lang w:val="en-US" w:eastAsia="en-US"/>
        </w:rPr>
        <w:t>New England Journal of Medicine, 386</w:t>
      </w:r>
      <w:r w:rsidRPr="002F1D73">
        <w:rPr>
          <w:rFonts w:ascii="Times New Roman" w:eastAsia="Times New Roman" w:hAnsi="Times New Roman" w:cs="Times New Roman"/>
          <w:sz w:val="24"/>
          <w:szCs w:val="24"/>
          <w:lang w:val="en-US" w:eastAsia="en-US"/>
        </w:rPr>
        <w:t xml:space="preserve">(18), 1687–1699. </w:t>
      </w:r>
      <w:hyperlink r:id="rId16" w:history="1">
        <w:r w:rsidRPr="002F1D73">
          <w:rPr>
            <w:rFonts w:ascii="Times New Roman" w:eastAsia="Times New Roman" w:hAnsi="Times New Roman" w:cs="Times New Roman"/>
            <w:color w:val="0000FF"/>
            <w:sz w:val="24"/>
            <w:szCs w:val="24"/>
            <w:u w:val="single"/>
            <w:lang w:val="en-US" w:eastAsia="en-US"/>
          </w:rPr>
          <w:t>https://doi.org/10.1056/NEJMoa2110343</w:t>
        </w:r>
      </w:hyperlink>
    </w:p>
    <w:p w14:paraId="0769AAFA" w14:textId="77777777" w:rsidR="002F1D73" w:rsidRPr="002F1D73" w:rsidRDefault="002F1D73" w:rsidP="002F1D73">
      <w:pPr>
        <w:rPr>
          <w:rFonts w:ascii="Times New Roman" w:eastAsia="Times New Roman" w:hAnsi="Times New Roman" w:cs="Times New Roman"/>
          <w:sz w:val="24"/>
          <w:szCs w:val="24"/>
          <w:lang w:val="en-US" w:eastAsia="en-US"/>
        </w:rPr>
      </w:pPr>
      <w:proofErr w:type="gramStart"/>
      <w:r w:rsidRPr="002F1D73">
        <w:rPr>
          <w:rFonts w:ascii="Times New Roman" w:eastAsia="Times New Roman" w:hAnsi="Symbol" w:cs="Times New Roman"/>
          <w:sz w:val="24"/>
          <w:szCs w:val="24"/>
          <w:lang w:val="en-US" w:eastAsia="en-US"/>
        </w:rPr>
        <w:t></w:t>
      </w:r>
      <w:r w:rsidRPr="002F1D73">
        <w:rPr>
          <w:rFonts w:ascii="Times New Roman" w:eastAsia="Times New Roman" w:hAnsi="Times New Roman" w:cs="Times New Roman"/>
          <w:sz w:val="24"/>
          <w:szCs w:val="24"/>
          <w:lang w:val="en-US" w:eastAsia="en-US"/>
        </w:rPr>
        <w:t xml:space="preserve">  King</w:t>
      </w:r>
      <w:proofErr w:type="gramEnd"/>
      <w:r w:rsidRPr="002F1D73">
        <w:rPr>
          <w:rFonts w:ascii="Times New Roman" w:eastAsia="Times New Roman" w:hAnsi="Times New Roman" w:cs="Times New Roman"/>
          <w:sz w:val="24"/>
          <w:szCs w:val="24"/>
          <w:lang w:val="en-US" w:eastAsia="en-US"/>
        </w:rPr>
        <w:t xml:space="preserve">, B., Senna, M. M., </w:t>
      </w:r>
      <w:proofErr w:type="spellStart"/>
      <w:r w:rsidRPr="002F1D73">
        <w:rPr>
          <w:rFonts w:ascii="Times New Roman" w:eastAsia="Times New Roman" w:hAnsi="Times New Roman" w:cs="Times New Roman"/>
          <w:sz w:val="24"/>
          <w:szCs w:val="24"/>
          <w:lang w:val="en-US" w:eastAsia="en-US"/>
        </w:rPr>
        <w:t>Mesinkovska</w:t>
      </w:r>
      <w:proofErr w:type="spellEnd"/>
      <w:r w:rsidRPr="002F1D73">
        <w:rPr>
          <w:rFonts w:ascii="Times New Roman" w:eastAsia="Times New Roman" w:hAnsi="Times New Roman" w:cs="Times New Roman"/>
          <w:sz w:val="24"/>
          <w:szCs w:val="24"/>
          <w:lang w:val="en-US" w:eastAsia="en-US"/>
        </w:rPr>
        <w:t xml:space="preserve">, N. A., Lynde, C., Zirwas, M., Maari, C., Prajapati, V. H., Sapra, S., </w:t>
      </w:r>
      <w:proofErr w:type="spellStart"/>
      <w:r w:rsidRPr="002F1D73">
        <w:rPr>
          <w:rFonts w:ascii="Times New Roman" w:eastAsia="Times New Roman" w:hAnsi="Times New Roman" w:cs="Times New Roman"/>
          <w:sz w:val="24"/>
          <w:szCs w:val="24"/>
          <w:lang w:val="en-US" w:eastAsia="en-US"/>
        </w:rPr>
        <w:t>Brzewski</w:t>
      </w:r>
      <w:proofErr w:type="spellEnd"/>
      <w:r w:rsidRPr="002F1D73">
        <w:rPr>
          <w:rFonts w:ascii="Times New Roman" w:eastAsia="Times New Roman" w:hAnsi="Times New Roman" w:cs="Times New Roman"/>
          <w:sz w:val="24"/>
          <w:szCs w:val="24"/>
          <w:lang w:val="en-US" w:eastAsia="en-US"/>
        </w:rPr>
        <w:t xml:space="preserve">, P., Osman, L., Hanna, S., Wiseman, M. C., Hamilton, C., &amp; Cassella, J. (2024). Efficacy and safety of </w:t>
      </w:r>
      <w:proofErr w:type="spellStart"/>
      <w:r w:rsidRPr="002F1D73">
        <w:rPr>
          <w:rFonts w:ascii="Times New Roman" w:eastAsia="Times New Roman" w:hAnsi="Times New Roman" w:cs="Times New Roman"/>
          <w:sz w:val="24"/>
          <w:szCs w:val="24"/>
          <w:lang w:val="en-US" w:eastAsia="en-US"/>
        </w:rPr>
        <w:t>deuruxolitinib</w:t>
      </w:r>
      <w:proofErr w:type="spellEnd"/>
      <w:r w:rsidRPr="002F1D73">
        <w:rPr>
          <w:rFonts w:ascii="Times New Roman" w:eastAsia="Times New Roman" w:hAnsi="Times New Roman" w:cs="Times New Roman"/>
          <w:sz w:val="24"/>
          <w:szCs w:val="24"/>
          <w:lang w:val="en-US" w:eastAsia="en-US"/>
        </w:rPr>
        <w:t xml:space="preserve">, an oral selective Janus kinase inhibitor, in adults with alopecia areata: Results from the phase 3 randomized, controlled trial (THRIVE-AA1). </w:t>
      </w:r>
      <w:r w:rsidRPr="002F1D73">
        <w:rPr>
          <w:rFonts w:ascii="Times New Roman" w:eastAsia="Times New Roman" w:hAnsi="Times New Roman" w:cs="Times New Roman"/>
          <w:i/>
          <w:iCs/>
          <w:sz w:val="24"/>
          <w:szCs w:val="24"/>
          <w:lang w:val="en-US" w:eastAsia="en-US"/>
        </w:rPr>
        <w:t>Journal of the American Academy of Dermatology, 91</w:t>
      </w:r>
      <w:r w:rsidRPr="002F1D73">
        <w:rPr>
          <w:rFonts w:ascii="Times New Roman" w:eastAsia="Times New Roman" w:hAnsi="Times New Roman" w:cs="Times New Roman"/>
          <w:sz w:val="24"/>
          <w:szCs w:val="24"/>
          <w:lang w:val="en-US" w:eastAsia="en-US"/>
        </w:rPr>
        <w:t xml:space="preserve">(5), 880–888. </w:t>
      </w:r>
      <w:hyperlink r:id="rId17" w:history="1">
        <w:r w:rsidRPr="002F1D73">
          <w:rPr>
            <w:rFonts w:ascii="Times New Roman" w:eastAsia="Times New Roman" w:hAnsi="Times New Roman" w:cs="Times New Roman"/>
            <w:color w:val="0000FF"/>
            <w:sz w:val="24"/>
            <w:szCs w:val="24"/>
            <w:u w:val="single"/>
            <w:lang w:val="en-US" w:eastAsia="en-US"/>
          </w:rPr>
          <w:t>https://doi.org/10.1016/j.jaad.2024.06.097</w:t>
        </w:r>
      </w:hyperlink>
    </w:p>
    <w:p w14:paraId="7BD0FC7A" w14:textId="77777777" w:rsidR="002F1D73" w:rsidRPr="002F1D73" w:rsidRDefault="002F1D73" w:rsidP="002F1D73">
      <w:pPr>
        <w:rPr>
          <w:rFonts w:ascii="Times New Roman" w:eastAsia="Times New Roman" w:hAnsi="Times New Roman" w:cs="Times New Roman"/>
          <w:sz w:val="24"/>
          <w:szCs w:val="24"/>
          <w:lang w:val="en-US" w:eastAsia="en-US"/>
        </w:rPr>
      </w:pPr>
      <w:proofErr w:type="gramStart"/>
      <w:r w:rsidRPr="002F1D73">
        <w:rPr>
          <w:rFonts w:ascii="Times New Roman" w:eastAsia="Times New Roman" w:hAnsi="Symbol" w:cs="Times New Roman"/>
          <w:sz w:val="24"/>
          <w:szCs w:val="24"/>
          <w:lang w:val="en-US" w:eastAsia="en-US"/>
        </w:rPr>
        <w:t></w:t>
      </w:r>
      <w:r w:rsidRPr="002F1D73">
        <w:rPr>
          <w:rFonts w:ascii="Times New Roman" w:eastAsia="Times New Roman" w:hAnsi="Times New Roman" w:cs="Times New Roman"/>
          <w:sz w:val="24"/>
          <w:szCs w:val="24"/>
          <w:lang w:val="en-US" w:eastAsia="en-US"/>
        </w:rPr>
        <w:t xml:space="preserve">  </w:t>
      </w:r>
      <w:proofErr w:type="spellStart"/>
      <w:r w:rsidRPr="002F1D73">
        <w:rPr>
          <w:rFonts w:ascii="Times New Roman" w:eastAsia="Times New Roman" w:hAnsi="Times New Roman" w:cs="Times New Roman"/>
          <w:sz w:val="24"/>
          <w:szCs w:val="24"/>
          <w:lang w:val="en-US" w:eastAsia="en-US"/>
        </w:rPr>
        <w:t>Mesinkovska</w:t>
      </w:r>
      <w:proofErr w:type="spellEnd"/>
      <w:proofErr w:type="gramEnd"/>
      <w:r w:rsidRPr="002F1D73">
        <w:rPr>
          <w:rFonts w:ascii="Times New Roman" w:eastAsia="Times New Roman" w:hAnsi="Times New Roman" w:cs="Times New Roman"/>
          <w:sz w:val="24"/>
          <w:szCs w:val="24"/>
          <w:lang w:val="en-US" w:eastAsia="en-US"/>
        </w:rPr>
        <w:t xml:space="preserve">, N., Craiglow, B., Ball, S. G., Morrow, P., Smith, S. G., Pierce, E., &amp; Shapiro, J. (2023). The invisible impact of a visible disease: Psychosocial impact of alopecia areata. </w:t>
      </w:r>
      <w:r w:rsidRPr="002F1D73">
        <w:rPr>
          <w:rFonts w:ascii="Times New Roman" w:eastAsia="Times New Roman" w:hAnsi="Times New Roman" w:cs="Times New Roman"/>
          <w:i/>
          <w:iCs/>
          <w:sz w:val="24"/>
          <w:szCs w:val="24"/>
          <w:lang w:val="en-US" w:eastAsia="en-US"/>
        </w:rPr>
        <w:t>Dermatology and Therapy, 13</w:t>
      </w:r>
      <w:r w:rsidRPr="002F1D73">
        <w:rPr>
          <w:rFonts w:ascii="Times New Roman" w:eastAsia="Times New Roman" w:hAnsi="Times New Roman" w:cs="Times New Roman"/>
          <w:sz w:val="24"/>
          <w:szCs w:val="24"/>
          <w:lang w:val="en-US" w:eastAsia="en-US"/>
        </w:rPr>
        <w:t xml:space="preserve">, 1503–1515. </w:t>
      </w:r>
      <w:hyperlink r:id="rId18" w:history="1">
        <w:r w:rsidRPr="002F1D73">
          <w:rPr>
            <w:rFonts w:ascii="Times New Roman" w:eastAsia="Times New Roman" w:hAnsi="Times New Roman" w:cs="Times New Roman"/>
            <w:color w:val="0000FF"/>
            <w:sz w:val="24"/>
            <w:szCs w:val="24"/>
            <w:u w:val="single"/>
            <w:lang w:val="en-US" w:eastAsia="en-US"/>
          </w:rPr>
          <w:t>https://doi.org/10.1007/s13555-023-00941-z</w:t>
        </w:r>
      </w:hyperlink>
    </w:p>
    <w:p w14:paraId="1B72D559" w14:textId="77777777" w:rsidR="002F1D73" w:rsidRPr="002F1D73" w:rsidRDefault="002F1D73" w:rsidP="002F1D73">
      <w:pPr>
        <w:rPr>
          <w:rFonts w:ascii="Times New Roman" w:eastAsia="Times New Roman" w:hAnsi="Times New Roman" w:cs="Times New Roman"/>
          <w:sz w:val="24"/>
          <w:szCs w:val="24"/>
          <w:lang w:val="en-US" w:eastAsia="en-US"/>
        </w:rPr>
      </w:pPr>
      <w:proofErr w:type="gramStart"/>
      <w:r w:rsidRPr="002F1D73">
        <w:rPr>
          <w:rFonts w:ascii="Times New Roman" w:eastAsia="Times New Roman" w:hAnsi="Symbol" w:cs="Times New Roman"/>
          <w:sz w:val="24"/>
          <w:szCs w:val="24"/>
          <w:lang w:val="en-US" w:eastAsia="en-US"/>
        </w:rPr>
        <w:t></w:t>
      </w:r>
      <w:r w:rsidRPr="002F1D73">
        <w:rPr>
          <w:rFonts w:ascii="Times New Roman" w:eastAsia="Times New Roman" w:hAnsi="Times New Roman" w:cs="Times New Roman"/>
          <w:sz w:val="24"/>
          <w:szCs w:val="24"/>
          <w:lang w:val="en-US" w:eastAsia="en-US"/>
        </w:rPr>
        <w:t xml:space="preserve">  </w:t>
      </w:r>
      <w:proofErr w:type="spellStart"/>
      <w:r w:rsidRPr="002F1D73">
        <w:rPr>
          <w:rFonts w:ascii="Times New Roman" w:eastAsia="Times New Roman" w:hAnsi="Times New Roman" w:cs="Times New Roman"/>
          <w:sz w:val="24"/>
          <w:szCs w:val="24"/>
          <w:lang w:val="en-US" w:eastAsia="en-US"/>
        </w:rPr>
        <w:t>Pindado</w:t>
      </w:r>
      <w:proofErr w:type="spellEnd"/>
      <w:proofErr w:type="gramEnd"/>
      <w:r w:rsidRPr="002F1D73">
        <w:rPr>
          <w:rFonts w:ascii="Times New Roman" w:eastAsia="Times New Roman" w:hAnsi="Times New Roman" w:cs="Times New Roman"/>
          <w:sz w:val="24"/>
          <w:szCs w:val="24"/>
          <w:lang w:val="en-US" w:eastAsia="en-US"/>
        </w:rPr>
        <w:t xml:space="preserve">-Ortega, C., </w:t>
      </w:r>
      <w:proofErr w:type="spellStart"/>
      <w:r w:rsidRPr="002F1D73">
        <w:rPr>
          <w:rFonts w:ascii="Times New Roman" w:eastAsia="Times New Roman" w:hAnsi="Times New Roman" w:cs="Times New Roman"/>
          <w:sz w:val="24"/>
          <w:szCs w:val="24"/>
          <w:lang w:val="en-US" w:eastAsia="en-US"/>
        </w:rPr>
        <w:t>Saceda-Corralo</w:t>
      </w:r>
      <w:proofErr w:type="spellEnd"/>
      <w:r w:rsidRPr="002F1D73">
        <w:rPr>
          <w:rFonts w:ascii="Times New Roman" w:eastAsia="Times New Roman" w:hAnsi="Times New Roman" w:cs="Times New Roman"/>
          <w:sz w:val="24"/>
          <w:szCs w:val="24"/>
          <w:lang w:val="en-US" w:eastAsia="en-US"/>
        </w:rPr>
        <w:t xml:space="preserve">, D., Miguel-Gómez, L., Buendía-Castaño, D., Fernández-González, P., Moreno-Arrones, Ó. M., Fonda-Pascual, P., Alegre-Sánchez, A., Rodrigues-Barata, R., &amp; </w:t>
      </w:r>
      <w:proofErr w:type="spellStart"/>
      <w:r w:rsidRPr="002F1D73">
        <w:rPr>
          <w:rFonts w:ascii="Times New Roman" w:eastAsia="Times New Roman" w:hAnsi="Times New Roman" w:cs="Times New Roman"/>
          <w:sz w:val="24"/>
          <w:szCs w:val="24"/>
          <w:lang w:val="en-US" w:eastAsia="en-US"/>
        </w:rPr>
        <w:t>Vañó</w:t>
      </w:r>
      <w:proofErr w:type="spellEnd"/>
      <w:r w:rsidRPr="002F1D73">
        <w:rPr>
          <w:rFonts w:ascii="Times New Roman" w:eastAsia="Times New Roman" w:hAnsi="Times New Roman" w:cs="Times New Roman"/>
          <w:sz w:val="24"/>
          <w:szCs w:val="24"/>
          <w:lang w:val="en-US" w:eastAsia="en-US"/>
        </w:rPr>
        <w:t xml:space="preserve">-Galván, S. (2018). Impact of folliculitis decalvans on quality of life and subjective perception of disease. </w:t>
      </w:r>
      <w:r w:rsidRPr="002F1D73">
        <w:rPr>
          <w:rFonts w:ascii="Times New Roman" w:eastAsia="Times New Roman" w:hAnsi="Times New Roman" w:cs="Times New Roman"/>
          <w:i/>
          <w:iCs/>
          <w:sz w:val="24"/>
          <w:szCs w:val="24"/>
          <w:lang w:val="en-US" w:eastAsia="en-US"/>
        </w:rPr>
        <w:t>Skin Appendage Disorders, 4</w:t>
      </w:r>
      <w:r w:rsidRPr="002F1D73">
        <w:rPr>
          <w:rFonts w:ascii="Times New Roman" w:eastAsia="Times New Roman" w:hAnsi="Times New Roman" w:cs="Times New Roman"/>
          <w:sz w:val="24"/>
          <w:szCs w:val="24"/>
          <w:lang w:val="en-US" w:eastAsia="en-US"/>
        </w:rPr>
        <w:t xml:space="preserve">(1), 34–36. </w:t>
      </w:r>
      <w:hyperlink r:id="rId19" w:history="1">
        <w:r w:rsidRPr="002F1D73">
          <w:rPr>
            <w:rFonts w:ascii="Times New Roman" w:eastAsia="Times New Roman" w:hAnsi="Times New Roman" w:cs="Times New Roman"/>
            <w:color w:val="0000FF"/>
            <w:sz w:val="24"/>
            <w:szCs w:val="24"/>
            <w:u w:val="single"/>
            <w:lang w:val="en-US" w:eastAsia="en-US"/>
          </w:rPr>
          <w:t>https://doi.org/10.1159/000478053</w:t>
        </w:r>
      </w:hyperlink>
    </w:p>
    <w:p w14:paraId="1F6F8915" w14:textId="77777777" w:rsidR="002F1D73" w:rsidRPr="002F1D73" w:rsidRDefault="002F1D73" w:rsidP="002F1D73">
      <w:pPr>
        <w:rPr>
          <w:rFonts w:ascii="Times New Roman" w:eastAsia="Times New Roman" w:hAnsi="Times New Roman" w:cs="Times New Roman"/>
          <w:sz w:val="24"/>
          <w:szCs w:val="24"/>
          <w:lang w:val="en-US" w:eastAsia="en-US"/>
        </w:rPr>
      </w:pPr>
      <w:proofErr w:type="gramStart"/>
      <w:r w:rsidRPr="002F1D73">
        <w:rPr>
          <w:rFonts w:ascii="Times New Roman" w:eastAsia="Times New Roman" w:hAnsi="Symbol" w:cs="Times New Roman"/>
          <w:sz w:val="24"/>
          <w:szCs w:val="24"/>
          <w:lang w:val="en-US" w:eastAsia="en-US"/>
        </w:rPr>
        <w:t></w:t>
      </w:r>
      <w:r w:rsidRPr="002F1D73">
        <w:rPr>
          <w:rFonts w:ascii="Times New Roman" w:eastAsia="Times New Roman" w:hAnsi="Times New Roman" w:cs="Times New Roman"/>
          <w:sz w:val="24"/>
          <w:szCs w:val="24"/>
          <w:lang w:val="en-US" w:eastAsia="en-US"/>
        </w:rPr>
        <w:t xml:space="preserve">  </w:t>
      </w:r>
      <w:proofErr w:type="spellStart"/>
      <w:r w:rsidRPr="002F1D73">
        <w:rPr>
          <w:rFonts w:ascii="Times New Roman" w:eastAsia="Times New Roman" w:hAnsi="Times New Roman" w:cs="Times New Roman"/>
          <w:sz w:val="24"/>
          <w:szCs w:val="24"/>
          <w:lang w:val="en-US" w:eastAsia="en-US"/>
        </w:rPr>
        <w:t>Porriño</w:t>
      </w:r>
      <w:proofErr w:type="spellEnd"/>
      <w:proofErr w:type="gramEnd"/>
      <w:r w:rsidRPr="002F1D73">
        <w:rPr>
          <w:rFonts w:ascii="Times New Roman" w:eastAsia="Times New Roman" w:hAnsi="Times New Roman" w:cs="Times New Roman"/>
          <w:sz w:val="24"/>
          <w:szCs w:val="24"/>
          <w:lang w:val="en-US" w:eastAsia="en-US"/>
        </w:rPr>
        <w:t>-Bustamante, M. L., Montero-</w:t>
      </w:r>
      <w:proofErr w:type="spellStart"/>
      <w:r w:rsidRPr="002F1D73">
        <w:rPr>
          <w:rFonts w:ascii="Times New Roman" w:eastAsia="Times New Roman" w:hAnsi="Times New Roman" w:cs="Times New Roman"/>
          <w:sz w:val="24"/>
          <w:szCs w:val="24"/>
          <w:lang w:val="en-US" w:eastAsia="en-US"/>
        </w:rPr>
        <w:t>Vílchez</w:t>
      </w:r>
      <w:proofErr w:type="spellEnd"/>
      <w:r w:rsidRPr="002F1D73">
        <w:rPr>
          <w:rFonts w:ascii="Times New Roman" w:eastAsia="Times New Roman" w:hAnsi="Times New Roman" w:cs="Times New Roman"/>
          <w:sz w:val="24"/>
          <w:szCs w:val="24"/>
          <w:lang w:val="en-US" w:eastAsia="en-US"/>
        </w:rPr>
        <w:t>, T., Fernández-</w:t>
      </w:r>
      <w:proofErr w:type="spellStart"/>
      <w:r w:rsidRPr="002F1D73">
        <w:rPr>
          <w:rFonts w:ascii="Times New Roman" w:eastAsia="Times New Roman" w:hAnsi="Times New Roman" w:cs="Times New Roman"/>
          <w:sz w:val="24"/>
          <w:szCs w:val="24"/>
          <w:lang w:val="en-US" w:eastAsia="en-US"/>
        </w:rPr>
        <w:t>Pugnaire</w:t>
      </w:r>
      <w:proofErr w:type="spellEnd"/>
      <w:r w:rsidRPr="002F1D73">
        <w:rPr>
          <w:rFonts w:ascii="Times New Roman" w:eastAsia="Times New Roman" w:hAnsi="Times New Roman" w:cs="Times New Roman"/>
          <w:sz w:val="24"/>
          <w:szCs w:val="24"/>
          <w:lang w:val="en-US" w:eastAsia="en-US"/>
        </w:rPr>
        <w:t xml:space="preserve">, M. A., &amp; Arias-Santiago, S. (2023). Frontal fibrosing alopecia quality of life index: A validated disease-specific questionnaire involving women. </w:t>
      </w:r>
      <w:r w:rsidRPr="002F1D73">
        <w:rPr>
          <w:rFonts w:ascii="Times New Roman" w:eastAsia="Times New Roman" w:hAnsi="Times New Roman" w:cs="Times New Roman"/>
          <w:i/>
          <w:iCs/>
          <w:sz w:val="24"/>
          <w:szCs w:val="24"/>
          <w:lang w:val="en-US" w:eastAsia="en-US"/>
        </w:rPr>
        <w:t>Journal of Clinical Medicine, 12</w:t>
      </w:r>
      <w:r w:rsidRPr="002F1D73">
        <w:rPr>
          <w:rFonts w:ascii="Times New Roman" w:eastAsia="Times New Roman" w:hAnsi="Times New Roman" w:cs="Times New Roman"/>
          <w:sz w:val="24"/>
          <w:szCs w:val="24"/>
          <w:lang w:val="en-US" w:eastAsia="en-US"/>
        </w:rPr>
        <w:t xml:space="preserve">(3), 824. </w:t>
      </w:r>
      <w:hyperlink r:id="rId20" w:history="1">
        <w:r w:rsidRPr="002F1D73">
          <w:rPr>
            <w:rFonts w:ascii="Times New Roman" w:eastAsia="Times New Roman" w:hAnsi="Times New Roman" w:cs="Times New Roman"/>
            <w:color w:val="0000FF"/>
            <w:sz w:val="24"/>
            <w:szCs w:val="24"/>
            <w:u w:val="single"/>
            <w:lang w:val="en-US" w:eastAsia="en-US"/>
          </w:rPr>
          <w:t>https://doi.org/10.3390/jcm12030824</w:t>
        </w:r>
      </w:hyperlink>
    </w:p>
    <w:p w14:paraId="14EAA4A0" w14:textId="77777777" w:rsidR="002F1D73" w:rsidRPr="002F1D73" w:rsidRDefault="002F1D73" w:rsidP="002F1D73">
      <w:pPr>
        <w:rPr>
          <w:rFonts w:ascii="Times New Roman" w:eastAsia="Times New Roman" w:hAnsi="Times New Roman" w:cs="Times New Roman"/>
          <w:sz w:val="24"/>
          <w:szCs w:val="24"/>
          <w:lang w:val="en-US" w:eastAsia="en-US"/>
        </w:rPr>
      </w:pPr>
      <w:proofErr w:type="gramStart"/>
      <w:r w:rsidRPr="002F1D73">
        <w:rPr>
          <w:rFonts w:ascii="Times New Roman" w:eastAsia="Times New Roman" w:hAnsi="Symbol" w:cs="Times New Roman"/>
          <w:sz w:val="24"/>
          <w:szCs w:val="24"/>
          <w:lang w:val="en-US" w:eastAsia="en-US"/>
        </w:rPr>
        <w:t></w:t>
      </w:r>
      <w:r w:rsidRPr="002F1D73">
        <w:rPr>
          <w:rFonts w:ascii="Times New Roman" w:eastAsia="Times New Roman" w:hAnsi="Times New Roman" w:cs="Times New Roman"/>
          <w:sz w:val="24"/>
          <w:szCs w:val="24"/>
          <w:lang w:val="en-US" w:eastAsia="en-US"/>
        </w:rPr>
        <w:t xml:space="preserve">  Reid</w:t>
      </w:r>
      <w:proofErr w:type="gramEnd"/>
      <w:r w:rsidRPr="002F1D73">
        <w:rPr>
          <w:rFonts w:ascii="Times New Roman" w:eastAsia="Times New Roman" w:hAnsi="Times New Roman" w:cs="Times New Roman"/>
          <w:sz w:val="24"/>
          <w:szCs w:val="24"/>
          <w:lang w:val="en-US" w:eastAsia="en-US"/>
        </w:rPr>
        <w:t xml:space="preserve">, E. E., Haley, A. C., Borovicka, J. H., Rademaker, A., West, D. P., </w:t>
      </w:r>
      <w:proofErr w:type="spellStart"/>
      <w:r w:rsidRPr="002F1D73">
        <w:rPr>
          <w:rFonts w:ascii="Times New Roman" w:eastAsia="Times New Roman" w:hAnsi="Times New Roman" w:cs="Times New Roman"/>
          <w:sz w:val="24"/>
          <w:szCs w:val="24"/>
          <w:lang w:val="en-US" w:eastAsia="en-US"/>
        </w:rPr>
        <w:t>Colavincenzo</w:t>
      </w:r>
      <w:proofErr w:type="spellEnd"/>
      <w:r w:rsidRPr="002F1D73">
        <w:rPr>
          <w:rFonts w:ascii="Times New Roman" w:eastAsia="Times New Roman" w:hAnsi="Times New Roman" w:cs="Times New Roman"/>
          <w:sz w:val="24"/>
          <w:szCs w:val="24"/>
          <w:lang w:val="en-US" w:eastAsia="en-US"/>
        </w:rPr>
        <w:t xml:space="preserve">, M., &amp; Wickless, H. (2012). Clinical severity does not reliably predict quality of life in women with alopecia areata, telogen effluvium, or androgenic alopecia. </w:t>
      </w:r>
      <w:r w:rsidRPr="002F1D73">
        <w:rPr>
          <w:rFonts w:ascii="Times New Roman" w:eastAsia="Times New Roman" w:hAnsi="Times New Roman" w:cs="Times New Roman"/>
          <w:i/>
          <w:iCs/>
          <w:sz w:val="24"/>
          <w:szCs w:val="24"/>
          <w:lang w:val="en-US" w:eastAsia="en-US"/>
        </w:rPr>
        <w:t>Journal of the American Academy of Dermatology, 66</w:t>
      </w:r>
      <w:r w:rsidRPr="002F1D73">
        <w:rPr>
          <w:rFonts w:ascii="Times New Roman" w:eastAsia="Times New Roman" w:hAnsi="Times New Roman" w:cs="Times New Roman"/>
          <w:sz w:val="24"/>
          <w:szCs w:val="24"/>
          <w:lang w:val="en-US" w:eastAsia="en-US"/>
        </w:rPr>
        <w:t xml:space="preserve">(3), e97–e102. </w:t>
      </w:r>
      <w:hyperlink r:id="rId21" w:history="1">
        <w:r w:rsidRPr="002F1D73">
          <w:rPr>
            <w:rFonts w:ascii="Times New Roman" w:eastAsia="Times New Roman" w:hAnsi="Times New Roman" w:cs="Times New Roman"/>
            <w:color w:val="0000FF"/>
            <w:sz w:val="24"/>
            <w:szCs w:val="24"/>
            <w:u w:val="single"/>
            <w:lang w:val="en-US" w:eastAsia="en-US"/>
          </w:rPr>
          <w:t>https://doi.org/10.1016/j.jaad.2010.11.042</w:t>
        </w:r>
      </w:hyperlink>
    </w:p>
    <w:p w14:paraId="08BA583C" w14:textId="77777777" w:rsidR="002F1D73" w:rsidRPr="002F1D73" w:rsidRDefault="002F1D73" w:rsidP="002F1D73">
      <w:pPr>
        <w:rPr>
          <w:rFonts w:ascii="Times New Roman" w:eastAsia="Times New Roman" w:hAnsi="Times New Roman" w:cs="Times New Roman"/>
          <w:sz w:val="24"/>
          <w:szCs w:val="24"/>
          <w:lang w:val="en-US" w:eastAsia="en-US"/>
        </w:rPr>
      </w:pPr>
      <w:proofErr w:type="gramStart"/>
      <w:r w:rsidRPr="002F1D73">
        <w:rPr>
          <w:rFonts w:ascii="Times New Roman" w:eastAsia="Times New Roman" w:hAnsi="Symbol" w:cs="Times New Roman"/>
          <w:sz w:val="24"/>
          <w:szCs w:val="24"/>
          <w:lang w:val="en-US" w:eastAsia="en-US"/>
        </w:rPr>
        <w:t></w:t>
      </w:r>
      <w:r w:rsidRPr="002F1D73">
        <w:rPr>
          <w:rFonts w:ascii="Times New Roman" w:eastAsia="Times New Roman" w:hAnsi="Times New Roman" w:cs="Times New Roman"/>
          <w:sz w:val="24"/>
          <w:szCs w:val="24"/>
          <w:lang w:val="en-US" w:eastAsia="en-US"/>
        </w:rPr>
        <w:t xml:space="preserve">  </w:t>
      </w:r>
      <w:proofErr w:type="spellStart"/>
      <w:r w:rsidRPr="002F1D73">
        <w:rPr>
          <w:rFonts w:ascii="Times New Roman" w:eastAsia="Times New Roman" w:hAnsi="Times New Roman" w:cs="Times New Roman"/>
          <w:sz w:val="24"/>
          <w:szCs w:val="24"/>
          <w:lang w:val="en-US" w:eastAsia="en-US"/>
        </w:rPr>
        <w:t>Saceda</w:t>
      </w:r>
      <w:proofErr w:type="gramEnd"/>
      <w:r w:rsidRPr="002F1D73">
        <w:rPr>
          <w:rFonts w:ascii="Times New Roman" w:eastAsia="Times New Roman" w:hAnsi="Times New Roman" w:cs="Times New Roman"/>
          <w:sz w:val="24"/>
          <w:szCs w:val="24"/>
          <w:lang w:val="en-US" w:eastAsia="en-US"/>
        </w:rPr>
        <w:t>-Corralo</w:t>
      </w:r>
      <w:proofErr w:type="spellEnd"/>
      <w:r w:rsidRPr="002F1D73">
        <w:rPr>
          <w:rFonts w:ascii="Times New Roman" w:eastAsia="Times New Roman" w:hAnsi="Times New Roman" w:cs="Times New Roman"/>
          <w:sz w:val="24"/>
          <w:szCs w:val="24"/>
          <w:lang w:val="en-US" w:eastAsia="en-US"/>
        </w:rPr>
        <w:t xml:space="preserve">, D., </w:t>
      </w:r>
      <w:proofErr w:type="spellStart"/>
      <w:r w:rsidRPr="002F1D73">
        <w:rPr>
          <w:rFonts w:ascii="Times New Roman" w:eastAsia="Times New Roman" w:hAnsi="Times New Roman" w:cs="Times New Roman"/>
          <w:sz w:val="24"/>
          <w:szCs w:val="24"/>
          <w:lang w:val="en-US" w:eastAsia="en-US"/>
        </w:rPr>
        <w:t>Pindado</w:t>
      </w:r>
      <w:proofErr w:type="spellEnd"/>
      <w:r w:rsidRPr="002F1D73">
        <w:rPr>
          <w:rFonts w:ascii="Times New Roman" w:eastAsia="Times New Roman" w:hAnsi="Times New Roman" w:cs="Times New Roman"/>
          <w:sz w:val="24"/>
          <w:szCs w:val="24"/>
          <w:lang w:val="en-US" w:eastAsia="en-US"/>
        </w:rPr>
        <w:t>-Ortega, C., Moreno-Arrones, Ó. M., Fernández-González, P., Rodrigues-Barata, A. R., Jaén-</w:t>
      </w:r>
      <w:proofErr w:type="spellStart"/>
      <w:r w:rsidRPr="002F1D73">
        <w:rPr>
          <w:rFonts w:ascii="Times New Roman" w:eastAsia="Times New Roman" w:hAnsi="Times New Roman" w:cs="Times New Roman"/>
          <w:sz w:val="24"/>
          <w:szCs w:val="24"/>
          <w:lang w:val="en-US" w:eastAsia="en-US"/>
        </w:rPr>
        <w:t>Olasolo</w:t>
      </w:r>
      <w:proofErr w:type="spellEnd"/>
      <w:r w:rsidRPr="002F1D73">
        <w:rPr>
          <w:rFonts w:ascii="Times New Roman" w:eastAsia="Times New Roman" w:hAnsi="Times New Roman" w:cs="Times New Roman"/>
          <w:sz w:val="24"/>
          <w:szCs w:val="24"/>
          <w:lang w:val="en-US" w:eastAsia="en-US"/>
        </w:rPr>
        <w:t xml:space="preserve">, P., &amp; </w:t>
      </w:r>
      <w:proofErr w:type="spellStart"/>
      <w:r w:rsidRPr="002F1D73">
        <w:rPr>
          <w:rFonts w:ascii="Times New Roman" w:eastAsia="Times New Roman" w:hAnsi="Times New Roman" w:cs="Times New Roman"/>
          <w:sz w:val="24"/>
          <w:szCs w:val="24"/>
          <w:lang w:val="en-US" w:eastAsia="en-US"/>
        </w:rPr>
        <w:t>Vañó</w:t>
      </w:r>
      <w:proofErr w:type="spellEnd"/>
      <w:r w:rsidRPr="002F1D73">
        <w:rPr>
          <w:rFonts w:ascii="Times New Roman" w:eastAsia="Times New Roman" w:hAnsi="Times New Roman" w:cs="Times New Roman"/>
          <w:sz w:val="24"/>
          <w:szCs w:val="24"/>
          <w:lang w:val="en-US" w:eastAsia="en-US"/>
        </w:rPr>
        <w:t xml:space="preserve">-Galván, S. (2018). Health-related quality of life in patients with frontal fibrosing alopecia. </w:t>
      </w:r>
      <w:r w:rsidRPr="002F1D73">
        <w:rPr>
          <w:rFonts w:ascii="Times New Roman" w:eastAsia="Times New Roman" w:hAnsi="Times New Roman" w:cs="Times New Roman"/>
          <w:i/>
          <w:iCs/>
          <w:sz w:val="24"/>
          <w:szCs w:val="24"/>
          <w:lang w:val="en-US" w:eastAsia="en-US"/>
        </w:rPr>
        <w:t>JAMA Dermatology, 154</w:t>
      </w:r>
      <w:r w:rsidRPr="002F1D73">
        <w:rPr>
          <w:rFonts w:ascii="Times New Roman" w:eastAsia="Times New Roman" w:hAnsi="Times New Roman" w:cs="Times New Roman"/>
          <w:sz w:val="24"/>
          <w:szCs w:val="24"/>
          <w:lang w:val="en-US" w:eastAsia="en-US"/>
        </w:rPr>
        <w:t xml:space="preserve">(4), 479–480. </w:t>
      </w:r>
      <w:hyperlink r:id="rId22" w:history="1">
        <w:r w:rsidRPr="002F1D73">
          <w:rPr>
            <w:rFonts w:ascii="Times New Roman" w:eastAsia="Times New Roman" w:hAnsi="Times New Roman" w:cs="Times New Roman"/>
            <w:color w:val="0000FF"/>
            <w:sz w:val="24"/>
            <w:szCs w:val="24"/>
            <w:u w:val="single"/>
            <w:lang w:val="en-US" w:eastAsia="en-US"/>
          </w:rPr>
          <w:t>https://doi.org/10.1001/jamadermatol.2017.6330</w:t>
        </w:r>
      </w:hyperlink>
    </w:p>
    <w:p w14:paraId="6FD79B8F" w14:textId="77777777" w:rsidR="002F1D73" w:rsidRPr="002F1D73" w:rsidRDefault="002F1D73" w:rsidP="002F1D73">
      <w:pPr>
        <w:rPr>
          <w:rFonts w:ascii="Times New Roman" w:eastAsia="Times New Roman" w:hAnsi="Times New Roman" w:cs="Times New Roman"/>
          <w:sz w:val="24"/>
          <w:szCs w:val="24"/>
          <w:lang w:val="en-US" w:eastAsia="en-US"/>
        </w:rPr>
      </w:pPr>
      <w:proofErr w:type="gramStart"/>
      <w:r w:rsidRPr="002F1D73">
        <w:rPr>
          <w:rFonts w:ascii="Times New Roman" w:eastAsia="Times New Roman" w:hAnsi="Symbol" w:cs="Times New Roman"/>
          <w:sz w:val="24"/>
          <w:szCs w:val="24"/>
          <w:lang w:val="en-US" w:eastAsia="en-US"/>
        </w:rPr>
        <w:t></w:t>
      </w:r>
      <w:r w:rsidRPr="002F1D73">
        <w:rPr>
          <w:rFonts w:ascii="Times New Roman" w:eastAsia="Times New Roman" w:hAnsi="Times New Roman" w:cs="Times New Roman"/>
          <w:sz w:val="24"/>
          <w:szCs w:val="24"/>
          <w:lang w:val="en-US" w:eastAsia="en-US"/>
        </w:rPr>
        <w:t xml:space="preserve">  </w:t>
      </w:r>
      <w:proofErr w:type="spellStart"/>
      <w:r w:rsidRPr="002F1D73">
        <w:rPr>
          <w:rFonts w:ascii="Times New Roman" w:eastAsia="Times New Roman" w:hAnsi="Times New Roman" w:cs="Times New Roman"/>
          <w:sz w:val="24"/>
          <w:szCs w:val="24"/>
          <w:lang w:val="en-US" w:eastAsia="en-US"/>
        </w:rPr>
        <w:t>Samagani</w:t>
      </w:r>
      <w:proofErr w:type="spellEnd"/>
      <w:proofErr w:type="gramEnd"/>
      <w:r w:rsidRPr="002F1D73">
        <w:rPr>
          <w:rFonts w:ascii="Times New Roman" w:eastAsia="Times New Roman" w:hAnsi="Times New Roman" w:cs="Times New Roman"/>
          <w:sz w:val="24"/>
          <w:szCs w:val="24"/>
          <w:lang w:val="en-US" w:eastAsia="en-US"/>
        </w:rPr>
        <w:t xml:space="preserve">, A., Raveendra, L., Desai, K., &amp; Sumanth, T. P. (2026). Impact of hair loss on quality of life and mental health: A comparative study of androgenetic alopecia and alopecia areata. </w:t>
      </w:r>
      <w:r w:rsidRPr="002F1D73">
        <w:rPr>
          <w:rFonts w:ascii="Times New Roman" w:eastAsia="Times New Roman" w:hAnsi="Times New Roman" w:cs="Times New Roman"/>
          <w:i/>
          <w:iCs/>
          <w:sz w:val="24"/>
          <w:szCs w:val="24"/>
          <w:lang w:val="en-US" w:eastAsia="en-US"/>
        </w:rPr>
        <w:t>Portuguese Journal of Dermatology and Venereology, 84</w:t>
      </w:r>
      <w:r w:rsidRPr="002F1D73">
        <w:rPr>
          <w:rFonts w:ascii="Times New Roman" w:eastAsia="Times New Roman" w:hAnsi="Times New Roman" w:cs="Times New Roman"/>
          <w:sz w:val="24"/>
          <w:szCs w:val="24"/>
          <w:lang w:val="en-US" w:eastAsia="en-US"/>
        </w:rPr>
        <w:t xml:space="preserve">(1), 32–37. </w:t>
      </w:r>
      <w:hyperlink r:id="rId23" w:history="1">
        <w:r w:rsidRPr="002F1D73">
          <w:rPr>
            <w:rFonts w:ascii="Times New Roman" w:eastAsia="Times New Roman" w:hAnsi="Times New Roman" w:cs="Times New Roman"/>
            <w:color w:val="0000FF"/>
            <w:sz w:val="24"/>
            <w:szCs w:val="24"/>
            <w:u w:val="single"/>
            <w:lang w:val="en-US" w:eastAsia="en-US"/>
          </w:rPr>
          <w:t>https://doi.org/10.24875/PJDV.25000072</w:t>
        </w:r>
      </w:hyperlink>
    </w:p>
    <w:p w14:paraId="3D77ABC5" w14:textId="77777777" w:rsidR="002F1D73" w:rsidRPr="002F1D73" w:rsidRDefault="002F1D73" w:rsidP="002F1D73">
      <w:pPr>
        <w:rPr>
          <w:rFonts w:ascii="Times New Roman" w:eastAsia="Times New Roman" w:hAnsi="Times New Roman" w:cs="Times New Roman"/>
          <w:sz w:val="24"/>
          <w:szCs w:val="24"/>
          <w:lang w:val="en-US" w:eastAsia="en-US"/>
        </w:rPr>
      </w:pPr>
      <w:proofErr w:type="gramStart"/>
      <w:r w:rsidRPr="002F1D73">
        <w:rPr>
          <w:rFonts w:ascii="Times New Roman" w:eastAsia="Times New Roman" w:hAnsi="Symbol" w:cs="Times New Roman"/>
          <w:sz w:val="24"/>
          <w:szCs w:val="24"/>
          <w:lang w:val="en-US" w:eastAsia="en-US"/>
        </w:rPr>
        <w:t></w:t>
      </w:r>
      <w:r w:rsidRPr="002F1D73">
        <w:rPr>
          <w:rFonts w:ascii="Times New Roman" w:eastAsia="Times New Roman" w:hAnsi="Times New Roman" w:cs="Times New Roman"/>
          <w:sz w:val="24"/>
          <w:szCs w:val="24"/>
          <w:lang w:val="en-US" w:eastAsia="en-US"/>
        </w:rPr>
        <w:t xml:space="preserve">  </w:t>
      </w:r>
      <w:proofErr w:type="spellStart"/>
      <w:r w:rsidRPr="002F1D73">
        <w:rPr>
          <w:rFonts w:ascii="Times New Roman" w:eastAsia="Times New Roman" w:hAnsi="Times New Roman" w:cs="Times New Roman"/>
          <w:sz w:val="24"/>
          <w:szCs w:val="24"/>
          <w:lang w:val="en-US" w:eastAsia="en-US"/>
        </w:rPr>
        <w:t>Vañó</w:t>
      </w:r>
      <w:proofErr w:type="spellEnd"/>
      <w:proofErr w:type="gramEnd"/>
      <w:r w:rsidRPr="002F1D73">
        <w:rPr>
          <w:rFonts w:ascii="Times New Roman" w:eastAsia="Times New Roman" w:hAnsi="Times New Roman" w:cs="Times New Roman"/>
          <w:sz w:val="24"/>
          <w:szCs w:val="24"/>
          <w:lang w:val="en-US" w:eastAsia="en-US"/>
        </w:rPr>
        <w:t>-Galván, S., Blume-</w:t>
      </w:r>
      <w:proofErr w:type="spellStart"/>
      <w:r w:rsidRPr="002F1D73">
        <w:rPr>
          <w:rFonts w:ascii="Times New Roman" w:eastAsia="Times New Roman" w:hAnsi="Times New Roman" w:cs="Times New Roman"/>
          <w:sz w:val="24"/>
          <w:szCs w:val="24"/>
          <w:lang w:val="en-US" w:eastAsia="en-US"/>
        </w:rPr>
        <w:t>Peytavi</w:t>
      </w:r>
      <w:proofErr w:type="spellEnd"/>
      <w:r w:rsidRPr="002F1D73">
        <w:rPr>
          <w:rFonts w:ascii="Times New Roman" w:eastAsia="Times New Roman" w:hAnsi="Times New Roman" w:cs="Times New Roman"/>
          <w:sz w:val="24"/>
          <w:szCs w:val="24"/>
          <w:lang w:val="en-US" w:eastAsia="en-US"/>
        </w:rPr>
        <w:t xml:space="preserve">, U., Farrant, P., </w:t>
      </w:r>
      <w:proofErr w:type="spellStart"/>
      <w:r w:rsidRPr="002F1D73">
        <w:rPr>
          <w:rFonts w:ascii="Times New Roman" w:eastAsia="Times New Roman" w:hAnsi="Times New Roman" w:cs="Times New Roman"/>
          <w:sz w:val="24"/>
          <w:szCs w:val="24"/>
          <w:lang w:val="en-US" w:eastAsia="en-US"/>
        </w:rPr>
        <w:t>Reygagne</w:t>
      </w:r>
      <w:proofErr w:type="spellEnd"/>
      <w:r w:rsidRPr="002F1D73">
        <w:rPr>
          <w:rFonts w:ascii="Times New Roman" w:eastAsia="Times New Roman" w:hAnsi="Times New Roman" w:cs="Times New Roman"/>
          <w:sz w:val="24"/>
          <w:szCs w:val="24"/>
          <w:lang w:val="en-US" w:eastAsia="en-US"/>
        </w:rPr>
        <w:t xml:space="preserve">, P., Johansson, E., Reed, C., Marwaha, S., Durand, F., &amp; </w:t>
      </w:r>
      <w:proofErr w:type="spellStart"/>
      <w:r w:rsidRPr="002F1D73">
        <w:rPr>
          <w:rFonts w:ascii="Times New Roman" w:eastAsia="Times New Roman" w:hAnsi="Times New Roman" w:cs="Times New Roman"/>
          <w:sz w:val="24"/>
          <w:szCs w:val="24"/>
          <w:lang w:val="en-US" w:eastAsia="en-US"/>
        </w:rPr>
        <w:t>Piraccini</w:t>
      </w:r>
      <w:proofErr w:type="spellEnd"/>
      <w:r w:rsidRPr="002F1D73">
        <w:rPr>
          <w:rFonts w:ascii="Times New Roman" w:eastAsia="Times New Roman" w:hAnsi="Times New Roman" w:cs="Times New Roman"/>
          <w:sz w:val="24"/>
          <w:szCs w:val="24"/>
          <w:lang w:val="en-US" w:eastAsia="en-US"/>
        </w:rPr>
        <w:t xml:space="preserve">, B. M. (2023). Physician- and patient-reported severity and quality of life impact of alopecia areata: Results from a real-world survey in five European countries. </w:t>
      </w:r>
      <w:r w:rsidRPr="002F1D73">
        <w:rPr>
          <w:rFonts w:ascii="Times New Roman" w:eastAsia="Times New Roman" w:hAnsi="Times New Roman" w:cs="Times New Roman"/>
          <w:i/>
          <w:iCs/>
          <w:sz w:val="24"/>
          <w:szCs w:val="24"/>
          <w:lang w:val="en-US" w:eastAsia="en-US"/>
        </w:rPr>
        <w:t>Dermatology and Therapy, 13</w:t>
      </w:r>
      <w:r w:rsidRPr="002F1D73">
        <w:rPr>
          <w:rFonts w:ascii="Times New Roman" w:eastAsia="Times New Roman" w:hAnsi="Times New Roman" w:cs="Times New Roman"/>
          <w:sz w:val="24"/>
          <w:szCs w:val="24"/>
          <w:lang w:val="en-US" w:eastAsia="en-US"/>
        </w:rPr>
        <w:t xml:space="preserve">(12), 3121–3135. </w:t>
      </w:r>
      <w:hyperlink r:id="rId24" w:history="1">
        <w:r w:rsidRPr="002F1D73">
          <w:rPr>
            <w:rFonts w:ascii="Times New Roman" w:eastAsia="Times New Roman" w:hAnsi="Times New Roman" w:cs="Times New Roman"/>
            <w:color w:val="0000FF"/>
            <w:sz w:val="24"/>
            <w:szCs w:val="24"/>
            <w:u w:val="single"/>
            <w:lang w:val="en-US" w:eastAsia="en-US"/>
          </w:rPr>
          <w:t>https://doi.org/10.1007/s13555-023-01057-0</w:t>
        </w:r>
      </w:hyperlink>
    </w:p>
    <w:p w14:paraId="37165BCC" w14:textId="330570EB" w:rsidR="002F1D73" w:rsidRDefault="002F1D73" w:rsidP="002F1D73">
      <w:pPr>
        <w:spacing w:before="240" w:after="120"/>
      </w:pPr>
      <w:proofErr w:type="gramStart"/>
      <w:r w:rsidRPr="002F1D73">
        <w:rPr>
          <w:rFonts w:ascii="Times New Roman" w:eastAsia="Times New Roman" w:hAnsi="Symbol" w:cs="Times New Roman"/>
          <w:sz w:val="24"/>
          <w:szCs w:val="24"/>
          <w:lang w:val="en-US" w:eastAsia="en-US"/>
        </w:rPr>
        <w:t></w:t>
      </w:r>
      <w:r w:rsidRPr="002F1D73">
        <w:rPr>
          <w:rFonts w:ascii="Times New Roman" w:eastAsia="Times New Roman" w:hAnsi="Times New Roman" w:cs="Times New Roman"/>
          <w:sz w:val="24"/>
          <w:szCs w:val="24"/>
          <w:lang w:val="en-US" w:eastAsia="en-US"/>
        </w:rPr>
        <w:t xml:space="preserve">  Zhang</w:t>
      </w:r>
      <w:proofErr w:type="gramEnd"/>
      <w:r w:rsidRPr="002F1D73">
        <w:rPr>
          <w:rFonts w:ascii="Times New Roman" w:eastAsia="Times New Roman" w:hAnsi="Times New Roman" w:cs="Times New Roman"/>
          <w:sz w:val="24"/>
          <w:szCs w:val="24"/>
          <w:lang w:val="en-US" w:eastAsia="en-US"/>
        </w:rPr>
        <w:t xml:space="preserve">, M., &amp; Zhang, N. (2017). Quality of life assessment in patients with alopecia areata and androgenetic alopecia in the People’s Republic of China. </w:t>
      </w:r>
      <w:r w:rsidRPr="002F1D73">
        <w:rPr>
          <w:rFonts w:ascii="Times New Roman" w:eastAsia="Times New Roman" w:hAnsi="Times New Roman" w:cs="Times New Roman"/>
          <w:i/>
          <w:iCs/>
          <w:sz w:val="24"/>
          <w:szCs w:val="24"/>
          <w:lang w:val="en-US" w:eastAsia="en-US"/>
        </w:rPr>
        <w:t>Patient Preference and Adherence, 11</w:t>
      </w:r>
      <w:r w:rsidRPr="002F1D73">
        <w:rPr>
          <w:rFonts w:ascii="Times New Roman" w:eastAsia="Times New Roman" w:hAnsi="Times New Roman" w:cs="Times New Roman"/>
          <w:sz w:val="24"/>
          <w:szCs w:val="24"/>
          <w:lang w:val="en-US" w:eastAsia="en-US"/>
        </w:rPr>
        <w:t xml:space="preserve">, 151–155. </w:t>
      </w:r>
      <w:hyperlink r:id="rId25" w:history="1">
        <w:r w:rsidRPr="002F1D73">
          <w:rPr>
            <w:rFonts w:ascii="Times New Roman" w:eastAsia="Times New Roman" w:hAnsi="Times New Roman" w:cs="Times New Roman"/>
            <w:color w:val="0000FF"/>
            <w:sz w:val="24"/>
            <w:szCs w:val="24"/>
            <w:u w:val="single"/>
            <w:lang w:val="en-US" w:eastAsia="en-US"/>
          </w:rPr>
          <w:t>https://doi.org/10.2147/PPA.S121218</w:t>
        </w:r>
      </w:hyperlink>
    </w:p>
    <w:sectPr w:rsidR="002F1D73">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4F92B" w14:textId="77777777" w:rsidR="00280046" w:rsidRDefault="00280046">
      <w:r>
        <w:separator/>
      </w:r>
    </w:p>
  </w:endnote>
  <w:endnote w:type="continuationSeparator" w:id="0">
    <w:p w14:paraId="1CDD69FB" w14:textId="77777777" w:rsidR="00280046" w:rsidRDefault="00280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AD29B" w14:textId="77777777" w:rsidR="002E3E49" w:rsidRDefault="002E3E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FB8F0" w14:textId="77777777" w:rsidR="00B45B5B" w:rsidRDefault="005146C7">
    <w:pPr>
      <w:jc w:val="center"/>
    </w:pPr>
    <w:r>
      <w:rPr>
        <w:color w:val="808080"/>
        <w:sz w:val="18"/>
        <w:szCs w:val="18"/>
      </w:rPr>
      <w:t xml:space="preserve">Page </w:t>
    </w:r>
    <w:r>
      <w:rPr>
        <w:color w:val="808080"/>
        <w:sz w:val="18"/>
        <w:szCs w:val="18"/>
      </w:rPr>
      <w:fldChar w:fldCharType="begin"/>
    </w:r>
    <w:r>
      <w:rPr>
        <w:color w:val="808080"/>
        <w:sz w:val="18"/>
        <w:szCs w:val="18"/>
      </w:rPr>
      <w:instrText>PAGE</w:instrText>
    </w:r>
    <w:r>
      <w:rPr>
        <w:color w:val="808080"/>
        <w:sz w:val="18"/>
        <w:szCs w:val="18"/>
      </w:rPr>
      <w:fldChar w:fldCharType="separate"/>
    </w:r>
    <w:r w:rsidR="00627298">
      <w:rPr>
        <w:noProof/>
        <w:color w:val="808080"/>
        <w:sz w:val="18"/>
        <w:szCs w:val="18"/>
      </w:rPr>
      <w:t>1</w:t>
    </w:r>
    <w:r>
      <w:rPr>
        <w:color w:val="808080"/>
        <w:sz w:val="18"/>
        <w:szCs w:val="18"/>
      </w:rPr>
      <w:fldChar w:fldCharType="end"/>
    </w:r>
    <w:r>
      <w:rPr>
        <w:color w:val="808080"/>
        <w:sz w:val="18"/>
        <w:szCs w:val="18"/>
      </w:rPr>
      <w:t xml:space="preserve"> of </w:t>
    </w:r>
    <w:r>
      <w:rPr>
        <w:color w:val="808080"/>
        <w:sz w:val="18"/>
        <w:szCs w:val="18"/>
      </w:rPr>
      <w:fldChar w:fldCharType="begin"/>
    </w:r>
    <w:r>
      <w:rPr>
        <w:color w:val="808080"/>
        <w:sz w:val="18"/>
        <w:szCs w:val="18"/>
      </w:rPr>
      <w:instrText>NUMPAGES</w:instrText>
    </w:r>
    <w:r>
      <w:rPr>
        <w:color w:val="808080"/>
        <w:sz w:val="18"/>
        <w:szCs w:val="18"/>
      </w:rPr>
      <w:fldChar w:fldCharType="separate"/>
    </w:r>
    <w:r w:rsidR="00627298">
      <w:rPr>
        <w:noProof/>
        <w:color w:val="808080"/>
        <w:sz w:val="18"/>
        <w:szCs w:val="18"/>
      </w:rPr>
      <w:t>1</w:t>
    </w:r>
    <w:r>
      <w:rPr>
        <w:color w:val="80808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9FB64" w14:textId="77777777" w:rsidR="002E3E49" w:rsidRDefault="002E3E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C9F7F" w14:textId="77777777" w:rsidR="00280046" w:rsidRDefault="00280046">
      <w:r>
        <w:separator/>
      </w:r>
    </w:p>
  </w:footnote>
  <w:footnote w:type="continuationSeparator" w:id="0">
    <w:p w14:paraId="5AE9A352" w14:textId="77777777" w:rsidR="00280046" w:rsidRDefault="00280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958A9" w14:textId="77777777" w:rsidR="002E3E49" w:rsidRDefault="00000000">
    <w:pPr>
      <w:pStyle w:val="Header"/>
    </w:pPr>
    <w:r>
      <w:rPr>
        <w:noProof/>
      </w:rPr>
      <w:pict w14:anchorId="02077A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63251" o:spid="_x0000_s1027" type="#_x0000_t136" alt="" style="position:absolute;margin-left:0;margin-top:0;width:593.85pt;height:65.9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24289" w14:textId="77777777" w:rsidR="002E3E49" w:rsidRDefault="00000000">
    <w:pPr>
      <w:pStyle w:val="Header"/>
    </w:pPr>
    <w:r>
      <w:rPr>
        <w:noProof/>
      </w:rPr>
      <w:pict w14:anchorId="763B06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63252" o:spid="_x0000_s1026" type="#_x0000_t136" alt="" style="position:absolute;margin-left:0;margin-top:0;width:593.85pt;height:65.9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DC7ED" w14:textId="77777777" w:rsidR="002E3E49" w:rsidRDefault="00000000">
    <w:pPr>
      <w:pStyle w:val="Header"/>
    </w:pPr>
    <w:r>
      <w:rPr>
        <w:noProof/>
      </w:rPr>
      <w:pict w14:anchorId="78DDE8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63250" o:spid="_x0000_s1025" type="#_x0000_t136" alt="" style="position:absolute;margin-left:0;margin-top:0;width:593.85pt;height:65.9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1834"/>
    <w:multiLevelType w:val="hybridMultilevel"/>
    <w:tmpl w:val="711A62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B792B8C"/>
    <w:multiLevelType w:val="hybridMultilevel"/>
    <w:tmpl w:val="9D0C5610"/>
    <w:lvl w:ilvl="0" w:tplc="06AA13B4">
      <w:start w:val="1"/>
      <w:numFmt w:val="bullet"/>
      <w:lvlText w:val="●"/>
      <w:lvlJc w:val="left"/>
      <w:pPr>
        <w:ind w:left="720" w:hanging="360"/>
      </w:pPr>
    </w:lvl>
    <w:lvl w:ilvl="1" w:tplc="486471E0">
      <w:start w:val="1"/>
      <w:numFmt w:val="bullet"/>
      <w:lvlText w:val="○"/>
      <w:lvlJc w:val="left"/>
      <w:pPr>
        <w:ind w:left="1440" w:hanging="360"/>
      </w:pPr>
    </w:lvl>
    <w:lvl w:ilvl="2" w:tplc="0698703E">
      <w:start w:val="1"/>
      <w:numFmt w:val="bullet"/>
      <w:lvlText w:val="■"/>
      <w:lvlJc w:val="left"/>
      <w:pPr>
        <w:ind w:left="2160" w:hanging="360"/>
      </w:pPr>
    </w:lvl>
    <w:lvl w:ilvl="3" w:tplc="815C24B6">
      <w:start w:val="1"/>
      <w:numFmt w:val="bullet"/>
      <w:lvlText w:val="●"/>
      <w:lvlJc w:val="left"/>
      <w:pPr>
        <w:ind w:left="2880" w:hanging="360"/>
      </w:pPr>
    </w:lvl>
    <w:lvl w:ilvl="4" w:tplc="C18E1214">
      <w:start w:val="1"/>
      <w:numFmt w:val="bullet"/>
      <w:lvlText w:val="○"/>
      <w:lvlJc w:val="left"/>
      <w:pPr>
        <w:ind w:left="3600" w:hanging="360"/>
      </w:pPr>
    </w:lvl>
    <w:lvl w:ilvl="5" w:tplc="CA3ACC34">
      <w:start w:val="1"/>
      <w:numFmt w:val="bullet"/>
      <w:lvlText w:val="■"/>
      <w:lvlJc w:val="left"/>
      <w:pPr>
        <w:ind w:left="4320" w:hanging="360"/>
      </w:pPr>
    </w:lvl>
    <w:lvl w:ilvl="6" w:tplc="75BAE154">
      <w:start w:val="1"/>
      <w:numFmt w:val="bullet"/>
      <w:lvlText w:val="●"/>
      <w:lvlJc w:val="left"/>
      <w:pPr>
        <w:ind w:left="5040" w:hanging="360"/>
      </w:pPr>
    </w:lvl>
    <w:lvl w:ilvl="7" w:tplc="F920C2EA">
      <w:start w:val="1"/>
      <w:numFmt w:val="bullet"/>
      <w:lvlText w:val="●"/>
      <w:lvlJc w:val="left"/>
      <w:pPr>
        <w:ind w:left="5760" w:hanging="360"/>
      </w:pPr>
    </w:lvl>
    <w:lvl w:ilvl="8" w:tplc="05A6F40E">
      <w:start w:val="1"/>
      <w:numFmt w:val="bullet"/>
      <w:lvlText w:val="●"/>
      <w:lvlJc w:val="left"/>
      <w:pPr>
        <w:ind w:left="6480" w:hanging="360"/>
      </w:pPr>
    </w:lvl>
  </w:abstractNum>
  <w:num w:numId="1" w16cid:durableId="2123378681">
    <w:abstractNumId w:val="1"/>
    <w:lvlOverride w:ilvl="0">
      <w:startOverride w:val="1"/>
    </w:lvlOverride>
  </w:num>
  <w:num w:numId="2" w16cid:durableId="1931965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rQwMDI3NzKxNDcBkko6SsGpxcWZ+XkgBYa1AB7zZpIsAAAA"/>
  </w:docVars>
  <w:rsids>
    <w:rsidRoot w:val="00B45B5B"/>
    <w:rsid w:val="000547D7"/>
    <w:rsid w:val="000605A5"/>
    <w:rsid w:val="001B48F5"/>
    <w:rsid w:val="00261B34"/>
    <w:rsid w:val="00274E5D"/>
    <w:rsid w:val="00280046"/>
    <w:rsid w:val="002E3E49"/>
    <w:rsid w:val="002F1D73"/>
    <w:rsid w:val="00314462"/>
    <w:rsid w:val="00431B17"/>
    <w:rsid w:val="004A18E3"/>
    <w:rsid w:val="005146C7"/>
    <w:rsid w:val="00627298"/>
    <w:rsid w:val="0073186E"/>
    <w:rsid w:val="007A272D"/>
    <w:rsid w:val="007C723D"/>
    <w:rsid w:val="00820656"/>
    <w:rsid w:val="0082281A"/>
    <w:rsid w:val="008F0A3A"/>
    <w:rsid w:val="009407C3"/>
    <w:rsid w:val="00A0137B"/>
    <w:rsid w:val="00A45C38"/>
    <w:rsid w:val="00A63F75"/>
    <w:rsid w:val="00AD6113"/>
    <w:rsid w:val="00B45B5B"/>
    <w:rsid w:val="00C330E0"/>
    <w:rsid w:val="00C73CEA"/>
    <w:rsid w:val="00CA5932"/>
    <w:rsid w:val="00D97220"/>
    <w:rsid w:val="00F80DE7"/>
    <w:rsid w:val="00F843F1"/>
    <w:rsid w:val="00FA5CAD"/>
    <w:rsid w:val="00FD6995"/>
  </w:rsids>
  <m:mathPr>
    <m:mathFont m:val="Cambria Math"/>
    <m:brkBin m:val="before"/>
    <m:brkBinSub m:val="--"/>
    <m:smallFrac m:val="0"/>
    <m:dispDef/>
    <m:lMargin m:val="0"/>
    <m:rMargin m:val="0"/>
    <m:defJc m:val="centerGroup"/>
    <m:wrapIndent m:val="1440"/>
    <m:intLim m:val="subSup"/>
    <m:naryLim m:val="undOvr"/>
  </m:mathPr>
  <w:themeFontLang w:val="fr-M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6FDA9"/>
  <w15:docId w15:val="{4E782E5F-5BE3-DA43-8F6E-8D4B10F1E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fr-MA"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lev1">
    <w:name w:val="Élevé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PlainTable3">
    <w:name w:val="Plain Table 3"/>
    <w:basedOn w:val="TableNormal"/>
    <w:uiPriority w:val="43"/>
    <w:rsid w:val="001B48F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2E3E49"/>
    <w:pPr>
      <w:tabs>
        <w:tab w:val="center" w:pos="4680"/>
        <w:tab w:val="right" w:pos="9360"/>
      </w:tabs>
    </w:pPr>
  </w:style>
  <w:style w:type="character" w:customStyle="1" w:styleId="HeaderChar">
    <w:name w:val="Header Char"/>
    <w:basedOn w:val="DefaultParagraphFont"/>
    <w:link w:val="Header"/>
    <w:uiPriority w:val="99"/>
    <w:rsid w:val="002E3E49"/>
  </w:style>
  <w:style w:type="paragraph" w:styleId="Footer">
    <w:name w:val="footer"/>
    <w:basedOn w:val="Normal"/>
    <w:link w:val="FooterChar"/>
    <w:uiPriority w:val="99"/>
    <w:unhideWhenUsed/>
    <w:rsid w:val="002E3E49"/>
    <w:pPr>
      <w:tabs>
        <w:tab w:val="center" w:pos="4680"/>
        <w:tab w:val="right" w:pos="9360"/>
      </w:tabs>
    </w:pPr>
  </w:style>
  <w:style w:type="character" w:customStyle="1" w:styleId="FooterChar">
    <w:name w:val="Footer Char"/>
    <w:basedOn w:val="DefaultParagraphFont"/>
    <w:link w:val="Footer"/>
    <w:uiPriority w:val="99"/>
    <w:rsid w:val="002E3E49"/>
  </w:style>
  <w:style w:type="paragraph" w:customStyle="1" w:styleId="pdq2pgselectionanchorcontainer">
    <w:name w:val="pdq2pg_selectionanchorcontainer"/>
    <w:basedOn w:val="Normal"/>
    <w:rsid w:val="00D97220"/>
    <w:pPr>
      <w:spacing w:before="100" w:beforeAutospacing="1" w:after="100" w:afterAutospacing="1"/>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D972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007/s13555-025-01417-y" TargetMode="External"/><Relationship Id="rId18" Type="http://schemas.openxmlformats.org/officeDocument/2006/relationships/hyperlink" Target="https://doi.org/10.1007/s13555-023-00941-z"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doi.org/10.1016/j.jaad.2010.11.042" TargetMode="External"/><Relationship Id="rId7" Type="http://schemas.openxmlformats.org/officeDocument/2006/relationships/hyperlink" Target="https://doi.org/10.9734/jabb/2026/v29i23641" TargetMode="External"/><Relationship Id="rId12" Type="http://schemas.openxmlformats.org/officeDocument/2006/relationships/hyperlink" Target="https://doi.org/10.4103/ijt.ijt_6_19" TargetMode="External"/><Relationship Id="rId17" Type="http://schemas.openxmlformats.org/officeDocument/2006/relationships/hyperlink" Target="https://doi.org/10.1016/j.jaad.2024.06.097" TargetMode="External"/><Relationship Id="rId25" Type="http://schemas.openxmlformats.org/officeDocument/2006/relationships/hyperlink" Target="https://doi.org/10.2147/PPA.S121218"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056/NEJMoa2110343" TargetMode="External"/><Relationship Id="rId20" Type="http://schemas.openxmlformats.org/officeDocument/2006/relationships/hyperlink" Target="https://doi.org/10.3390/jcm12030824"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11/j.1365-2230.1994.tb01167.x" TargetMode="External"/><Relationship Id="rId24" Type="http://schemas.openxmlformats.org/officeDocument/2006/relationships/hyperlink" Target="https://doi.org/10.1007/s13555-023-01057-0"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16/j.respe.2009.02.122" TargetMode="External"/><Relationship Id="rId23" Type="http://schemas.openxmlformats.org/officeDocument/2006/relationships/hyperlink" Target="https://doi.org/10.24875/PJDV.25000072" TargetMode="External"/><Relationship Id="rId28" Type="http://schemas.openxmlformats.org/officeDocument/2006/relationships/footer" Target="footer1.xml"/><Relationship Id="rId10" Type="http://schemas.openxmlformats.org/officeDocument/2006/relationships/hyperlink" Target="https://doi.org/10.1002/ski2.220" TargetMode="External"/><Relationship Id="rId19" Type="http://schemas.openxmlformats.org/officeDocument/2006/relationships/hyperlink" Target="https://doi.org/10.1159/000478053"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doi.org/10.1093/bjd/ljaf189" TargetMode="External"/><Relationship Id="rId14" Type="http://schemas.openxmlformats.org/officeDocument/2006/relationships/hyperlink" Target="https://doi.org/10.1001/jamadermatol.2021.2196" TargetMode="External"/><Relationship Id="rId22" Type="http://schemas.openxmlformats.org/officeDocument/2006/relationships/hyperlink" Target="https://doi.org/10.1001/jamadermatol.2017.6330"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doi.org/10.1111/jdv.1737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4930</Words>
  <Characters>28107</Characters>
  <Application>Microsoft Office Word</Application>
  <DocSecurity>0</DocSecurity>
  <Lines>234</Lines>
  <Paragraphs>65</Paragraphs>
  <ScaleCrop>false</ScaleCrop>
  <Company/>
  <LinksUpToDate>false</LinksUpToDate>
  <CharactersWithSpaces>32972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of life in hair disorders</dc:title>
  <dc:creator>Manuscript</dc:creator>
  <cp:lastModifiedBy>SDI 1087</cp:lastModifiedBy>
  <cp:revision>8</cp:revision>
  <dcterms:created xsi:type="dcterms:W3CDTF">2026-07-27T12:41:00Z</dcterms:created>
  <dcterms:modified xsi:type="dcterms:W3CDTF">2026-07-30T04:37:00Z</dcterms:modified>
</cp:coreProperties>
</file>