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E0005" w14:textId="77777777" w:rsidR="00965A0A" w:rsidRPr="00DA0907" w:rsidRDefault="00965A0A" w:rsidP="007417AA">
      <w:pPr>
        <w:tabs>
          <w:tab w:val="left" w:pos="2070"/>
        </w:tabs>
        <w:spacing w:line="360" w:lineRule="auto"/>
        <w:jc w:val="both"/>
        <w:rPr>
          <w:rFonts w:ascii="Times New Roman" w:hAnsi="Times New Roman" w:cs="Times New Roman"/>
          <w:b/>
          <w:bCs/>
          <w:sz w:val="28"/>
          <w:szCs w:val="28"/>
        </w:rPr>
      </w:pPr>
      <w:r w:rsidRPr="00DA0907">
        <w:rPr>
          <w:rFonts w:ascii="Times New Roman" w:hAnsi="Times New Roman" w:cs="Times New Roman"/>
          <w:b/>
          <w:bCs/>
          <w:sz w:val="28"/>
          <w:szCs w:val="28"/>
        </w:rPr>
        <w:t>Inflation Dynamics and Sectoral Stock Market Performance in Nigeria: Evidence from Listed Firms on the Nigerian Exchange Group (2015–2024)</w:t>
      </w:r>
    </w:p>
    <w:p w14:paraId="36739A8E" w14:textId="77777777" w:rsidR="005C4FBC" w:rsidRDefault="005C4FBC" w:rsidP="007417AA">
      <w:pPr>
        <w:tabs>
          <w:tab w:val="left" w:pos="2070"/>
        </w:tabs>
        <w:spacing w:line="360" w:lineRule="auto"/>
        <w:jc w:val="both"/>
        <w:rPr>
          <w:rFonts w:ascii="Times New Roman" w:hAnsi="Times New Roman" w:cs="Times New Roman"/>
          <w:b/>
          <w:bCs/>
          <w:sz w:val="26"/>
          <w:szCs w:val="26"/>
        </w:rPr>
      </w:pPr>
    </w:p>
    <w:p w14:paraId="0BFD1228" w14:textId="77777777" w:rsidR="00965A0A" w:rsidRPr="00DA0907" w:rsidRDefault="00965A0A"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Abstract</w:t>
      </w:r>
    </w:p>
    <w:p w14:paraId="06AE3079" w14:textId="77777777" w:rsidR="00777BA1" w:rsidRPr="00DA0907" w:rsidRDefault="00777BA1"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This study examines the effect of inflation dynamics on sectoral stock market performance in Nigeria, focusing on </w:t>
      </w:r>
      <w:r>
        <w:rPr>
          <w:rFonts w:ascii="Times New Roman" w:hAnsi="Times New Roman" w:cs="Times New Roman"/>
          <w:highlight w:val="yellow"/>
        </w:rPr>
        <w:t xml:space="preserve">firms </w:t>
      </w:r>
      <w:r>
        <w:rPr>
          <w:rFonts w:ascii="Times New Roman" w:hAnsi="Times New Roman" w:cs="Times New Roman"/>
        </w:rPr>
        <w:t xml:space="preserve">listed on the Nigerian Exchange Group (NGX) from 2015 to 2024. A quantitative panel-data research design was used, </w:t>
      </w:r>
      <w:r>
        <w:rPr>
          <w:rFonts w:ascii="Times New Roman" w:hAnsi="Times New Roman" w:cs="Times New Roman"/>
          <w:highlight w:val="yellow"/>
        </w:rPr>
        <w:t>cover</w:t>
      </w:r>
      <w:r>
        <w:rPr>
          <w:rFonts w:ascii="Times New Roman" w:hAnsi="Times New Roman" w:cs="Times New Roman"/>
        </w:rPr>
        <w:t>i</w:t>
      </w:r>
      <w:r>
        <w:rPr>
          <w:rFonts w:ascii="Times New Roman" w:hAnsi="Times New Roman" w:cs="Times New Roman"/>
          <w:highlight w:val="yellow"/>
        </w:rPr>
        <w:t>ng</w:t>
      </w:r>
      <w:r>
        <w:rPr>
          <w:rFonts w:ascii="Times New Roman" w:hAnsi="Times New Roman" w:cs="Times New Roman"/>
        </w:rPr>
        <w:t xml:space="preserve"> 72 listed companies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w:t>
      </w:r>
      <w:r>
        <w:rPr>
          <w:rFonts w:ascii="Times New Roman" w:hAnsi="Times New Roman" w:cs="Times New Roman"/>
        </w:rPr>
        <w:t>i</w:t>
      </w:r>
      <w:r>
        <w:rPr>
          <w:rFonts w:ascii="Times New Roman" w:hAnsi="Times New Roman" w:cs="Times New Roman"/>
          <w:highlight w:val="yellow"/>
        </w:rPr>
        <w:t>th sector-specific analysis focused o</w:t>
      </w:r>
      <w:r>
        <w:rPr>
          <w:rFonts w:ascii="Times New Roman" w:hAnsi="Times New Roman" w:cs="Times New Roman"/>
        </w:rPr>
        <w:t xml:space="preserve">n five major sectors, </w:t>
      </w:r>
      <w:r>
        <w:rPr>
          <w:rFonts w:ascii="Times New Roman" w:hAnsi="Times New Roman" w:cs="Times New Roman"/>
          <w:highlight w:val="yellow"/>
        </w:rPr>
        <w:t>and y</w:t>
      </w:r>
      <w:r>
        <w:rPr>
          <w:rFonts w:ascii="Times New Roman" w:hAnsi="Times New Roman" w:cs="Times New Roman"/>
        </w:rPr>
        <w:t>i</w:t>
      </w:r>
      <w:r>
        <w:rPr>
          <w:rFonts w:ascii="Times New Roman" w:hAnsi="Times New Roman" w:cs="Times New Roman"/>
          <w:highlight w:val="yellow"/>
        </w:rPr>
        <w:t>elding</w:t>
      </w:r>
      <w:r>
        <w:rPr>
          <w:rFonts w:ascii="Times New Roman" w:hAnsi="Times New Roman" w:cs="Times New Roman"/>
        </w:rPr>
        <w:t xml:space="preserve"> 720 firm-year observations. </w:t>
      </w:r>
      <w:r>
        <w:rPr>
          <w:rFonts w:ascii="Times New Roman" w:hAnsi="Times New Roman" w:cs="Times New Roman"/>
          <w:highlight w:val="yellow"/>
        </w:rPr>
        <w:t>D</w:t>
      </w:r>
      <w:r>
        <w:rPr>
          <w:rFonts w:ascii="Times New Roman" w:hAnsi="Times New Roman" w:cs="Times New Roman"/>
        </w:rPr>
        <w:t xml:space="preserve">ata on inflation, </w:t>
      </w:r>
      <w:r>
        <w:rPr>
          <w:rFonts w:ascii="Times New Roman" w:hAnsi="Times New Roman" w:cs="Times New Roman"/>
          <w:highlight w:val="yellow"/>
        </w:rPr>
        <w:t xml:space="preserve">the </w:t>
      </w:r>
      <w:r>
        <w:rPr>
          <w:rFonts w:ascii="Times New Roman" w:hAnsi="Times New Roman" w:cs="Times New Roman"/>
        </w:rPr>
        <w:t>exchange rate,</w:t>
      </w:r>
      <w:r>
        <w:rPr>
          <w:rFonts w:ascii="Times New Roman" w:hAnsi="Times New Roman" w:cs="Times New Roman"/>
          <w:highlight w:val="yellow"/>
        </w:rPr>
        <w:t xml:space="preserve"> the</w:t>
      </w:r>
      <w:r>
        <w:rPr>
          <w:rFonts w:ascii="Times New Roman" w:hAnsi="Times New Roman" w:cs="Times New Roman"/>
        </w:rPr>
        <w:t xml:space="preserve"> interest rate and GDP growth were derived from national statistical and regulatory sources, </w:t>
      </w:r>
      <w:r>
        <w:rPr>
          <w:rFonts w:ascii="Times New Roman" w:hAnsi="Times New Roman" w:cs="Times New Roman"/>
          <w:highlight w:val="yellow"/>
        </w:rPr>
        <w:t>w</w:t>
      </w:r>
      <w:r>
        <w:rPr>
          <w:rFonts w:ascii="Times New Roman" w:hAnsi="Times New Roman" w:cs="Times New Roman"/>
        </w:rPr>
        <w:t>h</w:t>
      </w:r>
      <w:r>
        <w:rPr>
          <w:rFonts w:ascii="Times New Roman" w:hAnsi="Times New Roman" w:cs="Times New Roman"/>
          <w:highlight w:val="yellow"/>
        </w:rPr>
        <w:t>il</w:t>
      </w:r>
      <w:r>
        <w:rPr>
          <w:rFonts w:ascii="Times New Roman" w:hAnsi="Times New Roman" w:cs="Times New Roman"/>
        </w:rPr>
        <w:t>e firm</w:t>
      </w:r>
      <w:r>
        <w:rPr>
          <w:rFonts w:ascii="Times New Roman" w:hAnsi="Times New Roman" w:cs="Times New Roman"/>
          <w:highlight w:val="yellow"/>
        </w:rPr>
        <w:t>-</w:t>
      </w:r>
      <w:r>
        <w:rPr>
          <w:rFonts w:ascii="Times New Roman" w:hAnsi="Times New Roman" w:cs="Times New Roman"/>
        </w:rPr>
        <w:t xml:space="preserve">level data were </w:t>
      </w:r>
      <w:r>
        <w:rPr>
          <w:rFonts w:ascii="Times New Roman" w:hAnsi="Times New Roman" w:cs="Times New Roman"/>
          <w:highlight w:val="yellow"/>
        </w:rPr>
        <w:t>ob</w:t>
      </w:r>
      <w:r>
        <w:rPr>
          <w:rFonts w:ascii="Times New Roman" w:hAnsi="Times New Roman" w:cs="Times New Roman"/>
        </w:rPr>
        <w:t>ta</w:t>
      </w:r>
      <w:r>
        <w:rPr>
          <w:rFonts w:ascii="Times New Roman" w:hAnsi="Times New Roman" w:cs="Times New Roman"/>
          <w:highlight w:val="yellow"/>
        </w:rPr>
        <w:t>in</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from annual reports. </w:t>
      </w:r>
      <w:r>
        <w:rPr>
          <w:rFonts w:ascii="Times New Roman" w:hAnsi="Times New Roman" w:cs="Times New Roman"/>
          <w:highlight w:val="yellow"/>
        </w:rPr>
        <w:t>The d</w:t>
      </w:r>
      <w:r>
        <w:rPr>
          <w:rFonts w:ascii="Times New Roman" w:hAnsi="Times New Roman" w:cs="Times New Roman"/>
        </w:rPr>
        <w:t>ata</w:t>
      </w:r>
      <w:r>
        <w:rPr>
          <w:rFonts w:ascii="Times New Roman" w:hAnsi="Times New Roman" w:cs="Times New Roman"/>
          <w:highlight w:val="yellow"/>
        </w:rPr>
        <w:t xml:space="preserve"> were</w:t>
      </w:r>
      <w:r>
        <w:rPr>
          <w:rFonts w:ascii="Times New Roman" w:hAnsi="Times New Roman" w:cs="Times New Roman"/>
        </w:rPr>
        <w:t xml:space="preserve"> </w:t>
      </w:r>
      <w:proofErr w:type="spellStart"/>
      <w:r>
        <w:rPr>
          <w:rFonts w:ascii="Times New Roman" w:hAnsi="Times New Roman" w:cs="Times New Roman"/>
        </w:rPr>
        <w:t>analys</w:t>
      </w:r>
      <w:r>
        <w:rPr>
          <w:rFonts w:ascii="Times New Roman" w:hAnsi="Times New Roman" w:cs="Times New Roman"/>
          <w:highlight w:val="yellow"/>
        </w:rPr>
        <w:t>e</w:t>
      </w:r>
      <w:r>
        <w:rPr>
          <w:rFonts w:ascii="Times New Roman" w:hAnsi="Times New Roman" w:cs="Times New Roman"/>
        </w:rPr>
        <w:t>d</w:t>
      </w:r>
      <w:proofErr w:type="spellEnd"/>
      <w:r>
        <w:rPr>
          <w:rFonts w:ascii="Times New Roman" w:hAnsi="Times New Roman" w:cs="Times New Roman"/>
        </w:rPr>
        <w:t xml:space="preserve"> using </w:t>
      </w:r>
      <w:r>
        <w:rPr>
          <w:rFonts w:ascii="Times New Roman" w:hAnsi="Times New Roman" w:cs="Times New Roman"/>
          <w:highlight w:val="yellow"/>
        </w:rPr>
        <w:t>p</w:t>
      </w:r>
      <w:r>
        <w:rPr>
          <w:rFonts w:ascii="Times New Roman" w:hAnsi="Times New Roman" w:cs="Times New Roman"/>
        </w:rPr>
        <w:t>anel regression</w:t>
      </w:r>
      <w:r>
        <w:rPr>
          <w:rFonts w:ascii="Times New Roman" w:hAnsi="Times New Roman" w:cs="Times New Roman"/>
          <w:highlight w:val="yellow"/>
        </w:rPr>
        <w:t>,</w:t>
      </w:r>
      <w:r>
        <w:rPr>
          <w:rFonts w:ascii="Times New Roman" w:hAnsi="Times New Roman" w:cs="Times New Roman"/>
        </w:rPr>
        <w:t xml:space="preserve"> includ</w:t>
      </w:r>
      <w:r>
        <w:rPr>
          <w:rFonts w:ascii="Times New Roman" w:hAnsi="Times New Roman" w:cs="Times New Roman"/>
          <w:highlight w:val="yellow"/>
        </w:rPr>
        <w:t>ing</w:t>
      </w:r>
      <w:r>
        <w:rPr>
          <w:rFonts w:ascii="Times New Roman" w:hAnsi="Times New Roman" w:cs="Times New Roman"/>
        </w:rPr>
        <w:t xml:space="preserve"> Pooled OLS, Fixed Effects and Random Effects estimation</w:t>
      </w:r>
      <w:r>
        <w:rPr>
          <w:rFonts w:ascii="Times New Roman" w:hAnsi="Times New Roman" w:cs="Times New Roman"/>
          <w:highlight w:val="yellow"/>
        </w:rPr>
        <w:t>;</w:t>
      </w:r>
      <w:r>
        <w:rPr>
          <w:rFonts w:ascii="Times New Roman" w:hAnsi="Times New Roman" w:cs="Times New Roman"/>
        </w:rPr>
        <w:t xml:space="preserve"> the Hausman test was used to select the appropriate model. The results revealed that Nigeria's inflation rate increased </w:t>
      </w:r>
      <w:r>
        <w:rPr>
          <w:rFonts w:ascii="Times New Roman" w:hAnsi="Times New Roman" w:cs="Times New Roman"/>
          <w:highlight w:val="yellow"/>
        </w:rPr>
        <w:t>marke</w:t>
      </w:r>
      <w:r>
        <w:rPr>
          <w:rFonts w:ascii="Times New Roman" w:hAnsi="Times New Roman" w:cs="Times New Roman"/>
        </w:rPr>
        <w:t xml:space="preserve">dly from 9.01 percent in 2015 to 34.80 percent in 2024. Inflation had a statistically significant negative </w:t>
      </w:r>
      <w:r>
        <w:rPr>
          <w:rFonts w:ascii="Times New Roman" w:hAnsi="Times New Roman" w:cs="Times New Roman"/>
          <w:highlight w:val="yellow"/>
        </w:rPr>
        <w:t>effe</w:t>
      </w:r>
      <w:r>
        <w:rPr>
          <w:rFonts w:ascii="Times New Roman" w:hAnsi="Times New Roman" w:cs="Times New Roman"/>
        </w:rPr>
        <w:t xml:space="preserve">ct on sectoral stock returns (β = -0.432, p &lt; 0.001), </w:t>
      </w:r>
      <w:r>
        <w:rPr>
          <w:rFonts w:ascii="Times New Roman" w:hAnsi="Times New Roman" w:cs="Times New Roman"/>
          <w:highlight w:val="yellow"/>
        </w:rPr>
        <w:t>while the preferred model expl</w:t>
      </w:r>
      <w:r>
        <w:rPr>
          <w:rFonts w:ascii="Times New Roman" w:hAnsi="Times New Roman" w:cs="Times New Roman"/>
        </w:rPr>
        <w:t>ain</w:t>
      </w:r>
      <w:r>
        <w:rPr>
          <w:rFonts w:ascii="Times New Roman" w:hAnsi="Times New Roman" w:cs="Times New Roman"/>
          <w:highlight w:val="yellow"/>
        </w:rPr>
        <w:t>ed</w:t>
      </w:r>
      <w:r>
        <w:rPr>
          <w:rFonts w:ascii="Times New Roman" w:hAnsi="Times New Roman" w:cs="Times New Roman"/>
        </w:rPr>
        <w:t xml:space="preserve"> 47.2 percent of the variation in returns, </w:t>
      </w:r>
      <w:r>
        <w:rPr>
          <w:rFonts w:ascii="Times New Roman" w:hAnsi="Times New Roman" w:cs="Times New Roman"/>
          <w:highlight w:val="yellow"/>
        </w:rPr>
        <w:t>wi</w:t>
      </w:r>
      <w:r>
        <w:rPr>
          <w:rFonts w:ascii="Times New Roman" w:hAnsi="Times New Roman" w:cs="Times New Roman"/>
        </w:rPr>
        <w:t xml:space="preserve">th significant variation across sectors. The Consumer Goods and Banking sectors were </w:t>
      </w:r>
      <w:r>
        <w:rPr>
          <w:rFonts w:ascii="Times New Roman" w:hAnsi="Times New Roman" w:cs="Times New Roman"/>
          <w:highlight w:val="yellow"/>
        </w:rPr>
        <w:t xml:space="preserve">the </w:t>
      </w:r>
      <w:r>
        <w:rPr>
          <w:rFonts w:ascii="Times New Roman" w:hAnsi="Times New Roman" w:cs="Times New Roman"/>
        </w:rPr>
        <w:t>most</w:t>
      </w:r>
      <w:r>
        <w:rPr>
          <w:rFonts w:ascii="Times New Roman" w:hAnsi="Times New Roman" w:cs="Times New Roman"/>
          <w:highlight w:val="yellow"/>
        </w:rPr>
        <w:t xml:space="preserve"> negatively</w:t>
      </w:r>
      <w:r>
        <w:rPr>
          <w:rFonts w:ascii="Times New Roman" w:hAnsi="Times New Roman" w:cs="Times New Roman"/>
        </w:rPr>
        <w:t xml:space="preserve"> sensitive, while the Oil and Gas sector was relatively resilient, supported by some benefits from deregulation. Returns were positively related to exchange rate depreciation, GDP growth and firm profitability. The study found that inflation is a major and economically relevant factor influencing </w:t>
      </w:r>
      <w:r>
        <w:rPr>
          <w:rFonts w:ascii="Times New Roman" w:hAnsi="Times New Roman" w:cs="Times New Roman"/>
          <w:highlight w:val="yellow"/>
        </w:rPr>
        <w:t>sec</w:t>
      </w:r>
      <w:r>
        <w:rPr>
          <w:rFonts w:ascii="Times New Roman" w:hAnsi="Times New Roman" w:cs="Times New Roman"/>
        </w:rPr>
        <w:t>t</w:t>
      </w:r>
      <w:r>
        <w:rPr>
          <w:rFonts w:ascii="Times New Roman" w:hAnsi="Times New Roman" w:cs="Times New Roman"/>
          <w:highlight w:val="yellow"/>
        </w:rPr>
        <w:t>oral</w:t>
      </w:r>
      <w:r>
        <w:rPr>
          <w:rFonts w:ascii="Times New Roman" w:hAnsi="Times New Roman" w:cs="Times New Roman"/>
        </w:rPr>
        <w:t xml:space="preserve"> performance in Nigeria</w:t>
      </w:r>
      <w:r>
        <w:rPr>
          <w:rFonts w:ascii="Times New Roman" w:hAnsi="Times New Roman" w:cs="Times New Roman"/>
          <w:highlight w:val="yellow"/>
        </w:rPr>
        <w:t>,</w:t>
      </w:r>
      <w:r>
        <w:rPr>
          <w:rFonts w:ascii="Times New Roman" w:hAnsi="Times New Roman" w:cs="Times New Roman"/>
        </w:rPr>
        <w:t xml:space="preserve"> with significant variation</w:t>
      </w:r>
      <w:r>
        <w:rPr>
          <w:rFonts w:ascii="Times New Roman" w:hAnsi="Times New Roman" w:cs="Times New Roman"/>
          <w:highlight w:val="yellow"/>
        </w:rPr>
        <w:t xml:space="preserve"> acro</w:t>
      </w:r>
      <w:r>
        <w:rPr>
          <w:rFonts w:ascii="Times New Roman" w:hAnsi="Times New Roman" w:cs="Times New Roman"/>
        </w:rPr>
        <w:t>s</w:t>
      </w:r>
      <w:r>
        <w:rPr>
          <w:rFonts w:ascii="Times New Roman" w:hAnsi="Times New Roman" w:cs="Times New Roman"/>
          <w:highlight w:val="yellow"/>
        </w:rPr>
        <w:t>s</w:t>
      </w:r>
      <w:r>
        <w:rPr>
          <w:rFonts w:ascii="Times New Roman" w:hAnsi="Times New Roman" w:cs="Times New Roman"/>
        </w:rPr>
        <w:t xml:space="preserve"> sectors. It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commend</w:t>
      </w:r>
      <w:r>
        <w:rPr>
          <w:rFonts w:ascii="Times New Roman" w:hAnsi="Times New Roman" w:cs="Times New Roman"/>
        </w:rPr>
        <w:t>s inflation</w:t>
      </w:r>
      <w:r>
        <w:rPr>
          <w:rFonts w:ascii="Times New Roman" w:hAnsi="Times New Roman" w:cs="Times New Roman"/>
          <w:highlight w:val="yellow"/>
        </w:rPr>
        <w:t>-</w:t>
      </w:r>
      <w:r>
        <w:rPr>
          <w:rFonts w:ascii="Times New Roman" w:hAnsi="Times New Roman" w:cs="Times New Roman"/>
        </w:rPr>
        <w:t xml:space="preserve">targeting monetary policy, better coordination between fiscal and monetary policy, and sector-specific </w:t>
      </w:r>
      <w:r>
        <w:rPr>
          <w:rFonts w:ascii="Times New Roman" w:hAnsi="Times New Roman" w:cs="Times New Roman"/>
          <w:highlight w:val="yellow"/>
        </w:rPr>
        <w:t>mea</w:t>
      </w:r>
      <w:r>
        <w:rPr>
          <w:rFonts w:ascii="Times New Roman" w:hAnsi="Times New Roman" w:cs="Times New Roman"/>
        </w:rPr>
        <w:t>su</w:t>
      </w:r>
      <w:r>
        <w:rPr>
          <w:rFonts w:ascii="Times New Roman" w:hAnsi="Times New Roman" w:cs="Times New Roman"/>
          <w:highlight w:val="yellow"/>
        </w:rPr>
        <w:t>re</w:t>
      </w:r>
      <w:r>
        <w:rPr>
          <w:rFonts w:ascii="Times New Roman" w:hAnsi="Times New Roman" w:cs="Times New Roman"/>
        </w:rPr>
        <w:t>s to enhance stock market</w:t>
      </w:r>
      <w:r>
        <w:rPr>
          <w:rFonts w:ascii="Times New Roman" w:hAnsi="Times New Roman" w:cs="Times New Roman"/>
          <w:highlight w:val="yellow"/>
        </w:rPr>
        <w:t xml:space="preserve"> re</w:t>
      </w:r>
      <w:r>
        <w:rPr>
          <w:rFonts w:ascii="Times New Roman" w:hAnsi="Times New Roman" w:cs="Times New Roman"/>
        </w:rPr>
        <w:t>s</w:t>
      </w:r>
      <w:r>
        <w:rPr>
          <w:rFonts w:ascii="Times New Roman" w:hAnsi="Times New Roman" w:cs="Times New Roman"/>
          <w:highlight w:val="yellow"/>
        </w:rPr>
        <w:t>ilience</w:t>
      </w:r>
      <w:r>
        <w:rPr>
          <w:rFonts w:ascii="Times New Roman" w:hAnsi="Times New Roman" w:cs="Times New Roman"/>
        </w:rPr>
        <w:t xml:space="preserve"> and investor confidence.</w:t>
      </w:r>
    </w:p>
    <w:p w14:paraId="63863E50"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Keywords:</w:t>
      </w:r>
      <w:r w:rsidRPr="00DA0907">
        <w:rPr>
          <w:rFonts w:ascii="Times New Roman" w:hAnsi="Times New Roman" w:cs="Times New Roman"/>
        </w:rPr>
        <w:t xml:space="preserve"> Inflation, Stock Market Performance, Sectoral Analysis, NGX, Fisher Effect, Nigeria</w:t>
      </w:r>
    </w:p>
    <w:p w14:paraId="30117149" w14:textId="77777777" w:rsidR="00965A0A" w:rsidRPr="00DA0907" w:rsidRDefault="004079F8"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1.0 </w:t>
      </w:r>
      <w:r w:rsidR="00965A0A" w:rsidRPr="00DA0907">
        <w:rPr>
          <w:rFonts w:ascii="Times New Roman" w:hAnsi="Times New Roman" w:cs="Times New Roman"/>
          <w:b/>
          <w:bCs/>
          <w:sz w:val="26"/>
          <w:szCs w:val="26"/>
        </w:rPr>
        <w:t>Introduction</w:t>
      </w:r>
    </w:p>
    <w:p w14:paraId="2833B86A" w14:textId="77777777" w:rsidR="00777BA1" w:rsidRPr="00DA0907" w:rsidRDefault="00965A0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relationship between inflation and </w:t>
      </w:r>
      <w:r>
        <w:rPr>
          <w:rFonts w:ascii="Times New Roman" w:hAnsi="Times New Roman" w:cs="Times New Roman"/>
          <w:highlight w:val="yellow"/>
        </w:rPr>
        <w:t>s</w:t>
      </w:r>
      <w:r>
        <w:rPr>
          <w:rFonts w:ascii="Times New Roman" w:hAnsi="Times New Roman" w:cs="Times New Roman"/>
        </w:rPr>
        <w:t>t</w:t>
      </w:r>
      <w:r>
        <w:rPr>
          <w:rFonts w:ascii="Times New Roman" w:hAnsi="Times New Roman" w:cs="Times New Roman"/>
          <w:highlight w:val="yellow"/>
        </w:rPr>
        <w:t>ock mark</w:t>
      </w:r>
      <w:r>
        <w:rPr>
          <w:rFonts w:ascii="Times New Roman" w:hAnsi="Times New Roman" w:cs="Times New Roman"/>
        </w:rPr>
        <w:t>e</w:t>
      </w:r>
      <w:r>
        <w:rPr>
          <w:rFonts w:ascii="Times New Roman" w:hAnsi="Times New Roman" w:cs="Times New Roman"/>
          <w:highlight w:val="yellow"/>
        </w:rPr>
        <w:t>t</w:t>
      </w:r>
      <w:r>
        <w:rPr>
          <w:rFonts w:ascii="Times New Roman" w:hAnsi="Times New Roman" w:cs="Times New Roman"/>
        </w:rPr>
        <w:t xml:space="preserve"> performance has</w:t>
      </w:r>
      <w:r>
        <w:rPr>
          <w:rFonts w:ascii="Times New Roman" w:hAnsi="Times New Roman" w:cs="Times New Roman"/>
          <w:highlight w:val="yellow"/>
        </w:rPr>
        <w:t xml:space="preserve"> long</w:t>
      </w:r>
      <w:r>
        <w:rPr>
          <w:rFonts w:ascii="Times New Roman" w:hAnsi="Times New Roman" w:cs="Times New Roman"/>
        </w:rPr>
        <w:t xml:space="preserve"> been a topic of academic and policy interest, especially in emerging economies where price instability and structural rigidities are </w:t>
      </w:r>
      <w:r>
        <w:rPr>
          <w:rFonts w:ascii="Times New Roman" w:hAnsi="Times New Roman" w:cs="Times New Roman"/>
          <w:highlight w:val="yellow"/>
        </w:rPr>
        <w:t>persi</w:t>
      </w:r>
      <w:r>
        <w:rPr>
          <w:rFonts w:ascii="Times New Roman" w:hAnsi="Times New Roman" w:cs="Times New Roman"/>
        </w:rPr>
        <w:t>st</w:t>
      </w:r>
      <w:r>
        <w:rPr>
          <w:rFonts w:ascii="Times New Roman" w:hAnsi="Times New Roman" w:cs="Times New Roman"/>
          <w:highlight w:val="yellow"/>
        </w:rPr>
        <w:t>e</w:t>
      </w:r>
      <w:r>
        <w:rPr>
          <w:rFonts w:ascii="Times New Roman" w:hAnsi="Times New Roman" w:cs="Times New Roman"/>
        </w:rPr>
        <w:t>nt feature</w:t>
      </w:r>
      <w:r>
        <w:rPr>
          <w:rFonts w:ascii="Times New Roman" w:hAnsi="Times New Roman" w:cs="Times New Roman"/>
          <w:highlight w:val="yellow"/>
        </w:rPr>
        <w:t>s</w:t>
      </w:r>
      <w:r>
        <w:rPr>
          <w:rFonts w:ascii="Times New Roman" w:hAnsi="Times New Roman" w:cs="Times New Roman"/>
        </w:rPr>
        <w:t xml:space="preserve"> (Folorunso, 2023). Inflation is a key macroeconomic indicator that influences corporate profitability, investor expectations,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quir</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rates of return, and </w:t>
      </w:r>
      <w:r>
        <w:rPr>
          <w:rFonts w:ascii="Times New Roman" w:hAnsi="Times New Roman" w:cs="Times New Roman"/>
        </w:rPr>
        <w:t>equity valuation (Abubakar et al., 2025)</w:t>
      </w:r>
      <w:proofErr w:type="spellStart"/>
      <w:r>
        <w:rPr>
          <w:rFonts w:ascii="Times New Roman" w:hAnsi="Times New Roman" w:cs="Times New Roman"/>
        </w:rPr>
      </w:r>
      <w:proofErr w:type="spellEnd"/>
      <w:r>
        <w:rPr>
          <w:rFonts w:ascii="Times New Roman" w:hAnsi="Times New Roman" w:cs="Times New Roman"/>
        </w:rPr>
        <w:t xml:space="preserve">. The inflationary trend in Nigeria has been particularly erratic, </w:t>
      </w:r>
      <w:r>
        <w:rPr>
          <w:rFonts w:ascii="Times New Roman" w:hAnsi="Times New Roman" w:cs="Times New Roman"/>
          <w:highlight w:val="yellow"/>
        </w:rPr>
        <w:t>mov</w:t>
      </w:r>
      <w:r>
        <w:rPr>
          <w:rFonts w:ascii="Times New Roman" w:hAnsi="Times New Roman" w:cs="Times New Roman"/>
        </w:rPr>
        <w:t xml:space="preserve">ing from relatively stable single-digit levels prior to 2015 </w:t>
      </w:r>
      <w:r>
        <w:rPr>
          <w:rFonts w:ascii="Times New Roman" w:hAnsi="Times New Roman" w:cs="Times New Roman"/>
          <w:highlight w:val="yellow"/>
        </w:rPr>
        <w:t>to</w:t>
      </w:r>
      <w:r>
        <w:rPr>
          <w:rFonts w:ascii="Times New Roman" w:hAnsi="Times New Roman" w:cs="Times New Roman"/>
        </w:rPr>
        <w:t xml:space="preserve"> a 28-year peak of 34.80 percent in 2024 (National Bureau of Statistics, 2025). This </w:t>
      </w:r>
      <w:r>
        <w:rPr>
          <w:rFonts w:ascii="Times New Roman" w:hAnsi="Times New Roman" w:cs="Times New Roman"/>
          <w:highlight w:val="yellow"/>
        </w:rPr>
        <w:t xml:space="preserve">rise </w:t>
      </w:r>
      <w:r>
        <w:rPr>
          <w:rFonts w:ascii="Times New Roman" w:hAnsi="Times New Roman" w:cs="Times New Roman"/>
        </w:rPr>
        <w:t>co</w:t>
      </w:r>
      <w:r>
        <w:rPr>
          <w:rFonts w:ascii="Times New Roman" w:hAnsi="Times New Roman" w:cs="Times New Roman"/>
          <w:highlight w:val="yellow"/>
        </w:rPr>
        <w:t>incided with substa</w:t>
      </w:r>
      <w:r>
        <w:rPr>
          <w:rFonts w:ascii="Times New Roman" w:hAnsi="Times New Roman" w:cs="Times New Roman"/>
        </w:rPr>
        <w:t xml:space="preserve">ntial change in the Nigerian capital market, with the NGX All-Share Index posting a cumulative return of 283.45 percent from 2020 to 2024 (Nigerian Exchange Group, 2024), </w:t>
      </w:r>
      <w:r>
        <w:rPr>
          <w:rFonts w:ascii="Times New Roman" w:hAnsi="Times New Roman" w:cs="Times New Roman"/>
          <w:highlight w:val="yellow"/>
        </w:rPr>
        <w:t>present</w:t>
      </w:r>
      <w:r>
        <w:rPr>
          <w:rFonts w:ascii="Times New Roman" w:hAnsi="Times New Roman" w:cs="Times New Roman"/>
        </w:rPr>
        <w:t>i</w:t>
      </w:r>
      <w:r>
        <w:rPr>
          <w:rFonts w:ascii="Times New Roman" w:hAnsi="Times New Roman" w:cs="Times New Roman"/>
          <w:highlight w:val="yellow"/>
        </w:rPr>
        <w:t>ng an</w:t>
      </w:r>
      <w:r>
        <w:rPr>
          <w:rFonts w:ascii="Times New Roman" w:hAnsi="Times New Roman" w:cs="Times New Roman"/>
        </w:rPr>
        <w:t xml:space="preserve"> appar</w:t>
      </w:r>
      <w:r>
        <w:rPr>
          <w:rFonts w:ascii="Times New Roman" w:hAnsi="Times New Roman" w:cs="Times New Roman"/>
          <w:highlight w:val="yellow"/>
        </w:rPr>
        <w:t>en</w:t>
      </w:r>
      <w:r>
        <w:rPr>
          <w:rFonts w:ascii="Times New Roman" w:hAnsi="Times New Roman" w:cs="Times New Roman"/>
        </w:rPr>
        <w:t xml:space="preserve">t paradox that </w:t>
      </w:r>
      <w:r>
        <w:rPr>
          <w:rFonts w:ascii="Times New Roman" w:hAnsi="Times New Roman" w:cs="Times New Roman"/>
          <w:highlight w:val="yellow"/>
        </w:rPr>
        <w:t>warra</w:t>
      </w:r>
      <w:r>
        <w:rPr>
          <w:rFonts w:ascii="Times New Roman" w:hAnsi="Times New Roman" w:cs="Times New Roman"/>
        </w:rPr>
        <w:t>n</w:t>
      </w:r>
      <w:r>
        <w:rPr>
          <w:rFonts w:ascii="Times New Roman" w:hAnsi="Times New Roman" w:cs="Times New Roman"/>
          <w:highlight w:val="yellow"/>
        </w:rPr>
        <w:t>t</w:t>
      </w:r>
      <w:r>
        <w:rPr>
          <w:rFonts w:ascii="Times New Roman" w:hAnsi="Times New Roman" w:cs="Times New Roman"/>
        </w:rPr>
        <w:t>s more in-depth empirical e</w:t>
      </w:r>
      <w:r>
        <w:rPr>
          <w:rFonts w:ascii="Times New Roman" w:hAnsi="Times New Roman" w:cs="Times New Roman"/>
          <w:highlight w:val="yellow"/>
        </w:rPr>
        <w:t>x</w:t>
      </w:r>
      <w:r>
        <w:rPr>
          <w:rFonts w:ascii="Times New Roman" w:hAnsi="Times New Roman" w:cs="Times New Roman"/>
        </w:rPr>
        <w:t>a</w:t>
      </w:r>
      <w:r>
        <w:rPr>
          <w:rFonts w:ascii="Times New Roman" w:hAnsi="Times New Roman" w:cs="Times New Roman"/>
          <w:highlight w:val="yellow"/>
        </w:rPr>
        <w:t>mination</w:t>
      </w:r>
      <w:r>
        <w:rPr>
          <w:rFonts w:ascii="Times New Roman" w:hAnsi="Times New Roman" w:cs="Times New Roman"/>
        </w:rPr>
        <w:t xml:space="preserve">. The Fisher Effect theoretically suggests a positive correlation between expected inflation and the nominal return on an asset because investors require compensation for the loss of purchasing power (Fisher, 1930). The Discounted Cash Flow perspective, on the other hand, indicates that inflationary pressures lower stock prices </w:t>
      </w:r>
      <w:r>
        <w:rPr>
          <w:rFonts w:ascii="Times New Roman" w:hAnsi="Times New Roman" w:cs="Times New Roman"/>
          <w:highlight w:val="yellow"/>
        </w:rPr>
        <w:t>thro</w:t>
      </w:r>
      <w:r>
        <w:rPr>
          <w:rFonts w:ascii="Times New Roman" w:hAnsi="Times New Roman" w:cs="Times New Roman"/>
        </w:rPr>
        <w:t>u</w:t>
      </w:r>
      <w:r>
        <w:rPr>
          <w:rFonts w:ascii="Times New Roman" w:hAnsi="Times New Roman" w:cs="Times New Roman"/>
          <w:highlight w:val="yellow"/>
        </w:rPr>
        <w:t>gh</w:t>
      </w:r>
      <w:r>
        <w:rPr>
          <w:rFonts w:ascii="Times New Roman" w:hAnsi="Times New Roman" w:cs="Times New Roman"/>
        </w:rPr>
        <w:t xml:space="preserve"> increased discount rates, shrinking profit margins and falling real disposable income (</w:t>
      </w:r>
      <w:proofErr w:type="spellStart"/>
      <w:r>
        <w:rPr>
          <w:rFonts w:ascii="Times New Roman" w:hAnsi="Times New Roman" w:cs="Times New Roman"/>
        </w:rPr>
        <w:t>Kukandaka</w:t>
      </w:r>
      <w:proofErr w:type="spellEnd"/>
      <w:r>
        <w:rPr>
          <w:rFonts w:ascii="Times New Roman" w:hAnsi="Times New Roman" w:cs="Times New Roman"/>
        </w:rPr>
        <w:t xml:space="preserve"> et al., 2026), whereas the Arbitrage Pricing Theory suggests that inflation is on</w:t>
      </w:r>
      <w:r>
        <w:rPr>
          <w:rFonts w:ascii="Times New Roman" w:hAnsi="Times New Roman" w:cs="Times New Roman"/>
          <w:highlight w:val="yellow"/>
        </w:rPr>
        <w:t>e of</w:t>
      </w:r>
      <w:r>
        <w:rPr>
          <w:rFonts w:ascii="Times New Roman" w:hAnsi="Times New Roman" w:cs="Times New Roman"/>
        </w:rPr>
        <w:t xml:space="preserve"> several macroeconomic factors that systematically affect asset returns</w:t>
      </w:r>
      <w:r>
        <w:rPr>
          <w:rFonts w:ascii="Times New Roman" w:hAnsi="Times New Roman" w:cs="Times New Roman"/>
          <w:highlight w:val="yellow"/>
        </w:rPr>
        <w:t>,</w:t>
      </w:r>
      <w:r>
        <w:rPr>
          <w:rFonts w:ascii="Times New Roman" w:hAnsi="Times New Roman" w:cs="Times New Roman"/>
        </w:rPr>
        <w:t xml:space="preserve"> along</w:t>
      </w:r>
      <w:r>
        <w:rPr>
          <w:rFonts w:ascii="Times New Roman" w:hAnsi="Times New Roman" w:cs="Times New Roman"/>
          <w:highlight w:val="yellow"/>
        </w:rPr>
        <w:t>s</w:t>
      </w:r>
      <w:r>
        <w:rPr>
          <w:rFonts w:ascii="Times New Roman" w:hAnsi="Times New Roman" w:cs="Times New Roman"/>
        </w:rPr>
        <w:t>i</w:t>
      </w:r>
      <w:r>
        <w:rPr>
          <w:rFonts w:ascii="Times New Roman" w:hAnsi="Times New Roman" w:cs="Times New Roman"/>
          <w:highlight w:val="yellow"/>
        </w:rPr>
        <w:t>de</w:t>
      </w:r>
      <w:r>
        <w:rPr>
          <w:rFonts w:ascii="Times New Roman" w:hAnsi="Times New Roman" w:cs="Times New Roman"/>
        </w:rPr>
        <w:t xml:space="preserve"> industrial output, exchange rates and interest rates (</w:t>
      </w:r>
      <w:r w:rsidRPr="007417AA">
        <w:rPr>
          <w:rFonts w:ascii="Times New Roman" w:hAnsi="Times New Roman" w:cs="Times New Roman"/>
        </w:rPr>
        <w:t xml:space="preserve">Dada et al., 2021). </w:t>
      </w:r>
      <w:r w:rsidRPr="007417AA">
        <w:rPr>
          <w:rFonts w:ascii="Times New Roman" w:hAnsi="Times New Roman" w:cs="Times New Roman"/>
          <w:highlight w:val="yellow"/>
        </w:rPr>
        <w:t>E</w:t>
      </w:r>
      <w:r w:rsidRPr="007417AA">
        <w:rPr>
          <w:rFonts w:ascii="Times New Roman" w:hAnsi="Times New Roman" w:cs="Times New Roman"/>
        </w:rPr>
        <w:t>mpirical evidence in Nigeria is mixed; some studies support the Fisher hypothesis (</w:t>
      </w:r>
      <w:proofErr w:type="spellStart"/>
      <w:r w:rsidRPr="007417AA">
        <w:rPr>
          <w:rFonts w:ascii="Times New Roman" w:hAnsi="Times New Roman" w:cs="Times New Roman"/>
        </w:rPr>
        <w:t>Uruemu</w:t>
      </w:r>
      <w:proofErr w:type="spellEnd"/>
      <w:r w:rsidRPr="007417AA">
        <w:rPr>
          <w:rFonts w:ascii="Times New Roman" w:hAnsi="Times New Roman" w:cs="Times New Roman"/>
        </w:rPr>
        <w:t>, 2022)</w:t>
      </w:r>
      <w:r w:rsidRPr="007417AA">
        <w:rPr>
          <w:rFonts w:ascii="Times New Roman" w:hAnsi="Times New Roman" w:cs="Times New Roman"/>
          <w:highlight w:val="yellow"/>
        </w:rPr>
        <w:t>,</w:t>
      </w:r>
      <w:r w:rsidRPr="007417AA">
        <w:rPr>
          <w:rFonts w:ascii="Times New Roman" w:hAnsi="Times New Roman" w:cs="Times New Roman"/>
        </w:rPr>
        <w:t xml:space="preserve"> while others do not (Usman &amp; </w:t>
      </w:r>
      <w:proofErr w:type="spellStart"/>
      <w:r w:rsidRPr="007417AA">
        <w:rPr>
          <w:rFonts w:ascii="Times New Roman" w:hAnsi="Times New Roman" w:cs="Times New Roman"/>
        </w:rPr>
        <w:t>Adejare</w:t>
      </w:r>
      <w:proofErr w:type="spellEnd"/>
      <w:r w:rsidRPr="007417AA">
        <w:rPr>
          <w:rFonts w:ascii="Times New Roman" w:hAnsi="Times New Roman" w:cs="Times New Roman"/>
        </w:rPr>
        <w:t xml:space="preserve">, 2013), particularly during the post-global-financial-crisis era. </w:t>
      </w:r>
      <w:r w:rsidRPr="007417AA">
        <w:rPr>
          <w:rFonts w:ascii="Times New Roman" w:hAnsi="Times New Roman"/>
          <w:highlight w:val="yellow"/>
        </w:rPr>
        <w:t xml:space="preserve">Recent Nigerian evidence further indicates that inflation and other macroeconomic conditions remain relevant to stock market performance, although the magnitude and statistical strength of these effects depend on the empirical specification and period examined (Akanbi, 2025). Evidence from African and broader sectoral markets also shows that inflation effects can vary across industries and market segments, supporting the need for sector-disaggregated assessment rather than reliance on aggregate indices alone (Chiang &amp; Chen, 2023; Doho et al., 2023; </w:t>
      </w:r>
      <w:proofErr w:type="spellStart"/>
      <w:r w:rsidRPr="007417AA">
        <w:rPr>
          <w:rFonts w:ascii="Times New Roman" w:hAnsi="Times New Roman"/>
          <w:highlight w:val="yellow"/>
        </w:rPr>
        <w:t>Mwiwa</w:t>
      </w:r>
      <w:proofErr w:type="spellEnd"/>
      <w:r w:rsidRPr="007417AA">
        <w:rPr>
          <w:rFonts w:ascii="Times New Roman" w:hAnsi="Times New Roman"/>
          <w:highlight w:val="yellow"/>
        </w:rPr>
        <w:t xml:space="preserve"> &amp; </w:t>
      </w:r>
      <w:proofErr w:type="spellStart"/>
      <w:r w:rsidRPr="007417AA">
        <w:rPr>
          <w:rFonts w:ascii="Times New Roman" w:hAnsi="Times New Roman"/>
          <w:highlight w:val="yellow"/>
        </w:rPr>
        <w:t>Jagongo</w:t>
      </w:r>
      <w:proofErr w:type="spellEnd"/>
      <w:r w:rsidRPr="007417AA">
        <w:rPr>
          <w:rFonts w:ascii="Times New Roman" w:hAnsi="Times New Roman"/>
          <w:highlight w:val="yellow"/>
        </w:rPr>
        <w:t xml:space="preserve">, 2025). Recent research additionally links transitory inflation to differences in stock returns and volatility across sectors and firm-size groups, underscoring the importance of heterogeneity in inflation transmission to equity markets (Bonaparte et al., 2025). </w:t>
      </w:r>
      <w:r w:rsidRPr="007417AA">
        <w:rPr>
          <w:rFonts w:ascii="Times New Roman" w:hAnsi="Times New Roman" w:cs="Times New Roman"/>
        </w:rPr>
        <w:t xml:space="preserve">Notwithstanding this </w:t>
      </w:r>
      <w:r w:rsidRPr="007417AA">
        <w:rPr>
          <w:rFonts w:ascii="Times New Roman" w:hAnsi="Times New Roman" w:cs="Times New Roman"/>
          <w:highlight w:val="yellow"/>
        </w:rPr>
        <w:t>g</w:t>
      </w:r>
      <w:r w:rsidRPr="007417AA">
        <w:rPr>
          <w:rFonts w:ascii="Times New Roman" w:hAnsi="Times New Roman" w:cs="Times New Roman"/>
        </w:rPr>
        <w:t>r</w:t>
      </w:r>
      <w:r w:rsidRPr="007417AA">
        <w:rPr>
          <w:rFonts w:ascii="Times New Roman" w:hAnsi="Times New Roman" w:cs="Times New Roman"/>
          <w:highlight w:val="yellow"/>
        </w:rPr>
        <w:t>ow</w:t>
      </w:r>
      <w:r w:rsidRPr="007417AA">
        <w:rPr>
          <w:rFonts w:ascii="Times New Roman" w:hAnsi="Times New Roman" w:cs="Times New Roman"/>
        </w:rPr>
        <w:t>ing body of literature, most Nigerian studies focus on the overall market response to inflation, which</w:t>
      </w:r>
      <w:r>
        <w:rPr>
          <w:rFonts w:ascii="Times New Roman" w:hAnsi="Times New Roman" w:cs="Times New Roman"/>
        </w:rPr>
        <w:t xml:space="preserve"> may obscure significant sectoral differences </w:t>
      </w:r>
      <w:r>
        <w:rPr>
          <w:rFonts w:ascii="Times New Roman" w:hAnsi="Times New Roman" w:cs="Times New Roman"/>
          <w:highlight w:val="yellow"/>
        </w:rPr>
        <w:t>aris</w:t>
      </w:r>
      <w:r>
        <w:rPr>
          <w:rFonts w:ascii="Times New Roman" w:hAnsi="Times New Roman" w:cs="Times New Roman"/>
        </w:rPr>
        <w:t>in</w:t>
      </w:r>
      <w:r>
        <w:rPr>
          <w:rFonts w:ascii="Times New Roman" w:hAnsi="Times New Roman" w:cs="Times New Roman"/>
          <w:highlight w:val="yellow"/>
        </w:rPr>
        <w:t>g</w:t>
      </w:r>
      <w:r>
        <w:rPr>
          <w:rFonts w:ascii="Times New Roman" w:hAnsi="Times New Roman" w:cs="Times New Roman"/>
        </w:rPr>
        <w:t xml:space="preserve"> </w:t>
      </w:r>
      <w:r>
        <w:rPr>
          <w:rFonts w:ascii="Times New Roman" w:hAnsi="Times New Roman" w:cs="Times New Roman"/>
          <w:highlight w:val="yellow"/>
        </w:rPr>
        <w:t>from</w:t>
      </w:r>
      <w:r>
        <w:rPr>
          <w:rFonts w:ascii="Times New Roman" w:hAnsi="Times New Roman" w:cs="Times New Roman"/>
        </w:rPr>
        <w:t xml:space="preserve"> </w:t>
      </w:r>
      <w:r>
        <w:rPr>
          <w:rFonts w:ascii="Times New Roman" w:hAnsi="Times New Roman" w:cs="Times New Roman"/>
          <w:highlight w:val="yellow"/>
        </w:rPr>
        <w:t>var</w:t>
      </w:r>
      <w:r>
        <w:rPr>
          <w:rFonts w:ascii="Times New Roman" w:hAnsi="Times New Roman" w:cs="Times New Roman"/>
        </w:rPr>
        <w:t>iation</w:t>
      </w:r>
      <w:r>
        <w:rPr>
          <w:rFonts w:ascii="Times New Roman" w:hAnsi="Times New Roman" w:cs="Times New Roman"/>
          <w:highlight w:val="yellow"/>
        </w:rPr>
        <w:t>s</w:t>
      </w:r>
      <w:r>
        <w:rPr>
          <w:rFonts w:ascii="Times New Roman" w:hAnsi="Times New Roman" w:cs="Times New Roman"/>
        </w:rPr>
        <w:t xml:space="preserve"> in exchange rate exposure, cost structures and pricing power (</w:t>
      </w:r>
      <w:proofErr w:type="spellStart"/>
      <w:r>
        <w:rPr>
          <w:rFonts w:ascii="Times New Roman" w:hAnsi="Times New Roman" w:cs="Times New Roman"/>
        </w:rPr>
        <w:t>Ikoku</w:t>
      </w:r>
      <w:proofErr w:type="spellEnd"/>
      <w:r>
        <w:rPr>
          <w:rFonts w:ascii="Times New Roman" w:hAnsi="Times New Roman" w:cs="Times New Roman"/>
        </w:rPr>
        <w:t xml:space="preserve"> &amp; Okorie, 2010), while few studies have captured this heterogeneity in the context of the extraordinary macroeconomic episode of 2015</w:t>
      </w:r>
      <w:r>
        <w:rPr>
          <w:rFonts w:ascii="Times New Roman" w:hAnsi="Times New Roman" w:cs="Times New Roman"/>
          <w:highlight w:val="yellow"/>
        </w:rPr>
        <w:t>–</w:t>
      </w:r>
      <w:r>
        <w:rPr>
          <w:rFonts w:ascii="Times New Roman" w:hAnsi="Times New Roman" w:cs="Times New Roman"/>
        </w:rPr>
        <w:t xml:space="preserve">2024, which featured multiple recessions, unprecedented monetary interventions and exchange rate </w:t>
      </w:r>
      <w:proofErr w:type="spellStart"/>
      <w:r>
        <w:rPr>
          <w:rFonts w:ascii="Times New Roman" w:hAnsi="Times New Roman" w:cs="Times New Roman"/>
        </w:rPr>
        <w:t>liberalisation</w:t>
      </w:r>
      <w:proofErr w:type="spellEnd"/>
      <w:r>
        <w:rPr>
          <w:rFonts w:ascii="Times New Roman" w:hAnsi="Times New Roman" w:cs="Times New Roman"/>
        </w:rPr>
        <w:t xml:space="preserve"> (</w:t>
      </w:r>
      <w:r>
        <w:rPr>
          <w:rFonts w:ascii="Times New Roman" w:hAnsi="Times New Roman" w:cs="Times New Roman"/>
          <w:highlight w:val="yellow"/>
        </w:rPr>
        <w:t xml:space="preserve">Abu, 2024; </w:t>
      </w:r>
      <w:r>
        <w:rPr>
          <w:rFonts w:ascii="Times New Roman" w:hAnsi="Times New Roman" w:cs="Times New Roman"/>
        </w:rPr>
        <w:t>Central Bank of Nigeria, 2024). This study fills these gaps by investigating the impact of inflation dynamics on sectoral stock market performance in Nigeria</w:t>
      </w:r>
      <w:r>
        <w:rPr>
          <w:rFonts w:ascii="Times New Roman" w:hAnsi="Times New Roman" w:cs="Times New Roman"/>
          <w:highlight w:val="yellow"/>
        </w:rPr>
        <w:t xml:space="preserve"> </w:t>
      </w:r>
      <w:r>
        <w:rPr>
          <w:rFonts w:ascii="Times New Roman" w:hAnsi="Times New Roman" w:cs="Times New Roman"/>
          <w:highlight w:val="yellow"/>
        </w:rPr>
        <w:lastRenderedPageBreak/>
        <w:t>and</w:t>
      </w:r>
      <w:r>
        <w:rPr>
          <w:rFonts w:ascii="Times New Roman" w:hAnsi="Times New Roman" w:cs="Times New Roman"/>
        </w:rPr>
        <w:t xml:space="preserve"> providing up-to-date</w:t>
      </w:r>
      <w:r>
        <w:rPr>
          <w:rFonts w:ascii="Times New Roman" w:hAnsi="Times New Roman" w:cs="Times New Roman"/>
          <w:highlight w:val="yellow"/>
        </w:rPr>
        <w:t>,</w:t>
      </w:r>
      <w:r>
        <w:rPr>
          <w:rFonts w:ascii="Times New Roman" w:hAnsi="Times New Roman" w:cs="Times New Roman"/>
        </w:rPr>
        <w:t xml:space="preserve"> sector-disaggregated panel evidence from a </w:t>
      </w:r>
      <w:r>
        <w:rPr>
          <w:rFonts w:ascii="Times New Roman" w:hAnsi="Times New Roman" w:cs="Times New Roman"/>
          <w:highlight w:val="yellow"/>
        </w:rPr>
        <w:t>per</w:t>
      </w:r>
      <w:r>
        <w:rPr>
          <w:rFonts w:ascii="Times New Roman" w:hAnsi="Times New Roman" w:cs="Times New Roman"/>
        </w:rPr>
        <w:t>i</w:t>
      </w:r>
      <w:r>
        <w:rPr>
          <w:rFonts w:ascii="Times New Roman" w:hAnsi="Times New Roman" w:cs="Times New Roman"/>
          <w:highlight w:val="yellow"/>
        </w:rPr>
        <w:t>od</w:t>
      </w:r>
      <w:r>
        <w:rPr>
          <w:rFonts w:ascii="Times New Roman" w:hAnsi="Times New Roman" w:cs="Times New Roman"/>
        </w:rPr>
        <w:t xml:space="preserve"> of unprecedented policy reorientation.</w:t>
      </w:r>
    </w:p>
    <w:p w14:paraId="63368B81" w14:textId="77777777" w:rsidR="000375CF"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1.1 </w:t>
      </w:r>
      <w:r w:rsidR="00965A0A" w:rsidRPr="00DA0907">
        <w:rPr>
          <w:rFonts w:ascii="Times New Roman" w:hAnsi="Times New Roman" w:cs="Times New Roman"/>
          <w:b/>
          <w:bCs/>
        </w:rPr>
        <w:t>Statement of the Problem</w:t>
      </w:r>
    </w:p>
    <w:p w14:paraId="3E92BB44" w14:textId="0E718F48"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Despite </w:t>
      </w:r>
      <w:r>
        <w:rPr>
          <w:rFonts w:ascii="Times New Roman" w:hAnsi="Times New Roman" w:cs="Times New Roman"/>
          <w:highlight w:val="yellow"/>
        </w:rPr>
        <w:t>subs</w:t>
      </w:r>
      <w:r>
        <w:rPr>
          <w:rFonts w:ascii="Times New Roman" w:hAnsi="Times New Roman" w:cs="Times New Roman"/>
        </w:rPr>
        <w:t>tant</w:t>
      </w:r>
      <w:r>
        <w:rPr>
          <w:rFonts w:ascii="Times New Roman" w:hAnsi="Times New Roman" w:cs="Times New Roman"/>
          <w:highlight w:val="yellow"/>
        </w:rPr>
        <w:t>ial</w:t>
      </w:r>
      <w:r>
        <w:rPr>
          <w:rFonts w:ascii="Times New Roman" w:hAnsi="Times New Roman" w:cs="Times New Roman"/>
        </w:rPr>
        <w:t xml:space="preserve"> research interest in the inflation</w:t>
      </w:r>
      <w:r>
        <w:rPr>
          <w:rFonts w:ascii="Times New Roman" w:hAnsi="Times New Roman" w:cs="Times New Roman"/>
          <w:highlight w:val="yellow"/>
        </w:rPr>
        <w:t>–</w:t>
      </w:r>
      <w:r>
        <w:rPr>
          <w:rFonts w:ascii="Times New Roman" w:hAnsi="Times New Roman" w:cs="Times New Roman"/>
        </w:rPr>
        <w:t xml:space="preserve">stock market relationship in Nigeria, research has mainly concentrated on the overall market, leaving the differential impact of inflation on individual equity sectors </w:t>
      </w:r>
      <w:r>
        <w:rPr>
          <w:rFonts w:ascii="Times New Roman" w:hAnsi="Times New Roman" w:cs="Times New Roman"/>
          <w:highlight w:val="yellow"/>
        </w:rPr>
        <w:t>insuffici</w:t>
      </w:r>
      <w:r>
        <w:rPr>
          <w:rFonts w:ascii="Times New Roman" w:hAnsi="Times New Roman" w:cs="Times New Roman"/>
        </w:rPr>
        <w:t>e</w:t>
      </w:r>
      <w:r>
        <w:rPr>
          <w:rFonts w:ascii="Times New Roman" w:hAnsi="Times New Roman" w:cs="Times New Roman"/>
          <w:highlight w:val="yellow"/>
        </w:rPr>
        <w:t>n</w:t>
      </w:r>
      <w:r>
        <w:rPr>
          <w:rFonts w:ascii="Times New Roman" w:hAnsi="Times New Roman" w:cs="Times New Roman"/>
        </w:rPr>
        <w:t>t</w:t>
      </w:r>
      <w:r>
        <w:rPr>
          <w:rFonts w:ascii="Times New Roman" w:hAnsi="Times New Roman" w:cs="Times New Roman"/>
          <w:highlight w:val="yellow"/>
        </w:rPr>
        <w:t>ly</w:t>
      </w:r>
      <w:r>
        <w:rPr>
          <w:rFonts w:ascii="Times New Roman" w:hAnsi="Times New Roman" w:cs="Times New Roman"/>
        </w:rPr>
        <w:t xml:space="preserve"> a</w:t>
      </w:r>
      <w:r>
        <w:rPr>
          <w:rFonts w:ascii="Times New Roman" w:hAnsi="Times New Roman" w:cs="Times New Roman"/>
          <w:highlight w:val="yellow"/>
        </w:rPr>
        <w:t>ddressed (Akanbi</w:t>
      </w:r>
      <w:r>
        <w:rPr>
          <w:rFonts w:ascii="Times New Roman" w:hAnsi="Times New Roman" w:cs="Times New Roman"/>
        </w:rPr>
        <w:t>, 202</w:t>
      </w:r>
      <w:r>
        <w:rPr>
          <w:rFonts w:ascii="Times New Roman" w:hAnsi="Times New Roman" w:cs="Times New Roman"/>
          <w:highlight w:val="yellow"/>
        </w:rPr>
        <w:t>5</w:t>
      </w:r>
      <w:r>
        <w:rPr>
          <w:rFonts w:ascii="Times New Roman" w:hAnsi="Times New Roman" w:cs="Times New Roman"/>
        </w:rPr>
        <w:t xml:space="preserve">; </w:t>
      </w:r>
      <w:proofErr w:type="spellStart"/>
      <w:r>
        <w:rPr>
          <w:rFonts w:ascii="Times New Roman" w:hAnsi="Times New Roman" w:cs="Times New Roman"/>
        </w:rPr>
        <w:t>Ikoku</w:t>
      </w:r>
      <w:proofErr w:type="spellEnd"/>
      <w:r>
        <w:rPr>
          <w:rFonts w:ascii="Times New Roman" w:hAnsi="Times New Roman" w:cs="Times New Roman"/>
        </w:rPr>
        <w:t xml:space="preserve"> &amp; Okorie, 2010). This is a significant omission because sectors </w:t>
      </w:r>
      <w:r>
        <w:rPr>
          <w:rFonts w:ascii="Times New Roman" w:hAnsi="Times New Roman" w:cs="Times New Roman"/>
          <w:highlight w:val="yellow"/>
        </w:rPr>
        <w:t>such as</w:t>
      </w:r>
      <w:r>
        <w:rPr>
          <w:rFonts w:ascii="Times New Roman" w:hAnsi="Times New Roman" w:cs="Times New Roman"/>
        </w:rPr>
        <w:t xml:space="preserve"> Oil and Gas, Consumer Goods, Banking, Industrial Goods and Agriculture have </w:t>
      </w:r>
      <w:r>
        <w:rPr>
          <w:rFonts w:ascii="Times New Roman" w:hAnsi="Times New Roman" w:cs="Times New Roman"/>
          <w:highlight w:val="yellow"/>
        </w:rPr>
        <w:t>m</w:t>
      </w:r>
      <w:r>
        <w:rPr>
          <w:rFonts w:ascii="Times New Roman" w:hAnsi="Times New Roman" w:cs="Times New Roman"/>
        </w:rPr>
        <w:t>a</w:t>
      </w:r>
      <w:r>
        <w:rPr>
          <w:rFonts w:ascii="Times New Roman" w:hAnsi="Times New Roman" w:cs="Times New Roman"/>
          <w:highlight w:val="yellow"/>
        </w:rPr>
        <w:t>rked</w:t>
      </w:r>
      <w:r>
        <w:rPr>
          <w:rFonts w:ascii="Times New Roman" w:hAnsi="Times New Roman" w:cs="Times New Roman"/>
        </w:rPr>
        <w:t>ly different cost structures, regulatory regimes and exchange rate exposures and</w:t>
      </w:r>
      <w:r>
        <w:rPr>
          <w:rFonts w:ascii="Times New Roman" w:hAnsi="Times New Roman" w:cs="Times New Roman"/>
          <w:highlight w:val="yellow"/>
        </w:rPr>
        <w:t>,</w:t>
      </w:r>
      <w:r>
        <w:rPr>
          <w:rFonts w:ascii="Times New Roman" w:hAnsi="Times New Roman" w:cs="Times New Roman"/>
        </w:rPr>
        <w:t xml:space="preserve"> th</w:t>
      </w:r>
      <w:r>
        <w:rPr>
          <w:rFonts w:ascii="Times New Roman" w:hAnsi="Times New Roman" w:cs="Times New Roman"/>
          <w:highlight w:val="yellow"/>
        </w:rPr>
        <w:t>erefore,</w:t>
      </w:r>
      <w:r>
        <w:rPr>
          <w:rFonts w:ascii="Times New Roman" w:hAnsi="Times New Roman" w:cs="Times New Roman"/>
        </w:rPr>
        <w:t xml:space="preserve"> </w:t>
      </w:r>
      <w:r>
        <w:rPr>
          <w:rFonts w:ascii="Times New Roman" w:hAnsi="Times New Roman" w:cs="Times New Roman"/>
          <w:highlight w:val="yellow"/>
        </w:rPr>
        <w:t>may</w:t>
      </w:r>
      <w:r>
        <w:rPr>
          <w:rFonts w:ascii="Times New Roman" w:hAnsi="Times New Roman" w:cs="Times New Roman"/>
        </w:rPr>
        <w:t xml:space="preserve"> not re</w:t>
      </w:r>
      <w:r>
        <w:rPr>
          <w:rFonts w:ascii="Times New Roman" w:hAnsi="Times New Roman" w:cs="Times New Roman"/>
          <w:highlight w:val="yellow"/>
        </w:rPr>
        <w:t>spond</w:t>
      </w:r>
      <w:r>
        <w:rPr>
          <w:rFonts w:ascii="Times New Roman" w:hAnsi="Times New Roman" w:cs="Times New Roman"/>
        </w:rPr>
        <w:t xml:space="preserve"> in the same way to inflationary shocks (Ikoku &amp; Okorie, 2010)</w:t>
      </w:r>
      <w:r w:rsidR="008054A3" w:rsidRPr="008054A3">
        <w:rPr>
          <w:rFonts w:ascii="Times New Roman" w:hAnsi="Times New Roman" w:cs="Times New Roman"/>
        </w:rPr>
      </w:r>
      <w:r>
        <w:rPr>
          <w:rFonts w:ascii="Times New Roman" w:hAnsi="Times New Roman" w:cs="Times New Roman"/>
        </w:rPr>
        <w:t xml:space="preserve">. Additionally, the period 2015–2024 </w:t>
      </w:r>
      <w:r>
        <w:rPr>
          <w:rFonts w:ascii="Times New Roman" w:hAnsi="Times New Roman" w:cs="Times New Roman"/>
          <w:highlight w:val="yellow"/>
        </w:rPr>
        <w:t>represent</w:t>
      </w:r>
      <w:r>
        <w:rPr>
          <w:rFonts w:ascii="Times New Roman" w:hAnsi="Times New Roman" w:cs="Times New Roman"/>
        </w:rPr>
        <w:t xml:space="preserve">s a </w:t>
      </w:r>
      <w:r>
        <w:rPr>
          <w:rFonts w:ascii="Times New Roman" w:hAnsi="Times New Roman" w:cs="Times New Roman"/>
          <w:highlight w:val="yellow"/>
        </w:rPr>
        <w:t>disti</w:t>
      </w:r>
      <w:r>
        <w:rPr>
          <w:rFonts w:ascii="Times New Roman" w:hAnsi="Times New Roman" w:cs="Times New Roman"/>
        </w:rPr>
        <w:t>n</w:t>
      </w:r>
      <w:r>
        <w:rPr>
          <w:rFonts w:ascii="Times New Roman" w:hAnsi="Times New Roman" w:cs="Times New Roman"/>
          <w:highlight w:val="yellow"/>
        </w:rPr>
        <w:t>ct</w:t>
      </w:r>
      <w:r>
        <w:rPr>
          <w:rFonts w:ascii="Times New Roman" w:hAnsi="Times New Roman" w:cs="Times New Roman"/>
        </w:rPr>
        <w:t>i</w:t>
      </w:r>
      <w:r>
        <w:rPr>
          <w:rFonts w:ascii="Times New Roman" w:hAnsi="Times New Roman" w:cs="Times New Roman"/>
          <w:highlight w:val="yellow"/>
        </w:rPr>
        <w:t>v</w:t>
      </w:r>
      <w:r>
        <w:rPr>
          <w:rFonts w:ascii="Times New Roman" w:hAnsi="Times New Roman" w:cs="Times New Roman"/>
        </w:rPr>
        <w:t>e macroeconomic e</w:t>
      </w:r>
      <w:r>
        <w:rPr>
          <w:rFonts w:ascii="Times New Roman" w:hAnsi="Times New Roman" w:cs="Times New Roman"/>
          <w:highlight w:val="yellow"/>
        </w:rPr>
        <w:t xml:space="preserve">pisode </w:t>
      </w:r>
      <w:r>
        <w:rPr>
          <w:rFonts w:ascii="Times New Roman" w:hAnsi="Times New Roman" w:cs="Times New Roman"/>
        </w:rPr>
        <w:t>en</w:t>
      </w:r>
      <w:r>
        <w:rPr>
          <w:rFonts w:ascii="Times New Roman" w:hAnsi="Times New Roman" w:cs="Times New Roman"/>
          <w:highlight w:val="yellow"/>
        </w:rPr>
        <w:t>comp</w:t>
      </w:r>
      <w:r>
        <w:rPr>
          <w:rFonts w:ascii="Times New Roman" w:hAnsi="Times New Roman" w:cs="Times New Roman"/>
        </w:rPr>
        <w:t>a</w:t>
      </w:r>
      <w:r>
        <w:rPr>
          <w:rFonts w:ascii="Times New Roman" w:hAnsi="Times New Roman" w:cs="Times New Roman"/>
          <w:highlight w:val="yellow"/>
        </w:rPr>
        <w:t>ss</w:t>
      </w:r>
      <w:r>
        <w:rPr>
          <w:rFonts w:ascii="Times New Roman" w:hAnsi="Times New Roman" w:cs="Times New Roman"/>
        </w:rPr>
        <w:t>in</w:t>
      </w:r>
      <w:r>
        <w:rPr>
          <w:rFonts w:ascii="Times New Roman" w:hAnsi="Times New Roman" w:cs="Times New Roman"/>
          <w:highlight w:val="yellow"/>
        </w:rPr>
        <w:t>g</w:t>
      </w:r>
      <w:r>
        <w:rPr>
          <w:rFonts w:ascii="Times New Roman" w:hAnsi="Times New Roman" w:cs="Times New Roman"/>
        </w:rPr>
        <w:t xml:space="preserve"> the 2016 and 2020 recessions, continued naira depreciation, </w:t>
      </w:r>
      <w:proofErr w:type="spellStart"/>
      <w:r>
        <w:rPr>
          <w:rFonts w:ascii="Times New Roman" w:hAnsi="Times New Roman" w:cs="Times New Roman"/>
        </w:rPr>
        <w:t>monetisation</w:t>
      </w:r>
      <w:proofErr w:type="spellEnd"/>
      <w:r>
        <w:rPr>
          <w:rFonts w:ascii="Times New Roman" w:hAnsi="Times New Roman" w:cs="Times New Roman"/>
        </w:rPr>
        <w:t xml:space="preserve"> of</w:t>
      </w:r>
      <w:r>
        <w:rPr>
          <w:rFonts w:ascii="Times New Roman" w:hAnsi="Times New Roman" w:cs="Times New Roman"/>
          <w:highlight w:val="yellow"/>
        </w:rPr>
        <w:t xml:space="preserve"> the</w:t>
      </w:r>
      <w:r>
        <w:rPr>
          <w:rFonts w:ascii="Times New Roman" w:hAnsi="Times New Roman" w:cs="Times New Roman"/>
        </w:rPr>
        <w:t xml:space="preserve"> fiscal deficit, and petroleum</w:t>
      </w:r>
      <w:r>
        <w:rPr>
          <w:rFonts w:ascii="Times New Roman" w:hAnsi="Times New Roman" w:cs="Times New Roman"/>
          <w:highlight w:val="yellow"/>
        </w:rPr>
        <w:t>-</w:t>
      </w:r>
      <w:r>
        <w:rPr>
          <w:rFonts w:ascii="Times New Roman" w:hAnsi="Times New Roman" w:cs="Times New Roman"/>
        </w:rPr>
        <w:t>sector and exchange</w:t>
      </w:r>
      <w:r>
        <w:rPr>
          <w:rFonts w:ascii="Times New Roman" w:hAnsi="Times New Roman" w:cs="Times New Roman"/>
          <w:highlight w:val="yellow"/>
        </w:rPr>
        <w:t>-</w:t>
      </w:r>
      <w:r>
        <w:rPr>
          <w:rFonts w:ascii="Times New Roman" w:hAnsi="Times New Roman" w:cs="Times New Roman"/>
        </w:rPr>
        <w:t xml:space="preserve">rate reforms in 2023–2024, for which </w:t>
      </w:r>
      <w:r>
        <w:rPr>
          <w:rFonts w:ascii="Times New Roman" w:hAnsi="Times New Roman" w:cs="Times New Roman"/>
          <w:highlight w:val="yellow"/>
        </w:rPr>
        <w:t xml:space="preserve">sector-level </w:t>
      </w:r>
      <w:r>
        <w:rPr>
          <w:rFonts w:ascii="Times New Roman" w:hAnsi="Times New Roman" w:cs="Times New Roman"/>
        </w:rPr>
        <w:t xml:space="preserve">empirical evidence </w:t>
      </w:r>
      <w:r>
        <w:rPr>
          <w:rFonts w:ascii="Times New Roman" w:hAnsi="Times New Roman" w:cs="Times New Roman"/>
          <w:highlight w:val="yellow"/>
        </w:rPr>
        <w:t>rema</w:t>
      </w:r>
      <w:r>
        <w:rPr>
          <w:rFonts w:ascii="Times New Roman" w:hAnsi="Times New Roman" w:cs="Times New Roman"/>
        </w:rPr>
        <w:t>i</w:t>
      </w:r>
      <w:r>
        <w:rPr>
          <w:rFonts w:ascii="Times New Roman" w:hAnsi="Times New Roman" w:cs="Times New Roman"/>
          <w:highlight w:val="yellow"/>
        </w:rPr>
        <w:t>n</w:t>
      </w:r>
      <w:r>
        <w:rPr>
          <w:rFonts w:ascii="Times New Roman" w:hAnsi="Times New Roman" w:cs="Times New Roman"/>
        </w:rPr>
        <w:t xml:space="preserve">s limited (World Bank, 2024). In the absence of such information, investors, portfolio managers and policymakers lack the sector-specific </w:t>
      </w:r>
      <w:r>
        <w:rPr>
          <w:rFonts w:ascii="Times New Roman" w:hAnsi="Times New Roman" w:cs="Times New Roman"/>
          <w:highlight w:val="yellow"/>
        </w:rPr>
        <w:t>ev</w:t>
      </w:r>
      <w:r>
        <w:rPr>
          <w:rFonts w:ascii="Times New Roman" w:hAnsi="Times New Roman" w:cs="Times New Roman"/>
        </w:rPr>
        <w:t>i</w:t>
      </w:r>
      <w:r>
        <w:rPr>
          <w:rFonts w:ascii="Times New Roman" w:hAnsi="Times New Roman" w:cs="Times New Roman"/>
          <w:highlight w:val="yellow"/>
        </w:rPr>
        <w:t>de</w:t>
      </w:r>
      <w:r>
        <w:rPr>
          <w:rFonts w:ascii="Times New Roman" w:hAnsi="Times New Roman" w:cs="Times New Roman"/>
        </w:rPr>
        <w:t>n</w:t>
      </w:r>
      <w:r>
        <w:rPr>
          <w:rFonts w:ascii="Times New Roman" w:hAnsi="Times New Roman" w:cs="Times New Roman"/>
          <w:highlight w:val="yellow"/>
        </w:rPr>
        <w:t xml:space="preserve">ce </w:t>
      </w:r>
      <w:r>
        <w:rPr>
          <w:rFonts w:ascii="Times New Roman" w:hAnsi="Times New Roman" w:cs="Times New Roman"/>
        </w:rPr>
        <w:t>n</w:t>
      </w:r>
      <w:r>
        <w:rPr>
          <w:rFonts w:ascii="Times New Roman" w:hAnsi="Times New Roman" w:cs="Times New Roman"/>
          <w:highlight w:val="yellow"/>
        </w:rPr>
        <w:t>eeded</w:t>
      </w:r>
      <w:r>
        <w:rPr>
          <w:rFonts w:ascii="Times New Roman" w:hAnsi="Times New Roman" w:cs="Times New Roman"/>
        </w:rPr>
        <w:t xml:space="preserve"> to address inflation risk and develop targeted interventions. The challenge </w:t>
      </w:r>
      <w:r>
        <w:rPr>
          <w:rFonts w:ascii="Times New Roman" w:hAnsi="Times New Roman" w:cs="Times New Roman"/>
          <w:highlight w:val="yellow"/>
        </w:rPr>
        <w:t>addressed by</w:t>
      </w:r>
      <w:r>
        <w:rPr>
          <w:rFonts w:ascii="Times New Roman" w:hAnsi="Times New Roman" w:cs="Times New Roman"/>
        </w:rPr>
        <w:t xml:space="preserve"> this study is to empirically investigate how inflation dynamics affect stock market </w:t>
      </w:r>
      <w:r>
        <w:rPr>
          <w:rFonts w:ascii="Times New Roman" w:hAnsi="Times New Roman" w:cs="Times New Roman"/>
          <w:highlight w:val="yellow"/>
        </w:rPr>
        <w:t>performance among f</w:t>
      </w:r>
      <w:r>
        <w:rPr>
          <w:rFonts w:ascii="Times New Roman" w:hAnsi="Times New Roman" w:cs="Times New Roman"/>
        </w:rPr>
        <w:t>i</w:t>
      </w:r>
      <w:r>
        <w:rPr>
          <w:rFonts w:ascii="Times New Roman" w:hAnsi="Times New Roman" w:cs="Times New Roman"/>
          <w:highlight w:val="yellow"/>
        </w:rPr>
        <w:t>rms</w:t>
      </w:r>
      <w:r>
        <w:rPr>
          <w:rFonts w:ascii="Times New Roman" w:hAnsi="Times New Roman" w:cs="Times New Roman"/>
        </w:rPr>
        <w:t xml:space="preserve"> listed </w:t>
      </w:r>
      <w:r>
        <w:rPr>
          <w:rFonts w:ascii="Times New Roman" w:hAnsi="Times New Roman" w:cs="Times New Roman"/>
          <w:highlight w:val="yellow"/>
        </w:rPr>
        <w:t>o</w:t>
      </w:r>
      <w:r>
        <w:rPr>
          <w:rFonts w:ascii="Times New Roman" w:hAnsi="Times New Roman" w:cs="Times New Roman"/>
        </w:rPr>
        <w:t>n the NGX from 2015 to 2024.</w:t>
      </w:r>
    </w:p>
    <w:p w14:paraId="1E26ECA8"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1.2 </w:t>
      </w:r>
      <w:r w:rsidR="00965A0A" w:rsidRPr="00DA0907">
        <w:rPr>
          <w:rFonts w:ascii="Times New Roman" w:hAnsi="Times New Roman" w:cs="Times New Roman"/>
          <w:b/>
          <w:bCs/>
        </w:rPr>
        <w:t>Aim and Objectives</w:t>
      </w:r>
    </w:p>
    <w:p w14:paraId="5651B169" w14:textId="77777777" w:rsidR="00F2554E"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This study </w:t>
      </w:r>
      <w:r>
        <w:rPr>
          <w:rFonts w:ascii="Times New Roman" w:hAnsi="Times New Roman" w:cs="Times New Roman"/>
          <w:highlight w:val="yellow"/>
        </w:rPr>
        <w:t>a</w:t>
      </w:r>
      <w:r>
        <w:rPr>
          <w:rFonts w:ascii="Times New Roman" w:hAnsi="Times New Roman" w:cs="Times New Roman"/>
        </w:rPr>
        <w:t>i</w:t>
      </w:r>
      <w:r>
        <w:rPr>
          <w:rFonts w:ascii="Times New Roman" w:hAnsi="Times New Roman" w:cs="Times New Roman"/>
          <w:highlight w:val="yellow"/>
        </w:rPr>
        <w:t>m</w:t>
      </w:r>
      <w:r>
        <w:rPr>
          <w:rFonts w:ascii="Times New Roman" w:hAnsi="Times New Roman" w:cs="Times New Roman"/>
        </w:rPr>
        <w:t>s to investigate the impact of inflation dynamics on the stock market performance of firms listed on</w:t>
      </w:r>
      <w:r>
        <w:rPr>
          <w:rFonts w:ascii="Times New Roman" w:hAnsi="Times New Roman" w:cs="Times New Roman"/>
          <w:highlight w:val="yellow"/>
        </w:rPr>
        <w:t xml:space="preserve"> the</w:t>
      </w:r>
      <w:r>
        <w:rPr>
          <w:rFonts w:ascii="Times New Roman" w:hAnsi="Times New Roman" w:cs="Times New Roman"/>
        </w:rPr>
        <w:t xml:space="preserve"> Nigerian Exchange Group (NGX) between 2015 and 2024. The specific objectives are to: </w:t>
      </w:r>
      <w:proofErr w:type="spellStart"/>
      <w:r>
        <w:rPr>
          <w:rFonts w:ascii="Times New Roman" w:hAnsi="Times New Roman" w:cs="Times New Roman"/>
        </w:rPr>
        <w:t>i</w:t>
      </w:r>
      <w:proofErr w:type="spellEnd"/>
      <w:r>
        <w:rPr>
          <w:rFonts w:ascii="Times New Roman" w:hAnsi="Times New Roman" w:cs="Times New Roman"/>
        </w:rPr>
        <w:t>. assess the trend of inflation and sectoral stock market performance in Nigeria from 2015 to 2024; ii. examine the effect of inflation on aggregate stock market performance in Nigeria; and iii. determine whether the effect of inflation on stock returns varies significantly across major NGX sectors.</w:t>
      </w:r>
    </w:p>
    <w:p w14:paraId="170FF4D2"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1.3 </w:t>
      </w:r>
      <w:r w:rsidR="00965A0A" w:rsidRPr="00DA0907">
        <w:rPr>
          <w:rFonts w:ascii="Times New Roman" w:hAnsi="Times New Roman" w:cs="Times New Roman"/>
          <w:b/>
          <w:bCs/>
        </w:rPr>
        <w:t>Research Questions</w:t>
      </w:r>
    </w:p>
    <w:p w14:paraId="5A2FD070" w14:textId="77777777" w:rsidR="00AF4057" w:rsidRPr="00DA0907" w:rsidRDefault="00965A0A" w:rsidP="007417AA">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What is the trend of inflation and sectoral stock market performance in Nigeria from 2015 to 2024? </w:t>
      </w:r>
    </w:p>
    <w:p w14:paraId="775C42B5" w14:textId="77777777" w:rsidR="00AF4057" w:rsidRPr="00DA0907" w:rsidRDefault="00965A0A" w:rsidP="007417AA">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What is the effect of inflation on aggregate stock market performance in Nigeria? </w:t>
      </w:r>
    </w:p>
    <w:p w14:paraId="29781AC8" w14:textId="77777777" w:rsidR="00965A0A" w:rsidRPr="00DA0907" w:rsidRDefault="00965A0A" w:rsidP="007417AA">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Does the effect of inflation on stock returns vary significantly across major NGX sectors?</w:t>
      </w:r>
    </w:p>
    <w:p w14:paraId="7FA83C66"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lastRenderedPageBreak/>
        <w:t xml:space="preserve">1.4 </w:t>
      </w:r>
      <w:r w:rsidR="00965A0A" w:rsidRPr="00DA0907">
        <w:rPr>
          <w:rFonts w:ascii="Times New Roman" w:hAnsi="Times New Roman" w:cs="Times New Roman"/>
          <w:b/>
          <w:bCs/>
        </w:rPr>
        <w:t>Research Hypothesis</w:t>
      </w:r>
    </w:p>
    <w:p w14:paraId="74221BC6"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HO₁:</w:t>
      </w:r>
      <w:r w:rsidRPr="00DA0907">
        <w:rPr>
          <w:rFonts w:ascii="Times New Roman" w:hAnsi="Times New Roman" w:cs="Times New Roman"/>
        </w:rPr>
        <w:t xml:space="preserve"> Inflation has no statistically significant effect on sectoral stock market performance among NGX-listed firms in Nigeria.</w:t>
      </w:r>
    </w:p>
    <w:p w14:paraId="5B906B8C"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sz w:val="26"/>
          <w:szCs w:val="26"/>
        </w:rPr>
        <w:t xml:space="preserve">2.0 </w:t>
      </w:r>
      <w:r w:rsidR="00965A0A" w:rsidRPr="00DA0907">
        <w:rPr>
          <w:rFonts w:ascii="Times New Roman" w:hAnsi="Times New Roman" w:cs="Times New Roman"/>
          <w:b/>
          <w:bCs/>
          <w:sz w:val="26"/>
          <w:szCs w:val="26"/>
        </w:rPr>
        <w:t>Literature Review</w:t>
      </w:r>
    </w:p>
    <w:p w14:paraId="4E7AB3FF"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2.1 </w:t>
      </w:r>
      <w:r w:rsidR="00965A0A" w:rsidRPr="00DA0907">
        <w:rPr>
          <w:rFonts w:ascii="Times New Roman" w:hAnsi="Times New Roman" w:cs="Times New Roman"/>
          <w:b/>
          <w:bCs/>
        </w:rPr>
        <w:t>Conceptual Review</w:t>
      </w:r>
    </w:p>
    <w:p w14:paraId="54582B2E" w14:textId="77777777" w:rsidR="000375CF" w:rsidRPr="00DA0907" w:rsidRDefault="004079F8" w:rsidP="007417AA">
      <w:pPr>
        <w:tabs>
          <w:tab w:val="left" w:pos="2070"/>
        </w:tabs>
        <w:spacing w:line="360" w:lineRule="auto"/>
        <w:jc w:val="both"/>
        <w:rPr>
          <w:rFonts w:ascii="Times New Roman" w:hAnsi="Times New Roman" w:cs="Times New Roman"/>
        </w:rPr>
      </w:pPr>
      <w:r>
        <w:rPr>
          <w:rFonts w:ascii="Times New Roman" w:hAnsi="Times New Roman" w:cs="Times New Roman"/>
          <w:b/>
          <w:bCs/>
        </w:rPr>
        <w:t>2.1.1 Inflation Dynamics.</w:t>
      </w:r>
      <w:r>
        <w:rPr>
          <w:rFonts w:ascii="Times New Roman" w:hAnsi="Times New Roman" w:cs="Times New Roman"/>
        </w:rPr>
        <w:t xml:space="preserve"> Inflation refers to </w:t>
      </w:r>
      <w:r>
        <w:rPr>
          <w:rFonts w:ascii="Times New Roman" w:hAnsi="Times New Roman" w:cs="Times New Roman"/>
          <w:highlight w:val="yellow"/>
        </w:rPr>
        <w:t>a</w:t>
      </w:r>
      <w:r>
        <w:rPr>
          <w:rFonts w:ascii="Times New Roman" w:hAnsi="Times New Roman" w:cs="Times New Roman"/>
        </w:rPr>
        <w:t xml:space="preserve"> sustained increase in the general price level of goods and services over time (National Bureau of Statistics, 2025). It reduces purchasing power, shifts income and wealth, misalign</w:t>
      </w:r>
      <w:r>
        <w:rPr>
          <w:rFonts w:ascii="Times New Roman" w:hAnsi="Times New Roman" w:cs="Times New Roman"/>
          <w:highlight w:val="yellow"/>
        </w:rPr>
        <w:t>s</w:t>
      </w:r>
      <w:r>
        <w:rPr>
          <w:rFonts w:ascii="Times New Roman" w:hAnsi="Times New Roman" w:cs="Times New Roman"/>
        </w:rPr>
        <w:t xml:space="preserve"> price signals</w:t>
      </w:r>
      <w:r>
        <w:rPr>
          <w:rFonts w:ascii="Times New Roman" w:hAnsi="Times New Roman" w:cs="Times New Roman"/>
          <w:highlight w:val="yellow"/>
        </w:rPr>
        <w:t>,</w:t>
      </w:r>
      <w:r>
        <w:rPr>
          <w:rFonts w:ascii="Times New Roman" w:hAnsi="Times New Roman" w:cs="Times New Roman"/>
        </w:rPr>
        <w:t xml:space="preserve"> and</w:t>
      </w:r>
      <w:r>
        <w:rPr>
          <w:rFonts w:ascii="Times New Roman" w:hAnsi="Times New Roman" w:cs="Times New Roman"/>
          <w:highlight w:val="yellow"/>
        </w:rPr>
        <w:t xml:space="preserve"> creates</w:t>
      </w:r>
      <w:r>
        <w:rPr>
          <w:rFonts w:ascii="Times New Roman" w:hAnsi="Times New Roman" w:cs="Times New Roman"/>
        </w:rPr>
        <w:t xml:space="preserve"> uncertainty about future economic conditions (Central Bank of Nigeria, 2024)</w:t>
      </w:r>
      <w:r>
        <w:rPr>
          <w:rFonts w:ascii="Times New Roman" w:hAnsi="Times New Roman" w:cs="Times New Roman"/>
          <w:highlight w:val="yellow"/>
        </w:rPr>
      </w:r>
      <w:r>
        <w:rPr>
          <w:rFonts w:ascii="Times New Roman" w:hAnsi="Times New Roman" w:cs="Times New Roman"/>
        </w:rPr>
        <w:t xml:space="preserve">. Inflation dynamics include the speed, variability, durability and causes of inflation, all of which have different implications for economic agents and asset markets (World Bank, 2024). </w:t>
      </w:r>
      <w:r>
        <w:rPr>
          <w:rFonts w:ascii="Times New Roman" w:hAnsi="Times New Roman" w:cs="Times New Roman"/>
          <w:highlight w:val="yellow"/>
        </w:rPr>
        <w:t>Nig</w:t>
      </w:r>
      <w:r>
        <w:rPr>
          <w:rFonts w:ascii="Times New Roman" w:hAnsi="Times New Roman" w:cs="Times New Roman"/>
        </w:rPr>
        <w:t>e</w:t>
      </w:r>
      <w:r>
        <w:rPr>
          <w:rFonts w:ascii="Times New Roman" w:hAnsi="Times New Roman" w:cs="Times New Roman"/>
          <w:highlight w:val="yellow"/>
        </w:rPr>
        <w:t>ria's</w:t>
      </w:r>
      <w:r>
        <w:rPr>
          <w:rFonts w:ascii="Times New Roman" w:hAnsi="Times New Roman" w:cs="Times New Roman"/>
        </w:rPr>
        <w:t xml:space="preserve"> inflation experience from 2015 to 2024 </w:t>
      </w:r>
      <w:r>
        <w:rPr>
          <w:rFonts w:ascii="Times New Roman" w:hAnsi="Times New Roman" w:cs="Times New Roman"/>
          <w:highlight w:val="yellow"/>
        </w:rPr>
        <w:t>w</w:t>
      </w:r>
      <w:r>
        <w:rPr>
          <w:rFonts w:ascii="Times New Roman" w:hAnsi="Times New Roman" w:cs="Times New Roman"/>
        </w:rPr>
        <w:t>as marked by an upward trend and structural volatility following change</w:t>
      </w:r>
      <w:r>
        <w:rPr>
          <w:rFonts w:ascii="Times New Roman" w:hAnsi="Times New Roman" w:cs="Times New Roman"/>
          <w:highlight w:val="yellow"/>
        </w:rPr>
        <w:t>s</w:t>
      </w:r>
      <w:r>
        <w:rPr>
          <w:rFonts w:ascii="Times New Roman" w:hAnsi="Times New Roman" w:cs="Times New Roman"/>
        </w:rPr>
        <w:t xml:space="preserve"> in monetary policy since 2015, includ</w:t>
      </w:r>
      <w:r>
        <w:rPr>
          <w:rFonts w:ascii="Times New Roman" w:hAnsi="Times New Roman" w:cs="Times New Roman"/>
          <w:highlight w:val="yellow"/>
        </w:rPr>
        <w:t>ing</w:t>
      </w:r>
      <w:r>
        <w:rPr>
          <w:rFonts w:ascii="Times New Roman" w:hAnsi="Times New Roman" w:cs="Times New Roman"/>
        </w:rPr>
        <w:t xml:space="preserve"> fiscal deficit </w:t>
      </w:r>
      <w:proofErr w:type="spellStart"/>
      <w:r>
        <w:rPr>
          <w:rFonts w:ascii="Times New Roman" w:hAnsi="Times New Roman" w:cs="Times New Roman"/>
        </w:rPr>
        <w:t>monetisation</w:t>
      </w:r>
      <w:proofErr w:type="spellEnd"/>
      <w:r>
        <w:rPr>
          <w:rFonts w:ascii="Times New Roman" w:hAnsi="Times New Roman" w:cs="Times New Roman"/>
        </w:rPr>
        <w:t xml:space="preserve">, </w:t>
      </w:r>
      <w:proofErr w:type="spellStart"/>
      <w:r>
        <w:rPr>
          <w:rFonts w:ascii="Times New Roman" w:hAnsi="Times New Roman" w:cs="Times New Roman"/>
        </w:rPr>
        <w:t>subsidised</w:t>
      </w:r>
      <w:proofErr w:type="spellEnd"/>
      <w:r>
        <w:rPr>
          <w:rFonts w:ascii="Times New Roman" w:hAnsi="Times New Roman" w:cs="Times New Roman"/>
        </w:rPr>
        <w:t xml:space="preserve"> credit </w:t>
      </w:r>
      <w:proofErr w:type="spellStart"/>
      <w:r>
        <w:rPr>
          <w:rFonts w:ascii="Times New Roman" w:hAnsi="Times New Roman" w:cs="Times New Roman"/>
        </w:rPr>
        <w:t>programmes</w:t>
      </w:r>
      <w:proofErr w:type="spellEnd"/>
      <w:r>
        <w:rPr>
          <w:rFonts w:ascii="Times New Roman" w:hAnsi="Times New Roman" w:cs="Times New Roman"/>
        </w:rPr>
        <w:t xml:space="preserve"> and foreign exchange restrictions (World Bank, 2024). These policy missteps, </w:t>
      </w:r>
      <w:r>
        <w:rPr>
          <w:rFonts w:ascii="Times New Roman" w:hAnsi="Times New Roman" w:cs="Times New Roman"/>
          <w:highlight w:val="yellow"/>
        </w:rPr>
        <w:t>t</w:t>
      </w:r>
      <w:r>
        <w:rPr>
          <w:rFonts w:ascii="Times New Roman" w:hAnsi="Times New Roman" w:cs="Times New Roman"/>
        </w:rPr>
        <w:t>og</w:t>
      </w:r>
      <w:r>
        <w:rPr>
          <w:rFonts w:ascii="Times New Roman" w:hAnsi="Times New Roman" w:cs="Times New Roman"/>
          <w:highlight w:val="yellow"/>
        </w:rPr>
        <w:t>ether</w:t>
      </w:r>
      <w:r>
        <w:rPr>
          <w:rFonts w:ascii="Times New Roman" w:hAnsi="Times New Roman" w:cs="Times New Roman"/>
        </w:rPr>
        <w:t xml:space="preserve"> with exchange rate depreciation and supply</w:t>
      </w:r>
      <w:r>
        <w:rPr>
          <w:rFonts w:ascii="Times New Roman" w:hAnsi="Times New Roman" w:cs="Times New Roman"/>
          <w:highlight w:val="yellow"/>
        </w:rPr>
        <w:t>-</w:t>
      </w:r>
      <w:r>
        <w:rPr>
          <w:rFonts w:ascii="Times New Roman" w:hAnsi="Times New Roman" w:cs="Times New Roman"/>
        </w:rPr>
        <w:t xml:space="preserve">side disruptions, </w:t>
      </w:r>
      <w:r>
        <w:rPr>
          <w:rFonts w:ascii="Times New Roman" w:hAnsi="Times New Roman" w:cs="Times New Roman"/>
          <w:highlight w:val="yellow"/>
        </w:rPr>
        <w:t>sustain</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the inflationary environment (National Bureau of Statistics, 2025; World Bank, 2024). The channels through which inflation is transmitted to stock markets include the following: it increases the discount rate used in equity valuation (Folorunso, 2023); it a</w:t>
      </w:r>
      <w:r>
        <w:rPr>
          <w:rFonts w:ascii="Times New Roman" w:hAnsi="Times New Roman" w:cs="Times New Roman"/>
          <w:highlight w:val="yellow"/>
        </w:rPr>
        <w:t>ffe</w:t>
      </w:r>
      <w:r>
        <w:rPr>
          <w:rFonts w:ascii="Times New Roman" w:hAnsi="Times New Roman" w:cs="Times New Roman"/>
        </w:rPr>
        <w:t xml:space="preserve">cts </w:t>
      </w:r>
      <w:r>
        <w:rPr>
          <w:rFonts w:ascii="Times New Roman" w:hAnsi="Times New Roman" w:cs="Times New Roman"/>
          <w:highlight w:val="yellow"/>
        </w:rPr>
        <w:t>c</w:t>
      </w:r>
      <w:r>
        <w:rPr>
          <w:rFonts w:ascii="Times New Roman" w:hAnsi="Times New Roman" w:cs="Times New Roman"/>
        </w:rPr>
        <w:t>o</w:t>
      </w:r>
      <w:r>
        <w:rPr>
          <w:rFonts w:ascii="Times New Roman" w:hAnsi="Times New Roman" w:cs="Times New Roman"/>
          <w:highlight w:val="yellow"/>
        </w:rPr>
        <w:t>mpa</w:t>
      </w:r>
      <w:r>
        <w:rPr>
          <w:rFonts w:ascii="Times New Roman" w:hAnsi="Times New Roman" w:cs="Times New Roman"/>
        </w:rPr>
        <w:t>n</w:t>
      </w:r>
      <w:r>
        <w:rPr>
          <w:rFonts w:ascii="Times New Roman" w:hAnsi="Times New Roman" w:cs="Times New Roman"/>
          <w:highlight w:val="yellow"/>
        </w:rPr>
        <w:t>y</w:t>
      </w:r>
      <w:r>
        <w:rPr>
          <w:rFonts w:ascii="Times New Roman" w:hAnsi="Times New Roman" w:cs="Times New Roman"/>
        </w:rPr>
        <w:t xml:space="preserve"> cash flows </w:t>
      </w:r>
      <w:r>
        <w:rPr>
          <w:rFonts w:ascii="Times New Roman" w:hAnsi="Times New Roman" w:cs="Times New Roman"/>
          <w:highlight w:val="yellow"/>
        </w:rPr>
        <w:t>thro</w:t>
      </w:r>
      <w:r>
        <w:rPr>
          <w:rFonts w:ascii="Times New Roman" w:hAnsi="Times New Roman" w:cs="Times New Roman"/>
        </w:rPr>
        <w:t>u</w:t>
      </w:r>
      <w:r>
        <w:rPr>
          <w:rFonts w:ascii="Times New Roman" w:hAnsi="Times New Roman" w:cs="Times New Roman"/>
          <w:highlight w:val="yellow"/>
        </w:rPr>
        <w:t>gh</w:t>
      </w:r>
      <w:r>
        <w:rPr>
          <w:rFonts w:ascii="Times New Roman" w:hAnsi="Times New Roman" w:cs="Times New Roman"/>
        </w:rPr>
        <w:t xml:space="preserve"> input costs, </w:t>
      </w:r>
      <w:proofErr w:type="spellStart"/>
      <w:r>
        <w:rPr>
          <w:rFonts w:ascii="Times New Roman" w:hAnsi="Times New Roman" w:cs="Times New Roman"/>
        </w:rPr>
        <w:t>labour</w:t>
      </w:r>
      <w:proofErr w:type="spellEnd"/>
      <w:r>
        <w:rPr>
          <w:rFonts w:ascii="Times New Roman" w:hAnsi="Times New Roman" w:cs="Times New Roman"/>
        </w:rPr>
        <w:t xml:space="preserve"> costs and pricing power (Abu, 2024); it </w:t>
      </w:r>
      <w:r>
        <w:rPr>
          <w:rFonts w:ascii="Times New Roman" w:hAnsi="Times New Roman" w:cs="Times New Roman"/>
          <w:highlight w:val="yellow"/>
        </w:rPr>
        <w:t>in</w:t>
      </w:r>
      <w:r>
        <w:rPr>
          <w:rFonts w:ascii="Times New Roman" w:hAnsi="Times New Roman" w:cs="Times New Roman"/>
        </w:rPr>
        <w:t>f</w:t>
      </w:r>
      <w:r>
        <w:rPr>
          <w:rFonts w:ascii="Times New Roman" w:hAnsi="Times New Roman" w:cs="Times New Roman"/>
          <w:highlight w:val="yellow"/>
        </w:rPr>
        <w:t>lu</w:t>
      </w:r>
      <w:r>
        <w:rPr>
          <w:rFonts w:ascii="Times New Roman" w:hAnsi="Times New Roman" w:cs="Times New Roman"/>
        </w:rPr>
        <w:t>e</w:t>
      </w:r>
      <w:r>
        <w:rPr>
          <w:rFonts w:ascii="Times New Roman" w:hAnsi="Times New Roman" w:cs="Times New Roman"/>
          <w:highlight w:val="yellow"/>
        </w:rPr>
        <w:t>n</w:t>
      </w:r>
      <w:r>
        <w:rPr>
          <w:rFonts w:ascii="Times New Roman" w:hAnsi="Times New Roman" w:cs="Times New Roman"/>
        </w:rPr>
        <w:t>c</w:t>
      </w:r>
      <w:r>
        <w:rPr>
          <w:rFonts w:ascii="Times New Roman" w:hAnsi="Times New Roman" w:cs="Times New Roman"/>
          <w:highlight w:val="yellow"/>
        </w:rPr>
        <w:t>e</w:t>
      </w:r>
      <w:r>
        <w:rPr>
          <w:rFonts w:ascii="Times New Roman" w:hAnsi="Times New Roman" w:cs="Times New Roman"/>
        </w:rPr>
        <w:t>s investor asset allocation towards inflation-hedging instruments (</w:t>
      </w:r>
      <w:proofErr w:type="spellStart"/>
      <w:r>
        <w:rPr>
          <w:rFonts w:ascii="Times New Roman" w:hAnsi="Times New Roman" w:cs="Times New Roman"/>
        </w:rPr>
        <w:t>Uruemu</w:t>
      </w:r>
      <w:proofErr w:type="spellEnd"/>
      <w:r>
        <w:rPr>
          <w:rFonts w:ascii="Times New Roman" w:hAnsi="Times New Roman" w:cs="Times New Roman"/>
        </w:rPr>
        <w:t>, 2022); and it interacts with monetary policy response</w:t>
      </w:r>
      <w:r>
        <w:rPr>
          <w:rFonts w:ascii="Times New Roman" w:hAnsi="Times New Roman" w:cs="Times New Roman"/>
          <w:highlight w:val="yellow"/>
        </w:rPr>
        <w:t>s</w:t>
      </w:r>
      <w:r>
        <w:rPr>
          <w:rFonts w:ascii="Times New Roman" w:hAnsi="Times New Roman" w:cs="Times New Roman"/>
        </w:rPr>
        <w:t>, where</w:t>
      </w:r>
      <w:r>
        <w:rPr>
          <w:rFonts w:ascii="Times New Roman" w:hAnsi="Times New Roman" w:cs="Times New Roman"/>
          <w:highlight w:val="yellow"/>
        </w:rPr>
        <w:t>by</w:t>
      </w:r>
      <w:r>
        <w:rPr>
          <w:rFonts w:ascii="Times New Roman" w:hAnsi="Times New Roman" w:cs="Times New Roman"/>
        </w:rPr>
        <w:t xml:space="preserve"> contractionary measures increase borrowing costs and reduce economic activity (Central Bank of Nigeria, 2024)</w:t>
      </w:r>
      <w:r>
        <w:rPr>
          <w:rFonts w:ascii="Times New Roman" w:hAnsi="Times New Roman" w:cs="Times New Roman"/>
          <w:highlight w:val="yellow"/>
        </w:rPr>
      </w:r>
      <w:r>
        <w:rPr>
          <w:rFonts w:ascii="Times New Roman" w:hAnsi="Times New Roman" w:cs="Times New Roman"/>
        </w:rPr>
        <w:t>.</w:t>
      </w:r>
    </w:p>
    <w:p w14:paraId="557D72FA" w14:textId="043AD0A7" w:rsidR="000375CF" w:rsidRPr="00DA0907" w:rsidRDefault="004079F8" w:rsidP="007417AA">
      <w:pPr>
        <w:tabs>
          <w:tab w:val="left" w:pos="2070"/>
        </w:tabs>
        <w:spacing w:line="360" w:lineRule="auto"/>
        <w:jc w:val="both"/>
        <w:rPr>
          <w:rFonts w:ascii="Times New Roman" w:hAnsi="Times New Roman" w:cs="Times New Roman"/>
        </w:rPr>
      </w:pPr>
      <w:r>
        <w:rPr>
          <w:rFonts w:ascii="Times New Roman" w:hAnsi="Times New Roman" w:cs="Times New Roman"/>
          <w:b/>
          <w:bCs/>
        </w:rPr>
        <w:t>2.1.2 Sectoral Stock Market Performance.</w:t>
      </w:r>
      <w:r>
        <w:rPr>
          <w:rFonts w:ascii="Times New Roman" w:hAnsi="Times New Roman" w:cs="Times New Roman"/>
        </w:rPr>
        <w:t xml:space="preserve"> Sectoral </w:t>
      </w:r>
      <w:r>
        <w:rPr>
          <w:rFonts w:ascii="Times New Roman" w:hAnsi="Times New Roman" w:cs="Times New Roman"/>
          <w:highlight w:val="yellow"/>
        </w:rPr>
        <w:t>s</w:t>
      </w:r>
      <w:r>
        <w:rPr>
          <w:rFonts w:ascii="Times New Roman" w:hAnsi="Times New Roman" w:cs="Times New Roman"/>
        </w:rPr>
        <w:t xml:space="preserve">tock market performance </w:t>
      </w:r>
      <w:r>
        <w:rPr>
          <w:rFonts w:ascii="Times New Roman" w:hAnsi="Times New Roman" w:cs="Times New Roman"/>
          <w:highlight w:val="yellow"/>
        </w:rPr>
        <w:t>refer</w:t>
      </w:r>
      <w:r>
        <w:rPr>
          <w:rFonts w:ascii="Times New Roman" w:hAnsi="Times New Roman" w:cs="Times New Roman"/>
        </w:rPr>
        <w:t>s</w:t>
      </w:r>
      <w:r>
        <w:rPr>
          <w:rFonts w:ascii="Times New Roman" w:hAnsi="Times New Roman" w:cs="Times New Roman"/>
          <w:highlight w:val="yellow"/>
        </w:rPr>
        <w:t xml:space="preserve"> to</w:t>
      </w:r>
      <w:r>
        <w:rPr>
          <w:rFonts w:ascii="Times New Roman" w:hAnsi="Times New Roman" w:cs="Times New Roman"/>
        </w:rPr>
        <w:t xml:space="preserve"> the performance of stocks grouped by industry in terms of returns, valuations and trading activity (</w:t>
      </w:r>
      <w:proofErr w:type="spellStart"/>
      <w:r>
        <w:rPr>
          <w:rFonts w:ascii="Times New Roman" w:hAnsi="Times New Roman" w:cs="Times New Roman"/>
        </w:rPr>
        <w:t>Ikoku</w:t>
      </w:r>
      <w:proofErr w:type="spellEnd"/>
      <w:r>
        <w:rPr>
          <w:rFonts w:ascii="Times New Roman" w:hAnsi="Times New Roman" w:cs="Times New Roman"/>
        </w:rPr>
        <w:t xml:space="preserve"> &amp; Okorie, 2010). The NGX </w:t>
      </w:r>
      <w:proofErr w:type="spellStart"/>
      <w:r>
        <w:rPr>
          <w:rFonts w:ascii="Times New Roman" w:hAnsi="Times New Roman" w:cs="Times New Roman"/>
        </w:rPr>
        <w:t>categorises</w:t>
      </w:r>
      <w:proofErr w:type="spellEnd"/>
      <w:r>
        <w:rPr>
          <w:rFonts w:ascii="Times New Roman" w:hAnsi="Times New Roman" w:cs="Times New Roman"/>
        </w:rPr>
        <w:t xml:space="preserve"> listed equities into major sectors, such as Banking, Consumer Goods, Industrial Goods, Oil and Gas, Insurance and Agriculture, allow</w:t>
      </w:r>
      <w:r>
        <w:rPr>
          <w:rFonts w:ascii="Times New Roman" w:hAnsi="Times New Roman" w:cs="Times New Roman"/>
          <w:highlight w:val="yellow"/>
        </w:rPr>
        <w:t>ing</w:t>
      </w:r>
      <w:r>
        <w:rPr>
          <w:rFonts w:ascii="Times New Roman" w:hAnsi="Times New Roman" w:cs="Times New Roman"/>
        </w:rPr>
        <w:t xml:space="preserve"> for sector-disaggregated analysis (Nigerian Exchange Group, 2024). </w:t>
      </w:r>
      <w:r>
        <w:rPr>
          <w:rFonts w:ascii="Times New Roman" w:hAnsi="Times New Roman" w:cs="Times New Roman"/>
          <w:highlight w:val="yellow"/>
        </w:rPr>
        <w:t>S</w:t>
      </w:r>
      <w:r>
        <w:rPr>
          <w:rFonts w:ascii="Times New Roman" w:hAnsi="Times New Roman" w:cs="Times New Roman"/>
        </w:rPr>
        <w:t xml:space="preserve">ectoral heterogeneity </w:t>
      </w:r>
      <w:r>
        <w:rPr>
          <w:rFonts w:ascii="Times New Roman" w:hAnsi="Times New Roman" w:cs="Times New Roman"/>
          <w:highlight w:val="yellow"/>
        </w:rPr>
        <w:t>ar</w:t>
      </w:r>
      <w:r>
        <w:rPr>
          <w:rFonts w:ascii="Times New Roman" w:hAnsi="Times New Roman" w:cs="Times New Roman"/>
        </w:rPr>
        <w:t>is</w:t>
      </w:r>
      <w:r>
        <w:rPr>
          <w:rFonts w:ascii="Times New Roman" w:hAnsi="Times New Roman" w:cs="Times New Roman"/>
          <w:highlight w:val="yellow"/>
        </w:rPr>
        <w:t>es</w:t>
      </w:r>
      <w:r>
        <w:rPr>
          <w:rFonts w:ascii="Times New Roman" w:hAnsi="Times New Roman" w:cs="Times New Roman"/>
        </w:rPr>
        <w:t xml:space="preserve"> </w:t>
      </w:r>
      <w:r>
        <w:rPr>
          <w:rFonts w:ascii="Times New Roman" w:hAnsi="Times New Roman" w:cs="Times New Roman"/>
          <w:highlight w:val="yellow"/>
        </w:rPr>
        <w:t>fr</w:t>
      </w:r>
      <w:r>
        <w:rPr>
          <w:rFonts w:ascii="Times New Roman" w:hAnsi="Times New Roman" w:cs="Times New Roman"/>
        </w:rPr>
        <w:t>o</w:t>
      </w:r>
      <w:r>
        <w:rPr>
          <w:rFonts w:ascii="Times New Roman" w:hAnsi="Times New Roman" w:cs="Times New Roman"/>
          <w:highlight w:val="yellow"/>
        </w:rPr>
        <w:t>m</w:t>
      </w:r>
      <w:r>
        <w:rPr>
          <w:rFonts w:ascii="Times New Roman" w:hAnsi="Times New Roman" w:cs="Times New Roman"/>
        </w:rPr>
        <w:t xml:space="preserve"> differential exposure to macroeconomic factors, industry-specific demand and supply conditions, and regulatory environment</w:t>
      </w:r>
      <w:r>
        <w:rPr>
          <w:rFonts w:ascii="Times New Roman" w:hAnsi="Times New Roman" w:cs="Times New Roman"/>
          <w:highlight w:val="yellow"/>
        </w:rPr>
        <w:t>s</w:t>
      </w:r>
      <w:r>
        <w:rPr>
          <w:rFonts w:ascii="Times New Roman" w:hAnsi="Times New Roman" w:cs="Times New Roman"/>
        </w:rPr>
        <w:t xml:space="preserve"> (</w:t>
      </w:r>
      <w:proofErr w:type="spellStart"/>
      <w:r>
        <w:rPr>
          <w:rFonts w:ascii="Times New Roman" w:hAnsi="Times New Roman" w:cs="Times New Roman"/>
        </w:rPr>
        <w:t>Ikoku</w:t>
      </w:r>
      <w:proofErr w:type="spellEnd"/>
      <w:r>
        <w:rPr>
          <w:rFonts w:ascii="Times New Roman" w:hAnsi="Times New Roman" w:cs="Times New Roman"/>
        </w:rPr>
        <w:t xml:space="preserve"> &amp; Okorie, 2010). The Oil and Gas sector is highly sensitive to global oil prices and exchange rates</w:t>
      </w:r>
      <w:r>
        <w:rPr>
          <w:rFonts w:ascii="Times New Roman" w:hAnsi="Times New Roman" w:cs="Times New Roman"/>
          <w:highlight w:val="yellow"/>
        </w:rPr>
        <w:t>;</w:t>
      </w:r>
      <w:r>
        <w:rPr>
          <w:rFonts w:ascii="Times New Roman" w:hAnsi="Times New Roman" w:cs="Times New Roman"/>
        </w:rPr>
        <w:t xml:space="preserve"> the Banking sector is </w:t>
      </w:r>
      <w:r>
        <w:rPr>
          <w:rFonts w:ascii="Times New Roman" w:hAnsi="Times New Roman" w:cs="Times New Roman"/>
          <w:highlight w:val="yellow"/>
        </w:rPr>
        <w:t>stron</w:t>
      </w:r>
      <w:r>
        <w:rPr>
          <w:rFonts w:ascii="Times New Roman" w:hAnsi="Times New Roman" w:cs="Times New Roman"/>
        </w:rPr>
        <w:t xml:space="preserve">gly influenced by monetary </w:t>
      </w:r>
      <w:r>
        <w:rPr>
          <w:rFonts w:ascii="Times New Roman" w:hAnsi="Times New Roman" w:cs="Times New Roman"/>
        </w:rPr>
        <w:lastRenderedPageBreak/>
        <w:t>policy and interest rates</w:t>
      </w:r>
      <w:r>
        <w:rPr>
          <w:rFonts w:ascii="Times New Roman" w:hAnsi="Times New Roman" w:cs="Times New Roman"/>
          <w:highlight w:val="yellow"/>
        </w:rPr>
        <w:t>;</w:t>
      </w:r>
      <w:r>
        <w:rPr>
          <w:rFonts w:ascii="Times New Roman" w:hAnsi="Times New Roman" w:cs="Times New Roman"/>
        </w:rPr>
        <w:t xml:space="preserve"> the Consumer Goods sector is highly affected by inflationary pressure</w:t>
      </w:r>
      <w:r>
        <w:rPr>
          <w:rFonts w:ascii="Times New Roman" w:hAnsi="Times New Roman" w:cs="Times New Roman"/>
          <w:highlight w:val="yellow"/>
        </w:rPr>
        <w:t>s</w:t>
      </w:r>
      <w:r>
        <w:rPr>
          <w:rFonts w:ascii="Times New Roman" w:hAnsi="Times New Roman" w:cs="Times New Roman"/>
        </w:rPr>
        <w:t xml:space="preserve"> on input cost</w:t>
      </w:r>
      <w:r>
        <w:rPr>
          <w:rFonts w:ascii="Times New Roman" w:hAnsi="Times New Roman" w:cs="Times New Roman"/>
          <w:highlight w:val="yellow"/>
        </w:rPr>
        <w:t>s</w:t>
      </w:r>
      <w:r>
        <w:rPr>
          <w:rFonts w:ascii="Times New Roman" w:hAnsi="Times New Roman" w:cs="Times New Roman"/>
        </w:rPr>
        <w:t>, wages and consumer purchasing power</w:t>
      </w:r>
      <w:r>
        <w:rPr>
          <w:rFonts w:ascii="Times New Roman" w:hAnsi="Times New Roman" w:cs="Times New Roman"/>
          <w:highlight w:val="yellow"/>
        </w:rPr>
        <w:t>;</w:t>
      </w:r>
      <w:r>
        <w:rPr>
          <w:rFonts w:ascii="Times New Roman" w:hAnsi="Times New Roman" w:cs="Times New Roman"/>
        </w:rPr>
        <w:t xml:space="preserve"> while the Industrial Goods sector is </w:t>
      </w:r>
      <w:r>
        <w:rPr>
          <w:rFonts w:ascii="Times New Roman" w:hAnsi="Times New Roman" w:cs="Times New Roman"/>
          <w:highlight w:val="yellow"/>
        </w:rPr>
        <w:t>stron</w:t>
      </w:r>
      <w:r>
        <w:rPr>
          <w:rFonts w:ascii="Times New Roman" w:hAnsi="Times New Roman" w:cs="Times New Roman"/>
        </w:rPr>
        <w:t>gly affected by infrastructure investment and import competition (</w:t>
      </w:r>
      <w:r w:rsidR="008054A3" w:rsidRPr="008054A3">
        <w:rPr>
          <w:rFonts w:ascii="Times New Roman" w:hAnsi="Times New Roman" w:cs="Times New Roman"/>
          <w:highlight w:val="yellow"/>
        </w:rPr>
        <w:t>Ikoku &amp; Okorie, 2010</w:t>
      </w:r>
      <w:r>
        <w:rPr>
          <w:rFonts w:ascii="Times New Roman" w:hAnsi="Times New Roman" w:cs="Times New Roman"/>
          <w:highlight w:val="yellow"/>
        </w:rPr>
        <w:t xml:space="preserve">; </w:t>
      </w:r>
      <w:proofErr w:type="spellStart"/>
      <w:r>
        <w:rPr>
          <w:rFonts w:ascii="Times New Roman" w:hAnsi="Times New Roman" w:cs="Times New Roman"/>
        </w:rPr>
        <w:t>Kukandaka</w:t>
      </w:r>
      <w:proofErr w:type="spellEnd"/>
      <w:r>
        <w:rPr>
          <w:rFonts w:ascii="Times New Roman" w:hAnsi="Times New Roman" w:cs="Times New Roman"/>
        </w:rPr>
        <w:t xml:space="preserve"> et al., 2026).</w:t>
      </w:r>
    </w:p>
    <w:p w14:paraId="48B0D6E8"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2.2 </w:t>
      </w:r>
      <w:r w:rsidR="00965A0A" w:rsidRPr="00DA0907">
        <w:rPr>
          <w:rFonts w:ascii="Times New Roman" w:hAnsi="Times New Roman" w:cs="Times New Roman"/>
          <w:b/>
          <w:bCs/>
        </w:rPr>
        <w:t>Theoretical Framework</w:t>
      </w:r>
    </w:p>
    <w:p w14:paraId="43316650" w14:textId="77777777" w:rsidR="000375CF" w:rsidRPr="00DA0907" w:rsidRDefault="000375CF"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w:t>
      </w:r>
      <w:r w:rsidRPr="00DA0907">
        <w:rPr>
          <w:rFonts w:ascii="Times New Roman" w:hAnsi="Times New Roman" w:cs="Times New Roman"/>
          <w:b/>
          <w:bCs/>
        </w:rPr>
        <w:t>Fisher Effect Theory</w:t>
      </w:r>
      <w:r w:rsidRPr="00DA0907">
        <w:rPr>
          <w:rFonts w:ascii="Times New Roman" w:hAnsi="Times New Roman" w:cs="Times New Roman"/>
        </w:rPr>
        <w:t xml:space="preserve"> developed by Fisher (1930) and the </w:t>
      </w:r>
      <w:r w:rsidRPr="00DA0907">
        <w:rPr>
          <w:rFonts w:ascii="Times New Roman" w:hAnsi="Times New Roman" w:cs="Times New Roman"/>
          <w:b/>
          <w:bCs/>
        </w:rPr>
        <w:t>Arbitrage Pricing Theory</w:t>
      </w:r>
      <w:r w:rsidRPr="00DA0907">
        <w:rPr>
          <w:rFonts w:ascii="Times New Roman" w:hAnsi="Times New Roman" w:cs="Times New Roman"/>
        </w:rPr>
        <w:t xml:space="preserve"> </w:t>
      </w:r>
      <w:r w:rsidRPr="00DA0907">
        <w:rPr>
          <w:rFonts w:ascii="Times New Roman" w:hAnsi="Times New Roman" w:cs="Times New Roman"/>
          <w:b/>
          <w:bCs/>
        </w:rPr>
        <w:t>(APT)</w:t>
      </w:r>
      <w:r w:rsidRPr="00DA0907">
        <w:rPr>
          <w:rFonts w:ascii="Times New Roman" w:hAnsi="Times New Roman" w:cs="Times New Roman"/>
        </w:rPr>
        <w:t xml:space="preserve"> developed by Ross (1976) form the basis of this study, and the </w:t>
      </w:r>
      <w:r w:rsidRPr="00DA0907">
        <w:rPr>
          <w:rFonts w:ascii="Times New Roman" w:hAnsi="Times New Roman" w:cs="Times New Roman"/>
          <w:b/>
          <w:bCs/>
        </w:rPr>
        <w:t>Discounted Cash Flow (DCF)</w:t>
      </w:r>
      <w:r w:rsidRPr="00DA0907">
        <w:rPr>
          <w:rFonts w:ascii="Times New Roman" w:hAnsi="Times New Roman" w:cs="Times New Roman"/>
        </w:rPr>
        <w:t xml:space="preserve"> perspective is used as an analytical tool.</w:t>
      </w:r>
    </w:p>
    <w:p w14:paraId="592ED158"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According to the Fisher Effect, the nominal interest rate (and therefore the nominal rate of return on an asset) will change to compensate for expected inflation so that the real rate of return remains constant: 1 + </w:t>
      </w:r>
      <w:proofErr w:type="spellStart"/>
      <w:r>
        <w:rPr>
          <w:rFonts w:ascii="Times New Roman" w:hAnsi="Times New Roman" w:cs="Times New Roman"/>
        </w:rPr>
        <w:t>i</w:t>
      </w:r>
      <w:proofErr w:type="spellEnd"/>
      <w:r>
        <w:rPr>
          <w:rFonts w:ascii="Times New Roman" w:hAnsi="Times New Roman" w:cs="Times New Roman"/>
        </w:rPr>
        <w:t xml:space="preserve"> = (1 + </w:t>
      </w:r>
      <w:proofErr w:type="gramStart"/>
      <w:r>
        <w:rPr>
          <w:rFonts w:ascii="Times New Roman" w:hAnsi="Times New Roman" w:cs="Times New Roman"/>
        </w:rPr>
        <w:t>r)(</w:t>
      </w:r>
      <w:proofErr w:type="gramEnd"/>
      <w:r>
        <w:rPr>
          <w:rFonts w:ascii="Times New Roman" w:hAnsi="Times New Roman" w:cs="Times New Roman"/>
        </w:rPr>
        <w:t xml:space="preserve">1 + π), where </w:t>
      </w:r>
      <w:proofErr w:type="spellStart"/>
      <w:r>
        <w:rPr>
          <w:rFonts w:ascii="Times New Roman" w:hAnsi="Times New Roman" w:cs="Times New Roman"/>
        </w:rPr>
        <w:t>i</w:t>
      </w:r>
      <w:proofErr w:type="spellEnd"/>
      <w:r>
        <w:rPr>
          <w:rFonts w:ascii="Times New Roman" w:hAnsi="Times New Roman" w:cs="Times New Roman"/>
        </w:rPr>
        <w:t xml:space="preserve"> represents the nominal interest rate, r represents the real interest rate, and π represents the expected inflation rate. This </w:t>
      </w:r>
      <w:r>
        <w:rPr>
          <w:rFonts w:ascii="Times New Roman" w:hAnsi="Times New Roman" w:cs="Times New Roman"/>
          <w:highlight w:val="yellow"/>
        </w:rPr>
        <w:t>i</w:t>
      </w:r>
      <w:r>
        <w:rPr>
          <w:rFonts w:ascii="Times New Roman" w:hAnsi="Times New Roman" w:cs="Times New Roman"/>
        </w:rPr>
        <w:t>m</w:t>
      </w:r>
      <w:r>
        <w:rPr>
          <w:rFonts w:ascii="Times New Roman" w:hAnsi="Times New Roman" w:cs="Times New Roman"/>
          <w:highlight w:val="yellow"/>
        </w:rPr>
        <w:t>pli</w:t>
      </w:r>
      <w:r>
        <w:rPr>
          <w:rFonts w:ascii="Times New Roman" w:hAnsi="Times New Roman" w:cs="Times New Roman"/>
        </w:rPr>
        <w:t xml:space="preserve">es a positive relationship between expected inflation and nominal returns (Dada et al., 2021). The Fisher hypothesis has been tested </w:t>
      </w:r>
      <w:r>
        <w:rPr>
          <w:rFonts w:ascii="Times New Roman" w:hAnsi="Times New Roman" w:cs="Times New Roman"/>
          <w:highlight w:val="yellow"/>
        </w:rPr>
        <w:t xml:space="preserve">several times </w:t>
      </w:r>
      <w:r>
        <w:rPr>
          <w:rFonts w:ascii="Times New Roman" w:hAnsi="Times New Roman" w:cs="Times New Roman"/>
        </w:rPr>
        <w:t>in emerging markets such as Nigeria and has been rejected, with inflation having a negative effect on stock returns, which has been attributed to financial repression, market inefficiency and policy distortion (</w:t>
      </w:r>
      <w:proofErr w:type="spellStart"/>
      <w:r>
        <w:rPr>
          <w:rFonts w:ascii="Times New Roman" w:hAnsi="Times New Roman" w:cs="Times New Roman"/>
        </w:rPr>
        <w:t>Kukandaka</w:t>
      </w:r>
      <w:proofErr w:type="spellEnd"/>
      <w:r>
        <w:rPr>
          <w:rFonts w:ascii="Times New Roman" w:hAnsi="Times New Roman" w:cs="Times New Roman"/>
        </w:rPr>
        <w:t xml:space="preserve"> et al., 2026</w:t>
      </w:r>
      <w:r>
        <w:rPr>
          <w:rFonts w:ascii="Times New Roman" w:hAnsi="Times New Roman" w:cs="Times New Roman"/>
          <w:highlight w:val="yellow"/>
        </w:rPr>
        <w:t xml:space="preserve">; Usman &amp; </w:t>
      </w:r>
      <w:proofErr w:type="spellStart"/>
      <w:r>
        <w:rPr>
          <w:rFonts w:ascii="Times New Roman" w:hAnsi="Times New Roman" w:cs="Times New Roman"/>
          <w:highlight w:val="yellow"/>
        </w:rPr>
        <w:t>Adejare</w:t>
      </w:r>
      <w:proofErr w:type="spellEnd"/>
      <w:r>
        <w:rPr>
          <w:rFonts w:ascii="Times New Roman" w:hAnsi="Times New Roman" w:cs="Times New Roman"/>
          <w:highlight w:val="yellow"/>
        </w:rPr>
        <w:t>, 2013</w:t>
      </w:r>
      <w:r>
        <w:rPr>
          <w:rFonts w:ascii="Times New Roman" w:hAnsi="Times New Roman" w:cs="Times New Roman"/>
        </w:rPr>
        <w:t xml:space="preserve">). The APT complements this by </w:t>
      </w:r>
      <w:r>
        <w:rPr>
          <w:rFonts w:ascii="Times New Roman" w:hAnsi="Times New Roman" w:cs="Times New Roman"/>
          <w:highlight w:val="yellow"/>
        </w:rPr>
        <w:t>incorpor</w:t>
      </w:r>
      <w:r>
        <w:rPr>
          <w:rFonts w:ascii="Times New Roman" w:hAnsi="Times New Roman" w:cs="Times New Roman"/>
        </w:rPr>
        <w:t>a</w:t>
      </w:r>
      <w:r>
        <w:rPr>
          <w:rFonts w:ascii="Times New Roman" w:hAnsi="Times New Roman" w:cs="Times New Roman"/>
          <w:highlight w:val="yellow"/>
        </w:rPr>
        <w:t>t</w:t>
      </w:r>
      <w:r>
        <w:rPr>
          <w:rFonts w:ascii="Times New Roman" w:hAnsi="Times New Roman" w:cs="Times New Roman"/>
        </w:rPr>
        <w:t>ing inflation as another systematic macroeconomic risk factor, along</w:t>
      </w:r>
      <w:r>
        <w:rPr>
          <w:rFonts w:ascii="Times New Roman" w:hAnsi="Times New Roman" w:cs="Times New Roman"/>
          <w:highlight w:val="yellow"/>
        </w:rPr>
        <w:t>s</w:t>
      </w:r>
      <w:r>
        <w:rPr>
          <w:rFonts w:ascii="Times New Roman" w:hAnsi="Times New Roman" w:cs="Times New Roman"/>
        </w:rPr>
        <w:t>i</w:t>
      </w:r>
      <w:r>
        <w:rPr>
          <w:rFonts w:ascii="Times New Roman" w:hAnsi="Times New Roman" w:cs="Times New Roman"/>
          <w:highlight w:val="yellow"/>
        </w:rPr>
        <w:t>de</w:t>
      </w:r>
      <w:r>
        <w:rPr>
          <w:rFonts w:ascii="Times New Roman" w:hAnsi="Times New Roman" w:cs="Times New Roman"/>
        </w:rPr>
        <w:t xml:space="preserve"> exchange rates, interest rates and industrial output, which also influence the expected return of an asset: E(Rᵢ) = Rf + βᵢ₁λ₁ + βᵢ₂λ₂ + ... + βᵢₖλₖ, where Rf denotes the risk-free rate, βᵢₖ represents the sensitivity of asset </w:t>
      </w:r>
      <w:proofErr w:type="spellStart"/>
      <w:r>
        <w:rPr>
          <w:rFonts w:ascii="Times New Roman" w:hAnsi="Times New Roman" w:cs="Times New Roman"/>
        </w:rPr>
        <w:t>i</w:t>
      </w:r>
      <w:proofErr w:type="spellEnd"/>
      <w:r>
        <w:rPr>
          <w:rFonts w:ascii="Times New Roman" w:hAnsi="Times New Roman" w:cs="Times New Roman"/>
        </w:rPr>
        <w:t xml:space="preserve"> to factor k, and λₖ denotes the risk premium associated with factor k (Dada et al., 2021). APT is a multi-factor model a</w:t>
      </w:r>
      <w:r>
        <w:rPr>
          <w:rFonts w:ascii="Times New Roman" w:hAnsi="Times New Roman" w:cs="Times New Roman"/>
          <w:highlight w:val="yellow"/>
        </w:rPr>
        <w:t>nd</w:t>
      </w:r>
      <w:r>
        <w:rPr>
          <w:rFonts w:ascii="Times New Roman" w:hAnsi="Times New Roman" w:cs="Times New Roman"/>
        </w:rPr>
        <w:t xml:space="preserve"> is</w:t>
      </w:r>
      <w:r>
        <w:rPr>
          <w:rFonts w:ascii="Times New Roman" w:hAnsi="Times New Roman" w:cs="Times New Roman"/>
          <w:highlight w:val="yellow"/>
        </w:rPr>
        <w:t xml:space="preserve"> therefore</w:t>
      </w:r>
      <w:r>
        <w:rPr>
          <w:rFonts w:ascii="Times New Roman" w:hAnsi="Times New Roman" w:cs="Times New Roman"/>
        </w:rPr>
        <w:t xml:space="preserve"> suitable for a multi-sector inflation study</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where</w:t>
      </w:r>
      <w:r>
        <w:rPr>
          <w:rFonts w:ascii="Times New Roman" w:hAnsi="Times New Roman" w:cs="Times New Roman"/>
        </w:rPr>
        <w:t>as the single</w:t>
      </w:r>
      <w:r>
        <w:rPr>
          <w:rFonts w:ascii="Times New Roman" w:hAnsi="Times New Roman" w:cs="Times New Roman"/>
          <w:highlight w:val="yellow"/>
        </w:rPr>
        <w:t>-</w:t>
      </w:r>
      <w:r>
        <w:rPr>
          <w:rFonts w:ascii="Times New Roman" w:hAnsi="Times New Roman" w:cs="Times New Roman"/>
        </w:rPr>
        <w:t xml:space="preserve">factor CAPM </w:t>
      </w:r>
      <w:r>
        <w:rPr>
          <w:rFonts w:ascii="Times New Roman" w:hAnsi="Times New Roman" w:cs="Times New Roman"/>
          <w:highlight w:val="yellow"/>
        </w:rPr>
        <w:t>does not</w:t>
      </w:r>
      <w:r>
        <w:rPr>
          <w:rFonts w:ascii="Times New Roman" w:hAnsi="Times New Roman" w:cs="Times New Roman"/>
        </w:rPr>
        <w:t xml:space="preserve"> account for multiple sources of systematic risk. The DCF view </w:t>
      </w:r>
      <w:r>
        <w:rPr>
          <w:rFonts w:ascii="Times New Roman" w:hAnsi="Times New Roman" w:cs="Times New Roman"/>
          <w:highlight w:val="yellow"/>
        </w:rPr>
        <w:t>complement</w:t>
      </w:r>
      <w:r>
        <w:rPr>
          <w:rFonts w:ascii="Times New Roman" w:hAnsi="Times New Roman" w:cs="Times New Roman"/>
        </w:rPr>
        <w:t>s both theories by expla</w:t>
      </w:r>
      <w:r>
        <w:rPr>
          <w:rFonts w:ascii="Times New Roman" w:hAnsi="Times New Roman" w:cs="Times New Roman"/>
          <w:highlight w:val="yellow"/>
        </w:rPr>
        <w:t>i</w:t>
      </w:r>
      <w:r>
        <w:rPr>
          <w:rFonts w:ascii="Times New Roman" w:hAnsi="Times New Roman" w:cs="Times New Roman"/>
        </w:rPr>
        <w:t>nin</w:t>
      </w:r>
      <w:r>
        <w:rPr>
          <w:rFonts w:ascii="Times New Roman" w:hAnsi="Times New Roman" w:cs="Times New Roman"/>
          <w:highlight w:val="yellow"/>
        </w:rPr>
        <w:t>g</w:t>
      </w:r>
      <w:r>
        <w:rPr>
          <w:rFonts w:ascii="Times New Roman" w:hAnsi="Times New Roman" w:cs="Times New Roman"/>
        </w:rPr>
        <w:t xml:space="preserve"> the transmission mechanism: inflation leads to a higher discount rate, lowers expected cash flows </w:t>
      </w:r>
      <w:r>
        <w:rPr>
          <w:rFonts w:ascii="Times New Roman" w:hAnsi="Times New Roman" w:cs="Times New Roman"/>
          <w:highlight w:val="yellow"/>
        </w:rPr>
        <w:t>thro</w:t>
      </w:r>
      <w:r>
        <w:rPr>
          <w:rFonts w:ascii="Times New Roman" w:hAnsi="Times New Roman" w:cs="Times New Roman"/>
        </w:rPr>
        <w:t>u</w:t>
      </w:r>
      <w:r>
        <w:rPr>
          <w:rFonts w:ascii="Times New Roman" w:hAnsi="Times New Roman" w:cs="Times New Roman"/>
          <w:highlight w:val="yellow"/>
        </w:rPr>
        <w:t>gh</w:t>
      </w:r>
      <w:r>
        <w:rPr>
          <w:rFonts w:ascii="Times New Roman" w:hAnsi="Times New Roman" w:cs="Times New Roman"/>
        </w:rPr>
        <w:t xml:space="preserve"> cost</w:t>
      </w:r>
      <w:r>
        <w:rPr>
          <w:rFonts w:ascii="Times New Roman" w:hAnsi="Times New Roman" w:cs="Times New Roman"/>
          <w:highlight w:val="yellow"/>
        </w:rPr>
        <w:t>-</w:t>
      </w:r>
      <w:r>
        <w:rPr>
          <w:rFonts w:ascii="Times New Roman" w:hAnsi="Times New Roman" w:cs="Times New Roman"/>
        </w:rPr>
        <w:t>push</w:t>
      </w:r>
      <w:r>
        <w:rPr>
          <w:rFonts w:ascii="Times New Roman" w:hAnsi="Times New Roman" w:cs="Times New Roman"/>
          <w:highlight w:val="yellow"/>
        </w:rPr>
        <w:t xml:space="preserve"> pressures</w:t>
      </w:r>
      <w:r>
        <w:rPr>
          <w:rFonts w:ascii="Times New Roman" w:hAnsi="Times New Roman" w:cs="Times New Roman"/>
        </w:rPr>
        <w:t xml:space="preserve">, and raises the equity risk premium </w:t>
      </w:r>
      <w:r>
        <w:rPr>
          <w:rFonts w:ascii="Times New Roman" w:hAnsi="Times New Roman" w:cs="Times New Roman"/>
          <w:highlight w:val="yellow"/>
        </w:rPr>
        <w:t>beca</w:t>
      </w:r>
      <w:r>
        <w:rPr>
          <w:rFonts w:ascii="Times New Roman" w:hAnsi="Times New Roman" w:cs="Times New Roman"/>
        </w:rPr>
        <w:t>u</w:t>
      </w:r>
      <w:r>
        <w:rPr>
          <w:rFonts w:ascii="Times New Roman" w:hAnsi="Times New Roman" w:cs="Times New Roman"/>
          <w:highlight w:val="yellow"/>
        </w:rPr>
        <w:t>s</w:t>
      </w:r>
      <w:r>
        <w:rPr>
          <w:rFonts w:ascii="Times New Roman" w:hAnsi="Times New Roman" w:cs="Times New Roman"/>
        </w:rPr>
        <w:t>e o</w:t>
      </w:r>
      <w:r>
        <w:rPr>
          <w:rFonts w:ascii="Times New Roman" w:hAnsi="Times New Roman" w:cs="Times New Roman"/>
          <w:highlight w:val="yellow"/>
        </w:rPr>
        <w:t>f</w:t>
      </w:r>
      <w:r>
        <w:rPr>
          <w:rFonts w:ascii="Times New Roman" w:hAnsi="Times New Roman" w:cs="Times New Roman"/>
        </w:rPr>
        <w:t xml:space="preserve"> uncertainty (Folorunso, 2023).</w:t>
      </w:r>
      <w:proofErr w:type="spellStart"/>
      <w:r>
        <w:rPr>
          <w:rFonts w:ascii="Times New Roman" w:hAnsi="Times New Roman" w:cs="Times New Roman"/>
        </w:rPr>
      </w:r>
      <w:proofErr w:type="spellEnd"/>
      <w:r>
        <w:rPr>
          <w:rFonts w:ascii="Times New Roman" w:hAnsi="Times New Roman" w:cs="Times New Roman"/>
        </w:rPr>
        <w:t xml:space="preserve"> These frameworks suggest that inflation </w:t>
      </w:r>
      <w:r>
        <w:rPr>
          <w:rFonts w:ascii="Times New Roman" w:hAnsi="Times New Roman" w:cs="Times New Roman"/>
          <w:highlight w:val="yellow"/>
        </w:rPr>
        <w:t>may</w:t>
      </w:r>
      <w:r>
        <w:rPr>
          <w:rFonts w:ascii="Times New Roman" w:hAnsi="Times New Roman" w:cs="Times New Roman"/>
        </w:rPr>
        <w:t xml:space="preserve"> have a direct impact on sectoral returns as a systematic risk factor and an indirect impact </w:t>
      </w:r>
      <w:r>
        <w:rPr>
          <w:rFonts w:ascii="Times New Roman" w:hAnsi="Times New Roman" w:cs="Times New Roman"/>
          <w:highlight w:val="yellow"/>
        </w:rPr>
        <w:t>through</w:t>
      </w:r>
      <w:r>
        <w:rPr>
          <w:rFonts w:ascii="Times New Roman" w:hAnsi="Times New Roman" w:cs="Times New Roman"/>
        </w:rPr>
        <w:t xml:space="preserve"> valuation and cash-flow channels, with these </w:t>
      </w:r>
      <w:r>
        <w:rPr>
          <w:rFonts w:ascii="Times New Roman" w:hAnsi="Times New Roman" w:cs="Times New Roman"/>
          <w:highlight w:val="yellow"/>
        </w:rPr>
        <w:t>effe</w:t>
      </w:r>
      <w:r>
        <w:rPr>
          <w:rFonts w:ascii="Times New Roman" w:hAnsi="Times New Roman" w:cs="Times New Roman"/>
        </w:rPr>
        <w:t>c</w:t>
      </w:r>
      <w:r>
        <w:rPr>
          <w:rFonts w:ascii="Times New Roman" w:hAnsi="Times New Roman" w:cs="Times New Roman"/>
          <w:highlight w:val="yellow"/>
        </w:rPr>
        <w:t>t</w:t>
      </w:r>
      <w:r>
        <w:rPr>
          <w:rFonts w:ascii="Times New Roman" w:hAnsi="Times New Roman" w:cs="Times New Roman"/>
        </w:rPr>
        <w:t>s differ</w:t>
      </w:r>
      <w:r>
        <w:rPr>
          <w:rFonts w:ascii="Times New Roman" w:hAnsi="Times New Roman" w:cs="Times New Roman"/>
          <w:highlight w:val="yellow"/>
        </w:rPr>
        <w:t>i</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by sector depending on cost structure, pricing power and exchange rate exposure.</w:t>
      </w:r>
    </w:p>
    <w:p w14:paraId="74220557"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2.3 </w:t>
      </w:r>
      <w:r w:rsidR="00965A0A" w:rsidRPr="00DA0907">
        <w:rPr>
          <w:rFonts w:ascii="Times New Roman" w:hAnsi="Times New Roman" w:cs="Times New Roman"/>
          <w:b/>
          <w:bCs/>
        </w:rPr>
        <w:t>Empirical Review</w:t>
      </w:r>
    </w:p>
    <w:p w14:paraId="5833DBC8"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lastRenderedPageBreak/>
        <w:t>Using a GARCH model and multivariate panel analysis, Folorunso (2023) examined the effect of inflation and other macroeconomic variables on the stock returns of listed firms in five sectors in Nigeria and concluded that inflation negatively and significantly influenced stock returns in the short run a</w:t>
      </w:r>
      <w:r>
        <w:rPr>
          <w:rFonts w:ascii="Times New Roman" w:hAnsi="Times New Roman" w:cs="Times New Roman"/>
          <w:highlight w:val="yellow"/>
        </w:rPr>
        <w:t>t</w:t>
      </w:r>
      <w:r>
        <w:rPr>
          <w:rFonts w:ascii="Times New Roman" w:hAnsi="Times New Roman" w:cs="Times New Roman"/>
        </w:rPr>
        <w:t xml:space="preserve"> the aggregate </w:t>
      </w:r>
      <w:r>
        <w:rPr>
          <w:rFonts w:ascii="Times New Roman" w:hAnsi="Times New Roman" w:cs="Times New Roman"/>
          <w:highlight w:val="yellow"/>
        </w:rPr>
        <w:t xml:space="preserve">level </w:t>
      </w:r>
      <w:r>
        <w:rPr>
          <w:rFonts w:ascii="Times New Roman" w:hAnsi="Times New Roman" w:cs="Times New Roman"/>
        </w:rPr>
        <w:t>and</w:t>
      </w:r>
      <w:r>
        <w:rPr>
          <w:rFonts w:ascii="Times New Roman" w:hAnsi="Times New Roman" w:cs="Times New Roman"/>
          <w:highlight w:val="yellow"/>
        </w:rPr>
        <w:t xml:space="preserve"> in the long run at the</w:t>
      </w:r>
      <w:r>
        <w:rPr>
          <w:rFonts w:ascii="Times New Roman" w:hAnsi="Times New Roman" w:cs="Times New Roman"/>
        </w:rPr>
        <w:t xml:space="preserve"> sectoral level</w:t>
      </w:r>
      <w:r>
        <w:rPr>
          <w:rFonts w:ascii="Times New Roman" w:hAnsi="Times New Roman" w:cs="Times New Roman"/>
          <w:highlight w:val="yellow"/>
        </w:rPr>
        <w:t>,</w:t>
      </w:r>
      <w:r>
        <w:rPr>
          <w:rFonts w:ascii="Times New Roman" w:hAnsi="Times New Roman" w:cs="Times New Roman"/>
        </w:rPr>
        <w:t xml:space="preserve"> respectively</w:t>
      </w:r>
      <w:r>
        <w:rPr>
          <w:rFonts w:ascii="Times New Roman" w:hAnsi="Times New Roman" w:cs="Times New Roman"/>
          <w:highlight w:val="yellow"/>
        </w:rPr>
        <w:t>;</w:t>
      </w:r>
      <w:r>
        <w:rPr>
          <w:rFonts w:ascii="Times New Roman" w:hAnsi="Times New Roman" w:cs="Times New Roman"/>
        </w:rPr>
        <w:t xml:space="preserve"> exchange rates ha</w:t>
      </w:r>
      <w:r>
        <w:rPr>
          <w:rFonts w:ascii="Times New Roman" w:hAnsi="Times New Roman" w:cs="Times New Roman"/>
          <w:highlight w:val="yellow"/>
        </w:rPr>
        <w:t>d</w:t>
      </w:r>
      <w:r>
        <w:rPr>
          <w:rFonts w:ascii="Times New Roman" w:hAnsi="Times New Roman" w:cs="Times New Roman"/>
        </w:rPr>
        <w:t xml:space="preserve"> positive effects on stock returns in the short run, while interest rates ha</w:t>
      </w:r>
      <w:r>
        <w:rPr>
          <w:rFonts w:ascii="Times New Roman" w:hAnsi="Times New Roman" w:cs="Times New Roman"/>
          <w:highlight w:val="yellow"/>
        </w:rPr>
        <w:t>d</w:t>
      </w:r>
      <w:r>
        <w:rPr>
          <w:rFonts w:ascii="Times New Roman" w:hAnsi="Times New Roman" w:cs="Times New Roman"/>
        </w:rPr>
        <w:t xml:space="preserve"> inverse effects on stock returns in the short run.</w:t>
      </w:r>
    </w:p>
    <w:p w14:paraId="58836730"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Using ARDL and Granger causality tests, Abu (2024) found a negative short-term but positive long-term relationship between inflation and stock market performance in </w:t>
      </w:r>
      <w:r>
        <w:rPr>
          <w:rFonts w:ascii="Times New Roman" w:hAnsi="Times New Roman" w:cs="Times New Roman"/>
          <w:highlight w:val="yellow"/>
        </w:rPr>
        <w:t>Nig</w:t>
      </w:r>
      <w:r>
        <w:rPr>
          <w:rFonts w:ascii="Times New Roman" w:hAnsi="Times New Roman" w:cs="Times New Roman"/>
        </w:rPr>
        <w:t>e</w:t>
      </w:r>
      <w:r>
        <w:rPr>
          <w:rFonts w:ascii="Times New Roman" w:hAnsi="Times New Roman" w:cs="Times New Roman"/>
          <w:highlight w:val="yellow"/>
        </w:rPr>
        <w:t>ria's</w:t>
      </w:r>
      <w:r>
        <w:rPr>
          <w:rFonts w:ascii="Times New Roman" w:hAnsi="Times New Roman" w:cs="Times New Roman"/>
        </w:rPr>
        <w:t xml:space="preserve"> FMCG sector between 2007 and 2023, indicating that FMCG stocks can withstand inflation</w:t>
      </w:r>
      <w:r>
        <w:rPr>
          <w:rFonts w:ascii="Times New Roman" w:hAnsi="Times New Roman" w:cs="Times New Roman"/>
          <w:highlight w:val="yellow"/>
        </w:rPr>
        <w:t xml:space="preserve"> over the long term</w:t>
      </w:r>
      <w:r>
        <w:rPr>
          <w:rFonts w:ascii="Times New Roman" w:hAnsi="Times New Roman" w:cs="Times New Roman"/>
        </w:rPr>
        <w:t>.</w:t>
      </w:r>
    </w:p>
    <w:p w14:paraId="441A8CFB"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Using a Vector Error Correction Model, </w:t>
      </w:r>
      <w:proofErr w:type="spellStart"/>
      <w:r>
        <w:rPr>
          <w:rFonts w:ascii="Times New Roman" w:hAnsi="Times New Roman" w:cs="Times New Roman"/>
        </w:rPr>
        <w:t>Kukandaka</w:t>
      </w:r>
      <w:proofErr w:type="spellEnd"/>
      <w:r>
        <w:rPr>
          <w:rFonts w:ascii="Times New Roman" w:hAnsi="Times New Roman" w:cs="Times New Roman"/>
        </w:rPr>
        <w:t xml:space="preserve"> </w:t>
      </w:r>
      <w:r>
        <w:rPr>
          <w:rFonts w:ascii="Times New Roman" w:hAnsi="Times New Roman" w:cs="Times New Roman"/>
          <w:highlight w:val="yellow"/>
        </w:rPr>
        <w:t>et</w:t>
      </w:r>
      <w:r>
        <w:rPr>
          <w:rFonts w:ascii="Times New Roman" w:hAnsi="Times New Roman" w:cs="Times New Roman"/>
        </w:rPr>
        <w:t xml:space="preserve"> a</w:t>
      </w:r>
      <w:r>
        <w:rPr>
          <w:rFonts w:ascii="Times New Roman" w:hAnsi="Times New Roman" w:cs="Times New Roman"/>
          <w:highlight w:val="yellow"/>
        </w:rPr>
        <w:t>l.</w:t>
      </w:r>
      <w:r>
        <w:rPr>
          <w:rFonts w:ascii="Times New Roman" w:hAnsi="Times New Roman" w:cs="Times New Roman"/>
        </w:rPr>
        <w:t xml:space="preserve"> (2026) </w:t>
      </w:r>
      <w:proofErr w:type="spellStart"/>
      <w:r>
        <w:rPr>
          <w:rFonts w:ascii="Times New Roman" w:hAnsi="Times New Roman" w:cs="Times New Roman"/>
        </w:rPr>
        <w:t>analy</w:t>
      </w:r>
      <w:r>
        <w:rPr>
          <w:rFonts w:ascii="Times New Roman" w:hAnsi="Times New Roman" w:cs="Times New Roman"/>
          <w:highlight w:val="yellow"/>
        </w:rPr>
        <w:t>s</w:t>
      </w:r>
      <w:r>
        <w:rPr>
          <w:rFonts w:ascii="Times New Roman" w:hAnsi="Times New Roman" w:cs="Times New Roman"/>
        </w:rPr>
        <w:t>ed</w:t>
      </w:r>
      <w:proofErr w:type="spellEnd"/>
      <w:r>
        <w:rPr>
          <w:rFonts w:ascii="Times New Roman" w:hAnsi="Times New Roman" w:cs="Times New Roman"/>
        </w:rPr>
        <w:t xml:space="preserve"> macroeconomic variables and Industrial Goods sector index </w:t>
      </w:r>
      <w:r>
        <w:rPr>
          <w:rFonts w:ascii="Times New Roman" w:hAnsi="Times New Roman" w:cs="Times New Roman"/>
          <w:highlight w:val="yellow"/>
        </w:rPr>
        <w:t xml:space="preserve">performance </w:t>
      </w:r>
      <w:r>
        <w:rPr>
          <w:rFonts w:ascii="Times New Roman" w:hAnsi="Times New Roman" w:cs="Times New Roman"/>
        </w:rPr>
        <w:t xml:space="preserve">on the NGX and observed that inflation had a positive long-run effect </w:t>
      </w:r>
      <w:r>
        <w:rPr>
          <w:rFonts w:ascii="Times New Roman" w:hAnsi="Times New Roman" w:cs="Times New Roman"/>
          <w:highlight w:val="yellow"/>
        </w:rPr>
        <w:t>and</w:t>
      </w:r>
      <w:r>
        <w:rPr>
          <w:rFonts w:ascii="Times New Roman" w:hAnsi="Times New Roman" w:cs="Times New Roman"/>
        </w:rPr>
        <w:t xml:space="preserve"> was the most important driver of sectoral index performance, contradict</w:t>
      </w:r>
      <w:r>
        <w:rPr>
          <w:rFonts w:ascii="Times New Roman" w:hAnsi="Times New Roman" w:cs="Times New Roman"/>
          <w:highlight w:val="yellow"/>
        </w:rPr>
        <w:t>ing</w:t>
      </w:r>
      <w:r>
        <w:rPr>
          <w:rFonts w:ascii="Times New Roman" w:hAnsi="Times New Roman" w:cs="Times New Roman"/>
        </w:rPr>
        <w:t xml:space="preserve"> most sectoral studies conducted in Nigeria and highlight</w:t>
      </w:r>
      <w:r>
        <w:rPr>
          <w:rFonts w:ascii="Times New Roman" w:hAnsi="Times New Roman" w:cs="Times New Roman"/>
          <w:highlight w:val="yellow"/>
        </w:rPr>
        <w:t>ing</w:t>
      </w:r>
      <w:r>
        <w:rPr>
          <w:rFonts w:ascii="Times New Roman" w:hAnsi="Times New Roman" w:cs="Times New Roman"/>
        </w:rPr>
        <w:t xml:space="preserve"> the need for sectoral analysis.</w:t>
      </w:r>
    </w:p>
    <w:p w14:paraId="499F4C47"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Using a two-step system GMM approach, Abubakar et al. (2025) investigated the effects of firm attributes and macroeconomic variables on the financial performance of 25 listed manufacturing firms in Nigeria over the period 2011–2023.</w:t>
      </w:r>
      <w:proofErr w:type="spellStart"/>
      <w:r>
        <w:rPr>
          <w:rFonts w:ascii="Times New Roman" w:hAnsi="Times New Roman" w:cs="Times New Roman"/>
        </w:rPr>
      </w:r>
      <w:proofErr w:type="spellEnd"/>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t xml:space="preserve"> The study used return on equity as the performance measure and included inflation, exchange rate and interest rate among the macroeconomic variables.</w:t>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t xml:space="preserve"> The results indicated that inflation and exchange rate had significant positive effects on financial performance, whereas interest rate had a significant negative effect.</w:t>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p>
    <w:p w14:paraId="7F3E2A7D" w14:textId="77777777" w:rsidR="000375CF" w:rsidRPr="00DA0907" w:rsidRDefault="000375CF" w:rsidP="007417AA">
      <w:pPr>
        <w:tabs>
          <w:tab w:val="left" w:pos="2070"/>
        </w:tabs>
        <w:spacing w:line="360" w:lineRule="auto"/>
        <w:jc w:val="both"/>
        <w:rPr>
          <w:rFonts w:ascii="Times New Roman" w:hAnsi="Times New Roman" w:cs="Times New Roman"/>
        </w:rPr>
      </w:pPr>
      <w:r>
        <w:rPr>
          <w:rFonts w:ascii="Times New Roman" w:hAnsi="Times New Roman" w:cs="Times New Roman"/>
        </w:rPr>
        <w:t>Dada et al. (2021) employed OLS and ARDL estimation techniques to test the APT and volatility in the Nigerian stock market from 1986 to 2018 and found that inflation negatively affect</w:t>
      </w:r>
      <w:r>
        <w:rPr>
          <w:rFonts w:ascii="Times New Roman" w:hAnsi="Times New Roman" w:cs="Times New Roman"/>
          <w:highlight w:val="yellow"/>
        </w:rPr>
        <w:t>ed</w:t>
      </w:r>
      <w:r>
        <w:rPr>
          <w:rFonts w:ascii="Times New Roman" w:hAnsi="Times New Roman" w:cs="Times New Roman"/>
        </w:rPr>
        <w:t xml:space="preserve"> stock returns in the long run, th</w:t>
      </w:r>
      <w:r>
        <w:rPr>
          <w:rFonts w:ascii="Times New Roman" w:hAnsi="Times New Roman" w:cs="Times New Roman"/>
          <w:highlight w:val="yellow"/>
        </w:rPr>
        <w:t>at</w:t>
      </w:r>
      <w:r>
        <w:rPr>
          <w:rFonts w:ascii="Times New Roman" w:hAnsi="Times New Roman" w:cs="Times New Roman"/>
        </w:rPr>
        <w:t xml:space="preserve"> volatility </w:t>
      </w:r>
      <w:r>
        <w:rPr>
          <w:rFonts w:ascii="Times New Roman" w:hAnsi="Times New Roman" w:cs="Times New Roman"/>
          <w:highlight w:val="yellow"/>
        </w:rPr>
        <w:t>wa</w:t>
      </w:r>
      <w:r>
        <w:rPr>
          <w:rFonts w:ascii="Times New Roman" w:hAnsi="Times New Roman" w:cs="Times New Roman"/>
        </w:rPr>
        <w:t xml:space="preserve">s persistent </w:t>
      </w:r>
      <w:r>
        <w:rPr>
          <w:rFonts w:ascii="Times New Roman" w:hAnsi="Times New Roman" w:cs="Times New Roman"/>
          <w:highlight w:val="yellow"/>
        </w:rPr>
        <w:t>acco</w:t>
      </w:r>
      <w:r>
        <w:rPr>
          <w:rFonts w:ascii="Times New Roman" w:hAnsi="Times New Roman" w:cs="Times New Roman"/>
        </w:rPr>
        <w:t>r</w:t>
      </w:r>
      <w:r>
        <w:rPr>
          <w:rFonts w:ascii="Times New Roman" w:hAnsi="Times New Roman" w:cs="Times New Roman"/>
          <w:highlight w:val="yellow"/>
        </w:rPr>
        <w:t>ding t</w:t>
      </w:r>
      <w:r>
        <w:rPr>
          <w:rFonts w:ascii="Times New Roman" w:hAnsi="Times New Roman" w:cs="Times New Roman"/>
        </w:rPr>
        <w:t>o ARCH/GARCH analysis, and</w:t>
      </w:r>
      <w:r>
        <w:rPr>
          <w:rFonts w:ascii="Times New Roman" w:hAnsi="Times New Roman" w:cs="Times New Roman"/>
          <w:highlight w:val="yellow"/>
        </w:rPr>
        <w:t xml:space="preserve"> that</w:t>
      </w:r>
      <w:r>
        <w:rPr>
          <w:rFonts w:ascii="Times New Roman" w:hAnsi="Times New Roman" w:cs="Times New Roman"/>
        </w:rPr>
        <w:t xml:space="preserve"> the Granger causality result confirmed unidirectional causality from inflation to stock returns, th</w:t>
      </w:r>
      <w:r>
        <w:rPr>
          <w:rFonts w:ascii="Times New Roman" w:hAnsi="Times New Roman" w:cs="Times New Roman"/>
          <w:highlight w:val="yellow"/>
        </w:rPr>
        <w:t>ereby</w:t>
      </w:r>
      <w:r>
        <w:rPr>
          <w:rFonts w:ascii="Times New Roman" w:hAnsi="Times New Roman" w:cs="Times New Roman"/>
        </w:rPr>
        <w:t xml:space="preserve"> validating APT in the Nigerian context.</w:t>
      </w:r>
    </w:p>
    <w:p w14:paraId="0EF0F06E" w14:textId="77777777" w:rsidR="00AD5C18" w:rsidRPr="00DA0907" w:rsidRDefault="00AD5C18" w:rsidP="007417AA">
      <w:pPr>
        <w:spacing w:line="360" w:lineRule="auto"/>
        <w:jc w:val="both"/>
        <w:rPr>
          <w:rFonts w:ascii="Times New Roman" w:hAnsi="Times New Roman" w:cs="Times New Roman"/>
        </w:rPr>
      </w:pPr>
      <w:proofErr w:type="spellStart"/>
      <w:r>
        <w:rPr>
          <w:rFonts w:ascii="Times New Roman" w:hAnsi="Times New Roman" w:cs="Times New Roman"/>
        </w:rPr>
        <w:t>Uruemu</w:t>
      </w:r>
      <w:proofErr w:type="spellEnd"/>
      <w:r>
        <w:rPr>
          <w:rFonts w:ascii="Times New Roman" w:hAnsi="Times New Roman" w:cs="Times New Roman"/>
        </w:rPr>
        <w:t xml:space="preserve"> (2022) tested the impact of inflation on liquidity in the Nigerian stock market between 1981 and 2020 and found that inflation had a positive and significant impact, supporting the Fisher </w:t>
      </w:r>
      <w:r>
        <w:rPr>
          <w:rFonts w:ascii="Times New Roman" w:hAnsi="Times New Roman" w:cs="Times New Roman"/>
        </w:rPr>
        <w:lastRenderedPageBreak/>
        <w:t>hypothesis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w:t>
      </w:r>
      <w:r>
        <w:rPr>
          <w:rFonts w:ascii="Times New Roman" w:hAnsi="Times New Roman" w:cs="Times New Roman"/>
        </w:rPr>
        <w:t>hi</w:t>
      </w:r>
      <w:r>
        <w:rPr>
          <w:rFonts w:ascii="Times New Roman" w:hAnsi="Times New Roman" w:cs="Times New Roman"/>
          <w:highlight w:val="yellow"/>
        </w:rPr>
        <w:t>s</w:t>
      </w:r>
      <w:r>
        <w:rPr>
          <w:rFonts w:ascii="Times New Roman" w:hAnsi="Times New Roman" w:cs="Times New Roman"/>
        </w:rPr>
        <w:t xml:space="preserve"> contrasts with the majority of Nigerian studies and implies that the </w:t>
      </w:r>
      <w:r>
        <w:rPr>
          <w:rFonts w:ascii="Times New Roman" w:hAnsi="Times New Roman" w:cs="Times New Roman"/>
          <w:highlight w:val="yellow"/>
        </w:rPr>
        <w:t>effe</w:t>
      </w:r>
      <w:r>
        <w:rPr>
          <w:rFonts w:ascii="Times New Roman" w:hAnsi="Times New Roman" w:cs="Times New Roman"/>
        </w:rPr>
        <w:t>ct of inflation m</w:t>
      </w:r>
      <w:r>
        <w:rPr>
          <w:rFonts w:ascii="Times New Roman" w:hAnsi="Times New Roman" w:cs="Times New Roman"/>
          <w:highlight w:val="yellow"/>
        </w:rPr>
        <w:t>ay</w:t>
      </w:r>
      <w:r>
        <w:rPr>
          <w:rFonts w:ascii="Times New Roman" w:hAnsi="Times New Roman" w:cs="Times New Roman"/>
        </w:rPr>
        <w:t xml:space="preserve"> vary a</w:t>
      </w:r>
      <w:r>
        <w:rPr>
          <w:rFonts w:ascii="Times New Roman" w:hAnsi="Times New Roman" w:cs="Times New Roman"/>
          <w:highlight w:val="yellow"/>
        </w:rPr>
        <w:t>ccor</w:t>
      </w:r>
      <w:r>
        <w:rPr>
          <w:rFonts w:ascii="Times New Roman" w:hAnsi="Times New Roman" w:cs="Times New Roman"/>
        </w:rPr>
        <w:t>d</w:t>
      </w:r>
      <w:r>
        <w:rPr>
          <w:rFonts w:ascii="Times New Roman" w:hAnsi="Times New Roman" w:cs="Times New Roman"/>
          <w:highlight w:val="yellow"/>
        </w:rPr>
        <w:t>ing</w:t>
      </w:r>
      <w:r>
        <w:rPr>
          <w:rFonts w:ascii="Times New Roman" w:hAnsi="Times New Roman" w:cs="Times New Roman"/>
        </w:rPr>
        <w:t xml:space="preserve"> </w:t>
      </w:r>
      <w:r>
        <w:rPr>
          <w:rFonts w:ascii="Times New Roman" w:hAnsi="Times New Roman" w:cs="Times New Roman"/>
          <w:highlight w:val="yellow"/>
        </w:rPr>
        <w:t>t</w:t>
      </w:r>
      <w:r>
        <w:rPr>
          <w:rFonts w:ascii="Times New Roman" w:hAnsi="Times New Roman" w:cs="Times New Roman"/>
        </w:rPr>
        <w:t xml:space="preserve">o the dependent variable, </w:t>
      </w:r>
      <w:r>
        <w:rPr>
          <w:rFonts w:ascii="Times New Roman" w:hAnsi="Times New Roman" w:cs="Times New Roman"/>
          <w:highlight w:val="yellow"/>
        </w:rPr>
        <w:t xml:space="preserve">such as </w:t>
      </w:r>
      <w:r>
        <w:rPr>
          <w:rFonts w:ascii="Times New Roman" w:hAnsi="Times New Roman" w:cs="Times New Roman"/>
        </w:rPr>
        <w:t>returns or liquidity.</w:t>
      </w:r>
    </w:p>
    <w:p w14:paraId="4C44588B" w14:textId="77777777" w:rsidR="002437DD" w:rsidRPr="00DA0907" w:rsidRDefault="00AD5C18" w:rsidP="007417AA">
      <w:pPr>
        <w:spacing w:line="360" w:lineRule="auto"/>
        <w:jc w:val="both"/>
        <w:rPr>
          <w:rFonts w:ascii="Times New Roman" w:hAnsi="Times New Roman" w:cs="Times New Roman"/>
        </w:rPr>
      </w:pPr>
      <w:r>
        <w:rPr>
          <w:rFonts w:ascii="Times New Roman" w:hAnsi="Times New Roman" w:cs="Times New Roman"/>
        </w:rPr>
        <w:t xml:space="preserve">Usman and </w:t>
      </w:r>
      <w:proofErr w:type="spellStart"/>
      <w:r>
        <w:rPr>
          <w:rFonts w:ascii="Times New Roman" w:hAnsi="Times New Roman" w:cs="Times New Roman"/>
        </w:rPr>
        <w:t>Adejare</w:t>
      </w:r>
      <w:proofErr w:type="spellEnd"/>
      <w:r>
        <w:rPr>
          <w:rFonts w:ascii="Times New Roman" w:hAnsi="Times New Roman" w:cs="Times New Roman"/>
        </w:rPr>
        <w:t xml:space="preserve"> (2013) examined data from</w:t>
      </w:r>
      <w:r>
        <w:rPr>
          <w:rFonts w:ascii="Times New Roman" w:hAnsi="Times New Roman" w:cs="Times New Roman"/>
          <w:highlight w:val="yellow"/>
        </w:rPr>
        <w:t xml:space="preserve"> the</w:t>
      </w:r>
      <w:r>
        <w:rPr>
          <w:rFonts w:ascii="Times New Roman" w:hAnsi="Times New Roman" w:cs="Times New Roman"/>
        </w:rPr>
        <w:t xml:space="preserve"> CBN and SEC </w:t>
      </w:r>
      <w:r>
        <w:rPr>
          <w:rFonts w:ascii="Times New Roman" w:hAnsi="Times New Roman" w:cs="Times New Roman"/>
          <w:highlight w:val="yellow"/>
        </w:rPr>
        <w:t>c</w:t>
      </w:r>
      <w:r>
        <w:rPr>
          <w:rFonts w:ascii="Times New Roman" w:hAnsi="Times New Roman" w:cs="Times New Roman"/>
        </w:rPr>
        <w:t>over</w:t>
      </w:r>
      <w:r>
        <w:rPr>
          <w:rFonts w:ascii="Times New Roman" w:hAnsi="Times New Roman" w:cs="Times New Roman"/>
          <w:highlight w:val="yellow"/>
        </w:rPr>
        <w:t>ing</w:t>
      </w:r>
      <w:r>
        <w:rPr>
          <w:rFonts w:ascii="Times New Roman" w:hAnsi="Times New Roman" w:cs="Times New Roman"/>
        </w:rPr>
        <w:t xml:space="preserve"> 40 years (1970</w:t>
      </w:r>
      <w:r>
        <w:rPr>
          <w:rFonts w:ascii="Times New Roman" w:hAnsi="Times New Roman" w:cs="Times New Roman"/>
          <w:highlight w:val="yellow"/>
        </w:rPr>
        <w:t>–</w:t>
      </w:r>
      <w:r>
        <w:rPr>
          <w:rFonts w:ascii="Times New Roman" w:hAnsi="Times New Roman" w:cs="Times New Roman"/>
        </w:rPr>
        <w:t>2010) and observed that the impact of inflation on Nigerian capital market</w:t>
      </w:r>
      <w:r>
        <w:rPr>
          <w:rFonts w:ascii="Times New Roman" w:hAnsi="Times New Roman" w:cs="Times New Roman"/>
          <w:highlight w:val="yellow"/>
        </w:rPr>
        <w:t xml:space="preserve"> performance</w:t>
      </w:r>
      <w:r>
        <w:rPr>
          <w:rFonts w:ascii="Times New Roman" w:hAnsi="Times New Roman" w:cs="Times New Roman"/>
        </w:rPr>
        <w:t xml:space="preserve"> was generally negative and weak </w:t>
      </w:r>
      <w:r>
        <w:rPr>
          <w:rFonts w:ascii="Times New Roman" w:hAnsi="Times New Roman" w:cs="Times New Roman"/>
          <w:highlight w:val="yellow"/>
        </w:rPr>
        <w:t>ac</w:t>
      </w:r>
      <w:r>
        <w:rPr>
          <w:rFonts w:ascii="Times New Roman" w:hAnsi="Times New Roman" w:cs="Times New Roman"/>
        </w:rPr>
        <w:t>r</w:t>
      </w:r>
      <w:r>
        <w:rPr>
          <w:rFonts w:ascii="Times New Roman" w:hAnsi="Times New Roman" w:cs="Times New Roman"/>
          <w:highlight w:val="yellow"/>
        </w:rPr>
        <w:t>oss</w:t>
      </w:r>
      <w:r>
        <w:rPr>
          <w:rFonts w:ascii="Times New Roman" w:hAnsi="Times New Roman" w:cs="Times New Roman"/>
        </w:rPr>
        <w:t xml:space="preserve"> most measures</w:t>
      </w:r>
      <w:r>
        <w:rPr>
          <w:rFonts w:ascii="Times New Roman" w:hAnsi="Times New Roman" w:cs="Times New Roman"/>
          <w:highlight w:val="yellow"/>
        </w:rPr>
        <w:t>,</w:t>
      </w:r>
      <w:r>
        <w:rPr>
          <w:rFonts w:ascii="Times New Roman" w:hAnsi="Times New Roman" w:cs="Times New Roman"/>
        </w:rPr>
        <w:t xml:space="preserve"> except market volume.</w:t>
      </w:r>
    </w:p>
    <w:p w14:paraId="7505A941" w14:textId="77777777" w:rsidR="008A5A65" w:rsidRPr="00DA0907" w:rsidRDefault="008A5A65" w:rsidP="007417AA">
      <w:pPr>
        <w:spacing w:line="360" w:lineRule="auto"/>
        <w:jc w:val="both"/>
        <w:rPr>
          <w:rFonts w:ascii="Times New Roman" w:hAnsi="Times New Roman" w:cs="Times New Roman"/>
        </w:rPr>
      </w:pPr>
      <w:r w:rsidRPr="00DA0907">
        <w:rPr>
          <w:rFonts w:ascii="Times New Roman" w:hAnsi="Times New Roman" w:cs="Times New Roman"/>
          <w:b/>
          <w:bCs/>
        </w:rPr>
        <w:t>Table</w:t>
      </w:r>
      <w:r w:rsidR="00E374C5" w:rsidRPr="00DA0907">
        <w:rPr>
          <w:rFonts w:ascii="Times New Roman" w:hAnsi="Times New Roman" w:cs="Times New Roman"/>
          <w:b/>
          <w:bCs/>
        </w:rPr>
        <w:t xml:space="preserve"> 1</w:t>
      </w:r>
      <w:r w:rsidRPr="00DA0907">
        <w:rPr>
          <w:rFonts w:ascii="Times New Roman" w:hAnsi="Times New Roman" w:cs="Times New Roman"/>
          <w:b/>
          <w:bCs/>
        </w:rPr>
        <w:t>: Summary of Empirical Review</w:t>
      </w:r>
    </w:p>
    <w:tbl>
      <w:tblPr>
        <w:tblStyle w:val="GridTable1Light"/>
        <w:tblW w:w="0" w:type="auto"/>
        <w:tblLook w:val="04A0" w:firstRow="1" w:lastRow="0" w:firstColumn="1" w:lastColumn="0" w:noHBand="0" w:noVBand="1"/>
      </w:tblPr>
      <w:tblGrid>
        <w:gridCol w:w="1563"/>
        <w:gridCol w:w="1989"/>
        <w:gridCol w:w="1942"/>
        <w:gridCol w:w="1942"/>
        <w:gridCol w:w="1914"/>
      </w:tblGrid>
      <w:tr w:rsidR="008A5A65" w:rsidRPr="00DA0907" w14:paraId="5B90FE21" w14:textId="77777777" w:rsidTr="008A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3B1DDE" w14:textId="77777777" w:rsidR="008A5A65" w:rsidRPr="00DA0907" w:rsidRDefault="008A5A65"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Author(s) &amp; Year</w:t>
            </w:r>
          </w:p>
        </w:tc>
        <w:tc>
          <w:tcPr>
            <w:tcW w:w="0" w:type="auto"/>
            <w:hideMark/>
          </w:tcPr>
          <w:p w14:paraId="77F5C634" w14:textId="77777777" w:rsidR="008A5A65" w:rsidRPr="00DA0907" w:rsidRDefault="008A5A65"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Study Title / Focus</w:t>
            </w:r>
          </w:p>
        </w:tc>
        <w:tc>
          <w:tcPr>
            <w:tcW w:w="0" w:type="auto"/>
            <w:hideMark/>
          </w:tcPr>
          <w:p w14:paraId="2AC1C323" w14:textId="77777777" w:rsidR="008A5A65" w:rsidRPr="00DA0907" w:rsidRDefault="008A5A65"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Methodology</w:t>
            </w:r>
          </w:p>
        </w:tc>
        <w:tc>
          <w:tcPr>
            <w:tcW w:w="0" w:type="auto"/>
            <w:hideMark/>
          </w:tcPr>
          <w:p w14:paraId="6667CE22" w14:textId="77777777" w:rsidR="008A5A65" w:rsidRPr="00DA0907" w:rsidRDefault="008A5A65"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Key Findings</w:t>
            </w:r>
          </w:p>
        </w:tc>
        <w:tc>
          <w:tcPr>
            <w:tcW w:w="0" w:type="auto"/>
            <w:hideMark/>
          </w:tcPr>
          <w:p w14:paraId="375BE5F0" w14:textId="77777777" w:rsidR="008A5A65" w:rsidRPr="00DA0907" w:rsidRDefault="008A5A65"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Relation to Present Study</w:t>
            </w:r>
          </w:p>
        </w:tc>
      </w:tr>
      <w:tr w:rsidR="008A5A65" w:rsidRPr="00DA0907" w14:paraId="100DE2E7"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64721EF0" w14:textId="77777777" w:rsidR="008A5A65" w:rsidRPr="00DA0907" w:rsidRDefault="008A5A65"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Folorunso (2023)</w:t>
            </w:r>
          </w:p>
        </w:tc>
        <w:tc>
          <w:tcPr>
            <w:tcW w:w="0" w:type="auto"/>
            <w:hideMark/>
          </w:tcPr>
          <w:p w14:paraId="0919CD0F"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Impact of inflation and other macroeconomic variables on stock returns across five sectors in Nigeria</w:t>
            </w:r>
          </w:p>
        </w:tc>
        <w:tc>
          <w:tcPr>
            <w:tcW w:w="0" w:type="auto"/>
            <w:hideMark/>
          </w:tcPr>
          <w:p w14:paraId="3DDC7332"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GARCH model; multivariate panel analysis</w:t>
            </w:r>
          </w:p>
        </w:tc>
        <w:tc>
          <w:tcPr>
            <w:tcW w:w="0" w:type="auto"/>
            <w:hideMark/>
          </w:tcPr>
          <w:p w14:paraId="4D3C0839"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negatively and significantly affects stock returns in the short and long run, on both aggregate and sectoral bases; exchange rate positive, interest rate inverse in short run</w:t>
            </w:r>
          </w:p>
        </w:tc>
        <w:tc>
          <w:tcPr>
            <w:tcW w:w="0" w:type="auto"/>
            <w:hideMark/>
          </w:tcPr>
          <w:p w14:paraId="1314625A"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Confirms the negative inflation–return relationship at sectoral level; present study extends this into the 2015–2024 policy-reform period with panel FE/RE estimation</w:t>
            </w:r>
          </w:p>
        </w:tc>
      </w:tr>
      <w:tr w:rsidR="008A5A65" w:rsidRPr="00DA0907" w14:paraId="249DF39C"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7FC660FA" w14:textId="77777777" w:rsidR="008A5A65" w:rsidRPr="00DA0907" w:rsidRDefault="008A5A65"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Abu (2024)</w:t>
            </w:r>
          </w:p>
        </w:tc>
        <w:tc>
          <w:tcPr>
            <w:tcW w:w="0" w:type="auto"/>
            <w:hideMark/>
          </w:tcPr>
          <w:p w14:paraId="78834556"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Effect of inflation on stock market performance of the Fast-Moving Consumer Goods sector, 2007–2023</w:t>
            </w:r>
          </w:p>
        </w:tc>
        <w:tc>
          <w:tcPr>
            <w:tcW w:w="0" w:type="auto"/>
            <w:hideMark/>
          </w:tcPr>
          <w:p w14:paraId="5F07F172"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ARDL; Granger causality</w:t>
            </w:r>
          </w:p>
        </w:tc>
        <w:tc>
          <w:tcPr>
            <w:tcW w:w="0" w:type="auto"/>
            <w:hideMark/>
          </w:tcPr>
          <w:p w14:paraId="4EC69055"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 xml:space="preserve">Negative short-run impact on FMCG stock performance; positive relationship </w:t>
            </w:r>
            <w:r w:rsidRPr="00DA0907">
              <w:rPr>
                <w:rFonts w:ascii="Times New Roman" w:hAnsi="Times New Roman" w:cs="Times New Roman"/>
              </w:rPr>
              <w:lastRenderedPageBreak/>
              <w:t>emerges in the long run</w:t>
            </w:r>
          </w:p>
        </w:tc>
        <w:tc>
          <w:tcPr>
            <w:tcW w:w="0" w:type="auto"/>
            <w:hideMark/>
          </w:tcPr>
          <w:p w14:paraId="329BF8A0"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lastRenderedPageBreak/>
              <w:t xml:space="preserve">Present study's Consumer Goods sector shows the strongest negative sensitivity within its shorter window, without </w:t>
            </w:r>
            <w:r w:rsidRPr="00DA0907">
              <w:rPr>
                <w:rFonts w:ascii="Times New Roman" w:hAnsi="Times New Roman" w:cs="Times New Roman"/>
              </w:rPr>
              <w:lastRenderedPageBreak/>
              <w:t>the long-run reversal Abu found</w:t>
            </w:r>
          </w:p>
        </w:tc>
      </w:tr>
      <w:tr w:rsidR="008A5A65" w:rsidRPr="00DA0907" w14:paraId="611C26E7"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5A976736" w14:textId="77777777" w:rsidR="008A5A65" w:rsidRPr="00DA0907" w:rsidRDefault="008A5A65" w:rsidP="007417AA">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t>Kukandaka et al. (2026)</w:t>
            </w:r>
            <w:proofErr w:type="spellEnd"/>
            <w:r w:rsidRPr="00DA0907">
              <w:rPr>
                <w:rFonts w:ascii="Times New Roman" w:hAnsi="Times New Roman" w:cs="Times New Roman"/>
              </w:rPr>
            </w:r>
            <w:proofErr w:type="spellStart"/>
            <w:r w:rsidRPr="00DA0907">
              <w:rPr>
                <w:rFonts w:ascii="Times New Roman" w:hAnsi="Times New Roman" w:cs="Times New Roman"/>
              </w:rPr>
            </w:r>
            <w:proofErr w:type="spellEnd"/>
            <w:r w:rsidRPr="00DA0907">
              <w:rPr>
                <w:rFonts w:ascii="Times New Roman" w:hAnsi="Times New Roman" w:cs="Times New Roman"/>
              </w:rPr>
            </w:r>
          </w:p>
        </w:tc>
        <w:tc>
          <w:tcPr>
            <w:tcW w:w="0" w:type="auto"/>
            <w:hideMark/>
          </w:tcPr>
          <w:p w14:paraId="7D5F5DA7"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Macroeconomic variables and Industrial Goods sector index performance on the NGX</w:t>
            </w:r>
          </w:p>
        </w:tc>
        <w:tc>
          <w:tcPr>
            <w:tcW w:w="0" w:type="auto"/>
            <w:hideMark/>
          </w:tcPr>
          <w:p w14:paraId="4E98C41B"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Vector Error Correction Model (VECM)</w:t>
            </w:r>
          </w:p>
        </w:tc>
        <w:tc>
          <w:tcPr>
            <w:tcW w:w="0" w:type="auto"/>
            <w:hideMark/>
          </w:tcPr>
          <w:p w14:paraId="55A82423"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has a positive long-run effect on the Industrial Goods sector; identified as the dominant driver of sectoral performance</w:t>
            </w:r>
          </w:p>
        </w:tc>
        <w:tc>
          <w:tcPr>
            <w:tcW w:w="0" w:type="auto"/>
            <w:hideMark/>
          </w:tcPr>
          <w:p w14:paraId="2E7F34DF" w14:textId="77777777" w:rsidR="008A5A65" w:rsidRPr="00DA0907" w:rsidRDefault="00BF6C82"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Diverges from the present study's finding of a significant negative Industrial Goods sensitivity; difference discussed in relation to dependent variable and period</w:t>
            </w:r>
          </w:p>
        </w:tc>
      </w:tr>
      <w:tr w:rsidR="008A5A65" w:rsidRPr="00DA0907" w14:paraId="79EAA184"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100D483C" w14:textId="77777777" w:rsidR="008A5A65" w:rsidRPr="00DA0907" w:rsidRDefault="008A5A65" w:rsidP="007417AA">
            <w:pPr>
              <w:tabs>
                <w:tab w:val="left" w:pos="2070"/>
              </w:tabs>
              <w:spacing w:after="160" w:line="360" w:lineRule="auto"/>
              <w:jc w:val="both"/>
              <w:rPr>
                <w:rFonts w:ascii="Times New Roman" w:hAnsi="Times New Roman" w:cs="Times New Roman"/>
              </w:rPr>
            </w:pPr>
            <w:proofErr w:type="spellStart"/>
            <w:proofErr w:type="spellEnd"/>
            <w:r>
              <w:t>Abubakar et al. (2025)</w:t>
            </w:r>
          </w:p>
        </w:tc>
        <w:tc>
          <w:tcPr>
            <w:tcW w:w="0" w:type="auto"/>
            <w:hideMark/>
          </w:tcPr>
          <w:p w14:paraId="6898D0E1"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Firm attributes, macroeconomic variables, and performance of listed manufacturing firms in Nigeria, 2011–2023</w:t>
            </w:r>
          </w:p>
        </w:tc>
        <w:tc>
          <w:tcPr>
            <w:tcW w:w="0" w:type="auto"/>
            <w:hideMark/>
          </w:tcPr>
          <w:p w14:paraId="49923296"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Two-step system GMM</w:t>
            </w:r>
          </w:p>
        </w:tc>
        <w:tc>
          <w:tcPr>
            <w:tcW w:w="0" w:type="auto"/>
            <w:hideMark/>
          </w:tcPr>
          <w:p w14:paraId="08AB7F16"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Inflation and exchange rate have significant positive effects on ROE; interest rate has a significant negative effect</w:t>
            </w:r>
          </w:p>
        </w:tc>
        <w:tc>
          <w:tcPr>
            <w:tcW w:w="0" w:type="auto"/>
            <w:hideMark/>
          </w:tcPr>
          <w:p w14:paraId="36371342"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Contrasts with the present study's negative inflation effect; differs in dependent variable (ROE) and estimation method</w:t>
            </w:r>
          </w:p>
        </w:tc>
      </w:tr>
      <w:tr w:rsidR="008A5A65" w:rsidRPr="00DA0907" w14:paraId="4BEC9899"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39433D4A" w14:textId="77777777" w:rsidR="008A5A65" w:rsidRPr="00DA0907" w:rsidRDefault="008C5CC1"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Dada et al. (2021)</w:t>
            </w:r>
            <w:r w:rsidR="008A5A65" w:rsidRPr="00DA0907">
              <w:rPr>
                <w:rFonts w:ascii="Times New Roman" w:hAnsi="Times New Roman" w:cs="Times New Roman"/>
              </w:rPr>
            </w:r>
          </w:p>
        </w:tc>
        <w:tc>
          <w:tcPr>
            <w:tcW w:w="0" w:type="auto"/>
            <w:hideMark/>
          </w:tcPr>
          <w:p w14:paraId="63930EEE"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Arbitrage Pricing Theory and stock market volatility in Nigeria, 1986–2018</w:t>
            </w:r>
          </w:p>
        </w:tc>
        <w:tc>
          <w:tcPr>
            <w:tcW w:w="0" w:type="auto"/>
            <w:hideMark/>
          </w:tcPr>
          <w:p w14:paraId="1BB0B281"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OLS; ARDL; ARCH/GARCH; Granger causality</w:t>
            </w:r>
          </w:p>
        </w:tc>
        <w:tc>
          <w:tcPr>
            <w:tcW w:w="0" w:type="auto"/>
            <w:hideMark/>
          </w:tcPr>
          <w:p w14:paraId="64BCC3DF"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has a negative long-run effect on returns; persistent volatility; unidirectional causality from inflation to returns; APT validated</w:t>
            </w:r>
          </w:p>
        </w:tc>
        <w:tc>
          <w:tcPr>
            <w:tcW w:w="0" w:type="auto"/>
            <w:hideMark/>
          </w:tcPr>
          <w:p w14:paraId="38B32704"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Provides the theoretical (APT) grounding adopted in the present study; confirms negative inflation effect over a much longer historical horizon</w:t>
            </w:r>
          </w:p>
        </w:tc>
      </w:tr>
      <w:tr w:rsidR="008A5A65" w:rsidRPr="00DA0907" w14:paraId="4D5961D5"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4EA6FEBF" w14:textId="77777777" w:rsidR="008A5A65" w:rsidRPr="00DA0907" w:rsidRDefault="008A5A65" w:rsidP="007417AA">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t>Uruemu</w:t>
            </w:r>
            <w:proofErr w:type="spellEnd"/>
            <w:r w:rsidRPr="00DA0907">
              <w:rPr>
                <w:rFonts w:ascii="Times New Roman" w:hAnsi="Times New Roman" w:cs="Times New Roman"/>
              </w:rPr>
              <w:t xml:space="preserve"> (2022)</w:t>
            </w:r>
          </w:p>
        </w:tc>
        <w:tc>
          <w:tcPr>
            <w:tcW w:w="0" w:type="auto"/>
            <w:hideMark/>
          </w:tcPr>
          <w:p w14:paraId="7787C511"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Effect of inflation on stock market liquidity, 1981–2020</w:t>
            </w:r>
          </w:p>
        </w:tc>
        <w:tc>
          <w:tcPr>
            <w:tcW w:w="0" w:type="auto"/>
            <w:hideMark/>
          </w:tcPr>
          <w:p w14:paraId="2EA01BA8"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ARDL Bounds Testing</w:t>
            </w:r>
          </w:p>
        </w:tc>
        <w:tc>
          <w:tcPr>
            <w:tcW w:w="0" w:type="auto"/>
            <w:hideMark/>
          </w:tcPr>
          <w:p w14:paraId="4F51C6E2"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has a positive and significant effect on stock market liquidity, affirming the Fisher hypothesis</w:t>
            </w:r>
          </w:p>
        </w:tc>
        <w:tc>
          <w:tcPr>
            <w:tcW w:w="0" w:type="auto"/>
            <w:hideMark/>
          </w:tcPr>
          <w:p w14:paraId="0F47B78D"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Contrasts with the present study's rejection of the Fisher hypothesis; difference attributed to liquidity vs. returns as dependent variable</w:t>
            </w:r>
          </w:p>
        </w:tc>
      </w:tr>
      <w:tr w:rsidR="008A5A65" w:rsidRPr="00DA0907" w14:paraId="3336364F"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790AF866" w14:textId="77777777" w:rsidR="008A5A65" w:rsidRPr="00DA0907" w:rsidRDefault="001508DB"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Usman</w:t>
            </w:r>
            <w:r w:rsidR="008A5A65" w:rsidRPr="00DA0907">
              <w:rPr>
                <w:rFonts w:ascii="Times New Roman" w:hAnsi="Times New Roman" w:cs="Times New Roman"/>
              </w:rPr>
              <w:t xml:space="preserve"> &amp; </w:t>
            </w:r>
            <w:proofErr w:type="spellStart"/>
            <w:r w:rsidR="002002B8" w:rsidRPr="00DA0907">
              <w:rPr>
                <w:rFonts w:ascii="Times New Roman" w:hAnsi="Times New Roman" w:cs="Times New Roman"/>
              </w:rPr>
              <w:t>Adejare</w:t>
            </w:r>
            <w:proofErr w:type="spellEnd"/>
            <w:r w:rsidR="008A5A65" w:rsidRPr="00DA0907">
              <w:rPr>
                <w:rFonts w:ascii="Times New Roman" w:hAnsi="Times New Roman" w:cs="Times New Roman"/>
              </w:rPr>
              <w:t xml:space="preserve"> (2013)</w:t>
            </w:r>
          </w:p>
        </w:tc>
        <w:tc>
          <w:tcPr>
            <w:tcW w:w="0" w:type="auto"/>
            <w:hideMark/>
          </w:tcPr>
          <w:p w14:paraId="34E860F5"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Impact of inflation on capital market performance, 1970–2010</w:t>
            </w:r>
          </w:p>
        </w:tc>
        <w:tc>
          <w:tcPr>
            <w:tcW w:w="0" w:type="auto"/>
            <w:hideMark/>
          </w:tcPr>
          <w:p w14:paraId="51DC733D"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Multiple regression on CBN/SEC secondary data</w:t>
            </w:r>
          </w:p>
        </w:tc>
        <w:tc>
          <w:tcPr>
            <w:tcW w:w="0" w:type="auto"/>
            <w:hideMark/>
          </w:tcPr>
          <w:p w14:paraId="113DDC01"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Weak, generally negative relationship between inflation and capital market performance; market volume the exception</w:t>
            </w:r>
          </w:p>
        </w:tc>
        <w:tc>
          <w:tcPr>
            <w:tcW w:w="0" w:type="auto"/>
            <w:hideMark/>
          </w:tcPr>
          <w:p w14:paraId="0D2DDAF9"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Supports the negative-effect direction found in the present study, over a much earlier and longer period</w:t>
            </w:r>
          </w:p>
        </w:tc>
      </w:tr>
      <w:tr w:rsidR="008A5A65" w:rsidRPr="00DA0907" w14:paraId="18833D6F"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41CE42DA" w14:textId="77777777" w:rsidR="008A5A65" w:rsidRPr="00DA0907" w:rsidRDefault="008A5A65" w:rsidP="007417AA">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lastRenderedPageBreak/>
              <w:t>Ikoku</w:t>
            </w:r>
            <w:proofErr w:type="spellEnd"/>
            <w:r w:rsidRPr="00DA0907">
              <w:rPr>
                <w:rFonts w:ascii="Times New Roman" w:hAnsi="Times New Roman" w:cs="Times New Roman"/>
              </w:rPr>
              <w:t xml:space="preserve"> &amp; Okorie (2010)</w:t>
            </w:r>
          </w:p>
        </w:tc>
        <w:tc>
          <w:tcPr>
            <w:tcW w:w="0" w:type="auto"/>
            <w:hideMark/>
          </w:tcPr>
          <w:p w14:paraId="20E769FB"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Performance of Nigerian Stock Exchange sectoral indices, 2009–2010</w:t>
            </w:r>
          </w:p>
        </w:tc>
        <w:tc>
          <w:tcPr>
            <w:tcW w:w="0" w:type="auto"/>
            <w:hideMark/>
          </w:tcPr>
          <w:p w14:paraId="68D99248"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Descriptive analysis</w:t>
            </w:r>
          </w:p>
        </w:tc>
        <w:tc>
          <w:tcPr>
            <w:tcW w:w="0" w:type="auto"/>
            <w:hideMark/>
          </w:tcPr>
          <w:p w14:paraId="7DCDB4A9"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Sectoral indices show significant performance variation, underscoring the value of sector-level analysis</w:t>
            </w:r>
          </w:p>
        </w:tc>
        <w:tc>
          <w:tcPr>
            <w:tcW w:w="0" w:type="auto"/>
            <w:hideMark/>
          </w:tcPr>
          <w:p w14:paraId="5798B5CC" w14:textId="77777777" w:rsidR="008A5A65" w:rsidRPr="00DA0907" w:rsidRDefault="008A5A65"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Provides the conceptual basis for the present study's sector-disaggregated approach</w:t>
            </w:r>
          </w:p>
        </w:tc>
      </w:tr>
    </w:tbl>
    <w:p w14:paraId="7DD89B7E" w14:textId="77777777" w:rsidR="008A5A65" w:rsidRPr="00DA0907" w:rsidRDefault="008A5A65"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compilation, 2025</w:t>
      </w:r>
    </w:p>
    <w:p w14:paraId="79D23E9C" w14:textId="77777777" w:rsidR="00A0057B" w:rsidRPr="00DA0907" w:rsidRDefault="00A0057B" w:rsidP="007417AA">
      <w:pPr>
        <w:tabs>
          <w:tab w:val="left" w:pos="2070"/>
        </w:tabs>
        <w:spacing w:line="360" w:lineRule="auto"/>
        <w:jc w:val="both"/>
        <w:rPr>
          <w:rFonts w:ascii="Times New Roman" w:hAnsi="Times New Roman" w:cs="Times New Roman"/>
          <w:b/>
          <w:bCs/>
        </w:rPr>
      </w:pPr>
    </w:p>
    <w:p w14:paraId="11B8E108"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2.4 </w:t>
      </w:r>
      <w:r w:rsidR="00965A0A" w:rsidRPr="00DA0907">
        <w:rPr>
          <w:rFonts w:ascii="Times New Roman" w:hAnsi="Times New Roman" w:cs="Times New Roman"/>
          <w:b/>
          <w:bCs/>
        </w:rPr>
        <w:t>Research Gap</w:t>
      </w:r>
    </w:p>
    <w:p w14:paraId="7C9DBB35" w14:textId="035C8490"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The empirical review re</w:t>
      </w:r>
      <w:r>
        <w:rPr>
          <w:rFonts w:ascii="Times New Roman" w:hAnsi="Times New Roman" w:cs="Times New Roman"/>
          <w:highlight w:val="yellow"/>
        </w:rPr>
        <w:t>ve</w:t>
      </w:r>
      <w:r>
        <w:rPr>
          <w:rFonts w:ascii="Times New Roman" w:hAnsi="Times New Roman" w:cs="Times New Roman"/>
        </w:rPr>
        <w:t>a</w:t>
      </w:r>
      <w:r>
        <w:rPr>
          <w:rFonts w:ascii="Times New Roman" w:hAnsi="Times New Roman" w:cs="Times New Roman"/>
          <w:highlight w:val="yellow"/>
        </w:rPr>
        <w:t>ls</w:t>
      </w:r>
      <w:r>
        <w:rPr>
          <w:rFonts w:ascii="Times New Roman" w:hAnsi="Times New Roman" w:cs="Times New Roman"/>
        </w:rPr>
        <w:t xml:space="preserve"> three important gaps. First, although studies </w:t>
      </w:r>
      <w:r>
        <w:rPr>
          <w:rFonts w:ascii="Times New Roman" w:hAnsi="Times New Roman" w:cs="Times New Roman"/>
          <w:highlight w:val="yellow"/>
        </w:rPr>
        <w:t>such as</w:t>
      </w:r>
      <w:r>
        <w:rPr>
          <w:rFonts w:ascii="Times New Roman" w:hAnsi="Times New Roman" w:cs="Times New Roman"/>
        </w:rPr>
        <w:t xml:space="preserve"> Folorunso (2023) and Abu (2024) have established a negative relationship between inflation and returns, they have not systematically model</w:t>
      </w:r>
      <w:r>
        <w:rPr>
          <w:rFonts w:ascii="Times New Roman" w:hAnsi="Times New Roman" w:cs="Times New Roman"/>
          <w:highlight w:val="yellow"/>
        </w:rPr>
        <w:t>l</w:t>
      </w:r>
      <w:r>
        <w:rPr>
          <w:rFonts w:ascii="Times New Roman" w:hAnsi="Times New Roman" w:cs="Times New Roman"/>
        </w:rPr>
        <w:t xml:space="preserve">ed the differential sensitivity of sectors </w:t>
      </w:r>
      <w:r>
        <w:rPr>
          <w:rFonts w:ascii="Times New Roman" w:hAnsi="Times New Roman" w:cs="Times New Roman"/>
          <w:highlight w:val="yellow"/>
        </w:rPr>
        <w:t>during</w:t>
      </w:r>
      <w:r>
        <w:rPr>
          <w:rFonts w:ascii="Times New Roman" w:hAnsi="Times New Roman" w:cs="Times New Roman"/>
        </w:rPr>
        <w:t xml:space="preserve"> th</w:t>
      </w:r>
      <w:r>
        <w:rPr>
          <w:rFonts w:ascii="Times New Roman" w:hAnsi="Times New Roman" w:cs="Times New Roman"/>
          <w:highlight w:val="yellow"/>
        </w:rPr>
        <w:t>e</w:t>
      </w:r>
      <w:r>
        <w:rPr>
          <w:rFonts w:ascii="Times New Roman" w:hAnsi="Times New Roman" w:cs="Times New Roman"/>
        </w:rPr>
        <w:t xml:space="preserve"> macroeconomic episode of 2015–2024. Second, while sectoral analysis is acknowledged as i</w:t>
      </w:r>
      <w:r>
        <w:rPr>
          <w:rFonts w:ascii="Times New Roman" w:hAnsi="Times New Roman" w:cs="Times New Roman"/>
          <w:highlight w:val="yellow"/>
        </w:rPr>
        <w:t>mport</w:t>
      </w:r>
      <w:r>
        <w:rPr>
          <w:rFonts w:ascii="Times New Roman" w:hAnsi="Times New Roman" w:cs="Times New Roman"/>
        </w:rPr>
        <w:t>ant (</w:t>
      </w:r>
      <w:proofErr w:type="spellStart"/>
      <w:r>
        <w:rPr>
          <w:rFonts w:ascii="Times New Roman" w:hAnsi="Times New Roman" w:cs="Times New Roman"/>
        </w:rPr>
        <w:t>Ikoku</w:t>
      </w:r>
      <w:proofErr w:type="spellEnd"/>
      <w:r>
        <w:rPr>
          <w:rFonts w:ascii="Times New Roman" w:hAnsi="Times New Roman" w:cs="Times New Roman"/>
        </w:rPr>
        <w:t xml:space="preserve"> &amp; Okorie, 2010), many </w:t>
      </w:r>
      <w:r>
        <w:rPr>
          <w:rFonts w:ascii="Times New Roman" w:hAnsi="Times New Roman" w:cs="Times New Roman"/>
          <w:highlight w:val="yellow"/>
        </w:rPr>
        <w:t xml:space="preserve">Nigerian </w:t>
      </w:r>
      <w:r>
        <w:rPr>
          <w:rFonts w:ascii="Times New Roman" w:hAnsi="Times New Roman" w:cs="Times New Roman"/>
        </w:rPr>
        <w:t>studies focus on the overall market, which may conceal significant differen</w:t>
      </w:r>
      <w:r>
        <w:rPr>
          <w:rFonts w:ascii="Times New Roman" w:hAnsi="Times New Roman" w:cs="Times New Roman"/>
          <w:highlight w:val="yellow"/>
        </w:rPr>
        <w:t>ces among</w:t>
      </w:r>
      <w:r>
        <w:rPr>
          <w:rFonts w:ascii="Times New Roman" w:hAnsi="Times New Roman" w:cs="Times New Roman"/>
        </w:rPr>
        <w:t xml:space="preserve"> sectors that per</w:t>
      </w:r>
      <w:r>
        <w:rPr>
          <w:rFonts w:ascii="Times New Roman" w:hAnsi="Times New Roman" w:cs="Times New Roman"/>
          <w:highlight w:val="yellow"/>
        </w:rPr>
        <w:t>form</w:t>
      </w:r>
      <w:r>
        <w:rPr>
          <w:rFonts w:ascii="Times New Roman" w:hAnsi="Times New Roman" w:cs="Times New Roman"/>
        </w:rPr>
        <w:t>ed very different</w:t>
      </w:r>
      <w:r>
        <w:rPr>
          <w:rFonts w:ascii="Times New Roman" w:hAnsi="Times New Roman" w:cs="Times New Roman"/>
          <w:highlight w:val="yellow"/>
        </w:rPr>
        <w:t>ly</w:t>
      </w:r>
      <w:r>
        <w:rPr>
          <w:rFonts w:ascii="Times New Roman" w:hAnsi="Times New Roman" w:cs="Times New Roman"/>
        </w:rPr>
        <w:t xml:space="preserve"> during the reform period of 2023–2024 (Nigerian Exchange Group, 2024).</w:t>
      </w:r>
      <w:r w:rsidR="008054A3" w:rsidRPr="008054A3">
        <w:rPr>
          <w:rFonts w:ascii="Times New Roman" w:hAnsi="Times New Roman" w:cs="Times New Roman"/>
        </w:rPr>
      </w:r>
      <w:r>
        <w:rPr>
          <w:rFonts w:ascii="Times New Roman" w:hAnsi="Times New Roman" w:cs="Times New Roman"/>
        </w:rPr>
        <w:t xml:space="preserve"> Third, the strong theoretical underpinnings used in previous research (Dada et al., 2021; Folorunso, 2023)</w:t>
      </w:r>
      <w:r>
        <w:rPr>
          <w:rFonts w:ascii="Times New Roman" w:hAnsi="Times New Roman" w:cs="Times New Roman"/>
          <w:highlight w:val="yellow"/>
        </w:rPr>
      </w:r>
      <w:r>
        <w:rPr>
          <w:rFonts w:ascii="Times New Roman" w:hAnsi="Times New Roman" w:cs="Times New Roman"/>
        </w:rPr>
      </w:r>
      <w:proofErr w:type="spellStart"/>
      <w:r>
        <w:rPr>
          <w:rFonts w:ascii="Times New Roman" w:hAnsi="Times New Roman" w:cs="Times New Roman"/>
        </w:rPr>
      </w:r>
      <w:proofErr w:type="spellEnd"/>
      <w:r>
        <w:rPr>
          <w:rFonts w:ascii="Times New Roman" w:hAnsi="Times New Roman" w:cs="Times New Roman"/>
        </w:rPr>
        <w:t xml:space="preserve"> have not been replicated </w:t>
      </w:r>
      <w:r>
        <w:rPr>
          <w:rFonts w:ascii="Times New Roman" w:hAnsi="Times New Roman" w:cs="Times New Roman"/>
          <w:highlight w:val="yellow"/>
        </w:rPr>
        <w:t>using</w:t>
      </w:r>
      <w:r>
        <w:rPr>
          <w:rFonts w:ascii="Times New Roman" w:hAnsi="Times New Roman" w:cs="Times New Roman"/>
        </w:rPr>
        <w:t xml:space="preserve"> sector-disaggregated panel-data methods that account for unobserved heterogeneity and endogeneity. This study aims to fill these gaps by conducting a comprehensive</w:t>
      </w:r>
      <w:r>
        <w:rPr>
          <w:rFonts w:ascii="Times New Roman" w:hAnsi="Times New Roman" w:cs="Times New Roman"/>
          <w:highlight w:val="yellow"/>
        </w:rPr>
        <w:t>,</w:t>
      </w:r>
      <w:r>
        <w:rPr>
          <w:rFonts w:ascii="Times New Roman" w:hAnsi="Times New Roman" w:cs="Times New Roman"/>
        </w:rPr>
        <w:t xml:space="preserve"> sector</w:t>
      </w:r>
      <w:r>
        <w:rPr>
          <w:rFonts w:ascii="Times New Roman" w:hAnsi="Times New Roman" w:cs="Times New Roman"/>
          <w:highlight w:val="yellow"/>
        </w:rPr>
        <w:t>-</w:t>
      </w:r>
      <w:r>
        <w:rPr>
          <w:rFonts w:ascii="Times New Roman" w:hAnsi="Times New Roman" w:cs="Times New Roman"/>
        </w:rPr>
        <w:t>disaggregated panel analysis of the impact of inflation dynamics on stock returns in Nigeria o</w:t>
      </w:r>
      <w:r>
        <w:rPr>
          <w:rFonts w:ascii="Times New Roman" w:hAnsi="Times New Roman" w:cs="Times New Roman"/>
          <w:highlight w:val="yellow"/>
        </w:rPr>
        <w:t>ve</w:t>
      </w:r>
      <w:r>
        <w:rPr>
          <w:rFonts w:ascii="Times New Roman" w:hAnsi="Times New Roman" w:cs="Times New Roman"/>
        </w:rPr>
        <w:t>r the period 2015–2024.</w:t>
      </w:r>
    </w:p>
    <w:p w14:paraId="4A23CF26" w14:textId="77777777" w:rsidR="00965A0A" w:rsidRPr="00DA0907" w:rsidRDefault="004079F8"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3.0 </w:t>
      </w:r>
      <w:r w:rsidR="00965A0A" w:rsidRPr="00DA0907">
        <w:rPr>
          <w:rFonts w:ascii="Times New Roman" w:hAnsi="Times New Roman" w:cs="Times New Roman"/>
          <w:b/>
          <w:bCs/>
          <w:sz w:val="26"/>
          <w:szCs w:val="26"/>
        </w:rPr>
        <w:t>Methodology</w:t>
      </w:r>
    </w:p>
    <w:p w14:paraId="5ACEB80C"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3.1 </w:t>
      </w:r>
      <w:r w:rsidR="00965A0A" w:rsidRPr="00DA0907">
        <w:rPr>
          <w:rFonts w:ascii="Times New Roman" w:hAnsi="Times New Roman" w:cs="Times New Roman"/>
          <w:b/>
          <w:bCs/>
        </w:rPr>
        <w:t>Research Design</w:t>
      </w:r>
    </w:p>
    <w:p w14:paraId="47779CFE"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study </w:t>
      </w:r>
      <w:r>
        <w:rPr>
          <w:rFonts w:ascii="Times New Roman" w:hAnsi="Times New Roman" w:cs="Times New Roman"/>
          <w:highlight w:val="yellow"/>
        </w:rPr>
        <w:t>adopt</w:t>
      </w:r>
      <w:r>
        <w:rPr>
          <w:rFonts w:ascii="Times New Roman" w:hAnsi="Times New Roman" w:cs="Times New Roman"/>
        </w:rPr>
        <w:t>s</w:t>
      </w:r>
      <w:r>
        <w:rPr>
          <w:rFonts w:ascii="Times New Roman" w:hAnsi="Times New Roman" w:cs="Times New Roman"/>
          <w:highlight w:val="yellow"/>
        </w:rPr>
        <w:t xml:space="preserve"> a</w:t>
      </w:r>
      <w:r>
        <w:rPr>
          <w:rFonts w:ascii="Times New Roman" w:hAnsi="Times New Roman" w:cs="Times New Roman"/>
        </w:rPr>
        <w:t xml:space="preserve"> quantitative, ex post facto panel-data research design (</w:t>
      </w:r>
      <w:proofErr w:type="spellStart"/>
      <w:r>
        <w:rPr>
          <w:rFonts w:ascii="Times New Roman" w:hAnsi="Times New Roman" w:cs="Times New Roman"/>
        </w:rPr>
        <w:t>Kukandaka</w:t>
      </w:r>
      <w:proofErr w:type="spellEnd"/>
      <w:r>
        <w:rPr>
          <w:rFonts w:ascii="Times New Roman" w:hAnsi="Times New Roman" w:cs="Times New Roman"/>
        </w:rPr>
        <w:t xml:space="preserve"> et al., 2026), which is suitable because it </w:t>
      </w:r>
      <w:r>
        <w:rPr>
          <w:rFonts w:ascii="Times New Roman" w:hAnsi="Times New Roman" w:cs="Times New Roman"/>
          <w:highlight w:val="yellow"/>
        </w:rPr>
        <w:t>combine</w:t>
      </w:r>
      <w:r>
        <w:rPr>
          <w:rFonts w:ascii="Times New Roman" w:hAnsi="Times New Roman" w:cs="Times New Roman"/>
        </w:rPr>
        <w:t>s cross-sectional and time-series dimensions, controls</w:t>
      </w:r>
      <w:r>
        <w:rPr>
          <w:rFonts w:ascii="Times New Roman" w:hAnsi="Times New Roman" w:cs="Times New Roman"/>
          <w:highlight w:val="yellow"/>
        </w:rPr>
        <w:t xml:space="preserve"> for</w:t>
      </w:r>
      <w:r>
        <w:rPr>
          <w:rFonts w:ascii="Times New Roman" w:hAnsi="Times New Roman" w:cs="Times New Roman"/>
        </w:rPr>
        <w:t xml:space="preserve"> unobserved firm- and sector-level heterogeneity, and enhances the precision of estimated relationships between inflation and stock returns (Abubakar et al., 2025)</w:t>
      </w:r>
      <w:proofErr w:type="spellStart"/>
      <w:r>
        <w:rPr>
          <w:rFonts w:ascii="Times New Roman" w:hAnsi="Times New Roman" w:cs="Times New Roman"/>
        </w:rPr>
      </w:r>
      <w:proofErr w:type="spellEnd"/>
      <w:r>
        <w:rPr>
          <w:rFonts w:ascii="Times New Roman" w:hAnsi="Times New Roman" w:cs="Times New Roman"/>
        </w:rPr>
        <w:t>. The study cover</w:t>
      </w:r>
      <w:r>
        <w:rPr>
          <w:rFonts w:ascii="Times New Roman" w:hAnsi="Times New Roman" w:cs="Times New Roman"/>
          <w:highlight w:val="yellow"/>
        </w:rPr>
        <w:t>s</w:t>
      </w:r>
      <w:r>
        <w:rPr>
          <w:rFonts w:ascii="Times New Roman" w:hAnsi="Times New Roman" w:cs="Times New Roman"/>
        </w:rPr>
        <w:t xml:space="preserve"> a </w:t>
      </w:r>
      <w:r>
        <w:rPr>
          <w:rFonts w:ascii="Times New Roman" w:hAnsi="Times New Roman" w:cs="Times New Roman"/>
        </w:rPr>
        <w:lastRenderedPageBreak/>
        <w:t>decade (2015</w:t>
      </w:r>
      <w:r>
        <w:rPr>
          <w:rFonts w:ascii="Times New Roman" w:hAnsi="Times New Roman" w:cs="Times New Roman"/>
          <w:highlight w:val="yellow"/>
        </w:rPr>
        <w:t>–</w:t>
      </w:r>
      <w:r>
        <w:rPr>
          <w:rFonts w:ascii="Times New Roman" w:hAnsi="Times New Roman" w:cs="Times New Roman"/>
        </w:rPr>
        <w:t>2024), includ</w:t>
      </w:r>
      <w:r>
        <w:rPr>
          <w:rFonts w:ascii="Times New Roman" w:hAnsi="Times New Roman" w:cs="Times New Roman"/>
          <w:highlight w:val="yellow"/>
        </w:rPr>
        <w:t>ing</w:t>
      </w:r>
      <w:r>
        <w:rPr>
          <w:rFonts w:ascii="Times New Roman" w:hAnsi="Times New Roman" w:cs="Times New Roman"/>
        </w:rPr>
        <w:t xml:space="preserve"> the post</w:t>
      </w:r>
      <w:r>
        <w:rPr>
          <w:rFonts w:ascii="Times New Roman" w:hAnsi="Times New Roman" w:cs="Times New Roman"/>
          <w:highlight w:val="yellow"/>
        </w:rPr>
        <w:t>-</w:t>
      </w:r>
      <w:r>
        <w:rPr>
          <w:rFonts w:ascii="Times New Roman" w:hAnsi="Times New Roman" w:cs="Times New Roman"/>
        </w:rPr>
        <w:t>oil</w:t>
      </w:r>
      <w:r>
        <w:rPr>
          <w:rFonts w:ascii="Times New Roman" w:hAnsi="Times New Roman" w:cs="Times New Roman"/>
          <w:highlight w:val="yellow"/>
        </w:rPr>
        <w:t>-</w:t>
      </w:r>
      <w:r>
        <w:rPr>
          <w:rFonts w:ascii="Times New Roman" w:hAnsi="Times New Roman" w:cs="Times New Roman"/>
        </w:rPr>
        <w:t>price</w:t>
      </w:r>
      <w:r>
        <w:rPr>
          <w:rFonts w:ascii="Times New Roman" w:hAnsi="Times New Roman" w:cs="Times New Roman"/>
          <w:highlight w:val="yellow"/>
        </w:rPr>
        <w:t>-</w:t>
      </w:r>
      <w:r>
        <w:rPr>
          <w:rFonts w:ascii="Times New Roman" w:hAnsi="Times New Roman" w:cs="Times New Roman"/>
        </w:rPr>
        <w:t xml:space="preserve">crash period, several recessions, significant monetary policy changes, and the structural transformation of </w:t>
      </w:r>
      <w:r>
        <w:rPr>
          <w:rFonts w:ascii="Times New Roman" w:hAnsi="Times New Roman" w:cs="Times New Roman"/>
          <w:highlight w:val="yellow"/>
        </w:rPr>
        <w:t>Nig</w:t>
      </w:r>
      <w:r>
        <w:rPr>
          <w:rFonts w:ascii="Times New Roman" w:hAnsi="Times New Roman" w:cs="Times New Roman"/>
        </w:rPr>
        <w:t>e</w:t>
      </w:r>
      <w:r>
        <w:rPr>
          <w:rFonts w:ascii="Times New Roman" w:hAnsi="Times New Roman" w:cs="Times New Roman"/>
          <w:highlight w:val="yellow"/>
        </w:rPr>
        <w:t>ria's</w:t>
      </w:r>
      <w:r>
        <w:rPr>
          <w:rFonts w:ascii="Times New Roman" w:hAnsi="Times New Roman" w:cs="Times New Roman"/>
        </w:rPr>
        <w:t xml:space="preserve"> economy.</w:t>
      </w:r>
    </w:p>
    <w:p w14:paraId="52CEA70C"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3.2 </w:t>
      </w:r>
      <w:r w:rsidR="00965A0A" w:rsidRPr="00DA0907">
        <w:rPr>
          <w:rFonts w:ascii="Times New Roman" w:hAnsi="Times New Roman" w:cs="Times New Roman"/>
          <w:b/>
          <w:bCs/>
        </w:rPr>
        <w:t>Population and Sample</w:t>
      </w:r>
    </w:p>
    <w:p w14:paraId="5CEB4AFA"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The population consists of all firms listed on the Nigerian Exchange Group (NGX) as at December 2024, c</w:t>
      </w:r>
      <w:r>
        <w:rPr>
          <w:rFonts w:ascii="Times New Roman" w:hAnsi="Times New Roman" w:cs="Times New Roman"/>
          <w:highlight w:val="yellow"/>
        </w:rPr>
        <w:t>ompr</w:t>
      </w:r>
      <w:r>
        <w:rPr>
          <w:rFonts w:ascii="Times New Roman" w:hAnsi="Times New Roman" w:cs="Times New Roman"/>
        </w:rPr>
        <w:t>is</w:t>
      </w:r>
      <w:r>
        <w:rPr>
          <w:rFonts w:ascii="Times New Roman" w:hAnsi="Times New Roman" w:cs="Times New Roman"/>
          <w:highlight w:val="yellow"/>
        </w:rPr>
        <w:t>ing</w:t>
      </w:r>
      <w:r>
        <w:rPr>
          <w:rFonts w:ascii="Times New Roman" w:hAnsi="Times New Roman" w:cs="Times New Roman"/>
        </w:rPr>
        <w:t xml:space="preserve"> 138 equities </w:t>
      </w:r>
      <w:r>
        <w:rPr>
          <w:rFonts w:ascii="Times New Roman" w:hAnsi="Times New Roman" w:cs="Times New Roman"/>
          <w:highlight w:val="yellow"/>
        </w:rPr>
        <w:t>ac</w:t>
      </w:r>
      <w:r>
        <w:rPr>
          <w:rFonts w:ascii="Times New Roman" w:hAnsi="Times New Roman" w:cs="Times New Roman"/>
        </w:rPr>
        <w:t>ro</w:t>
      </w:r>
      <w:r>
        <w:rPr>
          <w:rFonts w:ascii="Times New Roman" w:hAnsi="Times New Roman" w:cs="Times New Roman"/>
          <w:highlight w:val="yellow"/>
        </w:rPr>
        <w:t>ss</w:t>
      </w:r>
      <w:r>
        <w:rPr>
          <w:rFonts w:ascii="Times New Roman" w:hAnsi="Times New Roman" w:cs="Times New Roman"/>
        </w:rPr>
        <w:t xml:space="preserve"> 13 sectors (Nigerian Exchange Group, 2024). </w:t>
      </w:r>
      <w:r>
        <w:rPr>
          <w:rFonts w:ascii="Times New Roman" w:hAnsi="Times New Roman" w:cs="Times New Roman"/>
          <w:highlight w:val="yellow"/>
        </w:rPr>
        <w:t>A p</w:t>
      </w:r>
      <w:r>
        <w:rPr>
          <w:rFonts w:ascii="Times New Roman" w:hAnsi="Times New Roman" w:cs="Times New Roman"/>
        </w:rPr>
        <w:t>urposive sampling technique was used t</w:t>
      </w:r>
      <w:r>
        <w:rPr>
          <w:rFonts w:ascii="Times New Roman" w:hAnsi="Times New Roman" w:cs="Times New Roman"/>
          <w:highlight w:val="yellow"/>
        </w:rPr>
        <w:t>o</w:t>
      </w:r>
      <w:r>
        <w:rPr>
          <w:rFonts w:ascii="Times New Roman" w:hAnsi="Times New Roman" w:cs="Times New Roman"/>
        </w:rPr>
        <w:t xml:space="preserve"> select firms based on data availability, continuous listing during the study period and sector representation. Firms </w:t>
      </w:r>
      <w:r>
        <w:rPr>
          <w:rFonts w:ascii="Times New Roman" w:hAnsi="Times New Roman" w:cs="Times New Roman"/>
          <w:highlight w:val="yellow"/>
        </w:rPr>
        <w:t>wi</w:t>
      </w:r>
      <w:r>
        <w:rPr>
          <w:rFonts w:ascii="Times New Roman" w:hAnsi="Times New Roman" w:cs="Times New Roman"/>
        </w:rPr>
        <w:t>th</w:t>
      </w:r>
      <w:r>
        <w:rPr>
          <w:rFonts w:ascii="Times New Roman" w:hAnsi="Times New Roman" w:cs="Times New Roman"/>
          <w:highlight w:val="yellow"/>
        </w:rPr>
        <w:t>ou</w:t>
      </w:r>
      <w:r>
        <w:rPr>
          <w:rFonts w:ascii="Times New Roman" w:hAnsi="Times New Roman" w:cs="Times New Roman"/>
        </w:rPr>
        <w:t>t annual returns data for two or more years were excluded. The final sample consists of 72 firms</w:t>
      </w:r>
      <w:r>
        <w:rPr>
          <w:rFonts w:ascii="Times New Roman" w:hAnsi="Times New Roman" w:cs="Times New Roman"/>
          <w:highlight w:val="yellow"/>
        </w:rPr>
        <w:t>, including 47 firms</w:t>
      </w:r>
      <w:r>
        <w:rPr>
          <w:rFonts w:ascii="Times New Roman" w:hAnsi="Times New Roman" w:cs="Times New Roman"/>
        </w:rPr>
        <w:t xml:space="preserve"> across five major sectors</w:t>
      </w:r>
      <w:r>
        <w:rPr>
          <w:rFonts w:ascii="Times New Roman" w:hAnsi="Times New Roman" w:cs="Times New Roman"/>
          <w:highlight w:val="yellow"/>
        </w:rPr>
        <w:t>,</w:t>
      </w:r>
      <w:r>
        <w:rPr>
          <w:rFonts w:ascii="Times New Roman" w:hAnsi="Times New Roman" w:cs="Times New Roman"/>
        </w:rPr>
        <w:t xml:space="preserve"> namely Agriculture (4 firms), Banking (12 firms), Consumer Goods (15 firms), Industrial Goods (10 firms) and Oil and Gas (6 firms)</w:t>
      </w:r>
      <w:r>
        <w:rPr>
          <w:rFonts w:ascii="Times New Roman" w:hAnsi="Times New Roman" w:cs="Times New Roman"/>
          <w:highlight w:val="yellow"/>
        </w:rPr>
        <w:t>, together</w:t>
      </w:r>
      <w:r>
        <w:rPr>
          <w:rFonts w:ascii="Times New Roman" w:hAnsi="Times New Roman" w:cs="Times New Roman"/>
        </w:rPr>
        <w:t xml:space="preserve"> with 25 firms from other sectors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y</w:t>
      </w:r>
      <w:r>
        <w:rPr>
          <w:rFonts w:ascii="Times New Roman" w:hAnsi="Times New Roman" w:cs="Times New Roman"/>
        </w:rPr>
        <w:t>i</w:t>
      </w:r>
      <w:r>
        <w:rPr>
          <w:rFonts w:ascii="Times New Roman" w:hAnsi="Times New Roman" w:cs="Times New Roman"/>
          <w:highlight w:val="yellow"/>
        </w:rPr>
        <w:t>eld</w:t>
      </w:r>
      <w:r>
        <w:rPr>
          <w:rFonts w:ascii="Times New Roman" w:hAnsi="Times New Roman" w:cs="Times New Roman"/>
        </w:rPr>
        <w:t>ing 720 firm-year observations (Nigerian Exchange Group, 2025).</w:t>
      </w:r>
    </w:p>
    <w:p w14:paraId="49A84DEF"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3.3 </w:t>
      </w:r>
      <w:r w:rsidR="00965A0A" w:rsidRPr="00DA0907">
        <w:rPr>
          <w:rFonts w:ascii="Times New Roman" w:hAnsi="Times New Roman" w:cs="Times New Roman"/>
          <w:b/>
          <w:bCs/>
        </w:rPr>
        <w:t>Data Sources</w:t>
      </w:r>
    </w:p>
    <w:p w14:paraId="58C29FFE"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study is based on secondary data from various institutional sources. </w:t>
      </w:r>
      <w:r>
        <w:rPr>
          <w:rFonts w:ascii="Times New Roman" w:hAnsi="Times New Roman" w:cs="Times New Roman"/>
          <w:highlight w:val="yellow"/>
        </w:rPr>
        <w:t>D</w:t>
      </w:r>
      <w:r>
        <w:rPr>
          <w:rFonts w:ascii="Times New Roman" w:hAnsi="Times New Roman" w:cs="Times New Roman"/>
        </w:rPr>
        <w:t>ata on stock returns w</w:t>
      </w:r>
      <w:r>
        <w:rPr>
          <w:rFonts w:ascii="Times New Roman" w:hAnsi="Times New Roman" w:cs="Times New Roman"/>
          <w:highlight w:val="yellow"/>
        </w:rPr>
        <w:t>ere</w:t>
      </w:r>
      <w:r>
        <w:rPr>
          <w:rFonts w:ascii="Times New Roman" w:hAnsi="Times New Roman" w:cs="Times New Roman"/>
        </w:rPr>
        <w:t xml:space="preserve"> sourced from the NGX market data portal and annual factbooks (Nigerian Exchange Group, 2024, 2025). </w:t>
      </w:r>
      <w:r>
        <w:rPr>
          <w:rFonts w:ascii="Times New Roman" w:hAnsi="Times New Roman" w:cs="Times New Roman"/>
          <w:highlight w:val="yellow"/>
        </w:rPr>
        <w:t>D</w:t>
      </w:r>
      <w:r>
        <w:rPr>
          <w:rFonts w:ascii="Times New Roman" w:hAnsi="Times New Roman" w:cs="Times New Roman"/>
        </w:rPr>
        <w:t>ata on inflation (annual Consumer Price Index inflation rate) were sourced from National Bureau of Statistics reports (National Bureau of Statistics, 2024, 2025) and Central Bank of Nigeria statistical bulletins (Central Bank of Nigeria, 2025a)</w:t>
      </w:r>
      <w:r>
        <w:rPr>
          <w:rFonts w:ascii="Times New Roman" w:hAnsi="Times New Roman" w:cs="Times New Roman"/>
          <w:highlight w:val="yellow"/>
        </w:rPr>
      </w:r>
      <w:r>
        <w:rPr>
          <w:rFonts w:ascii="Times New Roman" w:hAnsi="Times New Roman" w:cs="Times New Roman"/>
        </w:rPr>
        <w:t>. CBN annual reports and statistical bulletins were used to obtain exchange rate and interest rate data. Data on total assets, total liabilities and return on assets were retrieved from annual reports and financial statements</w:t>
      </w:r>
      <w:r>
        <w:rPr>
          <w:rFonts w:ascii="Times New Roman" w:hAnsi="Times New Roman" w:cs="Times New Roman"/>
          <w:highlight w:val="yellow"/>
        </w:rPr>
        <w:t xml:space="preserve"> available</w:t>
      </w:r>
      <w:r>
        <w:rPr>
          <w:rFonts w:ascii="Times New Roman" w:hAnsi="Times New Roman" w:cs="Times New Roman"/>
        </w:rPr>
        <w:t xml:space="preserve"> on the NGX website and individual company websites. Data on GDP growth were obtained from the National Bureau of Statistics and World Bank Development Indicators (World Bank, 2024).</w:t>
      </w:r>
    </w:p>
    <w:p w14:paraId="3D80A8C4"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3.4 </w:t>
      </w:r>
      <w:r w:rsidR="00965A0A" w:rsidRPr="00DA0907">
        <w:rPr>
          <w:rFonts w:ascii="Times New Roman" w:hAnsi="Times New Roman" w:cs="Times New Roman"/>
          <w:b/>
          <w:bCs/>
        </w:rPr>
        <w:t>Variable Measurement</w:t>
      </w:r>
    </w:p>
    <w:p w14:paraId="0BD74AB6"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2</w:t>
      </w:r>
      <w:r w:rsidRPr="00DA0907">
        <w:rPr>
          <w:rFonts w:ascii="Times New Roman" w:hAnsi="Times New Roman" w:cs="Times New Roman"/>
          <w:b/>
          <w:bCs/>
        </w:rPr>
        <w:t>: Variable Definitions and Measurement</w:t>
      </w:r>
    </w:p>
    <w:tbl>
      <w:tblPr>
        <w:tblStyle w:val="GridTable1Light"/>
        <w:tblW w:w="0" w:type="auto"/>
        <w:tblLook w:val="04A0" w:firstRow="1" w:lastRow="0" w:firstColumn="1" w:lastColumn="0" w:noHBand="0" w:noVBand="1"/>
      </w:tblPr>
      <w:tblGrid>
        <w:gridCol w:w="1985"/>
        <w:gridCol w:w="1096"/>
        <w:gridCol w:w="3377"/>
        <w:gridCol w:w="1462"/>
        <w:gridCol w:w="1430"/>
      </w:tblGrid>
      <w:tr w:rsidR="00965A0A" w:rsidRPr="00DA0907" w14:paraId="4CDD2652"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59E3FC"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5C8C1968"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Symbol</w:t>
            </w:r>
          </w:p>
        </w:tc>
        <w:tc>
          <w:tcPr>
            <w:tcW w:w="0" w:type="auto"/>
            <w:hideMark/>
          </w:tcPr>
          <w:p w14:paraId="05B782FA"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Measurement</w:t>
            </w:r>
          </w:p>
        </w:tc>
        <w:tc>
          <w:tcPr>
            <w:tcW w:w="0" w:type="auto"/>
            <w:hideMark/>
          </w:tcPr>
          <w:p w14:paraId="6C285C47"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Data Source</w:t>
            </w:r>
          </w:p>
        </w:tc>
        <w:tc>
          <w:tcPr>
            <w:tcW w:w="0" w:type="auto"/>
            <w:hideMark/>
          </w:tcPr>
          <w:p w14:paraId="6368F71E"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Expected Sign</w:t>
            </w:r>
          </w:p>
        </w:tc>
      </w:tr>
      <w:tr w:rsidR="00965A0A" w:rsidRPr="00DA0907" w14:paraId="66BEAC0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B13EB42"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Dependent Variable</w:t>
            </w:r>
          </w:p>
        </w:tc>
        <w:tc>
          <w:tcPr>
            <w:tcW w:w="0" w:type="auto"/>
            <w:hideMark/>
          </w:tcPr>
          <w:p w14:paraId="26352A2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09EF89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DB31A8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B0CD7C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7FF8A58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BD9A3EA"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Sectoral stock returns</w:t>
            </w:r>
          </w:p>
        </w:tc>
        <w:tc>
          <w:tcPr>
            <w:tcW w:w="0" w:type="auto"/>
            <w:hideMark/>
          </w:tcPr>
          <w:p w14:paraId="2772240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RET</w:t>
            </w:r>
          </w:p>
        </w:tc>
        <w:tc>
          <w:tcPr>
            <w:tcW w:w="0" w:type="auto"/>
            <w:hideMark/>
          </w:tcPr>
          <w:p w14:paraId="60DCAFC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A0907">
              <w:rPr>
                <w:rFonts w:ascii="Times New Roman" w:hAnsi="Times New Roman" w:cs="Times New Roman"/>
              </w:rPr>
              <w:t>Annualised</w:t>
            </w:r>
            <w:proofErr w:type="spellEnd"/>
            <w:r w:rsidRPr="00DA0907">
              <w:rPr>
                <w:rFonts w:ascii="Times New Roman" w:hAnsi="Times New Roman" w:cs="Times New Roman"/>
              </w:rPr>
              <w:t xml:space="preserve"> sectoral index return: ln(Pₜ/Pₜ₋₁) × 100</w:t>
            </w:r>
          </w:p>
        </w:tc>
        <w:tc>
          <w:tcPr>
            <w:tcW w:w="0" w:type="auto"/>
            <w:hideMark/>
          </w:tcPr>
          <w:p w14:paraId="0D4F541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NGX</w:t>
            </w:r>
          </w:p>
        </w:tc>
        <w:tc>
          <w:tcPr>
            <w:tcW w:w="0" w:type="auto"/>
            <w:hideMark/>
          </w:tcPr>
          <w:p w14:paraId="375982B8" w14:textId="77777777" w:rsidR="00965A0A" w:rsidRPr="00DA0907" w:rsidRDefault="002437DD"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2F1AE26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0F43B31"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Independent Variables</w:t>
            </w:r>
          </w:p>
        </w:tc>
        <w:tc>
          <w:tcPr>
            <w:tcW w:w="0" w:type="auto"/>
            <w:hideMark/>
          </w:tcPr>
          <w:p w14:paraId="348F6AF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D0861D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59EA36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1F069E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0716372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56CB1C8"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Inflation rate</w:t>
            </w:r>
          </w:p>
        </w:tc>
        <w:tc>
          <w:tcPr>
            <w:tcW w:w="0" w:type="auto"/>
            <w:hideMark/>
          </w:tcPr>
          <w:p w14:paraId="25ED251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w:t>
            </w:r>
          </w:p>
        </w:tc>
        <w:tc>
          <w:tcPr>
            <w:tcW w:w="0" w:type="auto"/>
            <w:hideMark/>
          </w:tcPr>
          <w:p w14:paraId="15B5B31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CPI inflation rate (%)</w:t>
            </w:r>
          </w:p>
        </w:tc>
        <w:tc>
          <w:tcPr>
            <w:tcW w:w="0" w:type="auto"/>
            <w:hideMark/>
          </w:tcPr>
          <w:p w14:paraId="76A5106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 CBN</w:t>
            </w:r>
          </w:p>
        </w:tc>
        <w:tc>
          <w:tcPr>
            <w:tcW w:w="0" w:type="auto"/>
            <w:hideMark/>
          </w:tcPr>
          <w:p w14:paraId="3572904A" w14:textId="77777777" w:rsidR="00965A0A" w:rsidRPr="00DA0907" w:rsidRDefault="002437DD"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769EE6B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A4DDB6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Inflation volatility</w:t>
            </w:r>
          </w:p>
        </w:tc>
        <w:tc>
          <w:tcPr>
            <w:tcW w:w="0" w:type="auto"/>
            <w:hideMark/>
          </w:tcPr>
          <w:p w14:paraId="17E8012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INFVOL</w:t>
            </w:r>
          </w:p>
        </w:tc>
        <w:tc>
          <w:tcPr>
            <w:tcW w:w="0" w:type="auto"/>
            <w:hideMark/>
          </w:tcPr>
          <w:p w14:paraId="3A7FED5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Standard deviation of monthly inflation rates (%)</w:t>
            </w:r>
          </w:p>
        </w:tc>
        <w:tc>
          <w:tcPr>
            <w:tcW w:w="0" w:type="auto"/>
            <w:hideMark/>
          </w:tcPr>
          <w:p w14:paraId="58C0C55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w:t>
            </w:r>
          </w:p>
        </w:tc>
        <w:tc>
          <w:tcPr>
            <w:tcW w:w="0" w:type="auto"/>
            <w:hideMark/>
          </w:tcPr>
          <w:p w14:paraId="7660B223" w14:textId="77777777" w:rsidR="00965A0A" w:rsidRPr="00DA0907" w:rsidRDefault="002437DD"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4AC14FE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906F4F1"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Control Variables</w:t>
            </w:r>
          </w:p>
        </w:tc>
        <w:tc>
          <w:tcPr>
            <w:tcW w:w="0" w:type="auto"/>
            <w:hideMark/>
          </w:tcPr>
          <w:p w14:paraId="2AEFAD6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7DAFDF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74DA82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938953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C39B48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522FA20"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Exchange rate</w:t>
            </w:r>
          </w:p>
        </w:tc>
        <w:tc>
          <w:tcPr>
            <w:tcW w:w="0" w:type="auto"/>
            <w:hideMark/>
          </w:tcPr>
          <w:p w14:paraId="59E29A1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EXR</w:t>
            </w:r>
          </w:p>
        </w:tc>
        <w:tc>
          <w:tcPr>
            <w:tcW w:w="0" w:type="auto"/>
            <w:hideMark/>
          </w:tcPr>
          <w:p w14:paraId="653DE63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average official exchange rate (₦/US$)</w:t>
            </w:r>
          </w:p>
        </w:tc>
        <w:tc>
          <w:tcPr>
            <w:tcW w:w="0" w:type="auto"/>
            <w:hideMark/>
          </w:tcPr>
          <w:p w14:paraId="12B62DA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CBN</w:t>
            </w:r>
          </w:p>
        </w:tc>
        <w:tc>
          <w:tcPr>
            <w:tcW w:w="0" w:type="auto"/>
            <w:hideMark/>
          </w:tcPr>
          <w:p w14:paraId="7202B07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r w:rsidR="002437DD" w:rsidRPr="00DA0907">
              <w:rPr>
                <w:rFonts w:ascii="Segoe UI" w:hAnsi="Segoe UI" w:cs="Segoe UI"/>
                <w:color w:val="0F1115"/>
                <w:sz w:val="23"/>
                <w:szCs w:val="23"/>
                <w:shd w:val="clear" w:color="auto" w:fill="FFFFFF"/>
              </w:rPr>
              <w:t xml:space="preserve"> </w:t>
            </w:r>
            <w:r w:rsidR="002437DD" w:rsidRPr="00DA0907">
              <w:rPr>
                <w:rFonts w:ascii="Times New Roman" w:hAnsi="Times New Roman" w:cs="Times New Roman"/>
              </w:rPr>
              <w:t>-</w:t>
            </w:r>
          </w:p>
        </w:tc>
      </w:tr>
      <w:tr w:rsidR="00965A0A" w:rsidRPr="00DA0907" w14:paraId="2ED45A5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CCF8877"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Interest rate</w:t>
            </w:r>
          </w:p>
        </w:tc>
        <w:tc>
          <w:tcPr>
            <w:tcW w:w="0" w:type="auto"/>
            <w:hideMark/>
          </w:tcPr>
          <w:p w14:paraId="40B32CF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INT</w:t>
            </w:r>
          </w:p>
        </w:tc>
        <w:tc>
          <w:tcPr>
            <w:tcW w:w="0" w:type="auto"/>
            <w:hideMark/>
          </w:tcPr>
          <w:p w14:paraId="34D0398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average monetary policy rate (%)</w:t>
            </w:r>
          </w:p>
        </w:tc>
        <w:tc>
          <w:tcPr>
            <w:tcW w:w="0" w:type="auto"/>
            <w:hideMark/>
          </w:tcPr>
          <w:p w14:paraId="333B9BF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CBN</w:t>
            </w:r>
          </w:p>
        </w:tc>
        <w:tc>
          <w:tcPr>
            <w:tcW w:w="0" w:type="auto"/>
            <w:hideMark/>
          </w:tcPr>
          <w:p w14:paraId="10DAA40E" w14:textId="77777777" w:rsidR="00965A0A" w:rsidRPr="00DA0907" w:rsidRDefault="002437DD"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51D5D59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39AB0B8"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 growth</w:t>
            </w:r>
          </w:p>
        </w:tc>
        <w:tc>
          <w:tcPr>
            <w:tcW w:w="0" w:type="auto"/>
            <w:hideMark/>
          </w:tcPr>
          <w:p w14:paraId="007A590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GDP</w:t>
            </w:r>
          </w:p>
        </w:tc>
        <w:tc>
          <w:tcPr>
            <w:tcW w:w="0" w:type="auto"/>
            <w:hideMark/>
          </w:tcPr>
          <w:p w14:paraId="70B59D9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real GDP growth rate (%)</w:t>
            </w:r>
          </w:p>
        </w:tc>
        <w:tc>
          <w:tcPr>
            <w:tcW w:w="0" w:type="auto"/>
            <w:hideMark/>
          </w:tcPr>
          <w:p w14:paraId="026B40A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 World Bank</w:t>
            </w:r>
          </w:p>
        </w:tc>
        <w:tc>
          <w:tcPr>
            <w:tcW w:w="0" w:type="auto"/>
            <w:hideMark/>
          </w:tcPr>
          <w:p w14:paraId="679B749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4EF1A4B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36F42C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Firm size</w:t>
            </w:r>
          </w:p>
        </w:tc>
        <w:tc>
          <w:tcPr>
            <w:tcW w:w="0" w:type="auto"/>
            <w:hideMark/>
          </w:tcPr>
          <w:p w14:paraId="2E61354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SIZE</w:t>
            </w:r>
          </w:p>
        </w:tc>
        <w:tc>
          <w:tcPr>
            <w:tcW w:w="0" w:type="auto"/>
            <w:hideMark/>
          </w:tcPr>
          <w:p w14:paraId="62463AC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Natural logarithm of total assets</w:t>
            </w:r>
          </w:p>
        </w:tc>
        <w:tc>
          <w:tcPr>
            <w:tcW w:w="0" w:type="auto"/>
            <w:hideMark/>
          </w:tcPr>
          <w:p w14:paraId="3B4A283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26F638E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6981198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74A2162"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Leverage</w:t>
            </w:r>
          </w:p>
        </w:tc>
        <w:tc>
          <w:tcPr>
            <w:tcW w:w="0" w:type="auto"/>
            <w:hideMark/>
          </w:tcPr>
          <w:p w14:paraId="61EF78F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LEV</w:t>
            </w:r>
          </w:p>
        </w:tc>
        <w:tc>
          <w:tcPr>
            <w:tcW w:w="0" w:type="auto"/>
            <w:hideMark/>
          </w:tcPr>
          <w:p w14:paraId="3B00060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Total liabilities / total assets</w:t>
            </w:r>
          </w:p>
        </w:tc>
        <w:tc>
          <w:tcPr>
            <w:tcW w:w="0" w:type="auto"/>
            <w:hideMark/>
          </w:tcPr>
          <w:p w14:paraId="0AF3144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2A5DBF50" w14:textId="77777777" w:rsidR="00965A0A" w:rsidRPr="00DA0907" w:rsidRDefault="002437DD"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6E7C1D1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8BD5C76"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Profitability</w:t>
            </w:r>
          </w:p>
        </w:tc>
        <w:tc>
          <w:tcPr>
            <w:tcW w:w="0" w:type="auto"/>
            <w:hideMark/>
          </w:tcPr>
          <w:p w14:paraId="3390DD7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ROA</w:t>
            </w:r>
          </w:p>
        </w:tc>
        <w:tc>
          <w:tcPr>
            <w:tcW w:w="0" w:type="auto"/>
            <w:hideMark/>
          </w:tcPr>
          <w:p w14:paraId="578D7D8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Net income / total assets (%)</w:t>
            </w:r>
          </w:p>
        </w:tc>
        <w:tc>
          <w:tcPr>
            <w:tcW w:w="0" w:type="auto"/>
            <w:hideMark/>
          </w:tcPr>
          <w:p w14:paraId="6A1515E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45F54C4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bl>
    <w:p w14:paraId="2A746793"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compilation, 2025</w:t>
      </w:r>
    </w:p>
    <w:p w14:paraId="4EB64E0A" w14:textId="77777777" w:rsidR="00965A0A" w:rsidRPr="00DA0907" w:rsidRDefault="004079F8" w:rsidP="007417AA">
      <w:pPr>
        <w:tabs>
          <w:tab w:val="left" w:pos="2070"/>
        </w:tabs>
        <w:spacing w:line="360" w:lineRule="auto"/>
        <w:jc w:val="both"/>
        <w:rPr>
          <w:rFonts w:ascii="Times New Roman" w:hAnsi="Times New Roman" w:cs="Times New Roman"/>
          <w:b/>
          <w:bCs/>
        </w:rPr>
      </w:pPr>
      <w:r>
        <w:rPr>
          <w:rFonts w:ascii="Times New Roman" w:hAnsi="Times New Roman" w:cs="Times New Roman"/>
          <w:b/>
          <w:bCs/>
        </w:rPr>
        <w:t>3.5</w:t>
      </w:r>
      <w:r>
        <w:rPr>
          <w:rFonts w:ascii="Times New Roman" w:hAnsi="Times New Roman" w:cs="Times New Roman"/>
          <w:b/>
          <w:bCs/>
          <w:highlight w:val="yellow"/>
        </w:rPr>
        <w:t xml:space="preserve"> </w:t>
      </w:r>
      <w:r>
        <w:rPr>
          <w:rFonts w:ascii="Times New Roman" w:hAnsi="Times New Roman" w:cs="Times New Roman"/>
          <w:b/>
          <w:bCs/>
        </w:rPr>
        <w:t>Model Specification</w:t>
      </w:r>
    </w:p>
    <w:p w14:paraId="42DCB517"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The study adopts a panel regression model to investigate the impact of inflation and other macroeconomic variables on sectoral stock returns:</w:t>
      </w:r>
    </w:p>
    <w:p w14:paraId="281C1CEE"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lastRenderedPageBreak/>
        <w:t>RETᵢₜ = α + β₁INFₜ + β₂INFVOLₜ + β₃EXRₜ + β₄INTₜ + β₅GDPₜ + β₆SIZEᵢₜ + β₇LEVᵢₜ + β₈ROAᵢₜ + μᵢ + λₜ + εᵢₜ</w:t>
      </w:r>
    </w:p>
    <w:p w14:paraId="598EADAD" w14:textId="77777777" w:rsidR="00AD5C18" w:rsidRPr="00DA0907" w:rsidRDefault="00965A0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where RETᵢₜ is the stock return of firm </w:t>
      </w:r>
      <w:proofErr w:type="spellStart"/>
      <w:r>
        <w:rPr>
          <w:rFonts w:ascii="Times New Roman" w:hAnsi="Times New Roman" w:cs="Times New Roman"/>
        </w:rPr>
        <w:t>i</w:t>
      </w:r>
      <w:proofErr w:type="spellEnd"/>
      <w:r>
        <w:rPr>
          <w:rFonts w:ascii="Times New Roman" w:hAnsi="Times New Roman" w:cs="Times New Roman"/>
        </w:rPr>
        <w:t xml:space="preserve"> in year t; INFₜ, INFVOLₜ, EXRₜ, INTₜ, and GDPₜ are the macroeconomic explanatory variables; SIZEᵢₜ, LEVᵢₜ, and ROAᵢₜ are firm-level control variables; μᵢ captures firm-specific fixed effects; λₜ captures time fixed effects; and εᵢₜ is the idiosyncratic error term. </w:t>
      </w:r>
      <w:r>
        <w:rPr>
          <w:rFonts w:ascii="Times New Roman" w:hAnsi="Times New Roman" w:cs="Times New Roman"/>
          <w:highlight w:val="yellow"/>
        </w:rPr>
        <w:t>T</w:t>
      </w:r>
      <w:r>
        <w:rPr>
          <w:rFonts w:ascii="Times New Roman" w:hAnsi="Times New Roman" w:cs="Times New Roman"/>
        </w:rPr>
        <w:t>o explore sectoral heterogeneity, sectoral regressions were also estimated for each of the five major sectors.</w:t>
      </w:r>
    </w:p>
    <w:p w14:paraId="51A9B02C" w14:textId="77777777" w:rsidR="000F4859" w:rsidRPr="00DA0907" w:rsidRDefault="000F4859"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noProof/>
        </w:rPr>
        <w:drawing>
          <wp:inline distT="0" distB="0" distL="0" distR="0" wp14:anchorId="09BC5703" wp14:editId="0FDA2A63">
            <wp:extent cx="5943600" cy="4020820"/>
            <wp:effectExtent l="0" t="0" r="0" b="0"/>
            <wp:docPr id="82768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85846" name="Picture 8276858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020820"/>
                    </a:xfrm>
                    <a:prstGeom prst="rect">
                      <a:avLst/>
                    </a:prstGeom>
                  </pic:spPr>
                </pic:pic>
              </a:graphicData>
            </a:graphic>
          </wp:inline>
        </w:drawing>
      </w:r>
    </w:p>
    <w:p w14:paraId="75D85828" w14:textId="77777777" w:rsidR="000F4859" w:rsidRPr="00DA0907" w:rsidRDefault="000F4859" w:rsidP="007417AA">
      <w:pPr>
        <w:tabs>
          <w:tab w:val="left" w:pos="2070"/>
        </w:tabs>
        <w:spacing w:line="360" w:lineRule="auto"/>
        <w:jc w:val="both"/>
        <w:rPr>
          <w:rFonts w:ascii="Times New Roman" w:hAnsi="Times New Roman" w:cs="Times New Roman"/>
          <w:b/>
          <w:bCs/>
          <w:i/>
          <w:iCs/>
        </w:rPr>
      </w:pPr>
      <w:r w:rsidRPr="00DA0907">
        <w:rPr>
          <w:rFonts w:ascii="Times New Roman" w:hAnsi="Times New Roman" w:cs="Times New Roman"/>
          <w:b/>
          <w:bCs/>
          <w:i/>
          <w:iCs/>
        </w:rPr>
        <w:t xml:space="preserve">Figure 1. </w:t>
      </w:r>
      <w:r w:rsidRPr="00DA0907">
        <w:rPr>
          <w:rFonts w:ascii="Times New Roman" w:hAnsi="Times New Roman" w:cs="Times New Roman"/>
          <w:i/>
          <w:iCs/>
        </w:rPr>
        <w:t>Conceptual Framework of the Study</w:t>
      </w:r>
    </w:p>
    <w:p w14:paraId="07BADE03" w14:textId="77777777" w:rsidR="000F4859" w:rsidRPr="00DA0907" w:rsidRDefault="000F4859" w:rsidP="007417AA">
      <w:pPr>
        <w:tabs>
          <w:tab w:val="left" w:pos="2070"/>
        </w:tabs>
        <w:spacing w:line="360" w:lineRule="auto"/>
        <w:jc w:val="both"/>
        <w:rPr>
          <w:rFonts w:ascii="Times New Roman" w:hAnsi="Times New Roman" w:cs="Times New Roman"/>
          <w:b/>
          <w:bCs/>
          <w:i/>
          <w:iCs/>
        </w:rPr>
      </w:pPr>
      <w:r w:rsidRPr="00DA0907">
        <w:rPr>
          <w:rFonts w:ascii="Times New Roman" w:hAnsi="Times New Roman" w:cs="Times New Roman"/>
          <w:b/>
          <w:bCs/>
          <w:i/>
          <w:iCs/>
        </w:rPr>
        <w:t xml:space="preserve">Source: </w:t>
      </w:r>
      <w:r w:rsidRPr="00DA0907">
        <w:rPr>
          <w:rFonts w:ascii="Times New Roman" w:hAnsi="Times New Roman" w:cs="Times New Roman"/>
          <w:i/>
          <w:iCs/>
        </w:rPr>
        <w:t xml:space="preserve">Authors' </w:t>
      </w:r>
      <w:proofErr w:type="spellStart"/>
      <w:r w:rsidRPr="00DA0907">
        <w:rPr>
          <w:rFonts w:ascii="Times New Roman" w:hAnsi="Times New Roman" w:cs="Times New Roman"/>
          <w:i/>
          <w:iCs/>
        </w:rPr>
        <w:t>conceptualisation</w:t>
      </w:r>
      <w:proofErr w:type="spellEnd"/>
      <w:r w:rsidRPr="00DA0907">
        <w:rPr>
          <w:rFonts w:ascii="Times New Roman" w:hAnsi="Times New Roman" w:cs="Times New Roman"/>
          <w:i/>
          <w:iCs/>
        </w:rPr>
        <w:t>, 2025</w:t>
      </w:r>
    </w:p>
    <w:p w14:paraId="26E3C6B9"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3.6 </w:t>
      </w:r>
      <w:r w:rsidR="00965A0A" w:rsidRPr="00DA0907">
        <w:rPr>
          <w:rFonts w:ascii="Times New Roman" w:hAnsi="Times New Roman" w:cs="Times New Roman"/>
          <w:b/>
          <w:bCs/>
        </w:rPr>
        <w:t>Analytical Techniques</w:t>
      </w:r>
    </w:p>
    <w:p w14:paraId="0B4B7270" w14:textId="77777777" w:rsidR="00AD5C18" w:rsidRPr="00DA0907" w:rsidRDefault="00AD5C18" w:rsidP="007417AA">
      <w:pPr>
        <w:spacing w:line="360" w:lineRule="auto"/>
        <w:jc w:val="both"/>
        <w:rPr>
          <w:rFonts w:ascii="Times New Roman" w:hAnsi="Times New Roman" w:cs="Times New Roman"/>
        </w:rPr>
      </w:pPr>
      <w:r>
        <w:rPr>
          <w:rFonts w:ascii="Times New Roman" w:hAnsi="Times New Roman" w:cs="Times New Roman"/>
          <w:highlight w:val="yellow"/>
        </w:rPr>
        <w:t>D</w:t>
      </w:r>
      <w:r>
        <w:rPr>
          <w:rFonts w:ascii="Times New Roman" w:hAnsi="Times New Roman" w:cs="Times New Roman"/>
        </w:rPr>
        <w:t xml:space="preserve">escriptive statistics (mean, median, standard deviation, minimum and maximum) </w:t>
      </w:r>
      <w:r>
        <w:rPr>
          <w:rFonts w:ascii="Times New Roman" w:hAnsi="Times New Roman" w:cs="Times New Roman"/>
          <w:highlight w:val="yellow"/>
        </w:rPr>
        <w:t>were c</w:t>
      </w:r>
      <w:r>
        <w:rPr>
          <w:rFonts w:ascii="Times New Roman" w:hAnsi="Times New Roman" w:cs="Times New Roman"/>
        </w:rPr>
        <w:t>a</w:t>
      </w:r>
      <w:r>
        <w:rPr>
          <w:rFonts w:ascii="Times New Roman" w:hAnsi="Times New Roman" w:cs="Times New Roman"/>
          <w:highlight w:val="yellow"/>
        </w:rPr>
        <w:t>lculate</w:t>
      </w:r>
      <w:r>
        <w:rPr>
          <w:rFonts w:ascii="Times New Roman" w:hAnsi="Times New Roman" w:cs="Times New Roman"/>
        </w:rPr>
        <w:t xml:space="preserve">d </w:t>
      </w:r>
      <w:r>
        <w:rPr>
          <w:rFonts w:ascii="Times New Roman" w:hAnsi="Times New Roman" w:cs="Times New Roman"/>
          <w:highlight w:val="yellow"/>
        </w:rPr>
        <w:t>for all variables, af</w:t>
      </w:r>
      <w:r>
        <w:rPr>
          <w:rFonts w:ascii="Times New Roman" w:hAnsi="Times New Roman" w:cs="Times New Roman"/>
        </w:rPr>
        <w:t>t</w:t>
      </w:r>
      <w:r>
        <w:rPr>
          <w:rFonts w:ascii="Times New Roman" w:hAnsi="Times New Roman" w:cs="Times New Roman"/>
          <w:highlight w:val="yellow"/>
        </w:rPr>
        <w:t>er w</w:t>
      </w:r>
      <w:r>
        <w:rPr>
          <w:rFonts w:ascii="Times New Roman" w:hAnsi="Times New Roman" w:cs="Times New Roman"/>
        </w:rPr>
        <w:t>h</w:t>
      </w:r>
      <w:r>
        <w:rPr>
          <w:rFonts w:ascii="Times New Roman" w:hAnsi="Times New Roman" w:cs="Times New Roman"/>
          <w:highlight w:val="yellow"/>
        </w:rPr>
        <w:t>ich</w:t>
      </w:r>
      <w:r>
        <w:rPr>
          <w:rFonts w:ascii="Times New Roman" w:hAnsi="Times New Roman" w:cs="Times New Roman"/>
        </w:rPr>
        <w:t xml:space="preserve"> correlation analysis and Variance Inflation Factor (VIF) tests were used to </w:t>
      </w:r>
      <w:r>
        <w:rPr>
          <w:rFonts w:ascii="Times New Roman" w:hAnsi="Times New Roman" w:cs="Times New Roman"/>
          <w:highlight w:val="yellow"/>
        </w:rPr>
        <w:t>ass</w:t>
      </w:r>
      <w:r>
        <w:rPr>
          <w:rFonts w:ascii="Times New Roman" w:hAnsi="Times New Roman" w:cs="Times New Roman"/>
        </w:rPr>
        <w:t>e</w:t>
      </w:r>
      <w:r>
        <w:rPr>
          <w:rFonts w:ascii="Times New Roman" w:hAnsi="Times New Roman" w:cs="Times New Roman"/>
          <w:highlight w:val="yellow"/>
        </w:rPr>
        <w:t>ss</w:t>
      </w:r>
      <w:r>
        <w:rPr>
          <w:rFonts w:ascii="Times New Roman" w:hAnsi="Times New Roman" w:cs="Times New Roman"/>
        </w:rPr>
        <w:t xml:space="preserve"> multicollinearity. Fixed Effects (FE) and Random Effects (RE) specifications were </w:t>
      </w:r>
      <w:r>
        <w:rPr>
          <w:rFonts w:ascii="Times New Roman" w:hAnsi="Times New Roman" w:cs="Times New Roman"/>
        </w:rPr>
        <w:lastRenderedPageBreak/>
        <w:t>compared using the Hausman test</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while</w:t>
      </w:r>
      <w:r>
        <w:rPr>
          <w:rFonts w:ascii="Times New Roman" w:hAnsi="Times New Roman" w:cs="Times New Roman"/>
        </w:rPr>
        <w:t xml:space="preserve"> Pooled OLS </w:t>
      </w:r>
      <w:r>
        <w:rPr>
          <w:rFonts w:ascii="Times New Roman" w:hAnsi="Times New Roman" w:cs="Times New Roman"/>
          <w:highlight w:val="yellow"/>
        </w:rPr>
        <w:t>wa</w:t>
      </w:r>
      <w:r>
        <w:rPr>
          <w:rFonts w:ascii="Times New Roman" w:hAnsi="Times New Roman" w:cs="Times New Roman"/>
        </w:rPr>
        <w:t xml:space="preserve">s reported for comparison. </w:t>
      </w:r>
      <w:r>
        <w:rPr>
          <w:rFonts w:ascii="Times New Roman" w:hAnsi="Times New Roman" w:cs="Times New Roman"/>
          <w:highlight w:val="yellow"/>
        </w:rPr>
        <w:t>Robus</w:t>
      </w:r>
      <w:r>
        <w:rPr>
          <w:rFonts w:ascii="Times New Roman" w:hAnsi="Times New Roman" w:cs="Times New Roman"/>
        </w:rPr>
        <w:t xml:space="preserve">t standard errors </w:t>
      </w:r>
      <w:r>
        <w:rPr>
          <w:rFonts w:ascii="Times New Roman" w:hAnsi="Times New Roman" w:cs="Times New Roman"/>
          <w:highlight w:val="yellow"/>
        </w:rPr>
        <w:t>we</w:t>
      </w:r>
      <w:r>
        <w:rPr>
          <w:rFonts w:ascii="Times New Roman" w:hAnsi="Times New Roman" w:cs="Times New Roman"/>
        </w:rPr>
        <w:t xml:space="preserve">re </w:t>
      </w:r>
      <w:r>
        <w:rPr>
          <w:rFonts w:ascii="Times New Roman" w:hAnsi="Times New Roman" w:cs="Times New Roman"/>
          <w:highlight w:val="yellow"/>
        </w:rPr>
        <w:t>used t</w:t>
      </w:r>
      <w:r>
        <w:rPr>
          <w:rFonts w:ascii="Times New Roman" w:hAnsi="Times New Roman" w:cs="Times New Roman"/>
        </w:rPr>
        <w:t>o</w:t>
      </w:r>
      <w:r>
        <w:rPr>
          <w:rFonts w:ascii="Times New Roman" w:hAnsi="Times New Roman" w:cs="Times New Roman"/>
          <w:highlight w:val="yellow"/>
        </w:rPr>
        <w:t xml:space="preserve"> address</w:t>
      </w:r>
      <w:r>
        <w:rPr>
          <w:rFonts w:ascii="Times New Roman" w:hAnsi="Times New Roman" w:cs="Times New Roman"/>
        </w:rPr>
        <w:t xml:space="preserve"> heteroscedasticity and serial correlation </w:t>
      </w:r>
      <w:r>
        <w:rPr>
          <w:rFonts w:ascii="Times New Roman" w:hAnsi="Times New Roman" w:cs="Times New Roman"/>
          <w:highlight w:val="yellow"/>
        </w:rPr>
        <w:t>with</w:t>
      </w:r>
      <w:r>
        <w:rPr>
          <w:rFonts w:ascii="Times New Roman" w:hAnsi="Times New Roman" w:cs="Times New Roman"/>
        </w:rPr>
        <w:t>in panels. The robust</w:t>
      </w:r>
      <w:r>
        <w:rPr>
          <w:rFonts w:ascii="Times New Roman" w:hAnsi="Times New Roman" w:cs="Times New Roman"/>
          <w:highlight w:val="yellow"/>
        </w:rPr>
        <w:t>nes</w:t>
      </w:r>
      <w:r>
        <w:rPr>
          <w:rFonts w:ascii="Times New Roman" w:hAnsi="Times New Roman" w:cs="Times New Roman"/>
        </w:rPr>
        <w:t xml:space="preserve">s </w:t>
      </w:r>
      <w:r>
        <w:rPr>
          <w:rFonts w:ascii="Times New Roman" w:hAnsi="Times New Roman" w:cs="Times New Roman"/>
          <w:highlight w:val="yellow"/>
        </w:rPr>
        <w:t>o</w:t>
      </w:r>
      <w:r>
        <w:rPr>
          <w:rFonts w:ascii="Times New Roman" w:hAnsi="Times New Roman" w:cs="Times New Roman"/>
        </w:rPr>
        <w:t xml:space="preserve">f the results </w:t>
      </w:r>
      <w:r>
        <w:rPr>
          <w:rFonts w:ascii="Times New Roman" w:hAnsi="Times New Roman" w:cs="Times New Roman"/>
          <w:highlight w:val="yellow"/>
        </w:rPr>
        <w:t>was</w:t>
      </w:r>
      <w:r>
        <w:rPr>
          <w:rFonts w:ascii="Times New Roman" w:hAnsi="Times New Roman" w:cs="Times New Roman"/>
        </w:rPr>
        <w:t xml:space="preserve"> </w:t>
      </w:r>
      <w:r>
        <w:rPr>
          <w:rFonts w:ascii="Times New Roman" w:hAnsi="Times New Roman" w:cs="Times New Roman"/>
          <w:highlight w:val="yellow"/>
        </w:rPr>
        <w:t>a</w:t>
      </w:r>
      <w:r>
        <w:rPr>
          <w:rFonts w:ascii="Times New Roman" w:hAnsi="Times New Roman" w:cs="Times New Roman"/>
        </w:rPr>
        <w:t>s</w:t>
      </w:r>
      <w:r>
        <w:rPr>
          <w:rFonts w:ascii="Times New Roman" w:hAnsi="Times New Roman" w:cs="Times New Roman"/>
          <w:highlight w:val="yellow"/>
        </w:rPr>
        <w:t>s</w:t>
      </w:r>
      <w:r>
        <w:rPr>
          <w:rFonts w:ascii="Times New Roman" w:hAnsi="Times New Roman" w:cs="Times New Roman"/>
        </w:rPr>
        <w:t>ess</w:t>
      </w:r>
      <w:r>
        <w:rPr>
          <w:rFonts w:ascii="Times New Roman" w:hAnsi="Times New Roman" w:cs="Times New Roman"/>
          <w:highlight w:val="yellow"/>
        </w:rPr>
        <w:t>ed</w:t>
      </w:r>
      <w:r>
        <w:rPr>
          <w:rFonts w:ascii="Times New Roman" w:hAnsi="Times New Roman" w:cs="Times New Roman"/>
        </w:rPr>
        <w:t xml:space="preserve"> </w:t>
      </w:r>
      <w:r>
        <w:rPr>
          <w:rFonts w:ascii="Times New Roman" w:hAnsi="Times New Roman" w:cs="Times New Roman"/>
          <w:highlight w:val="yellow"/>
        </w:rPr>
        <w:t>u</w:t>
      </w:r>
      <w:r>
        <w:rPr>
          <w:rFonts w:ascii="Times New Roman" w:hAnsi="Times New Roman" w:cs="Times New Roman"/>
        </w:rPr>
        <w:t>s</w:t>
      </w:r>
      <w:r>
        <w:rPr>
          <w:rFonts w:ascii="Times New Roman" w:hAnsi="Times New Roman" w:cs="Times New Roman"/>
          <w:highlight w:val="yellow"/>
        </w:rPr>
        <w:t>ing</w:t>
      </w:r>
      <w:r>
        <w:rPr>
          <w:rFonts w:ascii="Times New Roman" w:hAnsi="Times New Roman" w:cs="Times New Roman"/>
        </w:rPr>
        <w:t xml:space="preserve"> alternative measures of inflation, exclusion of the COVID period (2020</w:t>
      </w:r>
      <w:r>
        <w:rPr>
          <w:rFonts w:ascii="Times New Roman" w:hAnsi="Times New Roman" w:cs="Times New Roman"/>
          <w:highlight w:val="yellow"/>
        </w:rPr>
        <w:t>–</w:t>
      </w:r>
      <w:r>
        <w:rPr>
          <w:rFonts w:ascii="Times New Roman" w:hAnsi="Times New Roman" w:cs="Times New Roman"/>
        </w:rPr>
        <w:t xml:space="preserve">2021), inclusion of oil price, and </w:t>
      </w:r>
      <w:proofErr w:type="spellStart"/>
      <w:r>
        <w:rPr>
          <w:rFonts w:ascii="Times New Roman" w:hAnsi="Times New Roman" w:cs="Times New Roman"/>
        </w:rPr>
        <w:t>winsorised</w:t>
      </w:r>
      <w:proofErr w:type="spellEnd"/>
      <w:r>
        <w:rPr>
          <w:rFonts w:ascii="Times New Roman" w:hAnsi="Times New Roman" w:cs="Times New Roman"/>
        </w:rPr>
        <w:t xml:space="preserve"> returns.</w:t>
      </w:r>
    </w:p>
    <w:p w14:paraId="6871F43F" w14:textId="77777777" w:rsidR="00BF6C82" w:rsidRPr="00DA0907" w:rsidRDefault="00BF6C82" w:rsidP="007417AA">
      <w:pPr>
        <w:jc w:val="both"/>
        <w:rPr>
          <w:rFonts w:ascii="Times New Roman" w:hAnsi="Times New Roman" w:cs="Times New Roman"/>
          <w:b/>
          <w:bCs/>
          <w:sz w:val="26"/>
          <w:szCs w:val="26"/>
        </w:rPr>
      </w:pPr>
    </w:p>
    <w:p w14:paraId="76B4129D" w14:textId="77777777" w:rsidR="00965A0A" w:rsidRPr="00DA0907" w:rsidRDefault="004079F8" w:rsidP="007417AA">
      <w:pPr>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4.0 </w:t>
      </w:r>
      <w:r w:rsidR="00965A0A" w:rsidRPr="00DA0907">
        <w:rPr>
          <w:rFonts w:ascii="Times New Roman" w:hAnsi="Times New Roman" w:cs="Times New Roman"/>
          <w:b/>
          <w:bCs/>
          <w:sz w:val="26"/>
          <w:szCs w:val="26"/>
        </w:rPr>
        <w:t>Results</w:t>
      </w:r>
    </w:p>
    <w:p w14:paraId="753B094B"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4.1 </w:t>
      </w:r>
      <w:r w:rsidR="00965A0A" w:rsidRPr="00DA0907">
        <w:rPr>
          <w:rFonts w:ascii="Times New Roman" w:hAnsi="Times New Roman" w:cs="Times New Roman"/>
          <w:b/>
          <w:bCs/>
        </w:rPr>
        <w:t>Descriptive Statistics</w:t>
      </w:r>
    </w:p>
    <w:p w14:paraId="74E0709D"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3</w:t>
      </w:r>
      <w:r w:rsidRPr="00DA0907">
        <w:rPr>
          <w:rFonts w:ascii="Times New Roman" w:hAnsi="Times New Roman" w:cs="Times New Roman"/>
          <w:b/>
          <w:bCs/>
        </w:rPr>
        <w:t>: Descriptive Statistics (2015–2024)</w:t>
      </w:r>
    </w:p>
    <w:tbl>
      <w:tblPr>
        <w:tblStyle w:val="GridTable1Light"/>
        <w:tblW w:w="0" w:type="auto"/>
        <w:tblLook w:val="04A0" w:firstRow="1" w:lastRow="0" w:firstColumn="1" w:lastColumn="0" w:noHBand="0" w:noVBand="1"/>
      </w:tblPr>
      <w:tblGrid>
        <w:gridCol w:w="1610"/>
        <w:gridCol w:w="630"/>
        <w:gridCol w:w="876"/>
        <w:gridCol w:w="1003"/>
        <w:gridCol w:w="1130"/>
        <w:gridCol w:w="1243"/>
        <w:gridCol w:w="1283"/>
      </w:tblGrid>
      <w:tr w:rsidR="00965A0A" w:rsidRPr="00DA0907" w14:paraId="209C73BA"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4D264D"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67C34E22"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A0907">
              <w:rPr>
                <w:rFonts w:ascii="Times New Roman" w:hAnsi="Times New Roman" w:cs="Times New Roman"/>
              </w:rPr>
              <w:t>Obs</w:t>
            </w:r>
            <w:proofErr w:type="spellEnd"/>
          </w:p>
        </w:tc>
        <w:tc>
          <w:tcPr>
            <w:tcW w:w="0" w:type="auto"/>
            <w:hideMark/>
          </w:tcPr>
          <w:p w14:paraId="4A995959"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Mean</w:t>
            </w:r>
          </w:p>
        </w:tc>
        <w:tc>
          <w:tcPr>
            <w:tcW w:w="0" w:type="auto"/>
            <w:hideMark/>
          </w:tcPr>
          <w:p w14:paraId="780593DB"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Median</w:t>
            </w:r>
          </w:p>
        </w:tc>
        <w:tc>
          <w:tcPr>
            <w:tcW w:w="0" w:type="auto"/>
            <w:hideMark/>
          </w:tcPr>
          <w:p w14:paraId="09062150"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Std. Dev.</w:t>
            </w:r>
          </w:p>
        </w:tc>
        <w:tc>
          <w:tcPr>
            <w:tcW w:w="0" w:type="auto"/>
            <w:hideMark/>
          </w:tcPr>
          <w:p w14:paraId="4B38AB24"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Minimum</w:t>
            </w:r>
          </w:p>
        </w:tc>
        <w:tc>
          <w:tcPr>
            <w:tcW w:w="0" w:type="auto"/>
            <w:hideMark/>
          </w:tcPr>
          <w:p w14:paraId="580A5CF1"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Maximum</w:t>
            </w:r>
          </w:p>
        </w:tc>
      </w:tr>
      <w:tr w:rsidR="00965A0A" w:rsidRPr="00DA0907" w14:paraId="4D21649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D1068C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RET (%)</w:t>
            </w:r>
          </w:p>
        </w:tc>
        <w:tc>
          <w:tcPr>
            <w:tcW w:w="0" w:type="auto"/>
            <w:hideMark/>
          </w:tcPr>
          <w:p w14:paraId="6991968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114998C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15.32</w:t>
            </w:r>
          </w:p>
        </w:tc>
        <w:tc>
          <w:tcPr>
            <w:tcW w:w="0" w:type="auto"/>
            <w:hideMark/>
          </w:tcPr>
          <w:p w14:paraId="4F7615C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8.47</w:t>
            </w:r>
          </w:p>
        </w:tc>
        <w:tc>
          <w:tcPr>
            <w:tcW w:w="0" w:type="auto"/>
            <w:hideMark/>
          </w:tcPr>
          <w:p w14:paraId="002E623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23.64</w:t>
            </w:r>
          </w:p>
        </w:tc>
        <w:tc>
          <w:tcPr>
            <w:tcW w:w="0" w:type="auto"/>
            <w:hideMark/>
          </w:tcPr>
          <w:p w14:paraId="0E799EB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-24.35</w:t>
            </w:r>
          </w:p>
        </w:tc>
        <w:tc>
          <w:tcPr>
            <w:tcW w:w="0" w:type="auto"/>
            <w:hideMark/>
          </w:tcPr>
          <w:p w14:paraId="6AC971D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159.81</w:t>
            </w:r>
          </w:p>
        </w:tc>
      </w:tr>
      <w:tr w:rsidR="00965A0A" w:rsidRPr="00DA0907" w14:paraId="2044EC6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51D8B5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 (%)</w:t>
            </w:r>
          </w:p>
        </w:tc>
        <w:tc>
          <w:tcPr>
            <w:tcW w:w="0" w:type="auto"/>
            <w:hideMark/>
          </w:tcPr>
          <w:p w14:paraId="29784EB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076FC95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18.15</w:t>
            </w:r>
          </w:p>
        </w:tc>
        <w:tc>
          <w:tcPr>
            <w:tcW w:w="0" w:type="auto"/>
            <w:hideMark/>
          </w:tcPr>
          <w:p w14:paraId="668B33A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16.25</w:t>
            </w:r>
          </w:p>
        </w:tc>
        <w:tc>
          <w:tcPr>
            <w:tcW w:w="0" w:type="auto"/>
            <w:hideMark/>
          </w:tcPr>
          <w:p w14:paraId="0549072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7.37</w:t>
            </w:r>
          </w:p>
        </w:tc>
        <w:tc>
          <w:tcPr>
            <w:tcW w:w="0" w:type="auto"/>
            <w:hideMark/>
          </w:tcPr>
          <w:p w14:paraId="5DA41E3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9.01</w:t>
            </w:r>
          </w:p>
        </w:tc>
        <w:tc>
          <w:tcPr>
            <w:tcW w:w="0" w:type="auto"/>
            <w:hideMark/>
          </w:tcPr>
          <w:p w14:paraId="7C27DC8C"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34.80</w:t>
            </w:r>
          </w:p>
        </w:tc>
      </w:tr>
      <w:tr w:rsidR="00965A0A" w:rsidRPr="00DA0907" w14:paraId="670F14D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F2D397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 (%)</w:t>
            </w:r>
          </w:p>
        </w:tc>
        <w:tc>
          <w:tcPr>
            <w:tcW w:w="0" w:type="auto"/>
            <w:hideMark/>
          </w:tcPr>
          <w:p w14:paraId="5501E66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44F1511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3.82</w:t>
            </w:r>
          </w:p>
        </w:tc>
        <w:tc>
          <w:tcPr>
            <w:tcW w:w="0" w:type="auto"/>
            <w:hideMark/>
          </w:tcPr>
          <w:p w14:paraId="78C0BE5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3.41</w:t>
            </w:r>
          </w:p>
        </w:tc>
        <w:tc>
          <w:tcPr>
            <w:tcW w:w="0" w:type="auto"/>
            <w:hideMark/>
          </w:tcPr>
          <w:p w14:paraId="1553DBE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1.56</w:t>
            </w:r>
          </w:p>
        </w:tc>
        <w:tc>
          <w:tcPr>
            <w:tcW w:w="0" w:type="auto"/>
            <w:hideMark/>
          </w:tcPr>
          <w:p w14:paraId="4D2869A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1.28</w:t>
            </w:r>
          </w:p>
        </w:tc>
        <w:tc>
          <w:tcPr>
            <w:tcW w:w="0" w:type="auto"/>
            <w:hideMark/>
          </w:tcPr>
          <w:p w14:paraId="226A677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6.73</w:t>
            </w:r>
          </w:p>
        </w:tc>
      </w:tr>
      <w:tr w:rsidR="00965A0A" w:rsidRPr="00DA0907" w14:paraId="526B268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8A0790A"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 (₦/US$)</w:t>
            </w:r>
          </w:p>
        </w:tc>
        <w:tc>
          <w:tcPr>
            <w:tcW w:w="0" w:type="auto"/>
            <w:hideMark/>
          </w:tcPr>
          <w:p w14:paraId="4F50602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5985AB1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483.21</w:t>
            </w:r>
          </w:p>
        </w:tc>
        <w:tc>
          <w:tcPr>
            <w:tcW w:w="0" w:type="auto"/>
            <w:hideMark/>
          </w:tcPr>
          <w:p w14:paraId="78021D1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410.50</w:t>
            </w:r>
          </w:p>
        </w:tc>
        <w:tc>
          <w:tcPr>
            <w:tcW w:w="0" w:type="auto"/>
            <w:hideMark/>
          </w:tcPr>
          <w:p w14:paraId="04223BD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296.84</w:t>
            </w:r>
          </w:p>
        </w:tc>
        <w:tc>
          <w:tcPr>
            <w:tcW w:w="0" w:type="auto"/>
            <w:hideMark/>
          </w:tcPr>
          <w:p w14:paraId="305D999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197.00</w:t>
            </w:r>
          </w:p>
        </w:tc>
        <w:tc>
          <w:tcPr>
            <w:tcW w:w="0" w:type="auto"/>
            <w:hideMark/>
          </w:tcPr>
          <w:p w14:paraId="11D924F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1,543.00</w:t>
            </w:r>
          </w:p>
        </w:tc>
      </w:tr>
      <w:tr w:rsidR="00965A0A" w:rsidRPr="00DA0907" w14:paraId="69215B6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3B15E2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 (%)</w:t>
            </w:r>
          </w:p>
        </w:tc>
        <w:tc>
          <w:tcPr>
            <w:tcW w:w="0" w:type="auto"/>
            <w:hideMark/>
          </w:tcPr>
          <w:p w14:paraId="76770EC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507FFE0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15.47</w:t>
            </w:r>
          </w:p>
        </w:tc>
        <w:tc>
          <w:tcPr>
            <w:tcW w:w="0" w:type="auto"/>
            <w:hideMark/>
          </w:tcPr>
          <w:p w14:paraId="594142DC"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14.50</w:t>
            </w:r>
          </w:p>
        </w:tc>
        <w:tc>
          <w:tcPr>
            <w:tcW w:w="0" w:type="auto"/>
            <w:hideMark/>
          </w:tcPr>
          <w:p w14:paraId="37AED67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2.86</w:t>
            </w:r>
          </w:p>
        </w:tc>
        <w:tc>
          <w:tcPr>
            <w:tcW w:w="0" w:type="auto"/>
            <w:hideMark/>
          </w:tcPr>
          <w:p w14:paraId="4966D70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11.50</w:t>
            </w:r>
          </w:p>
        </w:tc>
        <w:tc>
          <w:tcPr>
            <w:tcW w:w="0" w:type="auto"/>
            <w:hideMark/>
          </w:tcPr>
          <w:p w14:paraId="0953A65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26.75</w:t>
            </w:r>
          </w:p>
        </w:tc>
      </w:tr>
      <w:tr w:rsidR="00965A0A" w:rsidRPr="00DA0907" w14:paraId="577E9BC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FBC6BAA"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 (%)</w:t>
            </w:r>
          </w:p>
        </w:tc>
        <w:tc>
          <w:tcPr>
            <w:tcW w:w="0" w:type="auto"/>
            <w:hideMark/>
          </w:tcPr>
          <w:p w14:paraId="3A7B2C2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2259B46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2.84</w:t>
            </w:r>
          </w:p>
        </w:tc>
        <w:tc>
          <w:tcPr>
            <w:tcW w:w="0" w:type="auto"/>
            <w:hideMark/>
          </w:tcPr>
          <w:p w14:paraId="6669A96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2.62</w:t>
            </w:r>
          </w:p>
        </w:tc>
        <w:tc>
          <w:tcPr>
            <w:tcW w:w="0" w:type="auto"/>
            <w:hideMark/>
          </w:tcPr>
          <w:p w14:paraId="7E94CF2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1.93</w:t>
            </w:r>
          </w:p>
        </w:tc>
        <w:tc>
          <w:tcPr>
            <w:tcW w:w="0" w:type="auto"/>
            <w:hideMark/>
          </w:tcPr>
          <w:p w14:paraId="2DDBD2E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-1.92</w:t>
            </w:r>
          </w:p>
        </w:tc>
        <w:tc>
          <w:tcPr>
            <w:tcW w:w="0" w:type="auto"/>
            <w:hideMark/>
          </w:tcPr>
          <w:p w14:paraId="6535AEC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5.01</w:t>
            </w:r>
          </w:p>
        </w:tc>
      </w:tr>
      <w:tr w:rsidR="00965A0A" w:rsidRPr="00DA0907" w14:paraId="62B6C7B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F2ADD76"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 (log)</w:t>
            </w:r>
          </w:p>
        </w:tc>
        <w:tc>
          <w:tcPr>
            <w:tcW w:w="0" w:type="auto"/>
            <w:hideMark/>
          </w:tcPr>
          <w:p w14:paraId="1A7ECC3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0D6E07D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8.91</w:t>
            </w:r>
          </w:p>
        </w:tc>
        <w:tc>
          <w:tcPr>
            <w:tcW w:w="0" w:type="auto"/>
            <w:hideMark/>
          </w:tcPr>
          <w:p w14:paraId="5130A2F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8.76</w:t>
            </w:r>
          </w:p>
        </w:tc>
        <w:tc>
          <w:tcPr>
            <w:tcW w:w="0" w:type="auto"/>
            <w:hideMark/>
          </w:tcPr>
          <w:p w14:paraId="51E8DD5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1.48</w:t>
            </w:r>
          </w:p>
        </w:tc>
        <w:tc>
          <w:tcPr>
            <w:tcW w:w="0" w:type="auto"/>
            <w:hideMark/>
          </w:tcPr>
          <w:p w14:paraId="6D7FEC8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5.67</w:t>
            </w:r>
          </w:p>
        </w:tc>
        <w:tc>
          <w:tcPr>
            <w:tcW w:w="0" w:type="auto"/>
            <w:hideMark/>
          </w:tcPr>
          <w:p w14:paraId="5FA1F16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12.34</w:t>
            </w:r>
          </w:p>
        </w:tc>
      </w:tr>
      <w:tr w:rsidR="00965A0A" w:rsidRPr="00DA0907" w14:paraId="4C5B0F2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918CCB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 (%)</w:t>
            </w:r>
          </w:p>
        </w:tc>
        <w:tc>
          <w:tcPr>
            <w:tcW w:w="0" w:type="auto"/>
            <w:hideMark/>
          </w:tcPr>
          <w:p w14:paraId="677341E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4BB4338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47.23</w:t>
            </w:r>
          </w:p>
        </w:tc>
        <w:tc>
          <w:tcPr>
            <w:tcW w:w="0" w:type="auto"/>
            <w:hideMark/>
          </w:tcPr>
          <w:p w14:paraId="5B2A92F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48.10</w:t>
            </w:r>
          </w:p>
        </w:tc>
        <w:tc>
          <w:tcPr>
            <w:tcW w:w="0" w:type="auto"/>
            <w:hideMark/>
          </w:tcPr>
          <w:p w14:paraId="0B56144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22.56</w:t>
            </w:r>
          </w:p>
        </w:tc>
        <w:tc>
          <w:tcPr>
            <w:tcW w:w="0" w:type="auto"/>
            <w:hideMark/>
          </w:tcPr>
          <w:p w14:paraId="0053F6B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5.20</w:t>
            </w:r>
          </w:p>
        </w:tc>
        <w:tc>
          <w:tcPr>
            <w:tcW w:w="0" w:type="auto"/>
            <w:hideMark/>
          </w:tcPr>
          <w:p w14:paraId="302D13B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89.70</w:t>
            </w:r>
          </w:p>
        </w:tc>
      </w:tr>
      <w:tr w:rsidR="00965A0A" w:rsidRPr="00DA0907" w14:paraId="186CA55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C613D0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 (%)</w:t>
            </w:r>
          </w:p>
        </w:tc>
        <w:tc>
          <w:tcPr>
            <w:tcW w:w="0" w:type="auto"/>
            <w:hideMark/>
          </w:tcPr>
          <w:p w14:paraId="197045E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0335DC5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9.84</w:t>
            </w:r>
          </w:p>
        </w:tc>
        <w:tc>
          <w:tcPr>
            <w:tcW w:w="0" w:type="auto"/>
            <w:hideMark/>
          </w:tcPr>
          <w:p w14:paraId="445315B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8.92</w:t>
            </w:r>
          </w:p>
        </w:tc>
        <w:tc>
          <w:tcPr>
            <w:tcW w:w="0" w:type="auto"/>
            <w:hideMark/>
          </w:tcPr>
          <w:p w14:paraId="427560C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6.73</w:t>
            </w:r>
          </w:p>
        </w:tc>
        <w:tc>
          <w:tcPr>
            <w:tcW w:w="0" w:type="auto"/>
            <w:hideMark/>
          </w:tcPr>
          <w:p w14:paraId="2C0EABD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-12.40</w:t>
            </w:r>
          </w:p>
        </w:tc>
        <w:tc>
          <w:tcPr>
            <w:tcW w:w="0" w:type="auto"/>
            <w:hideMark/>
          </w:tcPr>
          <w:p w14:paraId="49E2AF5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28.50</w:t>
            </w:r>
          </w:p>
        </w:tc>
      </w:tr>
    </w:tbl>
    <w:p w14:paraId="1B0F0E09"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computation, 2025</w:t>
      </w:r>
    </w:p>
    <w:p w14:paraId="2B9A418B"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The mean annual inflation rate for the study period was 18.15 percent (SD = 7.37)</w:t>
      </w:r>
      <w:r>
        <w:rPr>
          <w:rFonts w:ascii="Times New Roman" w:hAnsi="Times New Roman" w:cs="Times New Roman"/>
          <w:highlight w:val="yellow"/>
        </w:rPr>
        <w:t>,</w:t>
      </w:r>
      <w:r>
        <w:rPr>
          <w:rFonts w:ascii="Times New Roman" w:hAnsi="Times New Roman" w:cs="Times New Roman"/>
        </w:rPr>
        <w:t xml:space="preserve"> with the minimum inflation rate recorded in 2015 (9.01 percent) and the maximum recorded in 2024 (34.80 percent) (National Bureau of Statistics, 2025). The mean sectoral stock return was 15.32 percent</w:t>
      </w:r>
      <w:r>
        <w:rPr>
          <w:rFonts w:ascii="Times New Roman" w:hAnsi="Times New Roman" w:cs="Times New Roman"/>
          <w:highlight w:val="yellow"/>
        </w:rPr>
        <w:t>,</w:t>
      </w:r>
      <w:r>
        <w:rPr>
          <w:rFonts w:ascii="Times New Roman" w:hAnsi="Times New Roman" w:cs="Times New Roman"/>
        </w:rPr>
        <w:t xml:space="preserve"> with high dispersion (SD = 23.64)</w:t>
      </w:r>
      <w:r>
        <w:rPr>
          <w:rFonts w:ascii="Times New Roman" w:hAnsi="Times New Roman" w:cs="Times New Roman"/>
          <w:highlight w:val="yellow"/>
        </w:rPr>
        <w:t>,</w:t>
      </w:r>
      <w:r>
        <w:rPr>
          <w:rFonts w:ascii="Times New Roman" w:hAnsi="Times New Roman" w:cs="Times New Roman"/>
        </w:rPr>
        <w:t xml:space="preserve"> ranging from -24.35 percent (Consumer Goods, 2018) to 159.81 percent (Oil and Gas, 2024) (Nigerian Exchange Group, 2025). The mean exchange rate of </w:t>
      </w:r>
      <w:r>
        <w:rPr>
          <w:rFonts w:ascii="Times New Roman" w:hAnsi="Times New Roman" w:cs="Times New Roman"/>
        </w:rPr>
        <w:t>₦483.21/US$ indicates significant naira depreciation during the period (Central Bank of Nigeria, 2025a)</w:t>
      </w:r>
      <w:r>
        <w:rPr>
          <w:rFonts w:ascii="Times New Roman" w:hAnsi="Times New Roman" w:cs="Times New Roman"/>
          <w:highlight w:val="yellow"/>
        </w:rPr>
      </w:r>
      <w:r>
        <w:rPr>
          <w:rFonts w:ascii="Times New Roman" w:hAnsi="Times New Roman" w:cs="Times New Roman"/>
        </w:rPr>
        <w:t>.</w:t>
      </w:r>
    </w:p>
    <w:p w14:paraId="57D135E8" w14:textId="77777777" w:rsidR="00965A0A" w:rsidRPr="00DA0907" w:rsidRDefault="004079F8"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4.2 </w:t>
      </w:r>
      <w:r w:rsidR="00965A0A" w:rsidRPr="00DA0907">
        <w:rPr>
          <w:rFonts w:ascii="Times New Roman" w:hAnsi="Times New Roman" w:cs="Times New Roman"/>
          <w:b/>
          <w:bCs/>
        </w:rPr>
        <w:t>Correlation Analysis</w:t>
      </w:r>
    </w:p>
    <w:p w14:paraId="100DD8E8"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4</w:t>
      </w:r>
      <w:r w:rsidRPr="00DA0907">
        <w:rPr>
          <w:rFonts w:ascii="Times New Roman" w:hAnsi="Times New Roman" w:cs="Times New Roman"/>
          <w:b/>
          <w:bCs/>
        </w:rPr>
        <w:t>: Correlation Matrix</w:t>
      </w:r>
    </w:p>
    <w:tbl>
      <w:tblPr>
        <w:tblStyle w:val="GridTable1Light"/>
        <w:tblW w:w="0" w:type="auto"/>
        <w:tblLook w:val="04A0" w:firstRow="1" w:lastRow="0" w:firstColumn="1" w:lastColumn="0" w:noHBand="0" w:noVBand="1"/>
      </w:tblPr>
      <w:tblGrid>
        <w:gridCol w:w="1093"/>
        <w:gridCol w:w="952"/>
        <w:gridCol w:w="952"/>
        <w:gridCol w:w="1093"/>
        <w:gridCol w:w="952"/>
        <w:gridCol w:w="952"/>
        <w:gridCol w:w="839"/>
        <w:gridCol w:w="952"/>
        <w:gridCol w:w="839"/>
        <w:gridCol w:w="726"/>
      </w:tblGrid>
      <w:tr w:rsidR="00965A0A" w:rsidRPr="00DA0907" w14:paraId="1CF1F5BA"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46E4AA" w14:textId="77777777" w:rsidR="00965A0A" w:rsidRPr="00DA0907" w:rsidRDefault="00965A0A" w:rsidP="007417AA">
            <w:pPr>
              <w:tabs>
                <w:tab w:val="left" w:pos="2070"/>
              </w:tabs>
              <w:spacing w:after="160" w:line="360" w:lineRule="auto"/>
              <w:jc w:val="both"/>
              <w:rPr>
                <w:rFonts w:ascii="Times New Roman" w:hAnsi="Times New Roman" w:cs="Times New Roman"/>
              </w:rPr>
            </w:pPr>
          </w:p>
        </w:tc>
        <w:tc>
          <w:tcPr>
            <w:tcW w:w="0" w:type="auto"/>
            <w:hideMark/>
          </w:tcPr>
          <w:p w14:paraId="00BF4A4B"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RET</w:t>
            </w:r>
          </w:p>
        </w:tc>
        <w:tc>
          <w:tcPr>
            <w:tcW w:w="0" w:type="auto"/>
            <w:hideMark/>
          </w:tcPr>
          <w:p w14:paraId="4591CE87"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w:t>
            </w:r>
          </w:p>
        </w:tc>
        <w:tc>
          <w:tcPr>
            <w:tcW w:w="0" w:type="auto"/>
            <w:hideMark/>
          </w:tcPr>
          <w:p w14:paraId="05ACDC20"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INFVOL</w:t>
            </w:r>
          </w:p>
        </w:tc>
        <w:tc>
          <w:tcPr>
            <w:tcW w:w="0" w:type="auto"/>
            <w:hideMark/>
          </w:tcPr>
          <w:p w14:paraId="538576B7"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EXR</w:t>
            </w:r>
          </w:p>
        </w:tc>
        <w:tc>
          <w:tcPr>
            <w:tcW w:w="0" w:type="auto"/>
            <w:hideMark/>
          </w:tcPr>
          <w:p w14:paraId="42282212"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INT</w:t>
            </w:r>
          </w:p>
        </w:tc>
        <w:tc>
          <w:tcPr>
            <w:tcW w:w="0" w:type="auto"/>
            <w:hideMark/>
          </w:tcPr>
          <w:p w14:paraId="18AFF358"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GDP</w:t>
            </w:r>
          </w:p>
        </w:tc>
        <w:tc>
          <w:tcPr>
            <w:tcW w:w="0" w:type="auto"/>
            <w:hideMark/>
          </w:tcPr>
          <w:p w14:paraId="3117328A"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SIZE</w:t>
            </w:r>
          </w:p>
        </w:tc>
        <w:tc>
          <w:tcPr>
            <w:tcW w:w="0" w:type="auto"/>
            <w:hideMark/>
          </w:tcPr>
          <w:p w14:paraId="61FA9B1E"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LEV</w:t>
            </w:r>
          </w:p>
        </w:tc>
        <w:tc>
          <w:tcPr>
            <w:tcW w:w="0" w:type="auto"/>
            <w:hideMark/>
          </w:tcPr>
          <w:p w14:paraId="661DB692"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ROA</w:t>
            </w:r>
          </w:p>
        </w:tc>
      </w:tr>
      <w:tr w:rsidR="00965A0A" w:rsidRPr="00DA0907" w14:paraId="1FA639E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96CAFA0"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RET</w:t>
            </w:r>
          </w:p>
        </w:tc>
        <w:tc>
          <w:tcPr>
            <w:tcW w:w="0" w:type="auto"/>
            <w:hideMark/>
          </w:tcPr>
          <w:p w14:paraId="299A327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1B8DDE1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C8CCA7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03F984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2C201B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7C7764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A109A1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9F4559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D83AD8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534517D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707ABBB"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w:t>
            </w:r>
          </w:p>
        </w:tc>
        <w:tc>
          <w:tcPr>
            <w:tcW w:w="0" w:type="auto"/>
            <w:hideMark/>
          </w:tcPr>
          <w:p w14:paraId="0C53FED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-0.312**</w:t>
            </w:r>
          </w:p>
        </w:tc>
        <w:tc>
          <w:tcPr>
            <w:tcW w:w="0" w:type="auto"/>
            <w:hideMark/>
          </w:tcPr>
          <w:p w14:paraId="0D64A37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68E02E3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B5A35A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EC9CFB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F327D3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EFA89B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C82DA9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307F4B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2E76932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CB0150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2A24894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-0.286*</w:t>
            </w:r>
          </w:p>
        </w:tc>
        <w:tc>
          <w:tcPr>
            <w:tcW w:w="0" w:type="auto"/>
            <w:hideMark/>
          </w:tcPr>
          <w:p w14:paraId="56B38F2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0.742**</w:t>
            </w:r>
          </w:p>
        </w:tc>
        <w:tc>
          <w:tcPr>
            <w:tcW w:w="0" w:type="auto"/>
            <w:hideMark/>
          </w:tcPr>
          <w:p w14:paraId="4186EE7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7077CA6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E9DF7C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D37D6C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237545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FAAF1A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C059D7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3B057CB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5F73C1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48CA30A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0.284*</w:t>
            </w:r>
          </w:p>
        </w:tc>
        <w:tc>
          <w:tcPr>
            <w:tcW w:w="0" w:type="auto"/>
            <w:hideMark/>
          </w:tcPr>
          <w:p w14:paraId="0FB943C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0.612**</w:t>
            </w:r>
          </w:p>
        </w:tc>
        <w:tc>
          <w:tcPr>
            <w:tcW w:w="0" w:type="auto"/>
            <w:hideMark/>
          </w:tcPr>
          <w:p w14:paraId="5169B2E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0.487**</w:t>
            </w:r>
          </w:p>
        </w:tc>
        <w:tc>
          <w:tcPr>
            <w:tcW w:w="0" w:type="auto"/>
            <w:hideMark/>
          </w:tcPr>
          <w:p w14:paraId="5F006B8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2E2A1BAC"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074521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97E874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617EAA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E93112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04CC547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C8DCB13"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46B46EE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w:t>
            </w:r>
          </w:p>
        </w:tc>
        <w:tc>
          <w:tcPr>
            <w:tcW w:w="0" w:type="auto"/>
            <w:hideMark/>
          </w:tcPr>
          <w:p w14:paraId="130F1C9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0.523**</w:t>
            </w:r>
          </w:p>
        </w:tc>
        <w:tc>
          <w:tcPr>
            <w:tcW w:w="0" w:type="auto"/>
            <w:hideMark/>
          </w:tcPr>
          <w:p w14:paraId="45C9693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0.401**</w:t>
            </w:r>
          </w:p>
        </w:tc>
        <w:tc>
          <w:tcPr>
            <w:tcW w:w="0" w:type="auto"/>
            <w:hideMark/>
          </w:tcPr>
          <w:p w14:paraId="5AD5FC9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0.412**</w:t>
            </w:r>
          </w:p>
        </w:tc>
        <w:tc>
          <w:tcPr>
            <w:tcW w:w="0" w:type="auto"/>
            <w:hideMark/>
          </w:tcPr>
          <w:p w14:paraId="5E48A4C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23E6DB7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A7DFDE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E8378E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4C2809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C36E58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DD0F568"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446355A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0.215*</w:t>
            </w:r>
          </w:p>
        </w:tc>
        <w:tc>
          <w:tcPr>
            <w:tcW w:w="0" w:type="auto"/>
            <w:hideMark/>
          </w:tcPr>
          <w:p w14:paraId="31D983F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-0.356**</w:t>
            </w:r>
          </w:p>
        </w:tc>
        <w:tc>
          <w:tcPr>
            <w:tcW w:w="0" w:type="auto"/>
            <w:hideMark/>
          </w:tcPr>
          <w:p w14:paraId="00A9741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-0.298*</w:t>
            </w:r>
          </w:p>
        </w:tc>
        <w:tc>
          <w:tcPr>
            <w:tcW w:w="0" w:type="auto"/>
            <w:hideMark/>
          </w:tcPr>
          <w:p w14:paraId="7FD6DDB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-0.287*</w:t>
            </w:r>
          </w:p>
        </w:tc>
        <w:tc>
          <w:tcPr>
            <w:tcW w:w="0" w:type="auto"/>
            <w:hideMark/>
          </w:tcPr>
          <w:p w14:paraId="71045CA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-0.384**</w:t>
            </w:r>
          </w:p>
        </w:tc>
        <w:tc>
          <w:tcPr>
            <w:tcW w:w="0" w:type="auto"/>
            <w:hideMark/>
          </w:tcPr>
          <w:p w14:paraId="4F63F18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48348C3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2F34C0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AB9928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FB37CC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11198B6"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6B1C380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0.148</w:t>
            </w:r>
          </w:p>
        </w:tc>
        <w:tc>
          <w:tcPr>
            <w:tcW w:w="0" w:type="auto"/>
            <w:hideMark/>
          </w:tcPr>
          <w:p w14:paraId="349E9AC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0.024</w:t>
            </w:r>
          </w:p>
        </w:tc>
        <w:tc>
          <w:tcPr>
            <w:tcW w:w="0" w:type="auto"/>
            <w:hideMark/>
          </w:tcPr>
          <w:p w14:paraId="43A447D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-0.017</w:t>
            </w:r>
          </w:p>
        </w:tc>
        <w:tc>
          <w:tcPr>
            <w:tcW w:w="0" w:type="auto"/>
            <w:hideMark/>
          </w:tcPr>
          <w:p w14:paraId="1063E50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0.098</w:t>
            </w:r>
          </w:p>
        </w:tc>
        <w:tc>
          <w:tcPr>
            <w:tcW w:w="0" w:type="auto"/>
            <w:hideMark/>
          </w:tcPr>
          <w:p w14:paraId="63554D8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0.124</w:t>
            </w:r>
          </w:p>
        </w:tc>
        <w:tc>
          <w:tcPr>
            <w:tcW w:w="0" w:type="auto"/>
            <w:hideMark/>
          </w:tcPr>
          <w:p w14:paraId="5A8BF8A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0.056</w:t>
            </w:r>
          </w:p>
        </w:tc>
        <w:tc>
          <w:tcPr>
            <w:tcW w:w="0" w:type="auto"/>
            <w:hideMark/>
          </w:tcPr>
          <w:p w14:paraId="46CFED5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31D23E4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9AB67A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05B8DC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3C6D0B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w:t>
            </w:r>
          </w:p>
        </w:tc>
        <w:tc>
          <w:tcPr>
            <w:tcW w:w="0" w:type="auto"/>
            <w:hideMark/>
          </w:tcPr>
          <w:p w14:paraId="0D4197AF"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-0.087</w:t>
            </w:r>
          </w:p>
        </w:tc>
        <w:tc>
          <w:tcPr>
            <w:tcW w:w="0" w:type="auto"/>
            <w:hideMark/>
          </w:tcPr>
          <w:p w14:paraId="2864C59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0.113</w:t>
            </w:r>
          </w:p>
        </w:tc>
        <w:tc>
          <w:tcPr>
            <w:tcW w:w="0" w:type="auto"/>
            <w:hideMark/>
          </w:tcPr>
          <w:p w14:paraId="3CFC90A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0.087</w:t>
            </w:r>
          </w:p>
        </w:tc>
        <w:tc>
          <w:tcPr>
            <w:tcW w:w="0" w:type="auto"/>
            <w:hideMark/>
          </w:tcPr>
          <w:p w14:paraId="404691B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0.142</w:t>
            </w:r>
          </w:p>
        </w:tc>
        <w:tc>
          <w:tcPr>
            <w:tcW w:w="0" w:type="auto"/>
            <w:hideMark/>
          </w:tcPr>
          <w:p w14:paraId="6E4FF52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0.167*</w:t>
            </w:r>
          </w:p>
        </w:tc>
        <w:tc>
          <w:tcPr>
            <w:tcW w:w="0" w:type="auto"/>
            <w:hideMark/>
          </w:tcPr>
          <w:p w14:paraId="0C7D192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-0.102</w:t>
            </w:r>
          </w:p>
        </w:tc>
        <w:tc>
          <w:tcPr>
            <w:tcW w:w="0" w:type="auto"/>
            <w:hideMark/>
          </w:tcPr>
          <w:p w14:paraId="363A154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0.284*</w:t>
            </w:r>
          </w:p>
        </w:tc>
        <w:tc>
          <w:tcPr>
            <w:tcW w:w="0" w:type="auto"/>
            <w:hideMark/>
          </w:tcPr>
          <w:p w14:paraId="6D4F1C2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0EF822C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3E68C85"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359EDF2"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1C0A25AC"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0.236*</w:t>
            </w:r>
          </w:p>
        </w:tc>
        <w:tc>
          <w:tcPr>
            <w:tcW w:w="0" w:type="auto"/>
            <w:hideMark/>
          </w:tcPr>
          <w:p w14:paraId="4C53F94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-0.184*</w:t>
            </w:r>
          </w:p>
        </w:tc>
        <w:tc>
          <w:tcPr>
            <w:tcW w:w="0" w:type="auto"/>
            <w:hideMark/>
          </w:tcPr>
          <w:p w14:paraId="4C8EB85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-0.156</w:t>
            </w:r>
          </w:p>
        </w:tc>
        <w:tc>
          <w:tcPr>
            <w:tcW w:w="0" w:type="auto"/>
            <w:hideMark/>
          </w:tcPr>
          <w:p w14:paraId="1A42A72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-0.098</w:t>
            </w:r>
          </w:p>
        </w:tc>
        <w:tc>
          <w:tcPr>
            <w:tcW w:w="0" w:type="auto"/>
            <w:hideMark/>
          </w:tcPr>
          <w:p w14:paraId="0A12D92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-0.142</w:t>
            </w:r>
          </w:p>
        </w:tc>
        <w:tc>
          <w:tcPr>
            <w:tcW w:w="0" w:type="auto"/>
            <w:hideMark/>
          </w:tcPr>
          <w:p w14:paraId="1020CB0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w:t>
            </w:r>
          </w:p>
        </w:tc>
        <w:tc>
          <w:tcPr>
            <w:tcW w:w="0" w:type="auto"/>
            <w:hideMark/>
          </w:tcPr>
          <w:p w14:paraId="55190DE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0.312**</w:t>
            </w:r>
          </w:p>
        </w:tc>
        <w:tc>
          <w:tcPr>
            <w:tcW w:w="0" w:type="auto"/>
            <w:hideMark/>
          </w:tcPr>
          <w:p w14:paraId="3D3637C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-0.245*</w:t>
            </w:r>
          </w:p>
        </w:tc>
        <w:tc>
          <w:tcPr>
            <w:tcW w:w="0" w:type="auto"/>
            <w:hideMark/>
          </w:tcPr>
          <w:p w14:paraId="640661E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r>
    </w:tbl>
    <w:p w14:paraId="1EA9AD99"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*Note: **p &lt; 0.01, </w:t>
      </w:r>
      <w:r w:rsidRPr="00DA0907">
        <w:rPr>
          <w:rFonts w:ascii="Times New Roman" w:hAnsi="Times New Roman" w:cs="Times New Roman"/>
          <w:i/>
          <w:iCs/>
        </w:rPr>
        <w:t>p &lt; 0.05. Source: Authors' computation, 2025</w:t>
      </w:r>
    </w:p>
    <w:p w14:paraId="6E7593E8"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lastRenderedPageBreak/>
        <w:t xml:space="preserve">The results show that sectoral stock returns are negatively and significantly correlated with inflation (r = -0.312, p &lt; 0.01), which is </w:t>
      </w:r>
      <w:r>
        <w:rPr>
          <w:rFonts w:ascii="Times New Roman" w:hAnsi="Times New Roman" w:cs="Times New Roman"/>
          <w:highlight w:val="yellow"/>
        </w:rPr>
        <w:t>cons</w:t>
      </w:r>
      <w:r>
        <w:rPr>
          <w:rFonts w:ascii="Times New Roman" w:hAnsi="Times New Roman" w:cs="Times New Roman"/>
        </w:rPr>
        <w:t>i</w:t>
      </w:r>
      <w:r>
        <w:rPr>
          <w:rFonts w:ascii="Times New Roman" w:hAnsi="Times New Roman" w:cs="Times New Roman"/>
          <w:highlight w:val="yellow"/>
        </w:rPr>
        <w:t>ste</w:t>
      </w:r>
      <w:r>
        <w:rPr>
          <w:rFonts w:ascii="Times New Roman" w:hAnsi="Times New Roman" w:cs="Times New Roman"/>
        </w:rPr>
        <w:t>n</w:t>
      </w:r>
      <w:r>
        <w:rPr>
          <w:rFonts w:ascii="Times New Roman" w:hAnsi="Times New Roman" w:cs="Times New Roman"/>
          <w:highlight w:val="yellow"/>
        </w:rPr>
        <w:t>t</w:t>
      </w:r>
      <w:r>
        <w:rPr>
          <w:rFonts w:ascii="Times New Roman" w:hAnsi="Times New Roman" w:cs="Times New Roman"/>
        </w:rPr>
        <w:t xml:space="preserve"> with the predictions of the DCF and APT models (Dada et al., 2021). </w:t>
      </w:r>
      <w:r>
        <w:rPr>
          <w:rFonts w:ascii="Times New Roman" w:hAnsi="Times New Roman" w:cs="Times New Roman"/>
          <w:highlight w:val="yellow"/>
        </w:rPr>
        <w:t>The e</w:t>
      </w:r>
      <w:r>
        <w:rPr>
          <w:rFonts w:ascii="Times New Roman" w:hAnsi="Times New Roman" w:cs="Times New Roman"/>
        </w:rPr>
        <w:t xml:space="preserve">xchange rate is positively correlated with returns (r = 0.284, p &lt; 0.05), </w:t>
      </w:r>
      <w:r>
        <w:rPr>
          <w:rFonts w:ascii="Times New Roman" w:hAnsi="Times New Roman" w:cs="Times New Roman"/>
          <w:highlight w:val="yellow"/>
        </w:rPr>
        <w:t xml:space="preserve">the </w:t>
      </w:r>
      <w:r>
        <w:rPr>
          <w:rFonts w:ascii="Times New Roman" w:hAnsi="Times New Roman" w:cs="Times New Roman"/>
        </w:rPr>
        <w:t>interest rate is negatively correlated</w:t>
      </w:r>
      <w:r>
        <w:rPr>
          <w:rFonts w:ascii="Times New Roman" w:hAnsi="Times New Roman" w:cs="Times New Roman"/>
          <w:highlight w:val="yellow"/>
        </w:rPr>
        <w:t xml:space="preserve"> with returns</w:t>
      </w:r>
      <w:r>
        <w:rPr>
          <w:rFonts w:ascii="Times New Roman" w:hAnsi="Times New Roman" w:cs="Times New Roman"/>
        </w:rPr>
        <w:t xml:space="preserve"> (r = -0.198, p &lt; 0.05), and GDP growth is positively correlated </w:t>
      </w:r>
      <w:r>
        <w:rPr>
          <w:rFonts w:ascii="Times New Roman" w:hAnsi="Times New Roman" w:cs="Times New Roman"/>
          <w:highlight w:val="yellow"/>
        </w:rPr>
        <w:t xml:space="preserve">with returns </w:t>
      </w:r>
      <w:r>
        <w:rPr>
          <w:rFonts w:ascii="Times New Roman" w:hAnsi="Times New Roman" w:cs="Times New Roman"/>
        </w:rPr>
        <w:t>(r = 0.215, p &lt; 0.05).</w:t>
      </w:r>
    </w:p>
    <w:p w14:paraId="2FB81681"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4.3 </w:t>
      </w:r>
      <w:r w:rsidR="00965A0A" w:rsidRPr="00DA0907">
        <w:rPr>
          <w:rFonts w:ascii="Times New Roman" w:hAnsi="Times New Roman" w:cs="Times New Roman"/>
          <w:b/>
          <w:bCs/>
        </w:rPr>
        <w:t>Multicollinearity Diagnostics</w:t>
      </w:r>
    </w:p>
    <w:p w14:paraId="44442A01"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5</w:t>
      </w:r>
      <w:r w:rsidRPr="00DA0907">
        <w:rPr>
          <w:rFonts w:ascii="Times New Roman" w:hAnsi="Times New Roman" w:cs="Times New Roman"/>
          <w:b/>
          <w:bCs/>
        </w:rPr>
        <w:t>: Variance Inflation Factor (VIF) Results</w:t>
      </w:r>
    </w:p>
    <w:tbl>
      <w:tblPr>
        <w:tblStyle w:val="GridTable1Light"/>
        <w:tblW w:w="0" w:type="auto"/>
        <w:tblLook w:val="04A0" w:firstRow="1" w:lastRow="0" w:firstColumn="1" w:lastColumn="0" w:noHBand="0" w:noVBand="1"/>
      </w:tblPr>
      <w:tblGrid>
        <w:gridCol w:w="1272"/>
        <w:gridCol w:w="636"/>
        <w:gridCol w:w="816"/>
      </w:tblGrid>
      <w:tr w:rsidR="00965A0A" w:rsidRPr="00DA0907" w14:paraId="2BDAF05E"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0C4BB9"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20C1A624"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VIF</w:t>
            </w:r>
          </w:p>
        </w:tc>
        <w:tc>
          <w:tcPr>
            <w:tcW w:w="0" w:type="auto"/>
            <w:hideMark/>
          </w:tcPr>
          <w:p w14:paraId="400F73D1"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1/VIF</w:t>
            </w:r>
          </w:p>
        </w:tc>
      </w:tr>
      <w:tr w:rsidR="00965A0A" w:rsidRPr="00DA0907" w14:paraId="4C2670E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9441F04"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w:t>
            </w:r>
          </w:p>
        </w:tc>
        <w:tc>
          <w:tcPr>
            <w:tcW w:w="0" w:type="auto"/>
            <w:hideMark/>
          </w:tcPr>
          <w:p w14:paraId="1566A04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4.54</w:t>
            </w:r>
          </w:p>
        </w:tc>
        <w:tc>
          <w:tcPr>
            <w:tcW w:w="0" w:type="auto"/>
            <w:hideMark/>
          </w:tcPr>
          <w:p w14:paraId="1D1F12F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0.220</w:t>
            </w:r>
          </w:p>
        </w:tc>
      </w:tr>
      <w:tr w:rsidR="00965A0A" w:rsidRPr="00DA0907" w14:paraId="561CF80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9C64773"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46AFF87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3.87</w:t>
            </w:r>
          </w:p>
        </w:tc>
        <w:tc>
          <w:tcPr>
            <w:tcW w:w="0" w:type="auto"/>
            <w:hideMark/>
          </w:tcPr>
          <w:p w14:paraId="67DAF60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0.258</w:t>
            </w:r>
          </w:p>
        </w:tc>
      </w:tr>
      <w:tr w:rsidR="00965A0A" w:rsidRPr="00DA0907" w14:paraId="3FC34BB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064190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0B22193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3.12</w:t>
            </w:r>
          </w:p>
        </w:tc>
        <w:tc>
          <w:tcPr>
            <w:tcW w:w="0" w:type="auto"/>
            <w:hideMark/>
          </w:tcPr>
          <w:p w14:paraId="362EE2E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0.321</w:t>
            </w:r>
          </w:p>
        </w:tc>
      </w:tr>
      <w:tr w:rsidR="00965A0A" w:rsidRPr="00DA0907" w14:paraId="7270C21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23BEA11"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0F8F786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2.98</w:t>
            </w:r>
          </w:p>
        </w:tc>
        <w:tc>
          <w:tcPr>
            <w:tcW w:w="0" w:type="auto"/>
            <w:hideMark/>
          </w:tcPr>
          <w:p w14:paraId="0E0BB6C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0.336</w:t>
            </w:r>
          </w:p>
        </w:tc>
      </w:tr>
      <w:tr w:rsidR="00965A0A" w:rsidRPr="00DA0907" w14:paraId="28751C3A"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AD2001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155A13D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2.34</w:t>
            </w:r>
          </w:p>
        </w:tc>
        <w:tc>
          <w:tcPr>
            <w:tcW w:w="0" w:type="auto"/>
            <w:hideMark/>
          </w:tcPr>
          <w:p w14:paraId="3BB84D2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0.427</w:t>
            </w:r>
          </w:p>
        </w:tc>
      </w:tr>
      <w:tr w:rsidR="00965A0A" w:rsidRPr="00DA0907" w14:paraId="48F8E7E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FC899FD"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3DC84C3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1.87</w:t>
            </w:r>
          </w:p>
        </w:tc>
        <w:tc>
          <w:tcPr>
            <w:tcW w:w="0" w:type="auto"/>
            <w:hideMark/>
          </w:tcPr>
          <w:p w14:paraId="4821850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0.535</w:t>
            </w:r>
          </w:p>
        </w:tc>
      </w:tr>
      <w:tr w:rsidR="00965A0A" w:rsidRPr="00DA0907" w14:paraId="4DB6593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FE4A57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w:t>
            </w:r>
          </w:p>
        </w:tc>
        <w:tc>
          <w:tcPr>
            <w:tcW w:w="0" w:type="auto"/>
            <w:hideMark/>
          </w:tcPr>
          <w:p w14:paraId="51AD84D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1.62</w:t>
            </w:r>
          </w:p>
        </w:tc>
        <w:tc>
          <w:tcPr>
            <w:tcW w:w="0" w:type="auto"/>
            <w:hideMark/>
          </w:tcPr>
          <w:p w14:paraId="08CD796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0.617</w:t>
            </w:r>
          </w:p>
        </w:tc>
      </w:tr>
      <w:tr w:rsidR="00965A0A" w:rsidRPr="00DA0907" w14:paraId="3F8EE19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788E6F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0A12ACF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1.42</w:t>
            </w:r>
          </w:p>
        </w:tc>
        <w:tc>
          <w:tcPr>
            <w:tcW w:w="0" w:type="auto"/>
            <w:hideMark/>
          </w:tcPr>
          <w:p w14:paraId="0981470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0.704</w:t>
            </w:r>
          </w:p>
        </w:tc>
      </w:tr>
      <w:tr w:rsidR="00965A0A" w:rsidRPr="00DA0907" w14:paraId="206E7FF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7701B1D"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Mean VIF</w:t>
            </w:r>
          </w:p>
        </w:tc>
        <w:tc>
          <w:tcPr>
            <w:tcW w:w="0" w:type="auto"/>
            <w:hideMark/>
          </w:tcPr>
          <w:p w14:paraId="52CD248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b/>
                <w:bCs/>
              </w:rPr>
              <w:t>2.13</w:t>
            </w:r>
          </w:p>
        </w:tc>
        <w:tc>
          <w:tcPr>
            <w:tcW w:w="0" w:type="auto"/>
            <w:hideMark/>
          </w:tcPr>
          <w:p w14:paraId="22FEB4E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A303193"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computation, 2025</w:t>
      </w:r>
    </w:p>
    <w:p w14:paraId="35EA9E22"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All VIF values fall well below the conventional threshold of 10, with a mean VIF of 2.13, indicating that multicollinearity is not a significant concern (Folorunso, 2023).</w:t>
      </w:r>
    </w:p>
    <w:p w14:paraId="04C14E01"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4.4 </w:t>
      </w:r>
      <w:r w:rsidR="00965A0A" w:rsidRPr="00DA0907">
        <w:rPr>
          <w:rFonts w:ascii="Times New Roman" w:hAnsi="Times New Roman" w:cs="Times New Roman"/>
          <w:b/>
          <w:bCs/>
        </w:rPr>
        <w:t>Regression Results</w:t>
      </w:r>
    </w:p>
    <w:p w14:paraId="06DA3311"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6</w:t>
      </w:r>
      <w:r w:rsidRPr="00DA0907">
        <w:rPr>
          <w:rFonts w:ascii="Times New Roman" w:hAnsi="Times New Roman" w:cs="Times New Roman"/>
          <w:b/>
          <w:bCs/>
        </w:rPr>
        <w:t>: Panel Regression Results</w:t>
      </w:r>
    </w:p>
    <w:tbl>
      <w:tblPr>
        <w:tblStyle w:val="GridTable1Light"/>
        <w:tblW w:w="0" w:type="auto"/>
        <w:tblLook w:val="04A0" w:firstRow="1" w:lastRow="0" w:firstColumn="1" w:lastColumn="0" w:noHBand="0" w:noVBand="1"/>
      </w:tblPr>
      <w:tblGrid>
        <w:gridCol w:w="1446"/>
        <w:gridCol w:w="1956"/>
        <w:gridCol w:w="1956"/>
        <w:gridCol w:w="1956"/>
      </w:tblGrid>
      <w:tr w:rsidR="00965A0A" w:rsidRPr="00DA0907" w14:paraId="34CB602D"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E5B737"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36B2A0FB"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Pooled OLS</w:t>
            </w:r>
          </w:p>
        </w:tc>
        <w:tc>
          <w:tcPr>
            <w:tcW w:w="0" w:type="auto"/>
            <w:hideMark/>
          </w:tcPr>
          <w:p w14:paraId="7DD69B84"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Fixed Effects</w:t>
            </w:r>
          </w:p>
        </w:tc>
        <w:tc>
          <w:tcPr>
            <w:tcW w:w="0" w:type="auto"/>
            <w:hideMark/>
          </w:tcPr>
          <w:p w14:paraId="2D190B18"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Random Effects</w:t>
            </w:r>
          </w:p>
        </w:tc>
      </w:tr>
      <w:tr w:rsidR="00965A0A" w:rsidRPr="00DA0907" w14:paraId="74E4E1F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9356A9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INF</w:t>
            </w:r>
          </w:p>
        </w:tc>
        <w:tc>
          <w:tcPr>
            <w:tcW w:w="0" w:type="auto"/>
            <w:hideMark/>
          </w:tcPr>
          <w:p w14:paraId="1148528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-0.378*** (0.084)</w:t>
            </w:r>
          </w:p>
        </w:tc>
        <w:tc>
          <w:tcPr>
            <w:tcW w:w="0" w:type="auto"/>
            <w:hideMark/>
          </w:tcPr>
          <w:p w14:paraId="1E927C6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-0.432*** (0.105)</w:t>
            </w:r>
          </w:p>
        </w:tc>
        <w:tc>
          <w:tcPr>
            <w:tcW w:w="0" w:type="auto"/>
            <w:hideMark/>
          </w:tcPr>
          <w:p w14:paraId="74BC3FB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-0.398*** (0.092)</w:t>
            </w:r>
          </w:p>
        </w:tc>
      </w:tr>
      <w:tr w:rsidR="00965A0A" w:rsidRPr="00DA0907" w14:paraId="153BC69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BBE7BA8"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259AA04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-0.156 (0.098)</w:t>
            </w:r>
          </w:p>
        </w:tc>
        <w:tc>
          <w:tcPr>
            <w:tcW w:w="0" w:type="auto"/>
            <w:hideMark/>
          </w:tcPr>
          <w:p w14:paraId="380422E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 (0.112)</w:t>
            </w:r>
          </w:p>
        </w:tc>
        <w:tc>
          <w:tcPr>
            <w:tcW w:w="0" w:type="auto"/>
            <w:hideMark/>
          </w:tcPr>
          <w:p w14:paraId="11BCDB75"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-0.174* (0.104)</w:t>
            </w:r>
          </w:p>
        </w:tc>
      </w:tr>
      <w:tr w:rsidR="00965A0A" w:rsidRPr="00DA0907" w14:paraId="70CFC7E5"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13D387D"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14ACD36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0.167** (0.071)</w:t>
            </w:r>
          </w:p>
        </w:tc>
        <w:tc>
          <w:tcPr>
            <w:tcW w:w="0" w:type="auto"/>
            <w:hideMark/>
          </w:tcPr>
          <w:p w14:paraId="4536CE8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0.184** (0.086)</w:t>
            </w:r>
          </w:p>
        </w:tc>
        <w:tc>
          <w:tcPr>
            <w:tcW w:w="0" w:type="auto"/>
            <w:hideMark/>
          </w:tcPr>
          <w:p w14:paraId="629E5FD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0.172** (0.078)</w:t>
            </w:r>
          </w:p>
        </w:tc>
      </w:tr>
      <w:tr w:rsidR="00965A0A" w:rsidRPr="00DA0907" w14:paraId="31EA339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E3481A4"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6F5E6EA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-0.089 (0.078)</w:t>
            </w:r>
          </w:p>
        </w:tc>
        <w:tc>
          <w:tcPr>
            <w:tcW w:w="0" w:type="auto"/>
            <w:hideMark/>
          </w:tcPr>
          <w:p w14:paraId="14C8FE0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-0.102 (0.092)</w:t>
            </w:r>
          </w:p>
        </w:tc>
        <w:tc>
          <w:tcPr>
            <w:tcW w:w="0" w:type="auto"/>
            <w:hideMark/>
          </w:tcPr>
          <w:p w14:paraId="7DC60CE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-0.094 (0.085)</w:t>
            </w:r>
          </w:p>
        </w:tc>
      </w:tr>
      <w:tr w:rsidR="00965A0A" w:rsidRPr="00DA0907" w14:paraId="401537F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0CA05E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6150D41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0.148* (0.086)</w:t>
            </w:r>
          </w:p>
        </w:tc>
        <w:tc>
          <w:tcPr>
            <w:tcW w:w="0" w:type="auto"/>
            <w:hideMark/>
          </w:tcPr>
          <w:p w14:paraId="74E5758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0.164** (0.073)</w:t>
            </w:r>
          </w:p>
        </w:tc>
        <w:tc>
          <w:tcPr>
            <w:tcW w:w="0" w:type="auto"/>
            <w:hideMark/>
          </w:tcPr>
          <w:p w14:paraId="21D9EAE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0.158** (0.075)</w:t>
            </w:r>
          </w:p>
        </w:tc>
      </w:tr>
      <w:tr w:rsidR="00965A0A" w:rsidRPr="00DA0907" w14:paraId="2BD06D7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9110AB3"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6DD4343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0.061 (0.054)</w:t>
            </w:r>
          </w:p>
        </w:tc>
        <w:tc>
          <w:tcPr>
            <w:tcW w:w="0" w:type="auto"/>
            <w:hideMark/>
          </w:tcPr>
          <w:p w14:paraId="00E31A5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0.073 (0.062)</w:t>
            </w:r>
          </w:p>
        </w:tc>
        <w:tc>
          <w:tcPr>
            <w:tcW w:w="0" w:type="auto"/>
            <w:hideMark/>
          </w:tcPr>
          <w:p w14:paraId="23771E4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0.068 (0.058)</w:t>
            </w:r>
          </w:p>
        </w:tc>
      </w:tr>
      <w:tr w:rsidR="00965A0A" w:rsidRPr="00DA0907" w14:paraId="35D7F66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60563DB"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w:t>
            </w:r>
          </w:p>
        </w:tc>
        <w:tc>
          <w:tcPr>
            <w:tcW w:w="0" w:type="auto"/>
            <w:hideMark/>
          </w:tcPr>
          <w:p w14:paraId="47D4D26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-0.054 (0.043)</w:t>
            </w:r>
          </w:p>
        </w:tc>
        <w:tc>
          <w:tcPr>
            <w:tcW w:w="0" w:type="auto"/>
            <w:hideMark/>
          </w:tcPr>
          <w:p w14:paraId="4A9811E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-0.062 (0.048)</w:t>
            </w:r>
          </w:p>
        </w:tc>
        <w:tc>
          <w:tcPr>
            <w:tcW w:w="0" w:type="auto"/>
            <w:hideMark/>
          </w:tcPr>
          <w:p w14:paraId="46F4BBD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-0.058 (0.045)</w:t>
            </w:r>
          </w:p>
        </w:tc>
      </w:tr>
      <w:tr w:rsidR="00965A0A" w:rsidRPr="00DA0907" w14:paraId="2D35BE8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914EDEA"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72F806B1"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0.218** (0.096)</w:t>
            </w:r>
          </w:p>
        </w:tc>
        <w:tc>
          <w:tcPr>
            <w:tcW w:w="0" w:type="auto"/>
            <w:hideMark/>
          </w:tcPr>
          <w:p w14:paraId="3025A89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0.236** (0.108)</w:t>
            </w:r>
          </w:p>
        </w:tc>
        <w:tc>
          <w:tcPr>
            <w:tcW w:w="0" w:type="auto"/>
            <w:hideMark/>
          </w:tcPr>
          <w:p w14:paraId="2FC17F1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0.224** (0.102)</w:t>
            </w:r>
          </w:p>
        </w:tc>
      </w:tr>
      <w:tr w:rsidR="00965A0A" w:rsidRPr="00DA0907" w14:paraId="3DF1DC8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1DBB9E2"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Constant</w:t>
            </w:r>
          </w:p>
        </w:tc>
        <w:tc>
          <w:tcPr>
            <w:tcW w:w="0" w:type="auto"/>
            <w:hideMark/>
          </w:tcPr>
          <w:p w14:paraId="6576CF5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1.087 (0.542)</w:t>
            </w:r>
          </w:p>
        </w:tc>
        <w:tc>
          <w:tcPr>
            <w:tcW w:w="0" w:type="auto"/>
            <w:hideMark/>
          </w:tcPr>
          <w:p w14:paraId="19FD3E5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1.142 (0.568)</w:t>
            </w:r>
          </w:p>
        </w:tc>
        <w:tc>
          <w:tcPr>
            <w:tcW w:w="0" w:type="auto"/>
            <w:hideMark/>
          </w:tcPr>
          <w:p w14:paraId="234C374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1.114 (0.556)</w:t>
            </w:r>
          </w:p>
        </w:tc>
      </w:tr>
      <w:tr w:rsidR="00965A0A" w:rsidRPr="00DA0907" w14:paraId="2A88759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2A56423"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R²</w:t>
            </w:r>
          </w:p>
        </w:tc>
        <w:tc>
          <w:tcPr>
            <w:tcW w:w="0" w:type="auto"/>
            <w:hideMark/>
          </w:tcPr>
          <w:p w14:paraId="1DFF3E53"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0.421</w:t>
            </w:r>
          </w:p>
        </w:tc>
        <w:tc>
          <w:tcPr>
            <w:tcW w:w="0" w:type="auto"/>
            <w:hideMark/>
          </w:tcPr>
          <w:p w14:paraId="6406C50D"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0.472</w:t>
            </w:r>
          </w:p>
        </w:tc>
        <w:tc>
          <w:tcPr>
            <w:tcW w:w="0" w:type="auto"/>
            <w:hideMark/>
          </w:tcPr>
          <w:p w14:paraId="72C27ED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0.448</w:t>
            </w:r>
          </w:p>
        </w:tc>
      </w:tr>
      <w:tr w:rsidR="00965A0A" w:rsidRPr="00DA0907" w14:paraId="2DE235A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012FA8A"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Adj. R²</w:t>
            </w:r>
          </w:p>
        </w:tc>
        <w:tc>
          <w:tcPr>
            <w:tcW w:w="0" w:type="auto"/>
            <w:hideMark/>
          </w:tcPr>
          <w:p w14:paraId="0322693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0.408</w:t>
            </w:r>
          </w:p>
        </w:tc>
        <w:tc>
          <w:tcPr>
            <w:tcW w:w="0" w:type="auto"/>
            <w:hideMark/>
          </w:tcPr>
          <w:p w14:paraId="5A29FCE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0.455</w:t>
            </w:r>
          </w:p>
        </w:tc>
        <w:tc>
          <w:tcPr>
            <w:tcW w:w="0" w:type="auto"/>
            <w:hideMark/>
          </w:tcPr>
          <w:p w14:paraId="17D6FE3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0.434</w:t>
            </w:r>
          </w:p>
        </w:tc>
      </w:tr>
      <w:tr w:rsidR="00965A0A" w:rsidRPr="00DA0907" w14:paraId="756CE74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A30322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F-statistic</w:t>
            </w:r>
          </w:p>
        </w:tc>
        <w:tc>
          <w:tcPr>
            <w:tcW w:w="0" w:type="auto"/>
            <w:hideMark/>
          </w:tcPr>
          <w:p w14:paraId="060226F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32.14***</w:t>
            </w:r>
          </w:p>
        </w:tc>
        <w:tc>
          <w:tcPr>
            <w:tcW w:w="0" w:type="auto"/>
            <w:hideMark/>
          </w:tcPr>
          <w:p w14:paraId="1B9DAF2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27.63***</w:t>
            </w:r>
          </w:p>
        </w:tc>
        <w:tc>
          <w:tcPr>
            <w:tcW w:w="0" w:type="auto"/>
            <w:hideMark/>
          </w:tcPr>
          <w:p w14:paraId="0B55CB82"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720824B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DF0AF2F"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Hausman χ²</w:t>
            </w:r>
          </w:p>
        </w:tc>
        <w:tc>
          <w:tcPr>
            <w:tcW w:w="0" w:type="auto"/>
            <w:hideMark/>
          </w:tcPr>
          <w:p w14:paraId="457D809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c>
          <w:tcPr>
            <w:tcW w:w="0" w:type="auto"/>
            <w:hideMark/>
          </w:tcPr>
          <w:p w14:paraId="7ABB8EC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27.63***</w:t>
            </w:r>
          </w:p>
        </w:tc>
        <w:tc>
          <w:tcPr>
            <w:tcW w:w="0" w:type="auto"/>
            <w:hideMark/>
          </w:tcPr>
          <w:p w14:paraId="086050C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bl>
    <w:p w14:paraId="3D76017C"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*Note: Standard errors in parentheses; ***p &lt; 0.001, **p &lt; 0.01, </w:t>
      </w:r>
      <w:r w:rsidRPr="00DA0907">
        <w:rPr>
          <w:rFonts w:ascii="Times New Roman" w:hAnsi="Times New Roman" w:cs="Times New Roman"/>
          <w:i/>
          <w:iCs/>
        </w:rPr>
        <w:t>p &lt; 0.05. Source: Authors' computation, 2025</w:t>
      </w:r>
    </w:p>
    <w:p w14:paraId="7323CD15" w14:textId="77777777" w:rsidR="00AD5C18" w:rsidRPr="00DA0907" w:rsidRDefault="00AD5C18"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Hausman test statistic is significant (χ² = 27.63, p = 0.001), </w:t>
      </w:r>
      <w:r>
        <w:rPr>
          <w:rFonts w:ascii="Times New Roman" w:hAnsi="Times New Roman" w:cs="Times New Roman"/>
          <w:highlight w:val="yellow"/>
        </w:rPr>
        <w:t>ind</w:t>
      </w:r>
      <w:r>
        <w:rPr>
          <w:rFonts w:ascii="Times New Roman" w:hAnsi="Times New Roman" w:cs="Times New Roman"/>
        </w:rPr>
        <w:t>ica</w:t>
      </w:r>
      <w:r>
        <w:rPr>
          <w:rFonts w:ascii="Times New Roman" w:hAnsi="Times New Roman" w:cs="Times New Roman"/>
          <w:highlight w:val="yellow"/>
        </w:rPr>
        <w:t>ti</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that the Random Effects specification is rejected in </w:t>
      </w:r>
      <w:proofErr w:type="spellStart"/>
      <w:r>
        <w:rPr>
          <w:rFonts w:ascii="Times New Roman" w:hAnsi="Times New Roman" w:cs="Times New Roman"/>
        </w:rPr>
        <w:t>favour</w:t>
      </w:r>
      <w:proofErr w:type="spellEnd"/>
      <w:r>
        <w:rPr>
          <w:rFonts w:ascii="Times New Roman" w:hAnsi="Times New Roman" w:cs="Times New Roman"/>
        </w:rPr>
        <w:t xml:space="preserve"> of Fixed Effects. In the preferred Fixed Effects model, inflation has a statistically significant negative relationship with sectoral stock returns (β = -0.432, t = -4.127, p &lt; 0.001)</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E</w:t>
      </w:r>
      <w:r>
        <w:rPr>
          <w:rFonts w:ascii="Times New Roman" w:hAnsi="Times New Roman" w:cs="Times New Roman"/>
        </w:rPr>
        <w:t xml:space="preserve">ach </w:t>
      </w:r>
      <w:r>
        <w:rPr>
          <w:rFonts w:ascii="Times New Roman" w:hAnsi="Times New Roman" w:cs="Times New Roman"/>
          <w:highlight w:val="yellow"/>
        </w:rPr>
        <w:t>one-</w:t>
      </w:r>
      <w:r>
        <w:rPr>
          <w:rFonts w:ascii="Times New Roman" w:hAnsi="Times New Roman" w:cs="Times New Roman"/>
        </w:rPr>
        <w:t>percentage</w:t>
      </w:r>
      <w:r>
        <w:rPr>
          <w:rFonts w:ascii="Times New Roman" w:hAnsi="Times New Roman" w:cs="Times New Roman"/>
          <w:highlight w:val="yellow"/>
        </w:rPr>
        <w:t>-</w:t>
      </w:r>
      <w:r>
        <w:rPr>
          <w:rFonts w:ascii="Times New Roman" w:hAnsi="Times New Roman" w:cs="Times New Roman"/>
        </w:rPr>
        <w:t xml:space="preserve">point </w:t>
      </w:r>
      <w:r>
        <w:rPr>
          <w:rFonts w:ascii="Times New Roman" w:hAnsi="Times New Roman" w:cs="Times New Roman"/>
          <w:highlight w:val="yellow"/>
        </w:rPr>
        <w:t>inc</w:t>
      </w:r>
      <w:r>
        <w:rPr>
          <w:rFonts w:ascii="Times New Roman" w:hAnsi="Times New Roman" w:cs="Times New Roman"/>
        </w:rPr>
        <w:t>r</w:t>
      </w:r>
      <w:r>
        <w:rPr>
          <w:rFonts w:ascii="Times New Roman" w:hAnsi="Times New Roman" w:cs="Times New Roman"/>
          <w:highlight w:val="yellow"/>
        </w:rPr>
        <w:t>ea</w:t>
      </w:r>
      <w:r>
        <w:rPr>
          <w:rFonts w:ascii="Times New Roman" w:hAnsi="Times New Roman" w:cs="Times New Roman"/>
        </w:rPr>
        <w:t>se in annual inflation</w:t>
      </w:r>
      <w:r>
        <w:rPr>
          <w:rFonts w:ascii="Times New Roman" w:hAnsi="Times New Roman" w:cs="Times New Roman"/>
          <w:highlight w:val="yellow"/>
        </w:rPr>
        <w:t xml:space="preserve"> is associated with a 0.432-percentage-point decline in</w:t>
      </w:r>
      <w:r>
        <w:rPr>
          <w:rFonts w:ascii="Times New Roman" w:hAnsi="Times New Roman" w:cs="Times New Roman"/>
        </w:rPr>
        <w:t xml:space="preserve"> stock returns, controlling for other variables. </w:t>
      </w:r>
      <w:r>
        <w:rPr>
          <w:rFonts w:ascii="Times New Roman" w:hAnsi="Times New Roman" w:cs="Times New Roman"/>
          <w:highlight w:val="yellow"/>
        </w:rPr>
        <w:t>The e</w:t>
      </w:r>
      <w:r>
        <w:rPr>
          <w:rFonts w:ascii="Times New Roman" w:hAnsi="Times New Roman" w:cs="Times New Roman"/>
        </w:rPr>
        <w:t xml:space="preserve">xchange rate has a positive and significant effect (β = 0.184, t = 2.851, p &lt; 0.01). </w:t>
      </w:r>
      <w:r>
        <w:rPr>
          <w:rFonts w:ascii="Times New Roman" w:hAnsi="Times New Roman" w:cs="Times New Roman"/>
          <w:highlight w:val="yellow"/>
        </w:rPr>
        <w:t>The i</w:t>
      </w:r>
      <w:r>
        <w:rPr>
          <w:rFonts w:ascii="Times New Roman" w:hAnsi="Times New Roman" w:cs="Times New Roman"/>
        </w:rPr>
        <w:t xml:space="preserve">nterest rate </w:t>
      </w:r>
      <w:r>
        <w:rPr>
          <w:rFonts w:ascii="Times New Roman" w:hAnsi="Times New Roman" w:cs="Times New Roman"/>
          <w:highlight w:val="yellow"/>
        </w:rPr>
        <w:t>ha</w:t>
      </w:r>
      <w:r>
        <w:rPr>
          <w:rFonts w:ascii="Times New Roman" w:hAnsi="Times New Roman" w:cs="Times New Roman"/>
        </w:rPr>
        <w:t>s</w:t>
      </w:r>
      <w:r>
        <w:rPr>
          <w:rFonts w:ascii="Times New Roman" w:hAnsi="Times New Roman" w:cs="Times New Roman"/>
          <w:highlight w:val="yellow"/>
        </w:rPr>
        <w:t xml:space="preserve"> a</w:t>
      </w:r>
      <w:r>
        <w:rPr>
          <w:rFonts w:ascii="Times New Roman" w:hAnsi="Times New Roman" w:cs="Times New Roman"/>
        </w:rPr>
        <w:t xml:space="preserve"> negative but insignifican</w:t>
      </w:r>
      <w:r>
        <w:rPr>
          <w:rFonts w:ascii="Times New Roman" w:hAnsi="Times New Roman" w:cs="Times New Roman"/>
          <w:highlight w:val="yellow"/>
        </w:rPr>
        <w:t>t effec</w:t>
      </w:r>
      <w:r>
        <w:rPr>
          <w:rFonts w:ascii="Times New Roman" w:hAnsi="Times New Roman" w:cs="Times New Roman"/>
        </w:rPr>
        <w:t xml:space="preserve">t (β = -0.102, p &gt; 0.10). GDP growth has a positive and significant effect (β = 0.164, t = 2.694, p &lt; 0.01). </w:t>
      </w:r>
      <w:r>
        <w:rPr>
          <w:rFonts w:ascii="Times New Roman" w:hAnsi="Times New Roman" w:cs="Times New Roman"/>
          <w:highlight w:val="yellow"/>
        </w:rPr>
        <w:t>Firm</w:t>
      </w:r>
      <w:r>
        <w:rPr>
          <w:rFonts w:ascii="Times New Roman" w:hAnsi="Times New Roman" w:cs="Times New Roman"/>
        </w:rPr>
        <w:t xml:space="preserve"> size (β = 0.073) and leverage (β = -0.062) are statistically insignificant, while profitability (ROA) is positively and significantly related to firm performance </w:t>
      </w:r>
      <w:r>
        <w:rPr>
          <w:rFonts w:ascii="Times New Roman" w:hAnsi="Times New Roman" w:cs="Times New Roman"/>
        </w:rPr>
        <w:lastRenderedPageBreak/>
        <w:t>(β = 0.236, t = 3.028, p &lt; 0.01). The model explains 47.2 percent of the variation in sectoral stock returns (R² = 0.472).</w:t>
      </w:r>
    </w:p>
    <w:p w14:paraId="3F7F9311"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4.5 </w:t>
      </w:r>
      <w:r w:rsidR="00965A0A" w:rsidRPr="00DA0907">
        <w:rPr>
          <w:rFonts w:ascii="Times New Roman" w:hAnsi="Times New Roman" w:cs="Times New Roman"/>
          <w:b/>
          <w:bCs/>
        </w:rPr>
        <w:t>Robustness Tests</w:t>
      </w:r>
    </w:p>
    <w:p w14:paraId="1C39D782"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7</w:t>
      </w:r>
      <w:r w:rsidRPr="00DA0907">
        <w:rPr>
          <w:rFonts w:ascii="Times New Roman" w:hAnsi="Times New Roman" w:cs="Times New Roman"/>
          <w:b/>
          <w:bCs/>
        </w:rPr>
        <w:t>: Robustness Test Results</w:t>
      </w:r>
    </w:p>
    <w:tbl>
      <w:tblPr>
        <w:tblStyle w:val="GridTable1Light"/>
        <w:tblW w:w="0" w:type="auto"/>
        <w:tblLook w:val="04A0" w:firstRow="1" w:lastRow="0" w:firstColumn="1" w:lastColumn="0" w:noHBand="0" w:noVBand="1"/>
      </w:tblPr>
      <w:tblGrid>
        <w:gridCol w:w="4663"/>
        <w:gridCol w:w="2123"/>
        <w:gridCol w:w="756"/>
        <w:gridCol w:w="1769"/>
      </w:tblGrid>
      <w:tr w:rsidR="00965A0A" w:rsidRPr="00DA0907" w14:paraId="5458B280"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D5204"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Model Specification</w:t>
            </w:r>
          </w:p>
        </w:tc>
        <w:tc>
          <w:tcPr>
            <w:tcW w:w="0" w:type="auto"/>
            <w:hideMark/>
          </w:tcPr>
          <w:p w14:paraId="041061B6"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Coefficient on INF</w:t>
            </w:r>
          </w:p>
        </w:tc>
        <w:tc>
          <w:tcPr>
            <w:tcW w:w="0" w:type="auto"/>
            <w:hideMark/>
          </w:tcPr>
          <w:p w14:paraId="03813925"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R²</w:t>
            </w:r>
          </w:p>
        </w:tc>
        <w:tc>
          <w:tcPr>
            <w:tcW w:w="0" w:type="auto"/>
            <w:hideMark/>
          </w:tcPr>
          <w:p w14:paraId="0F79F27F" w14:textId="77777777" w:rsidR="00965A0A" w:rsidRPr="00DA0907" w:rsidRDefault="00965A0A" w:rsidP="007417A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Remark</w:t>
            </w:r>
          </w:p>
        </w:tc>
      </w:tr>
      <w:tr w:rsidR="00965A0A" w:rsidRPr="00DA0907" w14:paraId="1F77874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9C4B376"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Baseline FE model</w:t>
            </w:r>
          </w:p>
        </w:tc>
        <w:tc>
          <w:tcPr>
            <w:tcW w:w="0" w:type="auto"/>
            <w:hideMark/>
          </w:tcPr>
          <w:p w14:paraId="3A25A35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-0.432***</w:t>
            </w:r>
          </w:p>
        </w:tc>
        <w:tc>
          <w:tcPr>
            <w:tcW w:w="0" w:type="auto"/>
            <w:hideMark/>
          </w:tcPr>
          <w:p w14:paraId="50F8028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0.472</w:t>
            </w:r>
          </w:p>
        </w:tc>
        <w:tc>
          <w:tcPr>
            <w:tcW w:w="0" w:type="auto"/>
            <w:hideMark/>
          </w:tcPr>
          <w:p w14:paraId="55866257"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Preferred model</w:t>
            </w:r>
          </w:p>
        </w:tc>
      </w:tr>
      <w:tr w:rsidR="00965A0A" w:rsidRPr="00DA0907" w14:paraId="00EB234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78CDF2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RE model</w:t>
            </w:r>
          </w:p>
        </w:tc>
        <w:tc>
          <w:tcPr>
            <w:tcW w:w="0" w:type="auto"/>
            <w:hideMark/>
          </w:tcPr>
          <w:p w14:paraId="02596510"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-0.398***</w:t>
            </w:r>
          </w:p>
        </w:tc>
        <w:tc>
          <w:tcPr>
            <w:tcW w:w="0" w:type="auto"/>
            <w:hideMark/>
          </w:tcPr>
          <w:p w14:paraId="3A86C96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0.448</w:t>
            </w:r>
          </w:p>
        </w:tc>
        <w:tc>
          <w:tcPr>
            <w:tcW w:w="0" w:type="auto"/>
            <w:hideMark/>
          </w:tcPr>
          <w:p w14:paraId="5FE8CC1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746CC5B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7B5B4E8"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using core inflation</w:t>
            </w:r>
          </w:p>
        </w:tc>
        <w:tc>
          <w:tcPr>
            <w:tcW w:w="0" w:type="auto"/>
            <w:hideMark/>
          </w:tcPr>
          <w:p w14:paraId="70EA1F1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-0.387***</w:t>
            </w:r>
          </w:p>
        </w:tc>
        <w:tc>
          <w:tcPr>
            <w:tcW w:w="0" w:type="auto"/>
            <w:hideMark/>
          </w:tcPr>
          <w:p w14:paraId="60B8AA5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0.461</w:t>
            </w:r>
          </w:p>
        </w:tc>
        <w:tc>
          <w:tcPr>
            <w:tcW w:w="0" w:type="auto"/>
            <w:hideMark/>
          </w:tcPr>
          <w:p w14:paraId="276BFA44"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0B0ACF6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BE8D99E"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excluding 2020–2021 (COVID)</w:t>
            </w:r>
          </w:p>
        </w:tc>
        <w:tc>
          <w:tcPr>
            <w:tcW w:w="0" w:type="auto"/>
            <w:hideMark/>
          </w:tcPr>
          <w:p w14:paraId="7EF12C6E"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-0.445***</w:t>
            </w:r>
          </w:p>
        </w:tc>
        <w:tc>
          <w:tcPr>
            <w:tcW w:w="0" w:type="auto"/>
            <w:hideMark/>
          </w:tcPr>
          <w:p w14:paraId="0542745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0.478</w:t>
            </w:r>
          </w:p>
        </w:tc>
        <w:tc>
          <w:tcPr>
            <w:tcW w:w="0" w:type="auto"/>
            <w:hideMark/>
          </w:tcPr>
          <w:p w14:paraId="61761B86"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26598BED"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8C46A15"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including oil price</w:t>
            </w:r>
          </w:p>
        </w:tc>
        <w:tc>
          <w:tcPr>
            <w:tcW w:w="0" w:type="auto"/>
            <w:hideMark/>
          </w:tcPr>
          <w:p w14:paraId="6226672B"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-0.419***</w:t>
            </w:r>
          </w:p>
        </w:tc>
        <w:tc>
          <w:tcPr>
            <w:tcW w:w="0" w:type="auto"/>
            <w:hideMark/>
          </w:tcPr>
          <w:p w14:paraId="7650B7A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0.484</w:t>
            </w:r>
          </w:p>
        </w:tc>
        <w:tc>
          <w:tcPr>
            <w:tcW w:w="0" w:type="auto"/>
            <w:hideMark/>
          </w:tcPr>
          <w:p w14:paraId="11A29C7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59A4E3A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459BEE4" w14:textId="77777777" w:rsidR="00965A0A" w:rsidRPr="00DA0907" w:rsidRDefault="00965A0A" w:rsidP="007417A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 xml:space="preserve">Alternative: </w:t>
            </w:r>
            <w:proofErr w:type="spellStart"/>
            <w:r w:rsidRPr="00DA0907">
              <w:rPr>
                <w:rFonts w:ascii="Times New Roman" w:hAnsi="Times New Roman" w:cs="Times New Roman"/>
              </w:rPr>
              <w:t>winsorised</w:t>
            </w:r>
            <w:proofErr w:type="spellEnd"/>
            <w:r w:rsidRPr="00DA0907">
              <w:rPr>
                <w:rFonts w:ascii="Times New Roman" w:hAnsi="Times New Roman" w:cs="Times New Roman"/>
              </w:rPr>
              <w:t xml:space="preserve"> returns</w:t>
            </w:r>
          </w:p>
        </w:tc>
        <w:tc>
          <w:tcPr>
            <w:tcW w:w="0" w:type="auto"/>
            <w:hideMark/>
          </w:tcPr>
          <w:p w14:paraId="11FD08B9"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-0.428***</w:t>
            </w:r>
          </w:p>
        </w:tc>
        <w:tc>
          <w:tcPr>
            <w:tcW w:w="0" w:type="auto"/>
            <w:hideMark/>
          </w:tcPr>
          <w:p w14:paraId="33445728"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0.470</w:t>
            </w:r>
          </w:p>
        </w:tc>
        <w:tc>
          <w:tcPr>
            <w:tcW w:w="0" w:type="auto"/>
            <w:hideMark/>
          </w:tcPr>
          <w:p w14:paraId="5FD06AFA" w14:textId="77777777" w:rsidR="00965A0A" w:rsidRPr="00DA0907" w:rsidRDefault="00965A0A" w:rsidP="007417A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bl>
    <w:p w14:paraId="25BEF1B6" w14:textId="77777777" w:rsidR="00965A0A" w:rsidRPr="00DA0907"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*Note: **</w:t>
      </w:r>
      <w:r w:rsidRPr="00DA0907">
        <w:rPr>
          <w:rFonts w:ascii="Times New Roman" w:hAnsi="Times New Roman" w:cs="Times New Roman"/>
          <w:i/>
          <w:iCs/>
        </w:rPr>
        <w:t>p &lt; 0.001. Source: Authors' computation, 2025</w:t>
      </w:r>
    </w:p>
    <w:p w14:paraId="294B9DBF" w14:textId="77777777" w:rsidR="00965A0A" w:rsidRPr="00DA0907" w:rsidRDefault="00965A0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coefficient on inflation remains negative and significant at p &lt; 0.001 across all alternative specifications, ranging from -0.387 to -0.445, </w:t>
      </w:r>
      <w:r>
        <w:rPr>
          <w:rFonts w:ascii="Times New Roman" w:hAnsi="Times New Roman" w:cs="Times New Roman"/>
          <w:highlight w:val="yellow"/>
        </w:rPr>
        <w:t>supp</w:t>
      </w:r>
      <w:r>
        <w:rPr>
          <w:rFonts w:ascii="Times New Roman" w:hAnsi="Times New Roman" w:cs="Times New Roman"/>
        </w:rPr>
        <w:t>or</w:t>
      </w:r>
      <w:r>
        <w:rPr>
          <w:rFonts w:ascii="Times New Roman" w:hAnsi="Times New Roman" w:cs="Times New Roman"/>
          <w:highlight w:val="yellow"/>
        </w:rPr>
        <w:t>t</w:t>
      </w:r>
      <w:r>
        <w:rPr>
          <w:rFonts w:ascii="Times New Roman" w:hAnsi="Times New Roman" w:cs="Times New Roman"/>
        </w:rPr>
        <w:t>ing the stability of the core finding.</w:t>
      </w:r>
    </w:p>
    <w:p w14:paraId="54EF7EEE"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4.6 </w:t>
      </w:r>
      <w:r w:rsidR="00965A0A" w:rsidRPr="00DA0907">
        <w:rPr>
          <w:rFonts w:ascii="Times New Roman" w:hAnsi="Times New Roman" w:cs="Times New Roman"/>
          <w:b/>
          <w:bCs/>
        </w:rPr>
        <w:t>Sectoral Heterogeneity in Inflation Sensitivity</w:t>
      </w:r>
    </w:p>
    <w:p w14:paraId="02E54270" w14:textId="7FAB1594" w:rsidR="00AD5C18" w:rsidRPr="00DA0907" w:rsidRDefault="00AD5C18" w:rsidP="007417AA">
      <w:pPr>
        <w:tabs>
          <w:tab w:val="left" w:pos="2070"/>
        </w:tabs>
        <w:spacing w:line="360" w:lineRule="auto"/>
        <w:jc w:val="both"/>
      </w:pPr>
      <w:r>
        <w:t>The</w:t>
      </w:r>
      <w:r>
        <w:rPr>
          <w:highlight w:val="yellow"/>
        </w:rPr>
        <w:t xml:space="preserve"> sector-specific</w:t>
      </w:r>
      <w:r>
        <w:t xml:space="preserve"> regressions show significant variation in inflation sensitivity </w:t>
      </w:r>
      <w:r>
        <w:rPr>
          <w:highlight w:val="yellow"/>
        </w:rPr>
        <w:t>acr</w:t>
      </w:r>
      <w:r>
        <w:t>o</w:t>
      </w:r>
      <w:r>
        <w:rPr>
          <w:highlight w:val="yellow"/>
        </w:rPr>
        <w:t>ss</w:t>
      </w:r>
      <w:r>
        <w:t xml:space="preserve"> </w:t>
      </w:r>
      <w:r>
        <w:rPr>
          <w:highlight w:val="yellow"/>
        </w:rPr>
        <w:t>NGX</w:t>
      </w:r>
      <w:r>
        <w:t xml:space="preserve"> sectors (</w:t>
      </w:r>
      <w:proofErr w:type="spellStart"/>
      <w:r>
        <w:t>Ikoku</w:t>
      </w:r>
      <w:proofErr w:type="spellEnd"/>
      <w:r>
        <w:t xml:space="preserve"> &amp; Okorie, 2010). The Consumer Goods sector </w:t>
      </w:r>
      <w:r>
        <w:rPr>
          <w:highlight w:val="yellow"/>
        </w:rPr>
        <w:t>exh</w:t>
      </w:r>
      <w:r>
        <w:t>i</w:t>
      </w:r>
      <w:r>
        <w:rPr>
          <w:highlight w:val="yellow"/>
        </w:rPr>
        <w:t>b</w:t>
      </w:r>
      <w:r>
        <w:t>it</w:t>
      </w:r>
      <w:r>
        <w:rPr>
          <w:highlight w:val="yellow"/>
        </w:rPr>
        <w:t>s</w:t>
      </w:r>
      <w:r>
        <w:t xml:space="preserve"> the</w:t>
      </w:r>
      <w:r>
        <w:rPr>
          <w:highlight w:val="yellow"/>
        </w:rPr>
        <w:t xml:space="preserve"> strongest</w:t>
      </w:r>
      <w:r>
        <w:t xml:space="preserve"> negative s</w:t>
      </w:r>
      <w:r>
        <w:rPr>
          <w:highlight w:val="yellow"/>
        </w:rPr>
        <w:t>ens</w:t>
      </w:r>
      <w:r>
        <w:t>i</w:t>
      </w:r>
      <w:r>
        <w:rPr>
          <w:highlight w:val="yellow"/>
        </w:rPr>
        <w:t>tivity</w:t>
      </w:r>
      <w:r>
        <w:t xml:space="preserve"> (β = -0.612, t = -3.845, p &lt; 0.001), which </w:t>
      </w:r>
      <w:r>
        <w:rPr>
          <w:highlight w:val="yellow"/>
        </w:rPr>
        <w:t>may</w:t>
      </w:r>
      <w:r>
        <w:t xml:space="preserve"> </w:t>
      </w:r>
      <w:r>
        <w:rPr>
          <w:highlight w:val="yellow"/>
        </w:rPr>
        <w:t>r</w:t>
      </w:r>
      <w:r>
        <w:t>e</w:t>
      </w:r>
      <w:r>
        <w:rPr>
          <w:highlight w:val="yellow"/>
        </w:rPr>
        <w:t>flec</w:t>
      </w:r>
      <w:r>
        <w:t>t input</w:t>
      </w:r>
      <w:r>
        <w:rPr>
          <w:highlight w:val="yellow"/>
        </w:rPr>
        <w:t>-</w:t>
      </w:r>
      <w:r>
        <w:t>cost inflation, wage pressure</w:t>
      </w:r>
      <w:r>
        <w:rPr>
          <w:highlight w:val="yellow"/>
        </w:rPr>
        <w:t>s</w:t>
      </w:r>
      <w:r>
        <w:t xml:space="preserve"> and weak consumer purchasing power. The Banking sector follows (β = -0.478, t = -3.124, p &lt; 0.01), which </w:t>
      </w:r>
      <w:r>
        <w:rPr>
          <w:highlight w:val="yellow"/>
        </w:rPr>
        <w:t>may</w:t>
      </w:r>
      <w:r>
        <w:t xml:space="preserve"> </w:t>
      </w:r>
      <w:r>
        <w:rPr>
          <w:highlight w:val="yellow"/>
        </w:rPr>
        <w:t>r</w:t>
      </w:r>
      <w:r>
        <w:t>e</w:t>
      </w:r>
      <w:r>
        <w:rPr>
          <w:highlight w:val="yellow"/>
        </w:rPr>
        <w:t>flec</w:t>
      </w:r>
      <w:r>
        <w:t>t the impact of monetary tightening on net interest margins and loan demand. The Industrial Goods sector exhibits moderate negative sensitivity (β = -0.394, t = -2.871, p &lt; 0.01)</w:t>
      </w:r>
      <w:r>
        <w:rPr>
          <w:highlight w:val="yellow"/>
        </w:rPr>
        <w:t>,</w:t>
      </w:r>
      <w:r>
        <w:t xml:space="preserve"> </w:t>
      </w:r>
      <w:r>
        <w:rPr>
          <w:highlight w:val="yellow"/>
        </w:rPr>
        <w:t>while</w:t>
      </w:r>
      <w:r>
        <w:t xml:space="preserve"> the </w:t>
      </w:r>
      <w:proofErr w:type="gramStart"/>
      <w:r>
        <w:t>Agriculture</w:t>
      </w:r>
      <w:proofErr w:type="gramEnd"/>
      <w:r>
        <w:t xml:space="preserve"> sector exhibits a smaller but significant negative effect (β = -0.301, t = -1.987, p &lt; 0.05). The Oil and Gas sector, on the other hand, </w:t>
      </w:r>
      <w:r>
        <w:rPr>
          <w:highlight w:val="yellow"/>
        </w:rPr>
        <w:t>s</w:t>
      </w:r>
      <w:r>
        <w:t>h</w:t>
      </w:r>
      <w:r>
        <w:rPr>
          <w:highlight w:val="yellow"/>
        </w:rPr>
        <w:t>ow</w:t>
      </w:r>
      <w:r>
        <w:t xml:space="preserve">s no statistically significant sensitivity to inflation (β = -0.112, t = -0.634, p &gt; 0.10), which </w:t>
      </w:r>
      <w:r>
        <w:rPr>
          <w:highlight w:val="yellow"/>
        </w:rPr>
        <w:t>may</w:t>
      </w:r>
      <w:r>
        <w:t xml:space="preserve"> partly </w:t>
      </w:r>
      <w:r>
        <w:rPr>
          <w:highlight w:val="yellow"/>
        </w:rPr>
        <w:t>r</w:t>
      </w:r>
      <w:r>
        <w:t>e</w:t>
      </w:r>
      <w:r>
        <w:rPr>
          <w:highlight w:val="yellow"/>
        </w:rPr>
        <w:t>fl</w:t>
      </w:r>
      <w:r>
        <w:t xml:space="preserve">ect </w:t>
      </w:r>
      <w:r>
        <w:rPr>
          <w:highlight w:val="yellow"/>
        </w:rPr>
        <w:t>dollar-</w:t>
      </w:r>
      <w:r>
        <w:rPr>
          <w:highlight w:val="yellow"/>
        </w:rPr>
        <w:lastRenderedPageBreak/>
        <w:t>denomin</w:t>
      </w:r>
      <w:r>
        <w:t>ate</w:t>
      </w:r>
      <w:r>
        <w:rPr>
          <w:highlight w:val="yellow"/>
        </w:rPr>
        <w:t>d</w:t>
      </w:r>
      <w:r>
        <w:t xml:space="preserve"> revenues and the positive effect</w:t>
      </w:r>
      <w:r>
        <w:rPr>
          <w:highlight w:val="yellow"/>
        </w:rPr>
        <w:t>s</w:t>
      </w:r>
      <w:r>
        <w:t xml:space="preserve"> of deregulation and exchange rate reform (World Bank, 2024)</w:t>
      </w:r>
      <w:r w:rsidR="008054A3" w:rsidRPr="008054A3"/>
      <w:r>
        <w:t>.</w:t>
      </w:r>
    </w:p>
    <w:p w14:paraId="30326B3A" w14:textId="77777777" w:rsidR="00965A0A" w:rsidRPr="00DA0907" w:rsidRDefault="00E738C2"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5.0 </w:t>
      </w:r>
      <w:r w:rsidR="00965A0A" w:rsidRPr="00DA0907">
        <w:rPr>
          <w:rFonts w:ascii="Times New Roman" w:hAnsi="Times New Roman" w:cs="Times New Roman"/>
          <w:b/>
          <w:bCs/>
          <w:sz w:val="26"/>
          <w:szCs w:val="26"/>
        </w:rPr>
        <w:t>Discussion</w:t>
      </w:r>
    </w:p>
    <w:p w14:paraId="19484DD1"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finding of </w:t>
      </w:r>
      <w:r>
        <w:rPr>
          <w:rFonts w:ascii="Times New Roman" w:hAnsi="Times New Roman" w:cs="Times New Roman"/>
          <w:highlight w:val="yellow"/>
        </w:rPr>
        <w:t>a</w:t>
      </w:r>
      <w:r>
        <w:rPr>
          <w:rFonts w:ascii="Times New Roman" w:hAnsi="Times New Roman" w:cs="Times New Roman"/>
        </w:rPr>
        <w:t xml:space="preserve"> negative and statistically significant effect of inflation on sectoral stock returns corroborates the predictions of the Discounted Cash Flow perspective and the Arbitrage Pricing Theory (Dada et al., 2021)</w:t>
      </w:r>
      <w:proofErr w:type="spellStart"/>
      <w:r>
        <w:rPr>
          <w:rFonts w:ascii="Times New Roman" w:hAnsi="Times New Roman" w:cs="Times New Roman"/>
        </w:rPr>
      </w:r>
      <w:proofErr w:type="spellEnd"/>
      <w:r>
        <w:rPr>
          <w:rFonts w:ascii="Times New Roman" w:hAnsi="Times New Roman" w:cs="Times New Roman"/>
        </w:rPr>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It is consistent with Folorunso (2023), who reported that inflation negatively and significantly affects stock returns on both aggregate and sectoral bases, and with Usman and Adejare (2013), who reported a weak but generally negative relationship over a much longer historical period. It contrasts with Abubakar et al. (2025), who reported a significant positive effect of inflation on the return on equity of listed manufacturing firms. It differs</w:t>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proofErr w:type="spellStart"/>
      <w:r>
        <w:rPr>
          <w:rFonts w:ascii="Times New Roman" w:hAnsi="Times New Roman" w:cs="Times New Roman"/>
        </w:rPr>
      </w:r>
      <w:proofErr w:type="spellEnd"/>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proofErr w:type="spellStart"/>
      <w:r>
        <w:rPr>
          <w:rFonts w:ascii="Times New Roman" w:hAnsi="Times New Roman" w:cs="Times New Roman"/>
        </w:rPr>
      </w:r>
      <w:proofErr w:type="spellEnd"/>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r>
      <w:r>
        <w:rPr>
          <w:rFonts w:ascii="Times New Roman" w:hAnsi="Times New Roman" w:cs="Times New Roman"/>
          <w:highlight w:val="yellow"/>
        </w:rPr>
      </w:r>
      <w:r>
        <w:rPr>
          <w:rFonts w:ascii="Times New Roman" w:hAnsi="Times New Roman" w:cs="Times New Roman"/>
        </w:rPr>
        <w:t xml:space="preserve">, however, from </w:t>
      </w:r>
      <w:proofErr w:type="spellStart"/>
      <w:r>
        <w:rPr>
          <w:rFonts w:ascii="Times New Roman" w:hAnsi="Times New Roman" w:cs="Times New Roman"/>
        </w:rPr>
        <w:t>Uruemu</w:t>
      </w:r>
      <w:proofErr w:type="spellEnd"/>
      <w:r>
        <w:rPr>
          <w:rFonts w:ascii="Times New Roman" w:hAnsi="Times New Roman" w:cs="Times New Roman"/>
        </w:rPr>
        <w:t xml:space="preserve"> (2022)</w:t>
      </w:r>
      <w:r>
        <w:rPr>
          <w:rFonts w:ascii="Times New Roman" w:hAnsi="Times New Roman" w:cs="Times New Roman"/>
          <w:highlight w:val="yellow"/>
        </w:rPr>
        <w:t>,</w:t>
      </w:r>
      <w:r>
        <w:rPr>
          <w:rFonts w:ascii="Times New Roman" w:hAnsi="Times New Roman" w:cs="Times New Roman"/>
        </w:rPr>
        <w:t xml:space="preserve"> who reported a positive relationship between inflation and stock market</w:t>
      </w:r>
      <w:r>
        <w:rPr>
          <w:rFonts w:ascii="Times New Roman" w:hAnsi="Times New Roman" w:cs="Times New Roman"/>
          <w:highlight w:val="yellow"/>
        </w:rPr>
        <w:t xml:space="preserve"> liquidity</w:t>
      </w:r>
      <w:r>
        <w:rPr>
          <w:rFonts w:ascii="Times New Roman" w:hAnsi="Times New Roman" w:cs="Times New Roman"/>
        </w:rPr>
        <w:t xml:space="preserve">, and from </w:t>
      </w:r>
      <w:proofErr w:type="spellStart"/>
      <w:r>
        <w:rPr>
          <w:rFonts w:ascii="Times New Roman" w:hAnsi="Times New Roman" w:cs="Times New Roman"/>
        </w:rPr>
        <w:t>Kukandaka</w:t>
      </w:r>
      <w:proofErr w:type="spellEnd"/>
      <w:r>
        <w:rPr>
          <w:rFonts w:ascii="Times New Roman" w:hAnsi="Times New Roman" w:cs="Times New Roman"/>
        </w:rPr>
        <w:t xml:space="preserve"> et al. (2026)</w:t>
      </w:r>
      <w:r>
        <w:rPr>
          <w:rFonts w:ascii="Times New Roman" w:hAnsi="Times New Roman" w:cs="Times New Roman"/>
          <w:highlight w:val="yellow"/>
        </w:rPr>
        <w:t>,</w:t>
      </w:r>
      <w:r>
        <w:rPr>
          <w:rFonts w:ascii="Times New Roman" w:hAnsi="Times New Roman" w:cs="Times New Roman"/>
        </w:rPr>
        <w:t xml:space="preserve"> who found </w:t>
      </w:r>
      <w:r>
        <w:rPr>
          <w:rFonts w:ascii="Times New Roman" w:hAnsi="Times New Roman" w:cs="Times New Roman"/>
          <w:highlight w:val="yellow"/>
        </w:rPr>
        <w:t>a posi</w:t>
      </w:r>
      <w:r>
        <w:rPr>
          <w:rFonts w:ascii="Times New Roman" w:hAnsi="Times New Roman" w:cs="Times New Roman"/>
        </w:rPr>
        <w:t>t</w:t>
      </w:r>
      <w:r>
        <w:rPr>
          <w:rFonts w:ascii="Times New Roman" w:hAnsi="Times New Roman" w:cs="Times New Roman"/>
          <w:highlight w:val="yellow"/>
        </w:rPr>
        <w:t>iv</w:t>
      </w:r>
      <w:r>
        <w:rPr>
          <w:rFonts w:ascii="Times New Roman" w:hAnsi="Times New Roman" w:cs="Times New Roman"/>
        </w:rPr>
        <w:t>e long-run relationship between inflation and the Industrial Goods sector index</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Thi</w:t>
      </w:r>
      <w:r>
        <w:rPr>
          <w:rFonts w:ascii="Times New Roman" w:hAnsi="Times New Roman" w:cs="Times New Roman"/>
        </w:rPr>
        <w:t>s contrast s</w:t>
      </w:r>
      <w:r>
        <w:rPr>
          <w:rFonts w:ascii="Times New Roman" w:hAnsi="Times New Roman" w:cs="Times New Roman"/>
          <w:highlight w:val="yellow"/>
        </w:rPr>
        <w:t>ugge</w:t>
      </w:r>
      <w:r>
        <w:rPr>
          <w:rFonts w:ascii="Times New Roman" w:hAnsi="Times New Roman" w:cs="Times New Roman"/>
        </w:rPr>
        <w:t xml:space="preserve">sts that the direction of the relationship may be sensitive to the dependent variable used (returns versus liquidity) and to the </w:t>
      </w:r>
      <w:r>
        <w:rPr>
          <w:rFonts w:ascii="Times New Roman" w:hAnsi="Times New Roman" w:cs="Times New Roman"/>
          <w:highlight w:val="yellow"/>
        </w:rPr>
        <w:t>s</w:t>
      </w:r>
      <w:r>
        <w:rPr>
          <w:rFonts w:ascii="Times New Roman" w:hAnsi="Times New Roman" w:cs="Times New Roman"/>
        </w:rPr>
        <w:t>peci</w:t>
      </w:r>
      <w:r>
        <w:rPr>
          <w:rFonts w:ascii="Times New Roman" w:hAnsi="Times New Roman" w:cs="Times New Roman"/>
          <w:highlight w:val="yellow"/>
        </w:rPr>
        <w:t>fic</w:t>
      </w:r>
      <w:r>
        <w:rPr>
          <w:rFonts w:ascii="Times New Roman" w:hAnsi="Times New Roman" w:cs="Times New Roman"/>
        </w:rPr>
        <w:t xml:space="preserve"> period and sub-index examined. The negative effect </w:t>
      </w:r>
      <w:r>
        <w:rPr>
          <w:rFonts w:ascii="Times New Roman" w:hAnsi="Times New Roman" w:cs="Times New Roman"/>
          <w:highlight w:val="yellow"/>
        </w:rPr>
        <w:t>operate</w:t>
      </w:r>
      <w:r>
        <w:rPr>
          <w:rFonts w:ascii="Times New Roman" w:hAnsi="Times New Roman" w:cs="Times New Roman"/>
        </w:rPr>
        <w:t>s through channels that are consistent with theory: higher inflation leads to</w:t>
      </w:r>
      <w:r>
        <w:rPr>
          <w:rFonts w:ascii="Times New Roman" w:hAnsi="Times New Roman" w:cs="Times New Roman"/>
          <w:highlight w:val="yellow"/>
        </w:rPr>
        <w:t xml:space="preserve"> a</w:t>
      </w:r>
      <w:r>
        <w:rPr>
          <w:rFonts w:ascii="Times New Roman" w:hAnsi="Times New Roman" w:cs="Times New Roman"/>
        </w:rPr>
        <w:t xml:space="preserve"> higher discount rate applied to future cash flows; inflation erodes profit margins </w:t>
      </w:r>
      <w:r>
        <w:rPr>
          <w:rFonts w:ascii="Times New Roman" w:hAnsi="Times New Roman" w:cs="Times New Roman"/>
          <w:highlight w:val="yellow"/>
        </w:rPr>
        <w:t>thro</w:t>
      </w:r>
      <w:r>
        <w:rPr>
          <w:rFonts w:ascii="Times New Roman" w:hAnsi="Times New Roman" w:cs="Times New Roman"/>
        </w:rPr>
        <w:t>u</w:t>
      </w:r>
      <w:r>
        <w:rPr>
          <w:rFonts w:ascii="Times New Roman" w:hAnsi="Times New Roman" w:cs="Times New Roman"/>
          <w:highlight w:val="yellow"/>
        </w:rPr>
        <w:t>gh</w:t>
      </w:r>
      <w:r>
        <w:rPr>
          <w:rFonts w:ascii="Times New Roman" w:hAnsi="Times New Roman" w:cs="Times New Roman"/>
        </w:rPr>
        <w:t xml:space="preserve"> rising input, </w:t>
      </w:r>
      <w:proofErr w:type="spellStart"/>
      <w:r>
        <w:rPr>
          <w:rFonts w:ascii="Times New Roman" w:hAnsi="Times New Roman" w:cs="Times New Roman"/>
        </w:rPr>
        <w:t>labour</w:t>
      </w:r>
      <w:proofErr w:type="spellEnd"/>
      <w:r>
        <w:rPr>
          <w:rFonts w:ascii="Times New Roman" w:hAnsi="Times New Roman" w:cs="Times New Roman"/>
        </w:rPr>
        <w:t xml:space="preserve"> </w:t>
      </w:r>
      <w:r>
        <w:rPr>
          <w:rFonts w:ascii="Times New Roman" w:hAnsi="Times New Roman" w:cs="Times New Roman"/>
          <w:highlight w:val="yellow"/>
        </w:rPr>
        <w:t>and</w:t>
      </w:r>
      <w:r>
        <w:rPr>
          <w:rFonts w:ascii="Times New Roman" w:hAnsi="Times New Roman" w:cs="Times New Roman"/>
        </w:rPr>
        <w:t xml:space="preserve"> financing costs, especially when firms are unable to pass the</w:t>
      </w:r>
      <w:r>
        <w:rPr>
          <w:rFonts w:ascii="Times New Roman" w:hAnsi="Times New Roman" w:cs="Times New Roman"/>
          <w:highlight w:val="yellow"/>
        </w:rPr>
        <w:t>se</w:t>
      </w:r>
      <w:r>
        <w:rPr>
          <w:rFonts w:ascii="Times New Roman" w:hAnsi="Times New Roman" w:cs="Times New Roman"/>
        </w:rPr>
        <w:t xml:space="preserve"> costs o</w:t>
      </w:r>
      <w:r>
        <w:rPr>
          <w:rFonts w:ascii="Times New Roman" w:hAnsi="Times New Roman" w:cs="Times New Roman"/>
          <w:highlight w:val="yellow"/>
        </w:rPr>
        <w:t>n</w:t>
      </w:r>
      <w:r>
        <w:rPr>
          <w:rFonts w:ascii="Times New Roman" w:hAnsi="Times New Roman" w:cs="Times New Roman"/>
        </w:rPr>
        <w:t xml:space="preserve"> to consumers; inflation creates uncertainty about future cash flows and</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consequ</w:t>
      </w:r>
      <w:r>
        <w:rPr>
          <w:rFonts w:ascii="Times New Roman" w:hAnsi="Times New Roman" w:cs="Times New Roman"/>
        </w:rPr>
        <w:t>en</w:t>
      </w:r>
      <w:r>
        <w:rPr>
          <w:rFonts w:ascii="Times New Roman" w:hAnsi="Times New Roman" w:cs="Times New Roman"/>
          <w:highlight w:val="yellow"/>
        </w:rPr>
        <w:t>tly,</w:t>
      </w:r>
      <w:r>
        <w:rPr>
          <w:rFonts w:ascii="Times New Roman" w:hAnsi="Times New Roman" w:cs="Times New Roman"/>
        </w:rPr>
        <w:t xml:space="preserve"> the equity risk premium; and the contractionary monetary policy response to inflation increases borrowing costs and reduces economic activity (Abu, 2024; Central Bank of Nigeria, 2024</w:t>
      </w:r>
      <w:r>
        <w:rPr>
          <w:rFonts w:ascii="Times New Roman" w:hAnsi="Times New Roman" w:cs="Times New Roman"/>
          <w:highlight w:val="yellow"/>
        </w:rPr>
        <w:t>; Folorunso, 2023</w:t>
      </w:r>
      <w:r>
        <w:rPr>
          <w:rFonts w:ascii="Times New Roman" w:hAnsi="Times New Roman" w:cs="Times New Roman"/>
        </w:rPr>
        <w:t>).</w:t>
      </w:r>
    </w:p>
    <w:p w14:paraId="05DE08D2" w14:textId="38ED9F6B"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Although the effect </w:t>
      </w:r>
      <w:r>
        <w:rPr>
          <w:rFonts w:ascii="Times New Roman" w:hAnsi="Times New Roman" w:cs="Times New Roman"/>
          <w:highlight w:val="yellow"/>
        </w:rPr>
        <w:t>may appear</w:t>
      </w:r>
      <w:r>
        <w:rPr>
          <w:rFonts w:ascii="Times New Roman" w:hAnsi="Times New Roman" w:cs="Times New Roman"/>
        </w:rPr>
        <w:t xml:space="preserve"> counterintuitive at first sight, the positive effect of exchange rate depreciation on returns is consistent with the findings of </w:t>
      </w:r>
      <w:proofErr w:type="spellStart"/>
      <w:r>
        <w:rPr>
          <w:rFonts w:ascii="Times New Roman" w:hAnsi="Times New Roman" w:cs="Times New Roman"/>
        </w:rPr>
        <w:t>Kukandaka</w:t>
      </w:r>
      <w:proofErr w:type="spellEnd"/>
      <w:r>
        <w:rPr>
          <w:rFonts w:ascii="Times New Roman" w:hAnsi="Times New Roman" w:cs="Times New Roman"/>
        </w:rPr>
        <w:t xml:space="preserve"> et al. (2026) and points to </w:t>
      </w:r>
      <w:r>
        <w:rPr>
          <w:rFonts w:ascii="Times New Roman" w:hAnsi="Times New Roman" w:cs="Times New Roman"/>
          <w:highlight w:val="yellow"/>
        </w:rPr>
        <w:t>hig</w:t>
      </w:r>
      <w:r>
        <w:rPr>
          <w:rFonts w:ascii="Times New Roman" w:hAnsi="Times New Roman" w:cs="Times New Roman"/>
        </w:rPr>
        <w:t xml:space="preserve">her naira-denominated earnings </w:t>
      </w:r>
      <w:r>
        <w:rPr>
          <w:rFonts w:ascii="Times New Roman" w:hAnsi="Times New Roman" w:cs="Times New Roman"/>
          <w:highlight w:val="yellow"/>
        </w:rPr>
        <w:t>f</w:t>
      </w:r>
      <w:r>
        <w:rPr>
          <w:rFonts w:ascii="Times New Roman" w:hAnsi="Times New Roman" w:cs="Times New Roman"/>
        </w:rPr>
        <w:t>o</w:t>
      </w:r>
      <w:r>
        <w:rPr>
          <w:rFonts w:ascii="Times New Roman" w:hAnsi="Times New Roman" w:cs="Times New Roman"/>
          <w:highlight w:val="yellow"/>
        </w:rPr>
        <w:t>r</w:t>
      </w:r>
      <w:r>
        <w:rPr>
          <w:rFonts w:ascii="Times New Roman" w:hAnsi="Times New Roman" w:cs="Times New Roman"/>
        </w:rPr>
        <w:t xml:space="preserve"> firms with foreign-currency revenues, export competitiveness or dollar-linked operations, especially in Oil and Gas. The positive GDP growth effect supports the expansionary relationship between economic growth and corporate profitability</w:t>
      </w:r>
      <w:r>
        <w:rPr>
          <w:rFonts w:ascii="Times New Roman" w:hAnsi="Times New Roman" w:cs="Times New Roman"/>
          <w:highlight w:val="yellow"/>
        </w:rPr>
        <w:t>,</w:t>
      </w:r>
      <w:r>
        <w:rPr>
          <w:rFonts w:ascii="Times New Roman" w:hAnsi="Times New Roman" w:cs="Times New Roman"/>
        </w:rPr>
        <w:t xml:space="preserve"> as suggested by Dada et al. (2021). The sectoral heterogeneity found here is the main contribution of the study. The sensitivity of the Consumer Goods sector is consistent with Abu's (2024) finding that high inflation </w:t>
      </w:r>
      <w:r>
        <w:rPr>
          <w:rFonts w:ascii="Times New Roman" w:hAnsi="Times New Roman" w:cs="Times New Roman"/>
          <w:highlight w:val="yellow"/>
        </w:rPr>
        <w:t>creat</w:t>
      </w:r>
      <w:r>
        <w:rPr>
          <w:rFonts w:ascii="Times New Roman" w:hAnsi="Times New Roman" w:cs="Times New Roman"/>
        </w:rPr>
        <w:t>es pricing and profitability pressures for FMCG companies, but the negative short-run impact identified here d</w:t>
      </w:r>
      <w:r>
        <w:rPr>
          <w:rFonts w:ascii="Times New Roman" w:hAnsi="Times New Roman" w:cs="Times New Roman"/>
          <w:highlight w:val="yellow"/>
        </w:rPr>
        <w:t>iff</w:t>
      </w:r>
      <w:r>
        <w:rPr>
          <w:rFonts w:ascii="Times New Roman" w:hAnsi="Times New Roman" w:cs="Times New Roman"/>
        </w:rPr>
        <w:t>e</w:t>
      </w:r>
      <w:r>
        <w:rPr>
          <w:rFonts w:ascii="Times New Roman" w:hAnsi="Times New Roman" w:cs="Times New Roman"/>
          <w:highlight w:val="yellow"/>
        </w:rPr>
        <w:t>r</w:t>
      </w:r>
      <w:r>
        <w:rPr>
          <w:rFonts w:ascii="Times New Roman" w:hAnsi="Times New Roman" w:cs="Times New Roman"/>
        </w:rPr>
        <w:t xml:space="preserve">s </w:t>
      </w:r>
      <w:r>
        <w:rPr>
          <w:rFonts w:ascii="Times New Roman" w:hAnsi="Times New Roman" w:cs="Times New Roman"/>
          <w:highlight w:val="yellow"/>
        </w:rPr>
        <w:t>fr</w:t>
      </w:r>
      <w:r>
        <w:rPr>
          <w:rFonts w:ascii="Times New Roman" w:hAnsi="Times New Roman" w:cs="Times New Roman"/>
        </w:rPr>
        <w:t>o</w:t>
      </w:r>
      <w:r>
        <w:rPr>
          <w:rFonts w:ascii="Times New Roman" w:hAnsi="Times New Roman" w:cs="Times New Roman"/>
          <w:highlight w:val="yellow"/>
        </w:rPr>
        <w:t>m</w:t>
      </w:r>
      <w:r>
        <w:rPr>
          <w:rFonts w:ascii="Times New Roman" w:hAnsi="Times New Roman" w:cs="Times New Roman"/>
        </w:rPr>
        <w:t xml:space="preserve"> the long-run positive impact </w:t>
      </w:r>
      <w:r>
        <w:rPr>
          <w:rFonts w:ascii="Times New Roman" w:hAnsi="Times New Roman" w:cs="Times New Roman"/>
          <w:highlight w:val="yellow"/>
        </w:rPr>
        <w:t xml:space="preserve">observed </w:t>
      </w:r>
      <w:r>
        <w:rPr>
          <w:rFonts w:ascii="Times New Roman" w:hAnsi="Times New Roman" w:cs="Times New Roman"/>
          <w:highlight w:val="yellow"/>
        </w:rPr>
        <w:lastRenderedPageBreak/>
        <w:t xml:space="preserve">by </w:t>
      </w:r>
      <w:r>
        <w:rPr>
          <w:rFonts w:ascii="Times New Roman" w:hAnsi="Times New Roman" w:cs="Times New Roman"/>
        </w:rPr>
        <w:t>Abu (2024) in a longer time series (2007</w:t>
      </w:r>
      <w:r>
        <w:rPr>
          <w:rFonts w:ascii="Times New Roman" w:hAnsi="Times New Roman" w:cs="Times New Roman"/>
          <w:highlight w:val="yellow"/>
        </w:rPr>
        <w:t>–</w:t>
      </w:r>
      <w:r>
        <w:rPr>
          <w:rFonts w:ascii="Times New Roman" w:hAnsi="Times New Roman" w:cs="Times New Roman"/>
        </w:rPr>
        <w:t>2023)</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w:t>
      </w:r>
      <w:r>
        <w:rPr>
          <w:rFonts w:ascii="Times New Roman" w:hAnsi="Times New Roman" w:cs="Times New Roman"/>
        </w:rPr>
        <w:t>hi</w:t>
      </w:r>
      <w:r>
        <w:rPr>
          <w:rFonts w:ascii="Times New Roman" w:hAnsi="Times New Roman" w:cs="Times New Roman"/>
          <w:highlight w:val="yellow"/>
        </w:rPr>
        <w:t>s differen</w:t>
      </w:r>
      <w:r>
        <w:rPr>
          <w:rFonts w:ascii="Times New Roman" w:hAnsi="Times New Roman" w:cs="Times New Roman"/>
        </w:rPr>
        <w:t>c</w:t>
      </w:r>
      <w:r>
        <w:rPr>
          <w:rFonts w:ascii="Times New Roman" w:hAnsi="Times New Roman" w:cs="Times New Roman"/>
          <w:highlight w:val="yellow"/>
        </w:rPr>
        <w:t>e</w:t>
      </w:r>
      <w:r>
        <w:rPr>
          <w:rFonts w:ascii="Times New Roman" w:hAnsi="Times New Roman" w:cs="Times New Roman"/>
        </w:rPr>
        <w:t xml:space="preserve"> could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fl</w:t>
      </w:r>
      <w:r>
        <w:rPr>
          <w:rFonts w:ascii="Times New Roman" w:hAnsi="Times New Roman" w:cs="Times New Roman"/>
        </w:rPr>
        <w:t>e</w:t>
      </w:r>
      <w:r>
        <w:rPr>
          <w:rFonts w:ascii="Times New Roman" w:hAnsi="Times New Roman" w:cs="Times New Roman"/>
          <w:highlight w:val="yellow"/>
        </w:rPr>
        <w:t>c</w:t>
      </w:r>
      <w:r>
        <w:rPr>
          <w:rFonts w:ascii="Times New Roman" w:hAnsi="Times New Roman" w:cs="Times New Roman"/>
        </w:rPr>
        <w:t xml:space="preserve">t the extreme level of inflation after 2022 and firms' </w:t>
      </w:r>
      <w:r>
        <w:rPr>
          <w:rFonts w:ascii="Times New Roman" w:hAnsi="Times New Roman" w:cs="Times New Roman"/>
          <w:highlight w:val="yellow"/>
        </w:rPr>
        <w:t>l</w:t>
      </w:r>
      <w:r>
        <w:rPr>
          <w:rFonts w:ascii="Times New Roman" w:hAnsi="Times New Roman" w:cs="Times New Roman"/>
        </w:rPr>
        <w:t>i</w:t>
      </w:r>
      <w:r>
        <w:rPr>
          <w:rFonts w:ascii="Times New Roman" w:hAnsi="Times New Roman" w:cs="Times New Roman"/>
          <w:highlight w:val="yellow"/>
        </w:rPr>
        <w:t xml:space="preserve">mited </w:t>
      </w:r>
      <w:r>
        <w:rPr>
          <w:rFonts w:ascii="Times New Roman" w:hAnsi="Times New Roman" w:cs="Times New Roman"/>
        </w:rPr>
        <w:t>ability to re</w:t>
      </w:r>
      <w:r>
        <w:rPr>
          <w:rFonts w:ascii="Times New Roman" w:hAnsi="Times New Roman" w:cs="Times New Roman"/>
          <w:highlight w:val="yellow"/>
        </w:rPr>
        <w:t>spond</w:t>
      </w:r>
      <w:r>
        <w:rPr>
          <w:rFonts w:ascii="Times New Roman" w:hAnsi="Times New Roman" w:cs="Times New Roman"/>
        </w:rPr>
        <w:t xml:space="preserve"> quickly to inflation shock</w:t>
      </w:r>
      <w:r>
        <w:rPr>
          <w:rFonts w:ascii="Times New Roman" w:hAnsi="Times New Roman" w:cs="Times New Roman"/>
          <w:highlight w:val="yellow"/>
        </w:rPr>
        <w:t>s</w:t>
      </w:r>
      <w:r>
        <w:rPr>
          <w:rFonts w:ascii="Times New Roman" w:hAnsi="Times New Roman" w:cs="Times New Roman"/>
        </w:rPr>
        <w:t xml:space="preserve"> during the period covered by this study. The sensitivity of the Banking sector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flec</w:t>
      </w:r>
      <w:r>
        <w:rPr>
          <w:rFonts w:ascii="Times New Roman" w:hAnsi="Times New Roman" w:cs="Times New Roman"/>
        </w:rPr>
        <w:t xml:space="preserve">t the impact of monetary tightening on </w:t>
      </w:r>
      <w:r>
        <w:rPr>
          <w:rFonts w:ascii="Times New Roman" w:hAnsi="Times New Roman" w:cs="Times New Roman"/>
          <w:highlight w:val="yellow"/>
        </w:rPr>
        <w:t xml:space="preserve">loan </w:t>
      </w:r>
      <w:r>
        <w:rPr>
          <w:rFonts w:ascii="Times New Roman" w:hAnsi="Times New Roman" w:cs="Times New Roman"/>
        </w:rPr>
        <w:t>demand and net interest margin</w:t>
      </w:r>
      <w:r>
        <w:rPr>
          <w:rFonts w:ascii="Times New Roman" w:hAnsi="Times New Roman" w:cs="Times New Roman"/>
          <w:highlight w:val="yellow"/>
        </w:rPr>
        <w:t>s</w:t>
      </w:r>
      <w:r>
        <w:rPr>
          <w:rFonts w:ascii="Times New Roman" w:hAnsi="Times New Roman" w:cs="Times New Roman"/>
        </w:rPr>
        <w:t xml:space="preserve"> (NIM</w:t>
      </w:r>
      <w:r>
        <w:rPr>
          <w:rFonts w:ascii="Times New Roman" w:hAnsi="Times New Roman" w:cs="Times New Roman"/>
          <w:highlight w:val="yellow"/>
        </w:rPr>
        <w:t>s</w:t>
      </w:r>
      <w:r>
        <w:rPr>
          <w:rFonts w:ascii="Times New Roman" w:hAnsi="Times New Roman" w:cs="Times New Roman"/>
        </w:rPr>
        <w:t>) (</w:t>
      </w:r>
      <w:proofErr w:type="spellStart"/>
      <w:r>
        <w:rPr>
          <w:rFonts w:ascii="Times New Roman" w:hAnsi="Times New Roman" w:cs="Times New Roman"/>
        </w:rPr>
        <w:t>Kukandaka</w:t>
      </w:r>
      <w:proofErr w:type="spellEnd"/>
      <w:r>
        <w:rPr>
          <w:rFonts w:ascii="Times New Roman" w:hAnsi="Times New Roman" w:cs="Times New Roman"/>
        </w:rPr>
        <w:t xml:space="preserve"> et al., 2026), while the resilience of the Oil and Gas sector is attributed to dollar-denominated revenues and the positive effect</w:t>
      </w:r>
      <w:r>
        <w:rPr>
          <w:rFonts w:ascii="Times New Roman" w:hAnsi="Times New Roman" w:cs="Times New Roman"/>
          <w:highlight w:val="yellow"/>
        </w:rPr>
        <w:t>s</w:t>
      </w:r>
      <w:r>
        <w:rPr>
          <w:rFonts w:ascii="Times New Roman" w:hAnsi="Times New Roman" w:cs="Times New Roman"/>
        </w:rPr>
        <w:t xml:space="preserve"> of </w:t>
      </w:r>
      <w:r>
        <w:rPr>
          <w:rFonts w:ascii="Times New Roman" w:hAnsi="Times New Roman" w:cs="Times New Roman"/>
          <w:highlight w:val="yellow"/>
        </w:rPr>
        <w:t>sec</w:t>
      </w:r>
      <w:r>
        <w:rPr>
          <w:rFonts w:ascii="Times New Roman" w:hAnsi="Times New Roman" w:cs="Times New Roman"/>
        </w:rPr>
        <w:t>t</w:t>
      </w:r>
      <w:r>
        <w:rPr>
          <w:rFonts w:ascii="Times New Roman" w:hAnsi="Times New Roman" w:cs="Times New Roman"/>
          <w:highlight w:val="yellow"/>
        </w:rPr>
        <w:t>or</w:t>
      </w:r>
      <w:r>
        <w:rPr>
          <w:rFonts w:ascii="Times New Roman" w:hAnsi="Times New Roman" w:cs="Times New Roman"/>
        </w:rPr>
        <w:t xml:space="preserve"> deregulation in 2023–2024 (World Bank, 2024)</w:t>
      </w:r>
      <w:r w:rsidR="008054A3" w:rsidRPr="008054A3">
        <w:rPr>
          <w:rFonts w:ascii="Times New Roman" w:hAnsi="Times New Roman" w:cs="Times New Roman"/>
        </w:rPr>
      </w:r>
      <w:r>
        <w:rPr>
          <w:rFonts w:ascii="Times New Roman" w:hAnsi="Times New Roman" w:cs="Times New Roman"/>
          <w:highlight w:val="yellow"/>
        </w:rPr>
      </w:r>
      <w:r w:rsidR="008054A3" w:rsidRPr="008054A3">
        <w:rPr>
          <w:rFonts w:ascii="Times New Roman" w:hAnsi="Times New Roman" w:cs="Times New Roman"/>
        </w:rPr>
      </w:r>
      <w:r>
        <w:rPr>
          <w:rFonts w:ascii="Times New Roman" w:hAnsi="Times New Roman" w:cs="Times New Roman"/>
        </w:rPr>
        <w:t>.</w:t>
      </w:r>
    </w:p>
    <w:p w14:paraId="3205151D"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The apparent paradox of sustained high inflation and exceptional aggregate NGX performance from 2020 to 2024 (Nigerian Exchange Group, 2024) can be explained by factors that do not contradict the inflation</w:t>
      </w:r>
      <w:r>
        <w:rPr>
          <w:rFonts w:ascii="Times New Roman" w:hAnsi="Times New Roman" w:cs="Times New Roman"/>
          <w:highlight w:val="yellow"/>
        </w:rPr>
        <w:t>–</w:t>
      </w:r>
      <w:r>
        <w:rPr>
          <w:rFonts w:ascii="Times New Roman" w:hAnsi="Times New Roman" w:cs="Times New Roman"/>
        </w:rPr>
        <w:t>return relationship found here: naira depreciation in</w:t>
      </w:r>
      <w:r>
        <w:rPr>
          <w:rFonts w:ascii="Times New Roman" w:hAnsi="Times New Roman" w:cs="Times New Roman"/>
          <w:highlight w:val="yellow"/>
        </w:rPr>
        <w:t>cre</w:t>
      </w:r>
      <w:r>
        <w:rPr>
          <w:rFonts w:ascii="Times New Roman" w:hAnsi="Times New Roman" w:cs="Times New Roman"/>
        </w:rPr>
        <w:t>a</w:t>
      </w:r>
      <w:r>
        <w:rPr>
          <w:rFonts w:ascii="Times New Roman" w:hAnsi="Times New Roman" w:cs="Times New Roman"/>
          <w:highlight w:val="yellow"/>
        </w:rPr>
        <w:t>s</w:t>
      </w:r>
      <w:r>
        <w:rPr>
          <w:rFonts w:ascii="Times New Roman" w:hAnsi="Times New Roman" w:cs="Times New Roman"/>
        </w:rPr>
        <w:t>ing</w:t>
      </w:r>
      <w:r>
        <w:rPr>
          <w:rFonts w:ascii="Times New Roman" w:hAnsi="Times New Roman" w:cs="Times New Roman"/>
          <w:highlight w:val="yellow"/>
        </w:rPr>
        <w:t xml:space="preserve"> the</w:t>
      </w:r>
      <w:r>
        <w:rPr>
          <w:rFonts w:ascii="Times New Roman" w:hAnsi="Times New Roman" w:cs="Times New Roman"/>
        </w:rPr>
        <w:t xml:space="preserve"> naira value of foreign-currency</w:t>
      </w:r>
      <w:r>
        <w:rPr>
          <w:rFonts w:ascii="Times New Roman" w:hAnsi="Times New Roman" w:cs="Times New Roman"/>
          <w:highlight w:val="yellow"/>
        </w:rPr>
        <w:t>-</w:t>
      </w:r>
      <w:r>
        <w:rPr>
          <w:rFonts w:ascii="Times New Roman" w:hAnsi="Times New Roman" w:cs="Times New Roman"/>
        </w:rPr>
        <w:t>linked earnings; exchange rate and energy</w:t>
      </w:r>
      <w:r>
        <w:rPr>
          <w:rFonts w:ascii="Times New Roman" w:hAnsi="Times New Roman" w:cs="Times New Roman"/>
          <w:highlight w:val="yellow"/>
        </w:rPr>
        <w:t>-</w:t>
      </w:r>
      <w:r>
        <w:rPr>
          <w:rFonts w:ascii="Times New Roman" w:hAnsi="Times New Roman" w:cs="Times New Roman"/>
        </w:rPr>
        <w:t>sector reforms increasing business confidence (World Bank, 2024); high-profile new listings (</w:t>
      </w:r>
      <w:proofErr w:type="spellStart"/>
      <w:r>
        <w:rPr>
          <w:rFonts w:ascii="Times New Roman" w:hAnsi="Times New Roman" w:cs="Times New Roman"/>
        </w:rPr>
        <w:t>Geregu</w:t>
      </w:r>
      <w:proofErr w:type="spellEnd"/>
      <w:r>
        <w:rPr>
          <w:rFonts w:ascii="Times New Roman" w:hAnsi="Times New Roman" w:cs="Times New Roman"/>
        </w:rPr>
        <w:t xml:space="preserve"> Power, Transcorp Power, </w:t>
      </w:r>
      <w:proofErr w:type="spellStart"/>
      <w:r>
        <w:rPr>
          <w:rFonts w:ascii="Times New Roman" w:hAnsi="Times New Roman" w:cs="Times New Roman"/>
        </w:rPr>
        <w:t>Aradel</w:t>
      </w:r>
      <w:proofErr w:type="spellEnd"/>
      <w:r>
        <w:rPr>
          <w:rFonts w:ascii="Times New Roman" w:hAnsi="Times New Roman" w:cs="Times New Roman"/>
        </w:rPr>
        <w:t xml:space="preserve"> Holdings, BUA Foods) expanding market </w:t>
      </w:r>
      <w:proofErr w:type="spellStart"/>
      <w:r>
        <w:rPr>
          <w:rFonts w:ascii="Times New Roman" w:hAnsi="Times New Roman" w:cs="Times New Roman"/>
        </w:rPr>
        <w:t>capitalisation</w:t>
      </w:r>
      <w:proofErr w:type="spellEnd"/>
      <w:r>
        <w:rPr>
          <w:rFonts w:ascii="Times New Roman" w:hAnsi="Times New Roman" w:cs="Times New Roman"/>
        </w:rPr>
        <w:t xml:space="preserve"> (Nigerian Exchange Group, 2024); and negative real yields on fixed-income instruments driving a search for </w:t>
      </w:r>
      <w:r>
        <w:rPr>
          <w:rFonts w:ascii="Times New Roman" w:hAnsi="Times New Roman" w:cs="Times New Roman"/>
          <w:highlight w:val="yellow"/>
        </w:rPr>
        <w:t>h</w:t>
      </w:r>
      <w:r>
        <w:rPr>
          <w:rFonts w:ascii="Times New Roman" w:hAnsi="Times New Roman" w:cs="Times New Roman"/>
        </w:rPr>
        <w:t>i</w:t>
      </w:r>
      <w:r>
        <w:rPr>
          <w:rFonts w:ascii="Times New Roman" w:hAnsi="Times New Roman" w:cs="Times New Roman"/>
          <w:highlight w:val="yellow"/>
        </w:rPr>
        <w:t>gh</w:t>
      </w:r>
      <w:r>
        <w:rPr>
          <w:rFonts w:ascii="Times New Roman" w:hAnsi="Times New Roman" w:cs="Times New Roman"/>
        </w:rPr>
        <w:t>e</w:t>
      </w:r>
      <w:r>
        <w:rPr>
          <w:rFonts w:ascii="Times New Roman" w:hAnsi="Times New Roman" w:cs="Times New Roman"/>
          <w:highlight w:val="yellow"/>
        </w:rPr>
        <w:t>r returns</w:t>
      </w:r>
      <w:r>
        <w:rPr>
          <w:rFonts w:ascii="Times New Roman" w:hAnsi="Times New Roman" w:cs="Times New Roman"/>
        </w:rPr>
        <w:t xml:space="preserve"> in equities (Ni</w:t>
      </w:r>
      <w:r>
        <w:rPr>
          <w:rFonts w:ascii="Times New Roman" w:hAnsi="Times New Roman" w:cs="Times New Roman"/>
          <w:highlight w:val="yellow"/>
        </w:rPr>
        <w:t>g</w:t>
      </w:r>
      <w:r>
        <w:rPr>
          <w:rFonts w:ascii="Times New Roman" w:hAnsi="Times New Roman" w:cs="Times New Roman"/>
        </w:rPr>
        <w:t>eri</w:t>
      </w:r>
      <w:r>
        <w:rPr>
          <w:rFonts w:ascii="Times New Roman" w:hAnsi="Times New Roman" w:cs="Times New Roman"/>
          <w:highlight w:val="yellow"/>
        </w:rPr>
        <w:t>an Ex</w:t>
      </w:r>
      <w:r>
        <w:rPr>
          <w:rFonts w:ascii="Times New Roman" w:hAnsi="Times New Roman" w:cs="Times New Roman"/>
        </w:rPr>
        <w:t>c</w:t>
      </w:r>
      <w:r>
        <w:rPr>
          <w:rFonts w:ascii="Times New Roman" w:hAnsi="Times New Roman" w:cs="Times New Roman"/>
          <w:highlight w:val="yellow"/>
        </w:rPr>
        <w:t>hange Group</w:t>
      </w:r>
      <w:r>
        <w:rPr>
          <w:rFonts w:ascii="Times New Roman" w:hAnsi="Times New Roman" w:cs="Times New Roman"/>
        </w:rPr>
        <w:t>, 202</w:t>
      </w:r>
      <w:r>
        <w:rPr>
          <w:rFonts w:ascii="Times New Roman" w:hAnsi="Times New Roman" w:cs="Times New Roman"/>
          <w:highlight w:val="yellow"/>
        </w:rPr>
        <w:t>4</w:t>
      </w:r>
      <w:r>
        <w:rPr>
          <w:rFonts w:ascii="Times New Roman" w:hAnsi="Times New Roman" w:cs="Times New Roman"/>
        </w:rPr>
        <w:t xml:space="preserve">). These forces were not uniform </w:t>
      </w:r>
      <w:r>
        <w:rPr>
          <w:rFonts w:ascii="Times New Roman" w:hAnsi="Times New Roman" w:cs="Times New Roman"/>
          <w:highlight w:val="yellow"/>
        </w:rPr>
        <w:t xml:space="preserve">across the </w:t>
      </w:r>
      <w:r>
        <w:rPr>
          <w:rFonts w:ascii="Times New Roman" w:hAnsi="Times New Roman" w:cs="Times New Roman"/>
        </w:rPr>
        <w:t xml:space="preserve">market but </w:t>
      </w:r>
      <w:r>
        <w:rPr>
          <w:rFonts w:ascii="Times New Roman" w:hAnsi="Times New Roman" w:cs="Times New Roman"/>
          <w:highlight w:val="yellow"/>
        </w:rPr>
        <w:t>were concent</w:t>
      </w:r>
      <w:r>
        <w:rPr>
          <w:rFonts w:ascii="Times New Roman" w:hAnsi="Times New Roman" w:cs="Times New Roman"/>
        </w:rPr>
        <w:t>rate</w:t>
      </w:r>
      <w:r>
        <w:rPr>
          <w:rFonts w:ascii="Times New Roman" w:hAnsi="Times New Roman" w:cs="Times New Roman"/>
          <w:highlight w:val="yellow"/>
        </w:rPr>
        <w:t>d</w:t>
      </w:r>
      <w:r>
        <w:rPr>
          <w:rFonts w:ascii="Times New Roman" w:hAnsi="Times New Roman" w:cs="Times New Roman"/>
        </w:rPr>
        <w:t xml:space="preserve"> in specific sectors and new listings, </w:t>
      </w:r>
      <w:r>
        <w:rPr>
          <w:rFonts w:ascii="Times New Roman" w:hAnsi="Times New Roman" w:cs="Times New Roman"/>
          <w:highlight w:val="yellow"/>
        </w:rPr>
        <w:t>which</w:t>
      </w:r>
      <w:r>
        <w:rPr>
          <w:rFonts w:ascii="Times New Roman" w:hAnsi="Times New Roman" w:cs="Times New Roman"/>
        </w:rPr>
        <w:t xml:space="preserve"> is consistent with, </w:t>
      </w:r>
      <w:r>
        <w:rPr>
          <w:rFonts w:ascii="Times New Roman" w:hAnsi="Times New Roman" w:cs="Times New Roman"/>
          <w:highlight w:val="yellow"/>
        </w:rPr>
        <w:t>ra</w:t>
      </w:r>
      <w:r>
        <w:rPr>
          <w:rFonts w:ascii="Times New Roman" w:hAnsi="Times New Roman" w:cs="Times New Roman"/>
        </w:rPr>
        <w:t>t</w:t>
      </w:r>
      <w:r>
        <w:rPr>
          <w:rFonts w:ascii="Times New Roman" w:hAnsi="Times New Roman" w:cs="Times New Roman"/>
          <w:highlight w:val="yellow"/>
        </w:rPr>
        <w:t>her</w:t>
      </w:r>
      <w:r>
        <w:rPr>
          <w:rFonts w:ascii="Times New Roman" w:hAnsi="Times New Roman" w:cs="Times New Roman"/>
        </w:rPr>
        <w:t xml:space="preserve"> </w:t>
      </w:r>
      <w:r>
        <w:rPr>
          <w:rFonts w:ascii="Times New Roman" w:hAnsi="Times New Roman" w:cs="Times New Roman"/>
          <w:highlight w:val="yellow"/>
        </w:rPr>
        <w:t>tha</w:t>
      </w:r>
      <w:r>
        <w:rPr>
          <w:rFonts w:ascii="Times New Roman" w:hAnsi="Times New Roman" w:cs="Times New Roman"/>
        </w:rPr>
        <w:t>n contradicto</w:t>
      </w:r>
      <w:r>
        <w:rPr>
          <w:rFonts w:ascii="Times New Roman" w:hAnsi="Times New Roman" w:cs="Times New Roman"/>
          <w:highlight w:val="yellow"/>
        </w:rPr>
        <w:t>ry</w:t>
      </w:r>
      <w:r>
        <w:rPr>
          <w:rFonts w:ascii="Times New Roman" w:hAnsi="Times New Roman" w:cs="Times New Roman"/>
        </w:rPr>
        <w:t xml:space="preserve"> to, a negative relationship between inflation and return</w:t>
      </w:r>
      <w:r>
        <w:rPr>
          <w:rFonts w:ascii="Times New Roman" w:hAnsi="Times New Roman" w:cs="Times New Roman"/>
          <w:highlight w:val="yellow"/>
        </w:rPr>
        <w:t>s</w:t>
      </w:r>
      <w:r>
        <w:rPr>
          <w:rFonts w:ascii="Times New Roman" w:hAnsi="Times New Roman" w:cs="Times New Roman"/>
        </w:rPr>
        <w:t xml:space="preserve"> </w:t>
      </w:r>
      <w:r>
        <w:rPr>
          <w:rFonts w:ascii="Times New Roman" w:hAnsi="Times New Roman" w:cs="Times New Roman"/>
          <w:highlight w:val="yellow"/>
        </w:rPr>
        <w:t>at</w:t>
      </w:r>
      <w:r>
        <w:rPr>
          <w:rFonts w:ascii="Times New Roman" w:hAnsi="Times New Roman" w:cs="Times New Roman"/>
        </w:rPr>
        <w:t xml:space="preserve"> the firm and sector level</w:t>
      </w:r>
      <w:r>
        <w:rPr>
          <w:rFonts w:ascii="Times New Roman" w:hAnsi="Times New Roman" w:cs="Times New Roman"/>
          <w:highlight w:val="yellow"/>
        </w:rPr>
        <w:t>s</w:t>
      </w:r>
      <w:r>
        <w:rPr>
          <w:rFonts w:ascii="Times New Roman" w:hAnsi="Times New Roman" w:cs="Times New Roman"/>
        </w:rPr>
        <w:t xml:space="preserve"> </w:t>
      </w:r>
      <w:r>
        <w:rPr>
          <w:rFonts w:ascii="Times New Roman" w:hAnsi="Times New Roman" w:cs="Times New Roman"/>
          <w:highlight w:val="yellow"/>
        </w:rPr>
        <w:t>alo</w:t>
      </w:r>
      <w:r>
        <w:rPr>
          <w:rFonts w:ascii="Times New Roman" w:hAnsi="Times New Roman" w:cs="Times New Roman"/>
        </w:rPr>
        <w:t>n</w:t>
      </w:r>
      <w:r>
        <w:rPr>
          <w:rFonts w:ascii="Times New Roman" w:hAnsi="Times New Roman" w:cs="Times New Roman"/>
          <w:highlight w:val="yellow"/>
        </w:rPr>
        <w:t>gsi</w:t>
      </w:r>
      <w:r>
        <w:rPr>
          <w:rFonts w:ascii="Times New Roman" w:hAnsi="Times New Roman" w:cs="Times New Roman"/>
        </w:rPr>
        <w:t xml:space="preserve">de a </w:t>
      </w:r>
      <w:r>
        <w:rPr>
          <w:rFonts w:ascii="Times New Roman" w:hAnsi="Times New Roman" w:cs="Times New Roman"/>
          <w:highlight w:val="yellow"/>
        </w:rPr>
        <w:t>r</w:t>
      </w:r>
      <w:r>
        <w:rPr>
          <w:rFonts w:ascii="Times New Roman" w:hAnsi="Times New Roman" w:cs="Times New Roman"/>
        </w:rPr>
        <w:t>ising market-wide index. Overall, the negative rather than positive inflation</w:t>
      </w:r>
      <w:r>
        <w:rPr>
          <w:rFonts w:ascii="Times New Roman" w:hAnsi="Times New Roman" w:cs="Times New Roman"/>
          <w:highlight w:val="yellow"/>
        </w:rPr>
        <w:t>–</w:t>
      </w:r>
      <w:r>
        <w:rPr>
          <w:rFonts w:ascii="Times New Roman" w:hAnsi="Times New Roman" w:cs="Times New Roman"/>
        </w:rPr>
        <w:t>return relationship, as indicated by the rejection of the Fisher hypothesis, is consistent with previous Nigerian findings (</w:t>
      </w:r>
      <w:r>
        <w:rPr>
          <w:rFonts w:ascii="Times New Roman" w:hAnsi="Times New Roman" w:cs="Times New Roman"/>
          <w:highlight w:val="yellow"/>
        </w:rPr>
        <w:t xml:space="preserve">Folorunso, 2023; </w:t>
      </w:r>
      <w:r>
        <w:rPr>
          <w:rFonts w:ascii="Times New Roman" w:hAnsi="Times New Roman" w:cs="Times New Roman"/>
        </w:rPr>
        <w:t xml:space="preserve">Usman &amp; </w:t>
      </w:r>
      <w:proofErr w:type="spellStart"/>
      <w:r>
        <w:rPr>
          <w:rFonts w:ascii="Times New Roman" w:hAnsi="Times New Roman" w:cs="Times New Roman"/>
        </w:rPr>
        <w:t>Adejare</w:t>
      </w:r>
      <w:proofErr w:type="spellEnd"/>
      <w:r>
        <w:rPr>
          <w:rFonts w:ascii="Times New Roman" w:hAnsi="Times New Roman" w:cs="Times New Roman"/>
        </w:rPr>
        <w:t>, 2013) and suggests that</w:t>
      </w:r>
      <w:r>
        <w:rPr>
          <w:rFonts w:ascii="Times New Roman" w:hAnsi="Times New Roman" w:cs="Times New Roman"/>
          <w:highlight w:val="yellow"/>
        </w:rPr>
        <w:t>,</w:t>
      </w:r>
      <w:r>
        <w:rPr>
          <w:rFonts w:ascii="Times New Roman" w:hAnsi="Times New Roman" w:cs="Times New Roman"/>
        </w:rPr>
        <w:t xml:space="preserve"> over this period, equities </w:t>
      </w:r>
      <w:r>
        <w:rPr>
          <w:rFonts w:ascii="Times New Roman" w:hAnsi="Times New Roman" w:cs="Times New Roman"/>
          <w:highlight w:val="yellow"/>
        </w:rPr>
        <w:t>wer</w:t>
      </w:r>
      <w:r>
        <w:rPr>
          <w:rFonts w:ascii="Times New Roman" w:hAnsi="Times New Roman" w:cs="Times New Roman"/>
        </w:rPr>
        <w:t xml:space="preserve">e not an effective inflation hedge in Nigeria, </w:t>
      </w:r>
      <w:r>
        <w:rPr>
          <w:rFonts w:ascii="Times New Roman" w:hAnsi="Times New Roman" w:cs="Times New Roman"/>
          <w:highlight w:val="yellow"/>
        </w:rPr>
        <w:t>giv</w:t>
      </w:r>
      <w:r>
        <w:rPr>
          <w:rFonts w:ascii="Times New Roman" w:hAnsi="Times New Roman" w:cs="Times New Roman"/>
        </w:rPr>
        <w:t>e</w:t>
      </w:r>
      <w:r>
        <w:rPr>
          <w:rFonts w:ascii="Times New Roman" w:hAnsi="Times New Roman" w:cs="Times New Roman"/>
          <w:highlight w:val="yellow"/>
        </w:rPr>
        <w:t>n</w:t>
      </w:r>
      <w:r>
        <w:rPr>
          <w:rFonts w:ascii="Times New Roman" w:hAnsi="Times New Roman" w:cs="Times New Roman"/>
        </w:rPr>
        <w:t xml:space="preserve"> financial repress</w:t>
      </w:r>
      <w:r>
        <w:rPr>
          <w:rFonts w:ascii="Times New Roman" w:hAnsi="Times New Roman" w:cs="Times New Roman"/>
          <w:highlight w:val="yellow"/>
        </w:rPr>
        <w:t>ion, mark</w:t>
      </w:r>
      <w:r>
        <w:rPr>
          <w:rFonts w:ascii="Times New Roman" w:hAnsi="Times New Roman" w:cs="Times New Roman"/>
        </w:rPr>
        <w:t>e</w:t>
      </w:r>
      <w:r>
        <w:rPr>
          <w:rFonts w:ascii="Times New Roman" w:hAnsi="Times New Roman" w:cs="Times New Roman"/>
          <w:highlight w:val="yellow"/>
        </w:rPr>
        <w:t>t</w:t>
      </w:r>
      <w:r>
        <w:rPr>
          <w:rFonts w:ascii="Times New Roman" w:hAnsi="Times New Roman" w:cs="Times New Roman"/>
        </w:rPr>
        <w:t xml:space="preserve"> inefficien</w:t>
      </w:r>
      <w:r>
        <w:rPr>
          <w:rFonts w:ascii="Times New Roman" w:hAnsi="Times New Roman" w:cs="Times New Roman"/>
          <w:highlight w:val="yellow"/>
        </w:rPr>
        <w:t>cy</w:t>
      </w:r>
      <w:r>
        <w:rPr>
          <w:rFonts w:ascii="Times New Roman" w:hAnsi="Times New Roman" w:cs="Times New Roman"/>
        </w:rPr>
        <w:t xml:space="preserve"> and policy-driven profitability pressure</w:t>
      </w:r>
      <w:r>
        <w:rPr>
          <w:rFonts w:ascii="Times New Roman" w:hAnsi="Times New Roman" w:cs="Times New Roman"/>
          <w:highlight w:val="yellow"/>
        </w:rPr>
        <w:t>s</w:t>
      </w:r>
      <w:r>
        <w:rPr>
          <w:rFonts w:ascii="Times New Roman" w:hAnsi="Times New Roman" w:cs="Times New Roman"/>
        </w:rPr>
        <w:t xml:space="preserve"> (</w:t>
      </w:r>
      <w:proofErr w:type="spellStart"/>
      <w:r>
        <w:rPr>
          <w:rFonts w:ascii="Times New Roman" w:hAnsi="Times New Roman" w:cs="Times New Roman"/>
        </w:rPr>
        <w:t>Uruemu</w:t>
      </w:r>
      <w:proofErr w:type="spellEnd"/>
      <w:r>
        <w:rPr>
          <w:rFonts w:ascii="Times New Roman" w:hAnsi="Times New Roman" w:cs="Times New Roman"/>
        </w:rPr>
        <w:t>, 2022).</w:t>
      </w:r>
    </w:p>
    <w:p w14:paraId="0807D58D" w14:textId="77777777" w:rsidR="00E738C2" w:rsidRPr="00DA0907" w:rsidRDefault="00E738C2"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6.0 Conclusion and Recommendations</w:t>
      </w:r>
    </w:p>
    <w:p w14:paraId="2F9837CC" w14:textId="77777777" w:rsidR="00E738C2" w:rsidRPr="00DA0907" w:rsidRDefault="00E738C2" w:rsidP="007417AA">
      <w:pPr>
        <w:tabs>
          <w:tab w:val="left" w:pos="2070"/>
        </w:tabs>
        <w:spacing w:line="360" w:lineRule="auto"/>
        <w:jc w:val="both"/>
        <w:rPr>
          <w:rFonts w:ascii="Times New Roman" w:hAnsi="Times New Roman" w:cs="Times New Roman"/>
          <w:sz w:val="22"/>
          <w:szCs w:val="22"/>
        </w:rPr>
      </w:pPr>
      <w:r w:rsidRPr="00DA0907">
        <w:rPr>
          <w:rFonts w:ascii="Times New Roman" w:hAnsi="Times New Roman" w:cs="Times New Roman"/>
          <w:b/>
          <w:bCs/>
        </w:rPr>
        <w:t>6.1 Conclusion</w:t>
      </w:r>
    </w:p>
    <w:p w14:paraId="7DA16213"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study investigated the impact of </w:t>
      </w:r>
      <w:r>
        <w:rPr>
          <w:rFonts w:ascii="Times New Roman" w:hAnsi="Times New Roman" w:cs="Times New Roman"/>
          <w:highlight w:val="yellow"/>
        </w:rPr>
        <w:t>infla</w:t>
      </w:r>
      <w:r>
        <w:rPr>
          <w:rFonts w:ascii="Times New Roman" w:hAnsi="Times New Roman" w:cs="Times New Roman"/>
        </w:rPr>
        <w:t>t</w:t>
      </w:r>
      <w:r>
        <w:rPr>
          <w:rFonts w:ascii="Times New Roman" w:hAnsi="Times New Roman" w:cs="Times New Roman"/>
          <w:highlight w:val="yellow"/>
        </w:rPr>
        <w:t>ion</w:t>
      </w:r>
      <w:r>
        <w:rPr>
          <w:rFonts w:ascii="Times New Roman" w:hAnsi="Times New Roman" w:cs="Times New Roman"/>
        </w:rPr>
        <w:t xml:space="preserve"> dynamics on the stock market</w:t>
      </w:r>
      <w:r>
        <w:rPr>
          <w:rFonts w:ascii="Times New Roman" w:hAnsi="Times New Roman" w:cs="Times New Roman"/>
          <w:highlight w:val="yellow"/>
        </w:rPr>
        <w:t xml:space="preserve"> performance</w:t>
      </w:r>
      <w:r>
        <w:rPr>
          <w:rFonts w:ascii="Times New Roman" w:hAnsi="Times New Roman" w:cs="Times New Roman"/>
        </w:rPr>
        <w:t xml:space="preserve"> of firms listed on the Nigerian Exchange </w:t>
      </w:r>
      <w:r>
        <w:rPr>
          <w:rFonts w:ascii="Times New Roman" w:hAnsi="Times New Roman" w:cs="Times New Roman"/>
          <w:highlight w:val="yellow"/>
        </w:rPr>
        <w:t xml:space="preserve">Group </w:t>
      </w:r>
      <w:r>
        <w:rPr>
          <w:rFonts w:ascii="Times New Roman" w:hAnsi="Times New Roman" w:cs="Times New Roman"/>
        </w:rPr>
        <w:t xml:space="preserve">(NGX) </w:t>
      </w:r>
      <w:r>
        <w:rPr>
          <w:rFonts w:ascii="Times New Roman" w:hAnsi="Times New Roman" w:cs="Times New Roman"/>
          <w:highlight w:val="yellow"/>
        </w:rPr>
        <w:t>over</w:t>
      </w:r>
      <w:r>
        <w:rPr>
          <w:rFonts w:ascii="Times New Roman" w:hAnsi="Times New Roman" w:cs="Times New Roman"/>
        </w:rPr>
        <w:t xml:space="preserve"> the period 2015–2024. The results demonstrate that inflation has a statistically significant and economically meaningful negative relationship with </w:t>
      </w:r>
      <w:r>
        <w:rPr>
          <w:rFonts w:ascii="Times New Roman" w:hAnsi="Times New Roman" w:cs="Times New Roman"/>
          <w:highlight w:val="yellow"/>
        </w:rPr>
        <w:t>sec</w:t>
      </w:r>
      <w:r>
        <w:rPr>
          <w:rFonts w:ascii="Times New Roman" w:hAnsi="Times New Roman" w:cs="Times New Roman"/>
        </w:rPr>
        <w:t>t</w:t>
      </w:r>
      <w:r>
        <w:rPr>
          <w:rFonts w:ascii="Times New Roman" w:hAnsi="Times New Roman" w:cs="Times New Roman"/>
          <w:highlight w:val="yellow"/>
        </w:rPr>
        <w:t>oral</w:t>
      </w:r>
      <w:r>
        <w:rPr>
          <w:rFonts w:ascii="Times New Roman" w:hAnsi="Times New Roman" w:cs="Times New Roman"/>
        </w:rPr>
        <w:t xml:space="preserve"> stock returns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wi</w:t>
      </w:r>
      <w:r>
        <w:rPr>
          <w:rFonts w:ascii="Times New Roman" w:hAnsi="Times New Roman" w:cs="Times New Roman"/>
        </w:rPr>
        <w:t>th</w:t>
      </w:r>
      <w:r>
        <w:rPr>
          <w:rFonts w:ascii="Times New Roman" w:hAnsi="Times New Roman" w:cs="Times New Roman"/>
          <w:highlight w:val="yellow"/>
        </w:rPr>
        <w:t xml:space="preserve"> </w:t>
      </w:r>
      <w:r>
        <w:rPr>
          <w:rFonts w:ascii="Times New Roman" w:hAnsi="Times New Roman" w:cs="Times New Roman"/>
        </w:rPr>
        <w:t>e</w:t>
      </w:r>
      <w:r>
        <w:rPr>
          <w:rFonts w:ascii="Times New Roman" w:hAnsi="Times New Roman" w:cs="Times New Roman"/>
          <w:highlight w:val="yellow"/>
        </w:rPr>
        <w:t>a</w:t>
      </w:r>
      <w:r>
        <w:rPr>
          <w:rFonts w:ascii="Times New Roman" w:hAnsi="Times New Roman" w:cs="Times New Roman"/>
        </w:rPr>
        <w:t>c</w:t>
      </w:r>
      <w:r>
        <w:rPr>
          <w:rFonts w:ascii="Times New Roman" w:hAnsi="Times New Roman" w:cs="Times New Roman"/>
          <w:highlight w:val="yellow"/>
        </w:rPr>
        <w:t>h</w:t>
      </w:r>
      <w:r>
        <w:rPr>
          <w:rFonts w:ascii="Times New Roman" w:hAnsi="Times New Roman" w:cs="Times New Roman"/>
        </w:rPr>
        <w:t xml:space="preserve"> one</w:t>
      </w:r>
      <w:r>
        <w:rPr>
          <w:rFonts w:ascii="Times New Roman" w:hAnsi="Times New Roman" w:cs="Times New Roman"/>
          <w:highlight w:val="yellow"/>
        </w:rPr>
        <w:t>-</w:t>
      </w:r>
      <w:r>
        <w:rPr>
          <w:rFonts w:ascii="Times New Roman" w:hAnsi="Times New Roman" w:cs="Times New Roman"/>
        </w:rPr>
        <w:t>perce</w:t>
      </w:r>
      <w:r>
        <w:rPr>
          <w:rFonts w:ascii="Times New Roman" w:hAnsi="Times New Roman" w:cs="Times New Roman"/>
          <w:highlight w:val="yellow"/>
        </w:rPr>
        <w:t>ntage-poi</w:t>
      </w:r>
      <w:r>
        <w:rPr>
          <w:rFonts w:ascii="Times New Roman" w:hAnsi="Times New Roman" w:cs="Times New Roman"/>
        </w:rPr>
        <w:t xml:space="preserve">nt increase in inflation </w:t>
      </w:r>
      <w:r>
        <w:rPr>
          <w:rFonts w:ascii="Times New Roman" w:hAnsi="Times New Roman" w:cs="Times New Roman"/>
          <w:highlight w:val="yellow"/>
        </w:rPr>
        <w:t>associat</w:t>
      </w:r>
      <w:r>
        <w:rPr>
          <w:rFonts w:ascii="Times New Roman" w:hAnsi="Times New Roman" w:cs="Times New Roman"/>
        </w:rPr>
        <w:t xml:space="preserve">ed </w:t>
      </w:r>
      <w:r>
        <w:rPr>
          <w:rFonts w:ascii="Times New Roman" w:hAnsi="Times New Roman" w:cs="Times New Roman"/>
          <w:highlight w:val="yellow"/>
        </w:rPr>
        <w:t>wi</w:t>
      </w:r>
      <w:r>
        <w:rPr>
          <w:rFonts w:ascii="Times New Roman" w:hAnsi="Times New Roman" w:cs="Times New Roman"/>
        </w:rPr>
        <w:t>t</w:t>
      </w:r>
      <w:r>
        <w:rPr>
          <w:rFonts w:ascii="Times New Roman" w:hAnsi="Times New Roman" w:cs="Times New Roman"/>
          <w:highlight w:val="yellow"/>
        </w:rPr>
        <w:t>h</w:t>
      </w:r>
      <w:r>
        <w:rPr>
          <w:rFonts w:ascii="Times New Roman" w:hAnsi="Times New Roman" w:cs="Times New Roman"/>
        </w:rPr>
        <w:t xml:space="preserve"> a</w:t>
      </w:r>
      <w:r>
        <w:rPr>
          <w:rFonts w:ascii="Times New Roman" w:hAnsi="Times New Roman" w:cs="Times New Roman"/>
          <w:highlight w:val="yellow"/>
        </w:rPr>
        <w:t xml:space="preserve"> 0.432-percentage-point</w:t>
      </w:r>
      <w:r>
        <w:rPr>
          <w:rFonts w:ascii="Times New Roman" w:hAnsi="Times New Roman" w:cs="Times New Roman"/>
        </w:rPr>
        <w:t xml:space="preserve"> decrease in </w:t>
      </w:r>
      <w:r>
        <w:rPr>
          <w:rFonts w:ascii="Times New Roman" w:hAnsi="Times New Roman" w:cs="Times New Roman"/>
          <w:highlight w:val="yellow"/>
        </w:rPr>
        <w:t>sec</w:t>
      </w:r>
      <w:r>
        <w:rPr>
          <w:rFonts w:ascii="Times New Roman" w:hAnsi="Times New Roman" w:cs="Times New Roman"/>
        </w:rPr>
        <w:t>t</w:t>
      </w:r>
      <w:r>
        <w:rPr>
          <w:rFonts w:ascii="Times New Roman" w:hAnsi="Times New Roman" w:cs="Times New Roman"/>
          <w:highlight w:val="yellow"/>
        </w:rPr>
        <w:t>oral</w:t>
      </w:r>
      <w:r>
        <w:rPr>
          <w:rFonts w:ascii="Times New Roman" w:hAnsi="Times New Roman" w:cs="Times New Roman"/>
        </w:rPr>
        <w:t xml:space="preserve"> stock returns, c</w:t>
      </w:r>
      <w:r>
        <w:rPr>
          <w:rFonts w:ascii="Times New Roman" w:hAnsi="Times New Roman" w:cs="Times New Roman"/>
          <w:highlight w:val="yellow"/>
        </w:rPr>
        <w:t>ons</w:t>
      </w:r>
      <w:r>
        <w:rPr>
          <w:rFonts w:ascii="Times New Roman" w:hAnsi="Times New Roman" w:cs="Times New Roman"/>
        </w:rPr>
        <w:t>is</w:t>
      </w:r>
      <w:r>
        <w:rPr>
          <w:rFonts w:ascii="Times New Roman" w:hAnsi="Times New Roman" w:cs="Times New Roman"/>
          <w:highlight w:val="yellow"/>
        </w:rPr>
        <w:t>te</w:t>
      </w:r>
      <w:r>
        <w:rPr>
          <w:rFonts w:ascii="Times New Roman" w:hAnsi="Times New Roman" w:cs="Times New Roman"/>
        </w:rPr>
        <w:t>n</w:t>
      </w:r>
      <w:r>
        <w:rPr>
          <w:rFonts w:ascii="Times New Roman" w:hAnsi="Times New Roman" w:cs="Times New Roman"/>
          <w:highlight w:val="yellow"/>
        </w:rPr>
        <w:t>t</w:t>
      </w:r>
      <w:r>
        <w:rPr>
          <w:rFonts w:ascii="Times New Roman" w:hAnsi="Times New Roman" w:cs="Times New Roman"/>
        </w:rPr>
        <w:t xml:space="preserve"> with the Discounted Cash Flow perspective and the Arbitrage Pricing Theory. This impact </w:t>
      </w:r>
      <w:r>
        <w:rPr>
          <w:rFonts w:ascii="Times New Roman" w:hAnsi="Times New Roman" w:cs="Times New Roman"/>
          <w:highlight w:val="yellow"/>
        </w:rPr>
        <w:t>var</w:t>
      </w:r>
      <w:r>
        <w:rPr>
          <w:rFonts w:ascii="Times New Roman" w:hAnsi="Times New Roman" w:cs="Times New Roman"/>
        </w:rPr>
        <w:t>i</w:t>
      </w:r>
      <w:r>
        <w:rPr>
          <w:rFonts w:ascii="Times New Roman" w:hAnsi="Times New Roman" w:cs="Times New Roman"/>
          <w:highlight w:val="yellow"/>
        </w:rPr>
        <w:t>e</w:t>
      </w:r>
      <w:r>
        <w:rPr>
          <w:rFonts w:ascii="Times New Roman" w:hAnsi="Times New Roman" w:cs="Times New Roman"/>
        </w:rPr>
        <w:t xml:space="preserve">s </w:t>
      </w:r>
      <w:r>
        <w:rPr>
          <w:rFonts w:ascii="Times New Roman" w:hAnsi="Times New Roman" w:cs="Times New Roman"/>
          <w:highlight w:val="yellow"/>
        </w:rPr>
        <w:t>consid</w:t>
      </w:r>
      <w:r>
        <w:rPr>
          <w:rFonts w:ascii="Times New Roman" w:hAnsi="Times New Roman" w:cs="Times New Roman"/>
        </w:rPr>
        <w:t>er</w:t>
      </w:r>
      <w:r>
        <w:rPr>
          <w:rFonts w:ascii="Times New Roman" w:hAnsi="Times New Roman" w:cs="Times New Roman"/>
          <w:highlight w:val="yellow"/>
        </w:rPr>
        <w:t>abl</w:t>
      </w:r>
      <w:r>
        <w:rPr>
          <w:rFonts w:ascii="Times New Roman" w:hAnsi="Times New Roman" w:cs="Times New Roman"/>
        </w:rPr>
        <w:t xml:space="preserve">y across sectors, with the Consumer Goods and Banking sectors being the most vulnerable and the Oil and Gas sector </w:t>
      </w:r>
      <w:r>
        <w:rPr>
          <w:rFonts w:ascii="Times New Roman" w:hAnsi="Times New Roman" w:cs="Times New Roman"/>
        </w:rPr>
        <w:lastRenderedPageBreak/>
        <w:t>the most resilient. This negative relation</w:t>
      </w:r>
      <w:r>
        <w:rPr>
          <w:rFonts w:ascii="Times New Roman" w:hAnsi="Times New Roman" w:cs="Times New Roman"/>
          <w:highlight w:val="yellow"/>
        </w:rPr>
        <w:t>ship</w:t>
      </w:r>
      <w:r>
        <w:rPr>
          <w:rFonts w:ascii="Times New Roman" w:hAnsi="Times New Roman" w:cs="Times New Roman"/>
        </w:rPr>
        <w:t xml:space="preserve"> did not c</w:t>
      </w:r>
      <w:r>
        <w:rPr>
          <w:rFonts w:ascii="Times New Roman" w:hAnsi="Times New Roman" w:cs="Times New Roman"/>
          <w:highlight w:val="yellow"/>
        </w:rPr>
        <w:t>oincid</w:t>
      </w:r>
      <w:r>
        <w:rPr>
          <w:rFonts w:ascii="Times New Roman" w:hAnsi="Times New Roman" w:cs="Times New Roman"/>
        </w:rPr>
        <w:t xml:space="preserve">e </w:t>
      </w:r>
      <w:r>
        <w:rPr>
          <w:rFonts w:ascii="Times New Roman" w:hAnsi="Times New Roman" w:cs="Times New Roman"/>
          <w:highlight w:val="yellow"/>
        </w:rPr>
        <w:t>wi</w:t>
      </w:r>
      <w:r>
        <w:rPr>
          <w:rFonts w:ascii="Times New Roman" w:hAnsi="Times New Roman" w:cs="Times New Roman"/>
        </w:rPr>
        <w:t>th poor aggregate</w:t>
      </w:r>
      <w:r>
        <w:rPr>
          <w:rFonts w:ascii="Times New Roman" w:hAnsi="Times New Roman" w:cs="Times New Roman"/>
          <w:highlight w:val="yellow"/>
        </w:rPr>
        <w:t xml:space="preserve"> equity-market</w:t>
      </w:r>
      <w:r>
        <w:rPr>
          <w:rFonts w:ascii="Times New Roman" w:hAnsi="Times New Roman" w:cs="Times New Roman"/>
        </w:rPr>
        <w:t xml:space="preserve"> returns during the period; </w:t>
      </w:r>
      <w:r>
        <w:rPr>
          <w:rFonts w:ascii="Times New Roman" w:hAnsi="Times New Roman" w:cs="Times New Roman"/>
          <w:highlight w:val="yellow"/>
        </w:rPr>
        <w:t>r</w:t>
      </w:r>
      <w:r>
        <w:rPr>
          <w:rFonts w:ascii="Times New Roman" w:hAnsi="Times New Roman" w:cs="Times New Roman"/>
        </w:rPr>
        <w:t>athe</w:t>
      </w:r>
      <w:r>
        <w:rPr>
          <w:rFonts w:ascii="Times New Roman" w:hAnsi="Times New Roman" w:cs="Times New Roman"/>
          <w:highlight w:val="yellow"/>
        </w:rPr>
        <w:t>r,</w:t>
      </w:r>
      <w:r>
        <w:rPr>
          <w:rFonts w:ascii="Times New Roman" w:hAnsi="Times New Roman" w:cs="Times New Roman"/>
        </w:rPr>
        <w:t xml:space="preserve"> currency depreciation effects, policy reform</w:t>
      </w:r>
      <w:r>
        <w:rPr>
          <w:rFonts w:ascii="Times New Roman" w:hAnsi="Times New Roman" w:cs="Times New Roman"/>
          <w:highlight w:val="yellow"/>
        </w:rPr>
        <w:t>s</w:t>
      </w:r>
      <w:r>
        <w:rPr>
          <w:rFonts w:ascii="Times New Roman" w:hAnsi="Times New Roman" w:cs="Times New Roman"/>
        </w:rPr>
        <w:t xml:space="preserve"> and new listings </w:t>
      </w:r>
      <w:r>
        <w:rPr>
          <w:rFonts w:ascii="Times New Roman" w:hAnsi="Times New Roman" w:cs="Times New Roman"/>
          <w:highlight w:val="yellow"/>
        </w:rPr>
        <w:t>con</w:t>
      </w:r>
      <w:r>
        <w:rPr>
          <w:rFonts w:ascii="Times New Roman" w:hAnsi="Times New Roman" w:cs="Times New Roman"/>
        </w:rPr>
        <w:t>tri</w:t>
      </w:r>
      <w:r>
        <w:rPr>
          <w:rFonts w:ascii="Times New Roman" w:hAnsi="Times New Roman" w:cs="Times New Roman"/>
          <w:highlight w:val="yellow"/>
        </w:rPr>
        <w:t>but</w:t>
      </w:r>
      <w:r>
        <w:rPr>
          <w:rFonts w:ascii="Times New Roman" w:hAnsi="Times New Roman" w:cs="Times New Roman"/>
        </w:rPr>
        <w:t xml:space="preserve">ed </w:t>
      </w:r>
      <w:r>
        <w:rPr>
          <w:rFonts w:ascii="Times New Roman" w:hAnsi="Times New Roman" w:cs="Times New Roman"/>
          <w:highlight w:val="yellow"/>
        </w:rPr>
        <w:t>to ma</w:t>
      </w:r>
      <w:r>
        <w:rPr>
          <w:rFonts w:ascii="Times New Roman" w:hAnsi="Times New Roman" w:cs="Times New Roman"/>
        </w:rPr>
        <w:t>r</w:t>
      </w:r>
      <w:r>
        <w:rPr>
          <w:rFonts w:ascii="Times New Roman" w:hAnsi="Times New Roman" w:cs="Times New Roman"/>
          <w:highlight w:val="yellow"/>
        </w:rPr>
        <w:t>ke</w:t>
      </w:r>
      <w:r>
        <w:rPr>
          <w:rFonts w:ascii="Times New Roman" w:hAnsi="Times New Roman" w:cs="Times New Roman"/>
        </w:rPr>
        <w:t>t resilience</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rather th</w:t>
      </w:r>
      <w:r>
        <w:rPr>
          <w:rFonts w:ascii="Times New Roman" w:hAnsi="Times New Roman" w:cs="Times New Roman"/>
        </w:rPr>
        <w:t xml:space="preserve">an the inflation-hedging properties of equities </w:t>
      </w:r>
      <w:r>
        <w:rPr>
          <w:rFonts w:ascii="Times New Roman" w:hAnsi="Times New Roman" w:cs="Times New Roman"/>
          <w:highlight w:val="yellow"/>
        </w:rPr>
        <w:t>per</w:t>
      </w:r>
      <w:r>
        <w:rPr>
          <w:rFonts w:ascii="Times New Roman" w:hAnsi="Times New Roman" w:cs="Times New Roman"/>
        </w:rPr>
        <w:t xml:space="preserve"> s</w:t>
      </w:r>
      <w:r>
        <w:rPr>
          <w:rFonts w:ascii="Times New Roman" w:hAnsi="Times New Roman" w:cs="Times New Roman"/>
          <w:highlight w:val="yellow"/>
        </w:rPr>
        <w:t>e</w:t>
      </w:r>
      <w:r>
        <w:rPr>
          <w:rFonts w:ascii="Times New Roman" w:hAnsi="Times New Roman" w:cs="Times New Roman"/>
        </w:rPr>
        <w:t xml:space="preserve">. Based on this evidence, the null hypothesis of no significant effect of inflation on </w:t>
      </w:r>
      <w:r>
        <w:rPr>
          <w:rFonts w:ascii="Times New Roman" w:hAnsi="Times New Roman" w:cs="Times New Roman"/>
          <w:highlight w:val="yellow"/>
        </w:rPr>
        <w:t>sec</w:t>
      </w:r>
      <w:r>
        <w:rPr>
          <w:rFonts w:ascii="Times New Roman" w:hAnsi="Times New Roman" w:cs="Times New Roman"/>
        </w:rPr>
        <w:t>tora</w:t>
      </w:r>
      <w:r>
        <w:rPr>
          <w:rFonts w:ascii="Times New Roman" w:hAnsi="Times New Roman" w:cs="Times New Roman"/>
          <w:highlight w:val="yellow"/>
        </w:rPr>
        <w:t>l</w:t>
      </w:r>
      <w:r>
        <w:rPr>
          <w:rFonts w:ascii="Times New Roman" w:hAnsi="Times New Roman" w:cs="Times New Roman"/>
        </w:rPr>
        <w:t xml:space="preserve"> stock market </w:t>
      </w:r>
      <w:r>
        <w:rPr>
          <w:rFonts w:ascii="Times New Roman" w:hAnsi="Times New Roman" w:cs="Times New Roman"/>
          <w:highlight w:val="yellow"/>
        </w:rPr>
        <w:t>p</w:t>
      </w:r>
      <w:r>
        <w:rPr>
          <w:rFonts w:ascii="Times New Roman" w:hAnsi="Times New Roman" w:cs="Times New Roman"/>
        </w:rPr>
        <w:t>e</w:t>
      </w:r>
      <w:r>
        <w:rPr>
          <w:rFonts w:ascii="Times New Roman" w:hAnsi="Times New Roman" w:cs="Times New Roman"/>
          <w:highlight w:val="yellow"/>
        </w:rPr>
        <w:t>rf</w:t>
      </w:r>
      <w:r>
        <w:rPr>
          <w:rFonts w:ascii="Times New Roman" w:hAnsi="Times New Roman" w:cs="Times New Roman"/>
        </w:rPr>
        <w:t>or</w:t>
      </w:r>
      <w:r>
        <w:rPr>
          <w:rFonts w:ascii="Times New Roman" w:hAnsi="Times New Roman" w:cs="Times New Roman"/>
          <w:highlight w:val="yellow"/>
        </w:rPr>
        <w:t>mance</w:t>
      </w:r>
      <w:r>
        <w:rPr>
          <w:rFonts w:ascii="Times New Roman" w:hAnsi="Times New Roman" w:cs="Times New Roman"/>
        </w:rPr>
        <w:t xml:space="preserve"> is rejected. The empirical contribution of the study is that the link between aggregate inflation and stock market</w:t>
      </w:r>
      <w:r>
        <w:rPr>
          <w:rFonts w:ascii="Times New Roman" w:hAnsi="Times New Roman" w:cs="Times New Roman"/>
          <w:highlight w:val="yellow"/>
        </w:rPr>
        <w:t xml:space="preserve"> performance</w:t>
      </w:r>
      <w:r>
        <w:rPr>
          <w:rFonts w:ascii="Times New Roman" w:hAnsi="Times New Roman" w:cs="Times New Roman"/>
        </w:rPr>
        <w:t xml:space="preserve"> in Nigeria masks significant sectoral differences </w:t>
      </w:r>
      <w:r>
        <w:rPr>
          <w:rFonts w:ascii="Times New Roman" w:hAnsi="Times New Roman" w:cs="Times New Roman"/>
          <w:highlight w:val="yellow"/>
        </w:rPr>
        <w:t>wi</w:t>
      </w:r>
      <w:r>
        <w:rPr>
          <w:rFonts w:ascii="Times New Roman" w:hAnsi="Times New Roman" w:cs="Times New Roman"/>
        </w:rPr>
        <w:t>th implications for portfolio construction.</w:t>
      </w:r>
    </w:p>
    <w:p w14:paraId="333C725B"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6.2 </w:t>
      </w:r>
      <w:r w:rsidR="00965A0A" w:rsidRPr="00DA0907">
        <w:rPr>
          <w:rFonts w:ascii="Times New Roman" w:hAnsi="Times New Roman" w:cs="Times New Roman"/>
          <w:b/>
          <w:bCs/>
        </w:rPr>
        <w:t>Recommendations</w:t>
      </w:r>
    </w:p>
    <w:p w14:paraId="30FBE5DA"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study </w:t>
      </w:r>
      <w:r>
        <w:rPr>
          <w:rFonts w:ascii="Times New Roman" w:hAnsi="Times New Roman" w:cs="Times New Roman"/>
          <w:highlight w:val="yellow"/>
        </w:rPr>
        <w:t>mak</w:t>
      </w:r>
      <w:r>
        <w:rPr>
          <w:rFonts w:ascii="Times New Roman" w:hAnsi="Times New Roman" w:cs="Times New Roman"/>
        </w:rPr>
        <w:t xml:space="preserve">es the following </w:t>
      </w:r>
      <w:r>
        <w:rPr>
          <w:rFonts w:ascii="Times New Roman" w:hAnsi="Times New Roman" w:cs="Times New Roman"/>
          <w:highlight w:val="yellow"/>
        </w:rPr>
        <w:t>recom</w:t>
      </w:r>
      <w:r>
        <w:rPr>
          <w:rFonts w:ascii="Times New Roman" w:hAnsi="Times New Roman" w:cs="Times New Roman"/>
        </w:rPr>
        <w:t>me</w:t>
      </w:r>
      <w:r>
        <w:rPr>
          <w:rFonts w:ascii="Times New Roman" w:hAnsi="Times New Roman" w:cs="Times New Roman"/>
          <w:highlight w:val="yellow"/>
        </w:rPr>
        <w:t>nd</w:t>
      </w:r>
      <w:r>
        <w:rPr>
          <w:rFonts w:ascii="Times New Roman" w:hAnsi="Times New Roman" w:cs="Times New Roman"/>
        </w:rPr>
        <w:t>a</w:t>
      </w:r>
      <w:r>
        <w:rPr>
          <w:rFonts w:ascii="Times New Roman" w:hAnsi="Times New Roman" w:cs="Times New Roman"/>
          <w:highlight w:val="yellow"/>
        </w:rPr>
        <w:t>tion</w:t>
      </w:r>
      <w:r>
        <w:rPr>
          <w:rFonts w:ascii="Times New Roman" w:hAnsi="Times New Roman" w:cs="Times New Roman"/>
        </w:rPr>
        <w:t>s:</w:t>
      </w:r>
    </w:p>
    <w:p w14:paraId="4AAD9909" w14:textId="77777777" w:rsidR="009E3A6A" w:rsidRPr="00DA0907" w:rsidRDefault="009E3A6A" w:rsidP="007417AA">
      <w:pPr>
        <w:pStyle w:val="ListParagraph"/>
        <w:numPr>
          <w:ilvl w:val="0"/>
          <w:numId w:val="10"/>
        </w:numPr>
        <w:tabs>
          <w:tab w:val="left" w:pos="2070"/>
        </w:tabs>
        <w:spacing w:line="360" w:lineRule="auto"/>
        <w:jc w:val="both"/>
        <w:rPr>
          <w:rFonts w:ascii="Times New Roman" w:hAnsi="Times New Roman" w:cs="Times New Roman"/>
        </w:rPr>
      </w:pPr>
      <w:r>
        <w:rPr>
          <w:rFonts w:ascii="Times New Roman" w:hAnsi="Times New Roman" w:cs="Times New Roman"/>
        </w:rPr>
        <w:t xml:space="preserve">The Central Bank of Nigeria </w:t>
      </w:r>
      <w:r>
        <w:rPr>
          <w:rFonts w:ascii="Times New Roman" w:hAnsi="Times New Roman" w:cs="Times New Roman"/>
          <w:highlight w:val="yellow"/>
        </w:rPr>
        <w:t xml:space="preserve">should </w:t>
      </w:r>
      <w:r>
        <w:rPr>
          <w:rFonts w:ascii="Times New Roman" w:hAnsi="Times New Roman" w:cs="Times New Roman"/>
        </w:rPr>
        <w:t xml:space="preserve">further enhance its monetary policy framework and reiterate its commitment to price stability as its </w:t>
      </w:r>
      <w:r>
        <w:rPr>
          <w:rFonts w:ascii="Times New Roman" w:hAnsi="Times New Roman" w:cs="Times New Roman"/>
          <w:highlight w:val="yellow"/>
        </w:rPr>
        <w:t>pri</w:t>
      </w:r>
      <w:r>
        <w:rPr>
          <w:rFonts w:ascii="Times New Roman" w:hAnsi="Times New Roman" w:cs="Times New Roman"/>
        </w:rPr>
        <w:t>ma</w:t>
      </w:r>
      <w:r>
        <w:rPr>
          <w:rFonts w:ascii="Times New Roman" w:hAnsi="Times New Roman" w:cs="Times New Roman"/>
          <w:highlight w:val="yellow"/>
        </w:rPr>
        <w:t>ry</w:t>
      </w:r>
      <w:r>
        <w:rPr>
          <w:rFonts w:ascii="Times New Roman" w:hAnsi="Times New Roman" w:cs="Times New Roman"/>
        </w:rPr>
        <w:t xml:space="preserve"> objective </w:t>
      </w:r>
      <w:r>
        <w:rPr>
          <w:rFonts w:ascii="Times New Roman" w:hAnsi="Times New Roman" w:cs="Times New Roman"/>
          <w:highlight w:val="yellow"/>
        </w:rPr>
        <w:t>through</w:t>
      </w:r>
      <w:r>
        <w:rPr>
          <w:rFonts w:ascii="Times New Roman" w:hAnsi="Times New Roman" w:cs="Times New Roman"/>
        </w:rPr>
        <w:t xml:space="preserve"> credible inflation targeting and better coordination with fiscal authorities to anchor inflation expectations</w:t>
      </w:r>
      <w:r>
        <w:rPr>
          <w:rFonts w:ascii="Times New Roman" w:hAnsi="Times New Roman" w:cs="Times New Roman"/>
          <w:highlight w:val="yellow"/>
        </w:rPr>
        <w:t xml:space="preserve"> (Central Bank of Nigeria, 2025b)</w:t>
      </w:r>
      <w:r>
        <w:rPr>
          <w:rFonts w:ascii="Times New Roman" w:hAnsi="Times New Roman" w:cs="Times New Roman"/>
        </w:rPr>
        <w:t>.</w:t>
      </w:r>
    </w:p>
    <w:p w14:paraId="00D4DAFF" w14:textId="77777777" w:rsidR="009E3A6A" w:rsidRPr="00DA0907" w:rsidRDefault="009E3A6A" w:rsidP="007417AA">
      <w:pPr>
        <w:pStyle w:val="ListParagraph"/>
        <w:numPr>
          <w:ilvl w:val="0"/>
          <w:numId w:val="10"/>
        </w:numPr>
        <w:tabs>
          <w:tab w:val="left" w:pos="2070"/>
        </w:tabs>
        <w:spacing w:line="360" w:lineRule="auto"/>
        <w:jc w:val="both"/>
        <w:rPr>
          <w:rFonts w:ascii="Times New Roman" w:hAnsi="Times New Roman" w:cs="Times New Roman"/>
        </w:rPr>
      </w:pPr>
      <w:r>
        <w:rPr>
          <w:rFonts w:ascii="Times New Roman" w:hAnsi="Times New Roman" w:cs="Times New Roman"/>
        </w:rPr>
        <w:t xml:space="preserve">The Federal Government </w:t>
      </w:r>
      <w:r>
        <w:rPr>
          <w:rFonts w:ascii="Times New Roman" w:hAnsi="Times New Roman" w:cs="Times New Roman"/>
          <w:highlight w:val="yellow"/>
        </w:rPr>
        <w:t>should redu</w:t>
      </w:r>
      <w:r>
        <w:rPr>
          <w:rFonts w:ascii="Times New Roman" w:hAnsi="Times New Roman" w:cs="Times New Roman"/>
        </w:rPr>
        <w:t xml:space="preserve">ce reliance on deficit </w:t>
      </w:r>
      <w:proofErr w:type="spellStart"/>
      <w:r>
        <w:rPr>
          <w:rFonts w:ascii="Times New Roman" w:hAnsi="Times New Roman" w:cs="Times New Roman"/>
        </w:rPr>
        <w:t>monetisation</w:t>
      </w:r>
      <w:proofErr w:type="spellEnd"/>
      <w:r>
        <w:rPr>
          <w:rFonts w:ascii="Times New Roman" w:hAnsi="Times New Roman" w:cs="Times New Roman"/>
        </w:rPr>
        <w:t xml:space="preserve"> </w:t>
      </w:r>
      <w:r>
        <w:rPr>
          <w:rFonts w:ascii="Times New Roman" w:hAnsi="Times New Roman" w:cs="Times New Roman"/>
          <w:highlight w:val="yellow"/>
        </w:rPr>
        <w:t>through</w:t>
      </w:r>
      <w:r>
        <w:rPr>
          <w:rFonts w:ascii="Times New Roman" w:hAnsi="Times New Roman" w:cs="Times New Roman"/>
        </w:rPr>
        <w:t xml:space="preserve"> Ways and Means advances and </w:t>
      </w:r>
      <w:proofErr w:type="spellStart"/>
      <w:r>
        <w:rPr>
          <w:rFonts w:ascii="Times New Roman" w:hAnsi="Times New Roman" w:cs="Times New Roman"/>
        </w:rPr>
        <w:t>p</w:t>
      </w:r>
      <w:r>
        <w:rPr>
          <w:rFonts w:ascii="Times New Roman" w:hAnsi="Times New Roman" w:cs="Times New Roman"/>
          <w:highlight w:val="yellow"/>
        </w:rPr>
        <w:t>ri</w:t>
      </w:r>
      <w:r>
        <w:rPr>
          <w:rFonts w:ascii="Times New Roman" w:hAnsi="Times New Roman" w:cs="Times New Roman"/>
        </w:rPr>
        <w:t>or</w:t>
      </w:r>
      <w:r>
        <w:rPr>
          <w:rFonts w:ascii="Times New Roman" w:hAnsi="Times New Roman" w:cs="Times New Roman"/>
          <w:highlight w:val="yellow"/>
        </w:rPr>
        <w:t>itise</w:t>
      </w:r>
      <w:proofErr w:type="spellEnd"/>
      <w:r>
        <w:rPr>
          <w:rFonts w:ascii="Times New Roman" w:hAnsi="Times New Roman" w:cs="Times New Roman"/>
        </w:rPr>
        <w:t xml:space="preserve"> revenue </w:t>
      </w:r>
      <w:proofErr w:type="spellStart"/>
      <w:r>
        <w:rPr>
          <w:rFonts w:ascii="Times New Roman" w:hAnsi="Times New Roman" w:cs="Times New Roman"/>
        </w:rPr>
        <w:t>mobilisation</w:t>
      </w:r>
      <w:proofErr w:type="spellEnd"/>
      <w:r>
        <w:rPr>
          <w:rFonts w:ascii="Times New Roman" w:hAnsi="Times New Roman" w:cs="Times New Roman"/>
        </w:rPr>
        <w:t xml:space="preserve">, cost </w:t>
      </w:r>
      <w:proofErr w:type="spellStart"/>
      <w:r>
        <w:rPr>
          <w:rFonts w:ascii="Times New Roman" w:hAnsi="Times New Roman" w:cs="Times New Roman"/>
        </w:rPr>
        <w:t>rationalisation</w:t>
      </w:r>
      <w:proofErr w:type="spellEnd"/>
      <w:r>
        <w:rPr>
          <w:rFonts w:ascii="Times New Roman" w:hAnsi="Times New Roman" w:cs="Times New Roman"/>
        </w:rPr>
        <w:t xml:space="preserve"> and productive investment in infrastructure that alleviates cost pressures.</w:t>
      </w:r>
    </w:p>
    <w:p w14:paraId="00E20B42" w14:textId="77777777" w:rsidR="009E3A6A" w:rsidRPr="00DA0907" w:rsidRDefault="009E3A6A" w:rsidP="007417AA">
      <w:pPr>
        <w:pStyle w:val="ListParagraph"/>
        <w:numPr>
          <w:ilvl w:val="0"/>
          <w:numId w:val="10"/>
        </w:numPr>
        <w:tabs>
          <w:tab w:val="left" w:pos="2070"/>
        </w:tabs>
        <w:spacing w:line="360" w:lineRule="auto"/>
        <w:jc w:val="both"/>
        <w:rPr>
          <w:rFonts w:ascii="Times New Roman" w:hAnsi="Times New Roman" w:cs="Times New Roman"/>
        </w:rPr>
      </w:pPr>
      <w:r>
        <w:rPr>
          <w:rFonts w:ascii="Times New Roman" w:hAnsi="Times New Roman" w:cs="Times New Roman"/>
        </w:rPr>
        <w:t>Sector-specific interventions should be considered to lower input costs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stre</w:t>
      </w:r>
      <w:r>
        <w:rPr>
          <w:rFonts w:ascii="Times New Roman" w:hAnsi="Times New Roman" w:cs="Times New Roman"/>
        </w:rPr>
        <w:t>n</w:t>
      </w:r>
      <w:r>
        <w:rPr>
          <w:rFonts w:ascii="Times New Roman" w:hAnsi="Times New Roman" w:cs="Times New Roman"/>
          <w:highlight w:val="yellow"/>
        </w:rPr>
        <w:t>gthen</w:t>
      </w:r>
      <w:r>
        <w:rPr>
          <w:rFonts w:ascii="Times New Roman" w:hAnsi="Times New Roman" w:cs="Times New Roman"/>
        </w:rPr>
        <w:t xml:space="preserve"> domestic manufacturing capacity in Consumer Goods, and i</w:t>
      </w:r>
      <w:r>
        <w:rPr>
          <w:rFonts w:ascii="Times New Roman" w:hAnsi="Times New Roman" w:cs="Times New Roman"/>
          <w:highlight w:val="yellow"/>
        </w:rPr>
        <w:t>mprove financial i</w:t>
      </w:r>
      <w:r>
        <w:rPr>
          <w:rFonts w:ascii="Times New Roman" w:hAnsi="Times New Roman" w:cs="Times New Roman"/>
        </w:rPr>
        <w:t>ntermediation and capital and liquidity</w:t>
      </w:r>
      <w:r>
        <w:rPr>
          <w:rFonts w:ascii="Times New Roman" w:hAnsi="Times New Roman" w:cs="Times New Roman"/>
          <w:highlight w:val="yellow"/>
        </w:rPr>
        <w:t xml:space="preserve"> buffers</w:t>
      </w:r>
      <w:r>
        <w:rPr>
          <w:rFonts w:ascii="Times New Roman" w:hAnsi="Times New Roman" w:cs="Times New Roman"/>
        </w:rPr>
        <w:t xml:space="preserve"> in Banking, which are more sensitive to inflation.</w:t>
      </w:r>
    </w:p>
    <w:p w14:paraId="7AD6934E" w14:textId="77777777" w:rsidR="009E3A6A" w:rsidRPr="00DA0907" w:rsidRDefault="009E3A6A" w:rsidP="007417AA">
      <w:pPr>
        <w:pStyle w:val="ListParagraph"/>
        <w:numPr>
          <w:ilvl w:val="0"/>
          <w:numId w:val="10"/>
        </w:numPr>
        <w:tabs>
          <w:tab w:val="left" w:pos="2070"/>
        </w:tabs>
        <w:spacing w:line="360" w:lineRule="auto"/>
        <w:jc w:val="both"/>
        <w:rPr>
          <w:rFonts w:ascii="Times New Roman" w:hAnsi="Times New Roman" w:cs="Times New Roman"/>
        </w:rPr>
      </w:pPr>
      <w:r>
        <w:rPr>
          <w:rFonts w:ascii="Times New Roman" w:hAnsi="Times New Roman" w:cs="Times New Roman"/>
        </w:rPr>
        <w:t xml:space="preserve">The Securities and Exchange Commission and the NGX </w:t>
      </w:r>
      <w:r>
        <w:rPr>
          <w:rFonts w:ascii="Times New Roman" w:hAnsi="Times New Roman" w:cs="Times New Roman"/>
          <w:highlight w:val="yellow"/>
        </w:rPr>
        <w:t xml:space="preserve">should </w:t>
      </w:r>
      <w:r>
        <w:rPr>
          <w:rFonts w:ascii="Times New Roman" w:hAnsi="Times New Roman" w:cs="Times New Roman"/>
        </w:rPr>
        <w:t>increase investor awareness o</w:t>
      </w:r>
      <w:r>
        <w:rPr>
          <w:rFonts w:ascii="Times New Roman" w:hAnsi="Times New Roman" w:cs="Times New Roman"/>
          <w:highlight w:val="yellow"/>
        </w:rPr>
        <w:t>f</w:t>
      </w:r>
      <w:r>
        <w:rPr>
          <w:rFonts w:ascii="Times New Roman" w:hAnsi="Times New Roman" w:cs="Times New Roman"/>
        </w:rPr>
        <w:t xml:space="preserve"> inflation-hedging investment strategies and promote the creation of financial products linked to inflation.</w:t>
      </w:r>
    </w:p>
    <w:p w14:paraId="14DE02BF" w14:textId="77777777" w:rsidR="009E3A6A" w:rsidRPr="00DA0907" w:rsidRDefault="009E3A6A" w:rsidP="007417AA">
      <w:pPr>
        <w:pStyle w:val="ListParagraph"/>
        <w:numPr>
          <w:ilvl w:val="0"/>
          <w:numId w:val="10"/>
        </w:numPr>
        <w:tabs>
          <w:tab w:val="left" w:pos="2070"/>
        </w:tabs>
        <w:spacing w:line="360" w:lineRule="auto"/>
        <w:jc w:val="both"/>
        <w:rPr>
          <w:rFonts w:ascii="Times New Roman" w:hAnsi="Times New Roman" w:cs="Times New Roman"/>
          <w:b/>
          <w:bCs/>
        </w:rPr>
      </w:pPr>
      <w:r>
        <w:rPr>
          <w:rFonts w:ascii="Times New Roman" w:hAnsi="Times New Roman" w:cs="Times New Roman"/>
        </w:rPr>
        <w:t>Listed companies</w:t>
      </w:r>
      <w:r>
        <w:rPr>
          <w:rFonts w:ascii="Times New Roman" w:hAnsi="Times New Roman" w:cs="Times New Roman"/>
          <w:highlight w:val="yellow"/>
        </w:rPr>
        <w:t xml:space="preserve"> should</w:t>
      </w:r>
      <w:r>
        <w:rPr>
          <w:rFonts w:ascii="Times New Roman" w:hAnsi="Times New Roman" w:cs="Times New Roman"/>
        </w:rPr>
        <w:t xml:space="preserve"> implement pricing policies that </w:t>
      </w:r>
      <w:r>
        <w:rPr>
          <w:rFonts w:ascii="Times New Roman" w:hAnsi="Times New Roman" w:cs="Times New Roman"/>
          <w:highlight w:val="yellow"/>
        </w:rPr>
        <w:t>balan</w:t>
      </w:r>
      <w:r>
        <w:rPr>
          <w:rFonts w:ascii="Times New Roman" w:hAnsi="Times New Roman" w:cs="Times New Roman"/>
        </w:rPr>
        <w:t xml:space="preserve">ce margin protection and affordability, </w:t>
      </w:r>
      <w:r>
        <w:rPr>
          <w:rFonts w:ascii="Times New Roman" w:hAnsi="Times New Roman" w:cs="Times New Roman"/>
          <w:highlight w:val="yellow"/>
        </w:rPr>
        <w:t>pur</w:t>
      </w:r>
      <w:r>
        <w:rPr>
          <w:rFonts w:ascii="Times New Roman" w:hAnsi="Times New Roman" w:cs="Times New Roman"/>
        </w:rPr>
        <w:t>s</w:t>
      </w:r>
      <w:r>
        <w:rPr>
          <w:rFonts w:ascii="Times New Roman" w:hAnsi="Times New Roman" w:cs="Times New Roman"/>
          <w:highlight w:val="yellow"/>
        </w:rPr>
        <w:t>u</w:t>
      </w:r>
      <w:r>
        <w:rPr>
          <w:rFonts w:ascii="Times New Roman" w:hAnsi="Times New Roman" w:cs="Times New Roman"/>
        </w:rPr>
        <w:t xml:space="preserve">e cost efficiency </w:t>
      </w:r>
      <w:r>
        <w:rPr>
          <w:rFonts w:ascii="Times New Roman" w:hAnsi="Times New Roman" w:cs="Times New Roman"/>
          <w:highlight w:val="yellow"/>
        </w:rPr>
        <w:t>th</w:t>
      </w:r>
      <w:r>
        <w:rPr>
          <w:rFonts w:ascii="Times New Roman" w:hAnsi="Times New Roman" w:cs="Times New Roman"/>
        </w:rPr>
        <w:t>r</w:t>
      </w:r>
      <w:r>
        <w:rPr>
          <w:rFonts w:ascii="Times New Roman" w:hAnsi="Times New Roman" w:cs="Times New Roman"/>
          <w:highlight w:val="yellow"/>
        </w:rPr>
        <w:t>ou</w:t>
      </w:r>
      <w:r>
        <w:rPr>
          <w:rFonts w:ascii="Times New Roman" w:hAnsi="Times New Roman" w:cs="Times New Roman"/>
        </w:rPr>
        <w:t>g</w:t>
      </w:r>
      <w:r>
        <w:rPr>
          <w:rFonts w:ascii="Times New Roman" w:hAnsi="Times New Roman" w:cs="Times New Roman"/>
          <w:highlight w:val="yellow"/>
        </w:rPr>
        <w:t>h</w:t>
      </w:r>
      <w:r>
        <w:rPr>
          <w:rFonts w:ascii="Times New Roman" w:hAnsi="Times New Roman" w:cs="Times New Roman"/>
        </w:rPr>
        <w:t xml:space="preserve"> technology</w:t>
      </w:r>
      <w:r>
        <w:rPr>
          <w:rFonts w:ascii="Times New Roman" w:hAnsi="Times New Roman" w:cs="Times New Roman"/>
          <w:highlight w:val="yellow"/>
        </w:rPr>
        <w:t>,</w:t>
      </w:r>
      <w:r>
        <w:rPr>
          <w:rFonts w:ascii="Times New Roman" w:hAnsi="Times New Roman" w:cs="Times New Roman"/>
        </w:rPr>
        <w:t xml:space="preserve"> and diversify revenue</w:t>
      </w:r>
      <w:r>
        <w:rPr>
          <w:rFonts w:ascii="Times New Roman" w:hAnsi="Times New Roman" w:cs="Times New Roman"/>
          <w:highlight w:val="yellow"/>
        </w:rPr>
        <w:t xml:space="preserve"> streams</w:t>
      </w:r>
      <w:r>
        <w:rPr>
          <w:rFonts w:ascii="Times New Roman" w:hAnsi="Times New Roman" w:cs="Times New Roman"/>
        </w:rPr>
        <w:t xml:space="preserve"> to mitigate concentrated exposure to domestic inflation.</w:t>
      </w:r>
    </w:p>
    <w:p w14:paraId="241C17CE" w14:textId="77777777" w:rsidR="00965A0A" w:rsidRPr="00DA0907" w:rsidRDefault="00E738C2" w:rsidP="007417A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6.3 </w:t>
      </w:r>
      <w:r w:rsidR="00965A0A" w:rsidRPr="00DA0907">
        <w:rPr>
          <w:rFonts w:ascii="Times New Roman" w:hAnsi="Times New Roman" w:cs="Times New Roman"/>
          <w:b/>
          <w:bCs/>
        </w:rPr>
        <w:t>Limitations and Future Research</w:t>
      </w:r>
    </w:p>
    <w:p w14:paraId="64C9F913"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There are four important limitations to this study. First, data limitations meant that not all NGX sectors were included, p</w:t>
      </w:r>
      <w:r>
        <w:rPr>
          <w:rFonts w:ascii="Times New Roman" w:hAnsi="Times New Roman" w:cs="Times New Roman"/>
          <w:highlight w:val="yellow"/>
        </w:rPr>
        <w:t>arti</w:t>
      </w:r>
      <w:r>
        <w:rPr>
          <w:rFonts w:ascii="Times New Roman" w:hAnsi="Times New Roman" w:cs="Times New Roman"/>
        </w:rPr>
        <w:t>c</w:t>
      </w:r>
      <w:r>
        <w:rPr>
          <w:rFonts w:ascii="Times New Roman" w:hAnsi="Times New Roman" w:cs="Times New Roman"/>
          <w:highlight w:val="yellow"/>
        </w:rPr>
        <w:t>ul</w:t>
      </w:r>
      <w:r>
        <w:rPr>
          <w:rFonts w:ascii="Times New Roman" w:hAnsi="Times New Roman" w:cs="Times New Roman"/>
        </w:rPr>
        <w:t>a</w:t>
      </w:r>
      <w:r>
        <w:rPr>
          <w:rFonts w:ascii="Times New Roman" w:hAnsi="Times New Roman" w:cs="Times New Roman"/>
          <w:highlight w:val="yellow"/>
        </w:rPr>
        <w:t>r</w:t>
      </w:r>
      <w:r>
        <w:rPr>
          <w:rFonts w:ascii="Times New Roman" w:hAnsi="Times New Roman" w:cs="Times New Roman"/>
        </w:rPr>
        <w:t>ly Insurance and Information Technology</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w:t>
      </w:r>
      <w:r>
        <w:rPr>
          <w:rFonts w:ascii="Times New Roman" w:hAnsi="Times New Roman" w:cs="Times New Roman"/>
        </w:rPr>
        <w:t>h</w:t>
      </w:r>
      <w:r>
        <w:rPr>
          <w:rFonts w:ascii="Times New Roman" w:hAnsi="Times New Roman" w:cs="Times New Roman"/>
          <w:highlight w:val="yellow"/>
        </w:rPr>
        <w:t>ese</w:t>
      </w:r>
      <w:r>
        <w:rPr>
          <w:rFonts w:ascii="Times New Roman" w:hAnsi="Times New Roman" w:cs="Times New Roman"/>
        </w:rPr>
        <w:t xml:space="preserve"> s</w:t>
      </w:r>
      <w:r>
        <w:rPr>
          <w:rFonts w:ascii="Times New Roman" w:hAnsi="Times New Roman" w:cs="Times New Roman"/>
          <w:highlight w:val="yellow"/>
        </w:rPr>
        <w:t>ectors c</w:t>
      </w:r>
      <w:r>
        <w:rPr>
          <w:rFonts w:ascii="Times New Roman" w:hAnsi="Times New Roman" w:cs="Times New Roman"/>
        </w:rPr>
        <w:t xml:space="preserve">ould be </w:t>
      </w:r>
      <w:r>
        <w:rPr>
          <w:rFonts w:ascii="Times New Roman" w:hAnsi="Times New Roman" w:cs="Times New Roman"/>
        </w:rPr>
        <w:lastRenderedPageBreak/>
        <w:t xml:space="preserve">included in future studies as more data become available. Second, the study uses annual data because </w:t>
      </w:r>
      <w:r>
        <w:rPr>
          <w:rFonts w:ascii="Times New Roman" w:hAnsi="Times New Roman" w:cs="Times New Roman"/>
          <w:highlight w:val="yellow"/>
        </w:rPr>
        <w:t>firm-l</w:t>
      </w:r>
      <w:r>
        <w:rPr>
          <w:rFonts w:ascii="Times New Roman" w:hAnsi="Times New Roman" w:cs="Times New Roman"/>
        </w:rPr>
        <w:t>e</w:t>
      </w:r>
      <w:r>
        <w:rPr>
          <w:rFonts w:ascii="Times New Roman" w:hAnsi="Times New Roman" w:cs="Times New Roman"/>
          <w:highlight w:val="yellow"/>
        </w:rPr>
        <w:t>vel</w:t>
      </w:r>
      <w:r>
        <w:rPr>
          <w:rFonts w:ascii="Times New Roman" w:hAnsi="Times New Roman" w:cs="Times New Roman"/>
        </w:rPr>
        <w:t xml:space="preserve"> data </w:t>
      </w:r>
      <w:r>
        <w:rPr>
          <w:rFonts w:ascii="Times New Roman" w:hAnsi="Times New Roman" w:cs="Times New Roman"/>
          <w:highlight w:val="yellow"/>
        </w:rPr>
        <w:t>a</w:t>
      </w:r>
      <w:r>
        <w:rPr>
          <w:rFonts w:ascii="Times New Roman" w:hAnsi="Times New Roman" w:cs="Times New Roman"/>
        </w:rPr>
        <w:t>r</w:t>
      </w:r>
      <w:r>
        <w:rPr>
          <w:rFonts w:ascii="Times New Roman" w:hAnsi="Times New Roman" w:cs="Times New Roman"/>
          <w:highlight w:val="yellow"/>
        </w:rPr>
        <w:t>e</w:t>
      </w:r>
      <w:r>
        <w:rPr>
          <w:rFonts w:ascii="Times New Roman" w:hAnsi="Times New Roman" w:cs="Times New Roman"/>
        </w:rPr>
        <w:t xml:space="preserve"> available at that </w:t>
      </w:r>
      <w:r>
        <w:rPr>
          <w:rFonts w:ascii="Times New Roman" w:hAnsi="Times New Roman" w:cs="Times New Roman"/>
          <w:highlight w:val="yellow"/>
        </w:rPr>
        <w:t>fr</w:t>
      </w:r>
      <w:r>
        <w:rPr>
          <w:rFonts w:ascii="Times New Roman" w:hAnsi="Times New Roman" w:cs="Times New Roman"/>
        </w:rPr>
        <w:t>e</w:t>
      </w:r>
      <w:r>
        <w:rPr>
          <w:rFonts w:ascii="Times New Roman" w:hAnsi="Times New Roman" w:cs="Times New Roman"/>
          <w:highlight w:val="yellow"/>
        </w:rPr>
        <w:t>qu</w:t>
      </w:r>
      <w:r>
        <w:rPr>
          <w:rFonts w:ascii="Times New Roman" w:hAnsi="Times New Roman" w:cs="Times New Roman"/>
        </w:rPr>
        <w:t>en</w:t>
      </w:r>
      <w:r>
        <w:rPr>
          <w:rFonts w:ascii="Times New Roman" w:hAnsi="Times New Roman" w:cs="Times New Roman"/>
          <w:highlight w:val="yellow"/>
        </w:rPr>
        <w:t>cy;</w:t>
      </w:r>
      <w:r>
        <w:rPr>
          <w:rFonts w:ascii="Times New Roman" w:hAnsi="Times New Roman" w:cs="Times New Roman"/>
        </w:rPr>
        <w:t xml:space="preserve"> quarterly or monthly data would be more useful for capturing the immediate </w:t>
      </w:r>
      <w:r>
        <w:rPr>
          <w:rFonts w:ascii="Times New Roman" w:hAnsi="Times New Roman" w:cs="Times New Roman"/>
          <w:highlight w:val="yellow"/>
        </w:rPr>
        <w:t>effe</w:t>
      </w:r>
      <w:r>
        <w:rPr>
          <w:rFonts w:ascii="Times New Roman" w:hAnsi="Times New Roman" w:cs="Times New Roman"/>
        </w:rPr>
        <w:t>ct</w:t>
      </w:r>
      <w:r>
        <w:rPr>
          <w:rFonts w:ascii="Times New Roman" w:hAnsi="Times New Roman" w:cs="Times New Roman"/>
          <w:highlight w:val="yellow"/>
        </w:rPr>
        <w:t>s</w:t>
      </w:r>
      <w:r>
        <w:rPr>
          <w:rFonts w:ascii="Times New Roman" w:hAnsi="Times New Roman" w:cs="Times New Roman"/>
        </w:rPr>
        <w:t xml:space="preserve"> of inflation shocks. Third, the study does not explicitly consider potential non-linearities in the relationship between inflation and returns at very high inflation levels, which could be explored in future r</w:t>
      </w:r>
      <w:r>
        <w:rPr>
          <w:rFonts w:ascii="Times New Roman" w:hAnsi="Times New Roman" w:cs="Times New Roman"/>
          <w:highlight w:val="yellow"/>
        </w:rPr>
        <w:t>esearch</w:t>
      </w:r>
      <w:r>
        <w:rPr>
          <w:rFonts w:ascii="Times New Roman" w:hAnsi="Times New Roman" w:cs="Times New Roman"/>
        </w:rPr>
        <w:t xml:space="preserve">. Fourth, the findings are </w:t>
      </w:r>
      <w:r>
        <w:rPr>
          <w:rFonts w:ascii="Times New Roman" w:hAnsi="Times New Roman" w:cs="Times New Roman"/>
          <w:highlight w:val="yellow"/>
        </w:rPr>
        <w:t>spec</w:t>
      </w:r>
      <w:r>
        <w:rPr>
          <w:rFonts w:ascii="Times New Roman" w:hAnsi="Times New Roman" w:cs="Times New Roman"/>
        </w:rPr>
        <w:t>i</w:t>
      </w:r>
      <w:r>
        <w:rPr>
          <w:rFonts w:ascii="Times New Roman" w:hAnsi="Times New Roman" w:cs="Times New Roman"/>
          <w:highlight w:val="yellow"/>
        </w:rPr>
        <w:t>f</w:t>
      </w:r>
      <w:r>
        <w:rPr>
          <w:rFonts w:ascii="Times New Roman" w:hAnsi="Times New Roman" w:cs="Times New Roman"/>
        </w:rPr>
        <w:t>i</w:t>
      </w:r>
      <w:r>
        <w:rPr>
          <w:rFonts w:ascii="Times New Roman" w:hAnsi="Times New Roman" w:cs="Times New Roman"/>
          <w:highlight w:val="yellow"/>
        </w:rPr>
        <w:t>c</w:t>
      </w:r>
      <w:r>
        <w:rPr>
          <w:rFonts w:ascii="Times New Roman" w:hAnsi="Times New Roman" w:cs="Times New Roman"/>
        </w:rPr>
        <w:t xml:space="preserve"> to </w:t>
      </w:r>
      <w:r>
        <w:rPr>
          <w:rFonts w:ascii="Times New Roman" w:hAnsi="Times New Roman" w:cs="Times New Roman"/>
          <w:highlight w:val="yellow"/>
        </w:rPr>
        <w:t>Nig</w:t>
      </w:r>
      <w:r>
        <w:rPr>
          <w:rFonts w:ascii="Times New Roman" w:hAnsi="Times New Roman" w:cs="Times New Roman"/>
        </w:rPr>
        <w:t>e</w:t>
      </w:r>
      <w:r>
        <w:rPr>
          <w:rFonts w:ascii="Times New Roman" w:hAnsi="Times New Roman" w:cs="Times New Roman"/>
          <w:highlight w:val="yellow"/>
        </w:rPr>
        <w:t>ria over</w:t>
      </w:r>
      <w:r>
        <w:rPr>
          <w:rFonts w:ascii="Times New Roman" w:hAnsi="Times New Roman" w:cs="Times New Roman"/>
        </w:rPr>
        <w:t xml:space="preserve"> 2015–2024</w:t>
      </w:r>
      <w:r>
        <w:rPr>
          <w:rFonts w:ascii="Times New Roman" w:hAnsi="Times New Roman" w:cs="Times New Roman"/>
          <w:highlight w:val="yellow"/>
        </w:rPr>
        <w:t>,</w:t>
      </w:r>
      <w:r>
        <w:rPr>
          <w:rFonts w:ascii="Times New Roman" w:hAnsi="Times New Roman" w:cs="Times New Roman"/>
        </w:rPr>
        <w:t xml:space="preserve"> and comparative cross-country studies </w:t>
      </w:r>
      <w:r>
        <w:rPr>
          <w:rFonts w:ascii="Times New Roman" w:hAnsi="Times New Roman" w:cs="Times New Roman"/>
          <w:highlight w:val="yellow"/>
        </w:rPr>
        <w:t xml:space="preserve">could assess their </w:t>
      </w:r>
      <w:proofErr w:type="spellStart"/>
      <w:r>
        <w:rPr>
          <w:rFonts w:ascii="Times New Roman" w:hAnsi="Times New Roman" w:cs="Times New Roman"/>
          <w:highlight w:val="yellow"/>
        </w:rPr>
        <w:t>gen</w:t>
      </w:r>
      <w:r>
        <w:rPr>
          <w:rFonts w:ascii="Times New Roman" w:hAnsi="Times New Roman" w:cs="Times New Roman"/>
        </w:rPr>
        <w:t>er</w:t>
      </w:r>
      <w:r>
        <w:rPr>
          <w:rFonts w:ascii="Times New Roman" w:hAnsi="Times New Roman" w:cs="Times New Roman"/>
          <w:highlight w:val="yellow"/>
        </w:rPr>
        <w:t>alisabili</w:t>
      </w:r>
      <w:r>
        <w:rPr>
          <w:rFonts w:ascii="Times New Roman" w:hAnsi="Times New Roman" w:cs="Times New Roman"/>
        </w:rPr>
        <w:t>t</w:t>
      </w:r>
      <w:r>
        <w:rPr>
          <w:rFonts w:ascii="Times New Roman" w:hAnsi="Times New Roman" w:cs="Times New Roman"/>
          <w:highlight w:val="yellow"/>
        </w:rPr>
        <w:t>y</w:t>
      </w:r>
      <w:proofErr w:type="spellEnd"/>
      <w:r>
        <w:rPr>
          <w:rFonts w:ascii="Times New Roman" w:hAnsi="Times New Roman" w:cs="Times New Roman"/>
        </w:rPr>
        <w:t>.</w:t>
      </w:r>
    </w:p>
    <w:p w14:paraId="3365336E" w14:textId="77777777" w:rsidR="00965A0A" w:rsidRPr="00DA0907" w:rsidRDefault="00965A0A"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Data Availability Statement</w:t>
      </w:r>
    </w:p>
    <w:p w14:paraId="4C72E185" w14:textId="77777777" w:rsidR="009E3A6A" w:rsidRPr="00DA0907" w:rsidRDefault="009E3A6A" w:rsidP="007417AA">
      <w:pPr>
        <w:tabs>
          <w:tab w:val="left" w:pos="2070"/>
        </w:tabs>
        <w:spacing w:line="360" w:lineRule="auto"/>
        <w:jc w:val="both"/>
        <w:rPr>
          <w:rFonts w:ascii="Times New Roman" w:hAnsi="Times New Roman" w:cs="Times New Roman"/>
        </w:rPr>
      </w:pPr>
      <w:r>
        <w:rPr>
          <w:rFonts w:ascii="Times New Roman" w:hAnsi="Times New Roman" w:cs="Times New Roman"/>
        </w:rPr>
        <w:t xml:space="preserve">The macroeconomic data used in this study </w:t>
      </w:r>
      <w:r>
        <w:rPr>
          <w:rFonts w:ascii="Times New Roman" w:hAnsi="Times New Roman" w:cs="Times New Roman"/>
          <w:highlight w:val="yellow"/>
        </w:rPr>
        <w:t>are</w:t>
      </w:r>
      <w:r>
        <w:rPr>
          <w:rFonts w:ascii="Times New Roman" w:hAnsi="Times New Roman" w:cs="Times New Roman"/>
        </w:rPr>
        <w:t xml:space="preserve"> publicly available from the National Bureau of Statistics, </w:t>
      </w:r>
      <w:r>
        <w:rPr>
          <w:rFonts w:ascii="Times New Roman" w:hAnsi="Times New Roman" w:cs="Times New Roman"/>
          <w:highlight w:val="yellow"/>
        </w:rPr>
        <w:t xml:space="preserve">the </w:t>
      </w:r>
      <w:r>
        <w:rPr>
          <w:rFonts w:ascii="Times New Roman" w:hAnsi="Times New Roman" w:cs="Times New Roman"/>
        </w:rPr>
        <w:t xml:space="preserve">Central Bank of Nigeria and the Nigerian Exchange Group. </w:t>
      </w:r>
      <w:r>
        <w:rPr>
          <w:rFonts w:ascii="Times New Roman" w:hAnsi="Times New Roman" w:cs="Times New Roman"/>
          <w:highlight w:val="yellow"/>
        </w:rPr>
        <w:t>Firm-l</w:t>
      </w:r>
      <w:r>
        <w:rPr>
          <w:rFonts w:ascii="Times New Roman" w:hAnsi="Times New Roman" w:cs="Times New Roman"/>
        </w:rPr>
        <w:t>e</w:t>
      </w:r>
      <w:r>
        <w:rPr>
          <w:rFonts w:ascii="Times New Roman" w:hAnsi="Times New Roman" w:cs="Times New Roman"/>
          <w:highlight w:val="yellow"/>
        </w:rPr>
        <w:t>vel</w:t>
      </w:r>
      <w:r>
        <w:rPr>
          <w:rFonts w:ascii="Times New Roman" w:hAnsi="Times New Roman" w:cs="Times New Roman"/>
        </w:rPr>
        <w:t xml:space="preserve"> data </w:t>
      </w:r>
      <w:r>
        <w:rPr>
          <w:rFonts w:ascii="Times New Roman" w:hAnsi="Times New Roman" w:cs="Times New Roman"/>
          <w:highlight w:val="yellow"/>
        </w:rPr>
        <w:t>we</w:t>
      </w:r>
      <w:r>
        <w:rPr>
          <w:rFonts w:ascii="Times New Roman" w:hAnsi="Times New Roman" w:cs="Times New Roman"/>
        </w:rPr>
        <w:t xml:space="preserve">re obtained from the audited annual reports and financial statements </w:t>
      </w:r>
      <w:r>
        <w:rPr>
          <w:rFonts w:ascii="Times New Roman" w:hAnsi="Times New Roman" w:cs="Times New Roman"/>
          <w:highlight w:val="yellow"/>
        </w:rPr>
        <w:t>o</w:t>
      </w:r>
      <w:r>
        <w:rPr>
          <w:rFonts w:ascii="Times New Roman" w:hAnsi="Times New Roman" w:cs="Times New Roman"/>
        </w:rPr>
        <w:t>f the sampled firms</w:t>
      </w:r>
      <w:r>
        <w:rPr>
          <w:rFonts w:ascii="Times New Roman" w:hAnsi="Times New Roman" w:cs="Times New Roman"/>
          <w:highlight w:val="yellow"/>
        </w:rPr>
        <w:t>,</w:t>
      </w:r>
      <w:r>
        <w:rPr>
          <w:rFonts w:ascii="Times New Roman" w:hAnsi="Times New Roman" w:cs="Times New Roman"/>
        </w:rPr>
        <w:t xml:space="preserve"> which are available on the NGX website and individual companies' websites. The compiled panel data</w:t>
      </w:r>
      <w:r>
        <w:rPr>
          <w:rFonts w:ascii="Times New Roman" w:hAnsi="Times New Roman" w:cs="Times New Roman"/>
          <w:highlight w:val="yellow"/>
        </w:rPr>
        <w:t>set</w:t>
      </w:r>
      <w:r>
        <w:rPr>
          <w:rFonts w:ascii="Times New Roman" w:hAnsi="Times New Roman" w:cs="Times New Roman"/>
        </w:rPr>
        <w:t xml:space="preserve"> is available </w:t>
      </w:r>
      <w:r>
        <w:rPr>
          <w:rFonts w:ascii="Times New Roman" w:hAnsi="Times New Roman" w:cs="Times New Roman"/>
          <w:highlight w:val="yellow"/>
        </w:rPr>
        <w:t>up</w:t>
      </w:r>
      <w:r>
        <w:rPr>
          <w:rFonts w:ascii="Times New Roman" w:hAnsi="Times New Roman" w:cs="Times New Roman"/>
        </w:rPr>
        <w:t>on reasonable request from the corresponding author.</w:t>
      </w:r>
    </w:p>
    <w:p w14:paraId="6E428DFF" w14:textId="77777777" w:rsidR="00965A0A" w:rsidRPr="00DA0907" w:rsidRDefault="00965A0A" w:rsidP="007417A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Conflicts of Interest</w:t>
      </w:r>
    </w:p>
    <w:p w14:paraId="0A4E51F2" w14:textId="77777777" w:rsidR="00965A0A" w:rsidRDefault="00965A0A" w:rsidP="007417A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authors declare no conflicts of interest.</w:t>
      </w:r>
    </w:p>
    <w:p w14:paraId="3786CF76" w14:textId="77777777" w:rsidR="002B4D30" w:rsidRDefault="002B4D30" w:rsidP="007417AA">
      <w:pPr>
        <w:tabs>
          <w:tab w:val="left" w:pos="2070"/>
        </w:tabs>
        <w:spacing w:line="360" w:lineRule="auto"/>
        <w:jc w:val="both"/>
        <w:rPr>
          <w:rFonts w:ascii="Times New Roman" w:hAnsi="Times New Roman" w:cs="Times New Roman"/>
        </w:rPr>
      </w:pPr>
    </w:p>
    <w:p w14:paraId="20219D61" w14:textId="77777777" w:rsidR="002B4D30" w:rsidRPr="002B4D30" w:rsidRDefault="002B4D30" w:rsidP="002B4D30">
      <w:pPr>
        <w:tabs>
          <w:tab w:val="left" w:pos="2070"/>
        </w:tabs>
        <w:spacing w:line="360" w:lineRule="auto"/>
        <w:jc w:val="both"/>
        <w:rPr>
          <w:rFonts w:ascii="Times New Roman" w:hAnsi="Times New Roman" w:cs="Times New Roman"/>
        </w:rPr>
      </w:pPr>
      <w:r w:rsidRPr="002B4D30">
        <w:rPr>
          <w:rFonts w:ascii="Times New Roman" w:hAnsi="Times New Roman" w:cs="Times New Roman"/>
        </w:rPr>
        <w:t>COMPETING INTERESTS DISCLAIMER:</w:t>
      </w:r>
    </w:p>
    <w:p w14:paraId="0F908F9E" w14:textId="449F4976" w:rsidR="002B4D30" w:rsidRPr="00DA0907" w:rsidRDefault="002B4D30" w:rsidP="002B4D30">
      <w:pPr>
        <w:tabs>
          <w:tab w:val="left" w:pos="2070"/>
        </w:tabs>
        <w:spacing w:line="360" w:lineRule="auto"/>
        <w:jc w:val="both"/>
        <w:rPr>
          <w:rFonts w:ascii="Times New Roman" w:hAnsi="Times New Roman" w:cs="Times New Roman"/>
        </w:rPr>
      </w:pPr>
      <w:r w:rsidRPr="002B4D30">
        <w:rPr>
          <w:rFonts w:ascii="Times New Roman" w:hAnsi="Times New Roman" w:cs="Times New Roman"/>
        </w:rPr>
        <w:t>Authors have declared that they have no known competing financial interests OR non-financial interests OR personal relationships that could have appeared to influence the work reported in this paper.</w:t>
      </w:r>
    </w:p>
    <w:p w14:paraId="79AA7060" w14:textId="77777777" w:rsidR="00562B4B" w:rsidRPr="00DA0907" w:rsidRDefault="00562B4B" w:rsidP="007417AA">
      <w:pPr>
        <w:spacing w:after="0" w:line="240" w:lineRule="auto"/>
        <w:jc w:val="both"/>
        <w:rPr>
          <w:rFonts w:ascii="Times New Roman" w:hAnsi="Times New Roman" w:cs="Times New Roman"/>
          <w:b/>
        </w:rPr>
      </w:pPr>
      <w:r w:rsidRPr="00DA0907">
        <w:rPr>
          <w:rFonts w:ascii="Times New Roman" w:hAnsi="Times New Roman" w:cs="Times New Roman"/>
          <w:b/>
        </w:rPr>
        <w:t>Declaration of AI Use</w:t>
      </w:r>
    </w:p>
    <w:p w14:paraId="1AA60D4F" w14:textId="77777777" w:rsidR="00562B4B" w:rsidRPr="00DA0907" w:rsidRDefault="00562B4B" w:rsidP="007417AA">
      <w:pPr>
        <w:spacing w:after="0" w:line="240" w:lineRule="auto"/>
        <w:jc w:val="both"/>
        <w:rPr>
          <w:rFonts w:ascii="Times New Roman" w:hAnsi="Times New Roman" w:cs="Times New Roman"/>
          <w:b/>
        </w:rPr>
      </w:pPr>
    </w:p>
    <w:p w14:paraId="6F59620B" w14:textId="77777777" w:rsidR="00562B4B" w:rsidRDefault="00562B4B" w:rsidP="007417AA">
      <w:pPr>
        <w:spacing w:after="0" w:line="240" w:lineRule="auto"/>
        <w:jc w:val="both"/>
        <w:rPr>
          <w:rFonts w:ascii="Arial" w:hAnsi="Arial" w:cs="Arial"/>
          <w:sz w:val="20"/>
          <w:szCs w:val="20"/>
        </w:rPr>
      </w:pPr>
      <w:r w:rsidRPr="00DA090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1331BD" w14:textId="77777777" w:rsidR="00307C74" w:rsidRPr="00DA0907" w:rsidRDefault="00307C74" w:rsidP="007417AA">
      <w:pPr>
        <w:spacing w:after="0" w:line="240" w:lineRule="auto"/>
        <w:jc w:val="both"/>
        <w:rPr>
          <w:rFonts w:ascii="Arial" w:hAnsi="Arial" w:cs="Arial"/>
          <w:sz w:val="20"/>
          <w:szCs w:val="20"/>
        </w:rPr>
      </w:pPr>
    </w:p>
    <w:p w14:paraId="2DC2B13F" w14:textId="77777777" w:rsidR="00562B4B" w:rsidRPr="00DA0907" w:rsidRDefault="00562B4B" w:rsidP="007417AA">
      <w:pPr>
        <w:jc w:val="both"/>
      </w:pPr>
    </w:p>
    <w:p w14:paraId="21167F87" w14:textId="77777777" w:rsidR="00562B4B" w:rsidRPr="00DA0907" w:rsidRDefault="00562B4B" w:rsidP="007417AA">
      <w:pPr>
        <w:jc w:val="both"/>
      </w:pPr>
    </w:p>
    <w:p w14:paraId="77271603" w14:textId="77777777" w:rsidR="00562B4B" w:rsidRPr="00DA0907" w:rsidRDefault="00562B4B" w:rsidP="007417AA">
      <w:pPr>
        <w:tabs>
          <w:tab w:val="left" w:pos="2070"/>
        </w:tabs>
        <w:spacing w:line="360" w:lineRule="auto"/>
        <w:jc w:val="both"/>
        <w:rPr>
          <w:rFonts w:ascii="Times New Roman" w:hAnsi="Times New Roman" w:cs="Times New Roman"/>
        </w:rPr>
      </w:pPr>
    </w:p>
    <w:p w14:paraId="3184653B" w14:textId="77777777" w:rsidR="00965A0A" w:rsidRDefault="00965A0A" w:rsidP="007417AA">
      <w:pPr>
        <w:tabs>
          <w:tab w:val="left" w:pos="2070"/>
        </w:tabs>
        <w:spacing w:line="360" w:lineRule="auto" w:after="0"/>
        <w:jc w:val="both"/>
        <w:rPr>
          <w:rFonts w:ascii="Times New Roman" w:hAnsi="Times New Roman" w:cs="Times New Roman"/>
          <w:b/>
          <w:bCs/>
          <w:sz w:val="26"/>
          <w:szCs w:val="26"/>
        </w:rPr>
      </w:pPr>
      <w:r w:rsidRPr="00DA0907">
        <w:rPr>
          <w:rFonts w:ascii="Times New Roman" w:hAnsi="Times New Roman" w:cs="Times New Roman"/>
          <w:b/>
          <w:bCs/>
          <w:sz w:val="26"/>
          <w:szCs w:val="26"/>
        </w:rPr>
        <w:t>References</w:t>
      </w:r>
    </w:p>
    <w:p w14:paraId="0DF17B04"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Abubakar, A., Abubakar, A.-U. A., &amp; Shagari, J. N. (2025). Firm attributes, macroeconomic variables, and performance of listed manufacturing firms in Nigeria. </w:t>
      </w:r>
      <w:r>
        <w:rPr>
          <w:i/>
        </w:rPr>
        <w:t>International Journal of Finance, Economics and Business, 4</w:t>
      </w:r>
      <w:r>
        <w:rPr>
          <w:i w:val="0"/>
        </w:rPr>
        <w:t xml:space="preserve">(2), 93–105. </w:t>
      </w:r>
      <w:hyperlink r:id="rId36">
        <w:r>
          <w:rPr>
            <w:color w:val="000000"/>
            <w:u w:val="none"/>
            <w:rFonts w:ascii="Times New Roman" w:hAnsi="Times New Roman"/>
          </w:rPr>
          <w:t xml:space="preserve">https://doi.org/10.56225/ijfeb.v4i2.452</w:t>
        </w:r>
      </w:hyperlink>
    </w:p>
    <w:p w14:paraId="04090A18"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Abu, N. I. (2024). Effect of inflation on stock market performance of fast-moving consumer goods sector in Nigeria. </w:t>
      </w:r>
      <w:r>
        <w:rPr>
          <w:i/>
        </w:rPr>
        <w:t>Nigeria Journal of Management Studies, 26</w:t>
      </w:r>
      <w:r>
        <w:rPr>
          <w:i w:val="0"/>
        </w:rPr>
        <w:t xml:space="preserve">(1), 19–37. </w:t>
      </w:r>
      <w:hyperlink r:id="rId37">
        <w:r>
          <w:rPr>
            <w:color w:val="000000"/>
            <w:u w:val="none"/>
            <w:rFonts w:ascii="Times New Roman" w:hAnsi="Times New Roman"/>
          </w:rPr>
          <w:t xml:space="preserve">https://njms.unilag.edu.ng/article/view/2348</w:t>
        </w:r>
      </w:hyperlink>
    </w:p>
    <w:p w14:paraId="69D4F2B0"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Akanbi, A. (2025). Macroeconomic factors and stock market performance based on new evidence: A case study from Nigeria. </w:t>
      </w:r>
      <w:r>
        <w:rPr>
          <w:i/>
        </w:rPr>
        <w:t>Asian Journal of Economics, Business and Accounting, 25</w:t>
      </w:r>
      <w:r>
        <w:rPr>
          <w:i w:val="0"/>
        </w:rPr>
        <w:t xml:space="preserve">(2), 275–289. </w:t>
      </w:r>
      <w:hyperlink r:id="rId38">
        <w:r>
          <w:rPr>
            <w:color w:val="000000"/>
            <w:u w:val="none"/>
            <w:rFonts w:ascii="Times New Roman" w:hAnsi="Times New Roman"/>
          </w:rPr>
          <w:t xml:space="preserve">https://doi.org/10.9734/ajeba/2025/v25i21680</w:t>
        </w:r>
      </w:hyperlink>
    </w:p>
    <w:p w14:paraId="296F3E14"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Bonaparte, Y., Fabozzi, F. J., &amp; Peron, M. (2025). Measuring transitory inflation: Implications for monetary policy and stock market volatility. </w:t>
      </w:r>
      <w:r>
        <w:rPr>
          <w:i/>
        </w:rPr>
        <w:t>Journal of International Money and Finance, 153</w:t>
      </w:r>
      <w:r>
        <w:rPr>
          <w:i w:val="0"/>
        </w:rPr>
        <w:t xml:space="preserve">, 103284. </w:t>
      </w:r>
      <w:hyperlink r:id="rId39">
        <w:r>
          <w:rPr>
            <w:color w:val="000000"/>
            <w:u w:val="none"/>
            <w:rFonts w:ascii="Times New Roman" w:hAnsi="Times New Roman"/>
          </w:rPr>
          <w:t xml:space="preserve">https://doi.org/10.1016/j.jimonfin.2025.103284</w:t>
        </w:r>
      </w:hyperlink>
    </w:p>
    <w:p w14:paraId="2BAD4D93"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r>
        <w:rPr>
          <w:i w:val="0"/>
        </w:rPr>
        <w:t xml:space="preserve">Central Bank of Nigeria. (2024). </w:t>
      </w:r>
      <w:r>
        <w:rPr>
          <w:i/>
        </w:rPr>
        <w:t>Macroeconomic outlook for Nigeria: Price discovery for economic stabilisation</w:t>
      </w:r>
      <w:r>
        <w:rPr>
          <w:i w:val="0"/>
        </w:rPr>
        <w:t xml:space="preserve">. </w:t>
      </w:r>
      <w:hyperlink r:id="rId40">
        <w:r>
          <w:rPr>
            <w:color w:val="000000"/>
            <w:u w:val="none"/>
            <w:rFonts w:ascii="Times New Roman" w:hAnsi="Times New Roman"/>
          </w:rPr>
          <w:t xml:space="preserve">https://www.cbn.gov.ng/Out/2024/RSD/2024%20CBN%20Macroeconomic%20Outlook.pdf</w:t>
        </w:r>
      </w:hyperlink>
    </w:p>
    <w:p w14:paraId="3285BEBE"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Central Bank of Nigeria. (2025a). </w:t>
      </w:r>
      <w:r>
        <w:rPr>
          <w:i/>
        </w:rPr>
        <w:t>2024 statistical bulletin: Contents and explanatory notes</w:t>
      </w:r>
      <w:r>
        <w:rPr>
          <w:i w:val="0"/>
        </w:rPr>
        <w:t xml:space="preserve">. </w:t>
      </w:r>
      <w:hyperlink r:id="rId41">
        <w:r>
          <w:rPr>
            <w:color w:val="000000"/>
            <w:u w:val="none"/>
            <w:rFonts w:ascii="Times New Roman" w:hAnsi="Times New Roman"/>
          </w:rPr>
          <w:t xml:space="preserve">https://www.cbn.gov.ng/Out/2025/STD/2024%20Statistical%20Bulletin_Explanatory%20Notes_Final.pdf</w:t>
        </w:r>
      </w:hyperlink>
    </w:p>
    <w:p w14:paraId="4FF35DA8"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Central Bank of Nigeria. (2025b). </w:t>
      </w:r>
      <w:r>
        <w:rPr>
          <w:i/>
        </w:rPr>
        <w:t>Inflation expectation survey report for December 2024</w:t>
      </w:r>
      <w:r>
        <w:rPr>
          <w:i w:val="0"/>
        </w:rPr>
        <w:t xml:space="preserve">. </w:t>
      </w:r>
      <w:hyperlink r:id="rId42">
        <w:r>
          <w:rPr>
            <w:color w:val="000000"/>
            <w:u w:val="none"/>
            <w:rFonts w:ascii="Times New Roman" w:hAnsi="Times New Roman"/>
          </w:rPr>
          <w:t xml:space="preserve">https://www.cbn.gov.ng/Out/2025/STD/DEC%202024%20IES%20REPORT.pdf</w:t>
        </w:r>
      </w:hyperlink>
    </w:p>
    <w:p w14:paraId="465CDFAE"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Chiang, T. C., &amp; Chen, P.-Y. (2023). Inflation risk and stock returns: Evidence from US aggregate and sectoral markets. </w:t>
      </w:r>
      <w:r>
        <w:rPr>
          <w:i/>
        </w:rPr>
        <w:t>The North American Journal of Economics and Finance, 68</w:t>
      </w:r>
      <w:r>
        <w:rPr>
          <w:i w:val="0"/>
        </w:rPr>
        <w:t xml:space="preserve">, 101986. </w:t>
      </w:r>
      <w:hyperlink r:id="rId43">
        <w:r>
          <w:rPr>
            <w:color w:val="000000"/>
            <w:u w:val="none"/>
            <w:rFonts w:ascii="Times New Roman" w:hAnsi="Times New Roman"/>
          </w:rPr>
          <w:t xml:space="preserve">https://doi.org/10.1016/j.najef.2023.101986</w:t>
        </w:r>
      </w:hyperlink>
    </w:p>
    <w:p w14:paraId="73FDF465"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r>
        <w:rPr>
          <w:i w:val="0"/>
        </w:rPr>
        <w:t xml:space="preserve">Dada, S. O., Kolapo, F. T., Mokuolu, J. O., &amp; Alabi, K. M. (2021). Robust application of the arbitrage pricing theory and the test for volatility in the stock market: Evidence from Nigeria. </w:t>
      </w:r>
      <w:r>
        <w:rPr>
          <w:i/>
        </w:rPr>
        <w:t>Research Journal of Finance and Accounting, 12</w:t>
      </w:r>
      <w:r>
        <w:rPr>
          <w:i w:val="0"/>
        </w:rPr>
        <w:t xml:space="preserve">(4), 1–9. </w:t>
      </w:r>
      <w:hyperlink r:id="rId44">
        <w:r>
          <w:rPr>
            <w:color w:val="000000"/>
            <w:u w:val="none"/>
            <w:rFonts w:ascii="Times New Roman" w:hAnsi="Times New Roman"/>
          </w:rPr>
          <w:t xml:space="preserve">https://doi.org/10.7176/RJFA/12-4-01</w:t>
        </w:r>
      </w:hyperlink>
    </w:p>
    <w:p w14:paraId="7095ACE4"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proofErr w:type="spellStart"/>
      <w:proofErr w:type="spellEnd"/>
      <w:r>
        <w:rPr>
          <w:i w:val="0"/>
        </w:rPr>
        <w:t xml:space="preserve">Doho, L. R. A., Somé, S. M., &amp; Banto, J. M. (2023). Inflation and West African sectoral stock price indices: An asymmetric kernel method analysis. </w:t>
      </w:r>
      <w:r>
        <w:rPr>
          <w:i/>
        </w:rPr>
        <w:t>Emerging Markets Review, 54</w:t>
      </w:r>
      <w:r>
        <w:rPr>
          <w:i w:val="0"/>
        </w:rPr>
        <w:t xml:space="preserve">, 100987. </w:t>
      </w:r>
      <w:hyperlink r:id="rId45">
        <w:r>
          <w:rPr>
            <w:color w:val="000000"/>
            <w:u w:val="none"/>
            <w:rFonts w:ascii="Times New Roman" w:hAnsi="Times New Roman"/>
          </w:rPr>
          <w:t xml:space="preserve">https://doi.org/10.1016/j.ememar.2022.100987</w:t>
        </w:r>
      </w:hyperlink>
    </w:p>
    <w:p w14:paraId="39169DBD"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Fisher, I. (1930). </w:t>
      </w:r>
      <w:r>
        <w:rPr>
          <w:i/>
        </w:rPr>
        <w:t>The theory of interest: As determined by impatience to spend income and opportunity to invest it</w:t>
      </w:r>
      <w:r>
        <w:rPr>
          <w:i w:val="0"/>
        </w:rPr>
        <w:t xml:space="preserve">. Macmillan. </w:t>
      </w:r>
      <w:hyperlink r:id="rId46">
        <w:r>
          <w:rPr>
            <w:color w:val="000000"/>
            <w:u w:val="none"/>
            <w:rFonts w:ascii="Times New Roman" w:hAnsi="Times New Roman"/>
          </w:rPr>
          <w:t xml:space="preserve">https://onlinebooks.library.upenn.edu/webbin/book/lookupname?key=Fisher%2C+Irving%2C+1867-1947</w:t>
        </w:r>
      </w:hyperlink>
    </w:p>
    <w:p w14:paraId="33AE3FB1"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Folorunso, A. T. (2023). Investigating the impact of inflation and other macroeconomic variables on stock returns in Nigeria. </w:t>
      </w:r>
      <w:r>
        <w:rPr>
          <w:i/>
        </w:rPr>
        <w:t>Asian Journal of Economics, Business and Accounting, 23</w:t>
      </w:r>
      <w:r>
        <w:rPr>
          <w:i w:val="0"/>
        </w:rPr>
        <w:t xml:space="preserve">(14), 8–26. </w:t>
      </w:r>
      <w:hyperlink r:id="rId47">
        <w:r>
          <w:rPr>
            <w:color w:val="000000"/>
            <w:u w:val="none"/>
            <w:rFonts w:ascii="Times New Roman" w:hAnsi="Times New Roman"/>
          </w:rPr>
          <w:t xml:space="preserve">https://doi.org/10.9734/ajeba/2023/v23i141001</w:t>
        </w:r>
      </w:hyperlink>
    </w:p>
    <w:p w14:paraId="3ECE2F95"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r>
        <w:rPr>
          <w:i w:val="0"/>
        </w:rPr>
        <w:t xml:space="preserve">Ikoku, A. E., &amp; Okorie, G. (2010). The performance of Nigerian Stock Exchange sectoral indices: January 2009–December 2010. </w:t>
      </w:r>
      <w:r>
        <w:rPr>
          <w:i/>
        </w:rPr>
        <w:t>Bullion, 34</w:t>
      </w:r>
      <w:r>
        <w:rPr>
          <w:i w:val="0"/>
        </w:rPr>
        <w:t xml:space="preserve">(4), Article 1. </w:t>
      </w:r>
      <w:hyperlink r:id="rId48">
        <w:r>
          <w:rPr>
            <w:color w:val="000000"/>
            <w:u w:val="none"/>
            <w:rFonts w:ascii="Times New Roman" w:hAnsi="Times New Roman"/>
          </w:rPr>
          <w:t xml:space="preserve">https://doi.org/10.33429/0331-7919.1266</w:t>
        </w:r>
      </w:hyperlink>
    </w:p>
    <w:p w14:paraId="07044F82"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proofErr w:type="gramStart"/>
      <w:proofErr w:type="gramEnd"/>
      <w:r>
        <w:rPr>
          <w:i w:val="0"/>
        </w:rPr>
        <w:t xml:space="preserve">Kukandaka, I., Abdullahi, A. M., &amp; Mairafi, S. L. (2026). Macroeconomic variables and industrial goods sector index performance: Evidence from the Nigerian Exchange Group (NGX). </w:t>
      </w:r>
      <w:r>
        <w:rPr>
          <w:i/>
        </w:rPr>
        <w:t>Tanzanian Journal of Multidisciplinary Studies, 2</w:t>
      </w:r>
      <w:r>
        <w:rPr>
          <w:i w:val="0"/>
        </w:rPr>
        <w:t xml:space="preserve">(1), 1–19. </w:t>
      </w:r>
      <w:hyperlink r:id="rId49">
        <w:r>
          <w:rPr>
            <w:color w:val="000000"/>
            <w:u w:val="none"/>
            <w:rFonts w:ascii="Times New Roman" w:hAnsi="Times New Roman"/>
          </w:rPr>
          <w:t xml:space="preserve">https://doi.org/10.5281/zenodo.19387887</w:t>
        </w:r>
      </w:hyperlink>
    </w:p>
    <w:p w14:paraId="4B6AE2AD"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proofErr w:type="spellStart"/>
      <w:proofErr w:type="spellEnd"/>
      <w:r>
        <w:rPr>
          <w:i w:val="0"/>
        </w:rPr>
        <w:t xml:space="preserve">Mwiwa, J. K., &amp; Jagongo, A. O. (2025). Impact of inflation on stock market returns: An evidence from banking stocks of Nairobi Securities Exchange, Kenya. </w:t>
      </w:r>
      <w:r>
        <w:rPr>
          <w:i/>
        </w:rPr>
        <w:t>Asian Journal of Economics, Finance and Management, 7</w:t>
      </w:r>
      <w:r>
        <w:rPr>
          <w:i w:val="0"/>
        </w:rPr>
        <w:t xml:space="preserve">(1), 214–227. </w:t>
      </w:r>
      <w:hyperlink r:id="rId50">
        <w:r>
          <w:rPr>
            <w:color w:val="000000"/>
            <w:u w:val="none"/>
            <w:rFonts w:ascii="Times New Roman" w:hAnsi="Times New Roman"/>
          </w:rPr>
          <w:t xml:space="preserve">https://doi.org/10.56557/ajefm/2025/v7i1268</w:t>
        </w:r>
      </w:hyperlink>
    </w:p>
    <w:p w14:paraId="5E86E661" w14:textId="3968022E"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National Bureau of Statistics. (2024). </w:t>
      </w:r>
      <w:r>
        <w:rPr>
          <w:i/>
        </w:rPr>
        <w:t>Consumer Price Index: October 2024</w:t>
      </w:r>
      <w:r>
        <w:rPr>
          <w:i w:val="0"/>
        </w:rPr>
        <w:t xml:space="preserve">. </w:t>
      </w:r>
      <w:hyperlink r:id="rId51">
        <w:r>
          <w:rPr>
            <w:color w:val="000000"/>
            <w:u w:val="none"/>
            <w:rFonts w:ascii="Times New Roman" w:hAnsi="Times New Roman"/>
          </w:rPr>
          <w:t xml:space="preserve">https://www.nigerianstat.gov.ng/pdfuploads/CPI_OCTOBER_2024.pdf</w:t>
        </w:r>
      </w:hyperlink>
    </w:p>
    <w:p w14:paraId="784107C7"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proofErr w:type="spellStart"/>
      <w:proofErr w:type="spellEnd"/>
      <w:proofErr w:type="spellStart"/>
      <w:proofErr w:type="spellEnd"/>
      <w:proofErr w:type="gramStart"/>
      <w:proofErr w:type="gramEnd"/>
      <w:r>
        <w:rPr>
          <w:i w:val="0"/>
        </w:rPr>
        <w:t xml:space="preserve">National Bureau of Statistics. (2025). </w:t>
      </w:r>
      <w:r>
        <w:rPr>
          <w:i/>
        </w:rPr>
        <w:t>Consumer Price Index: December 2024</w:t>
      </w:r>
      <w:r>
        <w:rPr>
          <w:i w:val="0"/>
        </w:rPr>
        <w:t xml:space="preserve">. </w:t>
      </w:r>
      <w:hyperlink r:id="rId52">
        <w:r>
          <w:rPr>
            <w:color w:val="000000"/>
            <w:u w:val="none"/>
            <w:rFonts w:ascii="Times New Roman" w:hAnsi="Times New Roman"/>
          </w:rPr>
          <w:t xml:space="preserve">https://microdata.nigerianstat.gov.ng/index.php/catalog/154/download/1126/CPI_DEC_2024.pdf</w:t>
        </w:r>
      </w:hyperlink>
    </w:p>
    <w:p w14:paraId="71D456C0"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Nigerian Exchange Group. (2024, December 31). </w:t>
      </w:r>
      <w:r>
        <w:rPr>
          <w:i/>
        </w:rPr>
        <w:t>NGX ASI closes 2024 with +37% return</w:t>
      </w:r>
      <w:r>
        <w:rPr>
          <w:i w:val="0"/>
        </w:rPr>
        <w:t xml:space="preserve">. </w:t>
      </w:r>
      <w:hyperlink r:id="rId53">
        <w:r>
          <w:rPr>
            <w:color w:val="000000"/>
            <w:u w:val="none"/>
            <w:rFonts w:ascii="Times New Roman" w:hAnsi="Times New Roman"/>
          </w:rPr>
          <w:t xml:space="preserve">https://ngxgroup.com/ngx-asi-closes-2024-with-37-return/</w:t>
        </w:r>
      </w:hyperlink>
    </w:p>
    <w:p w14:paraId="7A10EE85"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Nigerian Exchange Group. (2025). </w:t>
      </w:r>
      <w:r>
        <w:rPr>
          <w:i/>
        </w:rPr>
        <w:t>Equities price list and sectoral indices</w:t>
      </w:r>
      <w:r>
        <w:rPr>
          <w:i w:val="0"/>
        </w:rPr>
        <w:t xml:space="preserve">. </w:t>
      </w:r>
      <w:hyperlink r:id="rId54">
        <w:r>
          <w:rPr>
            <w:color w:val="000000"/>
            <w:u w:val="none"/>
            <w:rFonts w:ascii="Times New Roman" w:hAnsi="Times New Roman"/>
          </w:rPr>
          <w:t xml:space="preserve">https://ngxgroup.com/exchange/data/equities-price-list/</w:t>
        </w:r>
      </w:hyperlink>
    </w:p>
    <w:p w14:paraId="769B5E5F" w14:textId="37B6CFE1"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Ross, S. A. (1976). The arbitrage theory of capital asset pricing. </w:t>
      </w:r>
      <w:r>
        <w:rPr>
          <w:i/>
        </w:rPr>
        <w:t>Journal of Economic Theory, 13</w:t>
      </w:r>
      <w:r>
        <w:rPr>
          <w:i w:val="0"/>
        </w:rPr>
        <w:t xml:space="preserve">(3), 341–360. </w:t>
      </w:r>
      <w:hyperlink r:id="rId55">
        <w:r>
          <w:rPr>
            <w:color w:val="000000"/>
            <w:u w:val="none"/>
            <w:rFonts w:ascii="Times New Roman" w:hAnsi="Times New Roman"/>
          </w:rPr>
          <w:t xml:space="preserve">https://doi.org/10.1016/0022-0531(76)90046-6</w:t>
        </w:r>
      </w:hyperlink>
    </w:p>
    <w:p w14:paraId="41805EAB" w14:textId="2FDFCC8B"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Uruemu, H. I. (2022). Liquidity of stock market and inflation in Nigeria. </w:t>
      </w:r>
      <w:r>
        <w:rPr>
          <w:i/>
        </w:rPr>
        <w:t>Journal of Academic Research in Economics, 14</w:t>
      </w:r>
      <w:r>
        <w:rPr>
          <w:i w:val="0"/>
        </w:rPr>
        <w:t xml:space="preserve">(3), 642–653. </w:t>
      </w:r>
      <w:hyperlink r:id="rId56">
        <w:r>
          <w:rPr>
            <w:color w:val="000000"/>
            <w:u w:val="none"/>
            <w:rFonts w:ascii="Times New Roman" w:hAnsi="Times New Roman"/>
          </w:rPr>
          <w:t xml:space="preserve">https://www.jare-sh.com/downloads/nov_2022/ibori.pdf</w:t>
        </w:r>
      </w:hyperlink>
    </w:p>
    <w:p w14:paraId="74BC9F35" w14:textId="5896E519"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Usman, O. A., &amp; Adejare, A. T. (2013). Inflation and capital market performance: The Nigerian outlook. </w:t>
      </w:r>
      <w:r>
        <w:rPr>
          <w:i/>
        </w:rPr>
        <w:t>Journal of Emerging Trends in Economics and Management Sciences, 5</w:t>
      </w:r>
      <w:r>
        <w:rPr>
          <w:i w:val="0"/>
        </w:rPr>
        <w:t xml:space="preserve">(1), 93–99. </w:t>
      </w:r>
      <w:hyperlink r:id="rId57">
        <w:r>
          <w:rPr>
            <w:color w:val="000000"/>
            <w:u w:val="none"/>
            <w:rFonts w:ascii="Times New Roman" w:hAnsi="Times New Roman"/>
          </w:rPr>
          <w:t xml:space="preserve">https://www.scholarlinkinstitute.org/jetems/abstractview.php?id=079</w:t>
        </w:r>
      </w:hyperlink>
    </w:p>
    <w:p w14:paraId="0334B356" w14:textId="77777777" w:rsidR="008054A3" w:rsidRPr="008054A3" w:rsidRDefault="008054A3" w:rsidP="008054A3">
      <w:pPr>
        <w:spacing w:before="0" w:beforeAutospacing="1" w:after="0" w:afterAutospacing="1" w:line="240" w:lineRule="auto"/>
        <w:ind w:left="360" w:hanging="360"/>
        <w:jc w:val="both"/>
        <w:rPr>
          <w:rFonts w:ascii="Times New Roman" w:eastAsia="Times New Roman" w:hAnsi="Times New Roman" w:cs="Times New Roman"/>
          <w:kern w:val="0"/>
          <w14:ligatures w14:val="none"/>
        </w:rPr>
      </w:pPr>
      <w:r>
        <w:rPr>
          <w:i w:val="0"/>
        </w:rPr>
        <w:t xml:space="preserve">World Bank. (2024). </w:t>
      </w:r>
      <w:r>
        <w:rPr>
          <w:i/>
        </w:rPr>
        <w:t>Nigeria development update: Staying the course: Progress amid pressing challenges</w:t>
      </w:r>
      <w:r>
        <w:rPr>
          <w:i w:val="0"/>
        </w:rPr>
        <w:t xml:space="preserve">. </w:t>
      </w:r>
      <w:hyperlink r:id="rId58">
        <w:r>
          <w:rPr>
            <w:color w:val="000000"/>
            <w:u w:val="none"/>
            <w:rFonts w:ascii="Times New Roman" w:hAnsi="Times New Roman"/>
          </w:rPr>
          <w:t xml:space="preserve">https://documents1.worldbank.org/curated/en/099101624100574290/pdf/P502989-76dd5e27-3b7a-492b-8e9c-be0acefcb58e.pdf</w:t>
        </w:r>
      </w:hyperlink>
    </w:p>
    <w:sectPr w:rsidR="008054A3" w:rsidRPr="00DA0907">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48E5" w14:textId="77777777" w:rsidR="002776D5" w:rsidRDefault="002776D5" w:rsidP="005C4FBC">
      <w:pPr>
        <w:spacing w:after="0" w:line="240" w:lineRule="auto"/>
      </w:pPr>
      <w:r>
        <w:separator/>
      </w:r>
    </w:p>
  </w:endnote>
  <w:endnote w:type="continuationSeparator" w:id="0">
    <w:p w14:paraId="25774257" w14:textId="77777777" w:rsidR="002776D5" w:rsidRDefault="002776D5" w:rsidP="005C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69B6" w14:textId="77777777" w:rsidR="005C4FBC" w:rsidRDefault="005C4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E5BC" w14:textId="77777777" w:rsidR="005C4FBC" w:rsidRDefault="005C4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1489" w14:textId="77777777" w:rsidR="005C4FBC" w:rsidRDefault="005C4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4480" w14:textId="77777777" w:rsidR="002776D5" w:rsidRDefault="002776D5" w:rsidP="005C4FBC">
      <w:pPr>
        <w:spacing w:after="0" w:line="240" w:lineRule="auto"/>
      </w:pPr>
      <w:r>
        <w:separator/>
      </w:r>
    </w:p>
  </w:footnote>
  <w:footnote w:type="continuationSeparator" w:id="0">
    <w:p w14:paraId="0F75DFAB" w14:textId="77777777" w:rsidR="002776D5" w:rsidRDefault="002776D5" w:rsidP="005C4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F8A3" w14:textId="77777777" w:rsidR="005C4FBC" w:rsidRDefault="00000000">
    <w:pPr>
      <w:pStyle w:val="Header"/>
    </w:pPr>
    <w:r>
      <w:rPr>
        <w:noProof/>
      </w:rPr>
      <w:pict w14:anchorId="6B5773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ABF3" w14:textId="77777777" w:rsidR="005C4FBC" w:rsidRDefault="00000000">
    <w:pPr>
      <w:pStyle w:val="Header"/>
    </w:pPr>
    <w:r>
      <w:rPr>
        <w:noProof/>
      </w:rPr>
      <w:pict w14:anchorId="39EF3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2A5F" w14:textId="77777777" w:rsidR="005C4FBC" w:rsidRDefault="00000000">
    <w:pPr>
      <w:pStyle w:val="Header"/>
    </w:pPr>
    <w:r>
      <w:rPr>
        <w:noProof/>
      </w:rPr>
      <w:pict w14:anchorId="7E4403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A13"/>
    <w:multiLevelType w:val="hybridMultilevel"/>
    <w:tmpl w:val="FACAA2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C7B1A"/>
    <w:multiLevelType w:val="multilevel"/>
    <w:tmpl w:val="EFD8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F5805"/>
    <w:multiLevelType w:val="hybridMultilevel"/>
    <w:tmpl w:val="2D708F76"/>
    <w:lvl w:ilvl="0" w:tplc="35206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E7715"/>
    <w:multiLevelType w:val="hybridMultilevel"/>
    <w:tmpl w:val="A4061B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42430D"/>
    <w:multiLevelType w:val="multilevel"/>
    <w:tmpl w:val="3C72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63053"/>
    <w:multiLevelType w:val="hybridMultilevel"/>
    <w:tmpl w:val="55868192"/>
    <w:lvl w:ilvl="0" w:tplc="575A8F42">
      <w:start w:val="1"/>
      <w:numFmt w:val="lowerRoman"/>
      <w:lvlText w:val="%1."/>
      <w:lvlJc w:val="left"/>
      <w:pPr>
        <w:ind w:left="2430" w:hanging="20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43654"/>
    <w:multiLevelType w:val="hybridMultilevel"/>
    <w:tmpl w:val="C9348B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483B2F"/>
    <w:multiLevelType w:val="hybridMultilevel"/>
    <w:tmpl w:val="652E04EC"/>
    <w:lvl w:ilvl="0" w:tplc="FBE651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AD416E"/>
    <w:multiLevelType w:val="hybridMultilevel"/>
    <w:tmpl w:val="B68812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F60C87"/>
    <w:multiLevelType w:val="hybridMultilevel"/>
    <w:tmpl w:val="7E16992A"/>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306E93"/>
    <w:multiLevelType w:val="hybridMultilevel"/>
    <w:tmpl w:val="73F4BA76"/>
    <w:lvl w:ilvl="0" w:tplc="5D0038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848928">
    <w:abstractNumId w:val="1"/>
  </w:num>
  <w:num w:numId="2" w16cid:durableId="371731607">
    <w:abstractNumId w:val="4"/>
  </w:num>
  <w:num w:numId="3" w16cid:durableId="2002656207">
    <w:abstractNumId w:val="7"/>
  </w:num>
  <w:num w:numId="4" w16cid:durableId="607662870">
    <w:abstractNumId w:val="2"/>
  </w:num>
  <w:num w:numId="5" w16cid:durableId="2074813503">
    <w:abstractNumId w:val="6"/>
  </w:num>
  <w:num w:numId="6" w16cid:durableId="1565489798">
    <w:abstractNumId w:val="10"/>
  </w:num>
  <w:num w:numId="7" w16cid:durableId="1092508191">
    <w:abstractNumId w:val="9"/>
  </w:num>
  <w:num w:numId="8" w16cid:durableId="34162998">
    <w:abstractNumId w:val="8"/>
  </w:num>
  <w:num w:numId="9" w16cid:durableId="1017191784">
    <w:abstractNumId w:val="3"/>
  </w:num>
  <w:num w:numId="10" w16cid:durableId="2012098869">
    <w:abstractNumId w:val="0"/>
  </w:num>
  <w:num w:numId="11" w16cid:durableId="1910007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S3NDA1NzAxMAMyzJR0lIJTi4sz8/NACgxrAYAMsz4sAAAA"/>
  </w:docVars>
  <w:rsids>
    <w:rsidRoot w:val="00C30BEC"/>
    <w:rsid w:val="000375CF"/>
    <w:rsid w:val="00056FE9"/>
    <w:rsid w:val="000874E9"/>
    <w:rsid w:val="000F4859"/>
    <w:rsid w:val="001508DB"/>
    <w:rsid w:val="002002B8"/>
    <w:rsid w:val="00230C19"/>
    <w:rsid w:val="002437DD"/>
    <w:rsid w:val="00247724"/>
    <w:rsid w:val="002776D5"/>
    <w:rsid w:val="002B2086"/>
    <w:rsid w:val="002B4D30"/>
    <w:rsid w:val="002E47AF"/>
    <w:rsid w:val="00307C74"/>
    <w:rsid w:val="00342A84"/>
    <w:rsid w:val="003C2B08"/>
    <w:rsid w:val="003F38E9"/>
    <w:rsid w:val="00402BCB"/>
    <w:rsid w:val="004079F8"/>
    <w:rsid w:val="00442614"/>
    <w:rsid w:val="00482100"/>
    <w:rsid w:val="005134AE"/>
    <w:rsid w:val="00562B4B"/>
    <w:rsid w:val="00590C61"/>
    <w:rsid w:val="005C4FBC"/>
    <w:rsid w:val="006B2340"/>
    <w:rsid w:val="007417AA"/>
    <w:rsid w:val="00777BA1"/>
    <w:rsid w:val="007A483C"/>
    <w:rsid w:val="008054A3"/>
    <w:rsid w:val="00836101"/>
    <w:rsid w:val="00897946"/>
    <w:rsid w:val="008A5A65"/>
    <w:rsid w:val="008C5CC1"/>
    <w:rsid w:val="008F204E"/>
    <w:rsid w:val="0092193B"/>
    <w:rsid w:val="00965A0A"/>
    <w:rsid w:val="009E3A6A"/>
    <w:rsid w:val="00A0057B"/>
    <w:rsid w:val="00A56B39"/>
    <w:rsid w:val="00AC6D5F"/>
    <w:rsid w:val="00AD5C18"/>
    <w:rsid w:val="00AF4057"/>
    <w:rsid w:val="00B017B3"/>
    <w:rsid w:val="00B66BE5"/>
    <w:rsid w:val="00BF6C82"/>
    <w:rsid w:val="00C30BEC"/>
    <w:rsid w:val="00D75A4E"/>
    <w:rsid w:val="00DA0907"/>
    <w:rsid w:val="00DA6163"/>
    <w:rsid w:val="00E03398"/>
    <w:rsid w:val="00E374C5"/>
    <w:rsid w:val="00E66261"/>
    <w:rsid w:val="00E6752F"/>
    <w:rsid w:val="00E738C2"/>
    <w:rsid w:val="00EB2FD0"/>
    <w:rsid w:val="00EF6B66"/>
    <w:rsid w:val="00F059ED"/>
    <w:rsid w:val="00F07BBA"/>
    <w:rsid w:val="00F12F11"/>
    <w:rsid w:val="00F2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45387"/>
  <w15:chartTrackingRefBased/>
  <w15:docId w15:val="{E05ED4F1-5798-46A9-9BAA-146329367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B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0B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0B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0B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0B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0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B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0B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0B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0B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0B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0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BEC"/>
    <w:rPr>
      <w:rFonts w:eastAsiaTheme="majorEastAsia" w:cstheme="majorBidi"/>
      <w:color w:val="272727" w:themeColor="text1" w:themeTint="D8"/>
    </w:rPr>
  </w:style>
  <w:style w:type="paragraph" w:styleId="Title">
    <w:name w:val="Title"/>
    <w:basedOn w:val="Normal"/>
    <w:next w:val="Normal"/>
    <w:link w:val="TitleChar"/>
    <w:uiPriority w:val="10"/>
    <w:qFormat/>
    <w:rsid w:val="00C3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BEC"/>
    <w:pPr>
      <w:spacing w:before="160"/>
      <w:jc w:val="center"/>
    </w:pPr>
    <w:rPr>
      <w:i/>
      <w:iCs/>
      <w:color w:val="404040" w:themeColor="text1" w:themeTint="BF"/>
    </w:rPr>
  </w:style>
  <w:style w:type="character" w:customStyle="1" w:styleId="QuoteChar">
    <w:name w:val="Quote Char"/>
    <w:basedOn w:val="DefaultParagraphFont"/>
    <w:link w:val="Quote"/>
    <w:uiPriority w:val="29"/>
    <w:rsid w:val="00C30BEC"/>
    <w:rPr>
      <w:i/>
      <w:iCs/>
      <w:color w:val="404040" w:themeColor="text1" w:themeTint="BF"/>
    </w:rPr>
  </w:style>
  <w:style w:type="paragraph" w:styleId="ListParagraph">
    <w:name w:val="List Paragraph"/>
    <w:basedOn w:val="Normal"/>
    <w:uiPriority w:val="34"/>
    <w:qFormat/>
    <w:rsid w:val="00C30BEC"/>
    <w:pPr>
      <w:ind w:left="720"/>
      <w:contextualSpacing/>
    </w:pPr>
  </w:style>
  <w:style w:type="character" w:styleId="IntenseEmphasis">
    <w:name w:val="Intense Emphasis"/>
    <w:basedOn w:val="DefaultParagraphFont"/>
    <w:uiPriority w:val="21"/>
    <w:qFormat/>
    <w:rsid w:val="00C30BEC"/>
    <w:rPr>
      <w:i/>
      <w:iCs/>
      <w:color w:val="2F5496" w:themeColor="accent1" w:themeShade="BF"/>
    </w:rPr>
  </w:style>
  <w:style w:type="paragraph" w:styleId="IntenseQuote">
    <w:name w:val="Intense Quote"/>
    <w:basedOn w:val="Normal"/>
    <w:next w:val="Normal"/>
    <w:link w:val="IntenseQuoteChar"/>
    <w:uiPriority w:val="30"/>
    <w:qFormat/>
    <w:rsid w:val="00C30B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BEC"/>
    <w:rPr>
      <w:i/>
      <w:iCs/>
      <w:color w:val="2F5496" w:themeColor="accent1" w:themeShade="BF"/>
    </w:rPr>
  </w:style>
  <w:style w:type="character" w:styleId="IntenseReference">
    <w:name w:val="Intense Reference"/>
    <w:basedOn w:val="DefaultParagraphFont"/>
    <w:uiPriority w:val="32"/>
    <w:qFormat/>
    <w:rsid w:val="00C30BEC"/>
    <w:rPr>
      <w:b/>
      <w:bCs/>
      <w:smallCaps/>
      <w:color w:val="2F5496" w:themeColor="accent1" w:themeShade="BF"/>
      <w:spacing w:val="5"/>
    </w:rPr>
  </w:style>
  <w:style w:type="table" w:styleId="GridTable1Light">
    <w:name w:val="Grid Table 1 Light"/>
    <w:basedOn w:val="TableNormal"/>
    <w:uiPriority w:val="46"/>
    <w:rsid w:val="00965A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836101"/>
    <w:rPr>
      <w:color w:val="0563C1" w:themeColor="hyperlink"/>
      <w:u w:val="single"/>
    </w:rPr>
  </w:style>
  <w:style w:type="character" w:styleId="UnresolvedMention">
    <w:name w:val="Unresolved Mention"/>
    <w:basedOn w:val="DefaultParagraphFont"/>
    <w:uiPriority w:val="99"/>
    <w:semiHidden/>
    <w:unhideWhenUsed/>
    <w:rsid w:val="00836101"/>
    <w:rPr>
      <w:color w:val="605E5C"/>
      <w:shd w:val="clear" w:color="auto" w:fill="E1DFDD"/>
    </w:rPr>
  </w:style>
  <w:style w:type="paragraph" w:styleId="Header">
    <w:name w:val="header"/>
    <w:basedOn w:val="Normal"/>
    <w:link w:val="HeaderChar"/>
    <w:uiPriority w:val="99"/>
    <w:unhideWhenUsed/>
    <w:rsid w:val="005C4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FBC"/>
  </w:style>
  <w:style w:type="paragraph" w:styleId="Footer">
    <w:name w:val="footer"/>
    <w:basedOn w:val="Normal"/>
    <w:link w:val="FooterChar"/>
    <w:uiPriority w:val="99"/>
    <w:unhideWhenUsed/>
    <w:rsid w:val="005C4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34" Type="http://schemas.openxmlformats.org/officeDocument/2006/relationships/fontTable" Target="fontTable.xml"/><Relationship Id="rId7" Type="http://schemas.openxmlformats.org/officeDocument/2006/relationships/image" Target="media/image1.png"/><Relationship Id="rId33" Type="http://schemas.openxmlformats.org/officeDocument/2006/relationships/footer" Target="footer3.xml"/><Relationship Id="rId2" Type="http://schemas.openxmlformats.org/officeDocument/2006/relationships/styles" Target="styles.xm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32" Type="http://schemas.openxmlformats.org/officeDocument/2006/relationships/header" Target="header3.xml"/><Relationship Id="rId5" Type="http://schemas.openxmlformats.org/officeDocument/2006/relationships/footnotes" Target="footnotes.xml"/><Relationship Id="rId28" Type="http://schemas.openxmlformats.org/officeDocument/2006/relationships/header" Target="header1.xml"/><Relationship Id="rId31" Type="http://schemas.openxmlformats.org/officeDocument/2006/relationships/footer" Target="footer2.xml"/><Relationship Id="rId4" Type="http://schemas.openxmlformats.org/officeDocument/2006/relationships/webSettings" Target="webSettings.xml"/><Relationship Id="rId30" Type="http://schemas.openxmlformats.org/officeDocument/2006/relationships/footer" Target="footer1.xml"/><Relationship Id="rId35" Type="http://schemas.openxmlformats.org/officeDocument/2006/relationships/theme" Target="theme/theme1.xml"/><Relationship Id="rId36" Type="http://schemas.openxmlformats.org/officeDocument/2006/relationships/hyperlink" Target="https://doi.org/10.56225/ijfeb.v4i2.452" TargetMode="External"/><Relationship Id="rId37" Type="http://schemas.openxmlformats.org/officeDocument/2006/relationships/hyperlink" Target="https://njms.unilag.edu.ng/article/view/2348" TargetMode="External"/><Relationship Id="rId38" Type="http://schemas.openxmlformats.org/officeDocument/2006/relationships/hyperlink" Target="https://doi.org/10.9734/ajeba/2025/v25i21680" TargetMode="External"/><Relationship Id="rId39" Type="http://schemas.openxmlformats.org/officeDocument/2006/relationships/hyperlink" Target="https://doi.org/10.1016/j.jimonfin.2025.103284" TargetMode="External"/><Relationship Id="rId40" Type="http://schemas.openxmlformats.org/officeDocument/2006/relationships/hyperlink" Target="https://www.cbn.gov.ng/Out/2024/RSD/2024%20CBN%20Macroeconomic%20Outlook.pdf" TargetMode="External"/><Relationship Id="rId41" Type="http://schemas.openxmlformats.org/officeDocument/2006/relationships/hyperlink" Target="https://www.cbn.gov.ng/Out/2025/STD/2024%20Statistical%20Bulletin_Explanatory%20Notes_Final.pdf" TargetMode="External"/><Relationship Id="rId42" Type="http://schemas.openxmlformats.org/officeDocument/2006/relationships/hyperlink" Target="https://www.cbn.gov.ng/Out/2025/STD/DEC%202024%20IES%20REPORT.pdf" TargetMode="External"/><Relationship Id="rId43" Type="http://schemas.openxmlformats.org/officeDocument/2006/relationships/hyperlink" Target="https://doi.org/10.1016/j.najef.2023.101986" TargetMode="External"/><Relationship Id="rId44" Type="http://schemas.openxmlformats.org/officeDocument/2006/relationships/hyperlink" Target="https://doi.org/10.7176/RJFA/12-4-01" TargetMode="External"/><Relationship Id="rId45" Type="http://schemas.openxmlformats.org/officeDocument/2006/relationships/hyperlink" Target="https://doi.org/10.1016/j.ememar.2022.100987" TargetMode="External"/><Relationship Id="rId46" Type="http://schemas.openxmlformats.org/officeDocument/2006/relationships/hyperlink" Target="https://onlinebooks.library.upenn.edu/webbin/book/lookupname?key=Fisher%2C+Irving%2C+1867-1947" TargetMode="External"/><Relationship Id="rId47" Type="http://schemas.openxmlformats.org/officeDocument/2006/relationships/hyperlink" Target="https://doi.org/10.9734/ajeba/2023/v23i141001" TargetMode="External"/><Relationship Id="rId48" Type="http://schemas.openxmlformats.org/officeDocument/2006/relationships/hyperlink" Target="https://doi.org/10.33429/0331-7919.1266" TargetMode="External"/><Relationship Id="rId49" Type="http://schemas.openxmlformats.org/officeDocument/2006/relationships/hyperlink" Target="https://doi.org/10.5281/zenodo.19387887" TargetMode="External"/><Relationship Id="rId50" Type="http://schemas.openxmlformats.org/officeDocument/2006/relationships/hyperlink" Target="https://doi.org/10.56557/ajefm/2025/v7i1268" TargetMode="External"/><Relationship Id="rId51" Type="http://schemas.openxmlformats.org/officeDocument/2006/relationships/hyperlink" Target="https://www.nigerianstat.gov.ng/pdfuploads/CPI_OCTOBER_2024.pdf" TargetMode="External"/><Relationship Id="rId52" Type="http://schemas.openxmlformats.org/officeDocument/2006/relationships/hyperlink" Target="https://microdata.nigerianstat.gov.ng/index.php/catalog/154/download/1126/CPI_DEC_2024.pdf" TargetMode="External"/><Relationship Id="rId53" Type="http://schemas.openxmlformats.org/officeDocument/2006/relationships/hyperlink" Target="https://ngxgroup.com/ngx-asi-closes-2024-with-37-return/" TargetMode="External"/><Relationship Id="rId54" Type="http://schemas.openxmlformats.org/officeDocument/2006/relationships/hyperlink" Target="https://ngxgroup.com/exchange/data/equities-price-list/" TargetMode="External"/><Relationship Id="rId55" Type="http://schemas.openxmlformats.org/officeDocument/2006/relationships/hyperlink" Target="https://doi.org/10.1016/0022-0531(76)90046-6" TargetMode="External"/><Relationship Id="rId56" Type="http://schemas.openxmlformats.org/officeDocument/2006/relationships/hyperlink" Target="https://www.jare-sh.com/downloads/nov_2022/ibori.pdf" TargetMode="External"/><Relationship Id="rId57" Type="http://schemas.openxmlformats.org/officeDocument/2006/relationships/hyperlink" Target="https://www.scholarlinkinstitute.org/jetems/abstractview.php?id=079" TargetMode="External"/><Relationship Id="rId58" Type="http://schemas.openxmlformats.org/officeDocument/2006/relationships/hyperlink" Target="https://documents1.worldbank.org/curated/en/099101624100574290/pdf/P502989-76dd5e27-3b7a-492b-8e9c-be0acefcb58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25</Pages>
  <Words>7033</Words>
  <Characters>40093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TAOFIQ YUSUFF</dc:creator>
  <cp:keywords/>
  <dc:description/>
  <cp:lastModifiedBy>SDI 1087</cp:lastModifiedBy>
  <cp:revision>24</cp:revision>
  <dcterms:created xsi:type="dcterms:W3CDTF">2026-08-13T22:44:00Z</dcterms:created>
  <dcterms:modified xsi:type="dcterms:W3CDTF">2026-08-22T10:21:00Z</dcterms:modified>
</cp:coreProperties>
</file>