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18CA" w14:textId="77777777" w:rsidR="00F708A6" w:rsidRPr="000A7B2A" w:rsidRDefault="00F708A6" w:rsidP="00DF130D">
      <w:pPr>
        <w:spacing w:before="100" w:beforeAutospacing="1" w:after="100" w:afterAutospacing="1" w:line="276" w:lineRule="auto"/>
        <w:jc w:val="both"/>
        <w:rPr>
          <w:rFonts w:ascii="Arial" w:eastAsia="Times New Roman" w:hAnsi="Arial" w:cs="Arial"/>
          <w:b/>
          <w:bCs/>
          <w:i/>
          <w:iCs/>
          <w:sz w:val="20"/>
          <w:szCs w:val="20"/>
          <w:u w:val="single"/>
          <w:lang w:val="en-US" w:eastAsia="en-IN"/>
        </w:rPr>
      </w:pPr>
      <w:r w:rsidRPr="000A7B2A">
        <w:rPr>
          <w:rFonts w:ascii="Arial" w:eastAsia="Times New Roman" w:hAnsi="Arial" w:cs="Arial"/>
          <w:b/>
          <w:bCs/>
          <w:i/>
          <w:iCs/>
          <w:sz w:val="20"/>
          <w:szCs w:val="20"/>
          <w:u w:val="single"/>
          <w:lang w:val="en-US" w:eastAsia="en-IN"/>
        </w:rPr>
        <w:t>Original Research Article</w:t>
      </w:r>
    </w:p>
    <w:p w14:paraId="1100FA4B" w14:textId="77777777" w:rsidR="00C155EF" w:rsidRPr="000A7B2A" w:rsidRDefault="00C155EF" w:rsidP="00DF130D">
      <w:pPr>
        <w:spacing w:before="100" w:beforeAutospacing="1" w:after="100" w:afterAutospacing="1" w:line="276" w:lineRule="auto"/>
        <w:jc w:val="both"/>
        <w:outlineLvl w:val="0"/>
        <w:rPr>
          <w:rFonts w:ascii="Arial" w:eastAsia="Times New Roman" w:hAnsi="Arial" w:cs="Arial"/>
          <w:b/>
          <w:bCs/>
          <w:kern w:val="36"/>
          <w:lang w:eastAsia="en-IN"/>
        </w:rPr>
      </w:pPr>
      <w:r w:rsidRPr="000A7B2A">
        <w:rPr>
          <w:rFonts w:ascii="Arial" w:eastAsia="Times New Roman" w:hAnsi="Arial" w:cs="Arial"/>
          <w:b/>
          <w:bCs/>
          <w:kern w:val="36"/>
          <w:lang w:eastAsia="en-IN"/>
        </w:rPr>
        <w:t>Employment Type, Gender, and Earnings Inequality among Rural Agricultural Workers in Telangana: A Cross-Sectional Data Analysis</w:t>
      </w:r>
    </w:p>
    <w:p w14:paraId="6D8EBAED" w14:textId="77777777" w:rsidR="00C155EF" w:rsidRPr="000A7B2A" w:rsidRDefault="00C155EF" w:rsidP="00DF130D">
      <w:pPr>
        <w:spacing w:before="100" w:beforeAutospacing="1" w:after="100" w:afterAutospacing="1" w:line="276" w:lineRule="auto"/>
        <w:jc w:val="both"/>
        <w:outlineLvl w:val="1"/>
        <w:rPr>
          <w:rFonts w:ascii="Arial" w:eastAsia="Times New Roman" w:hAnsi="Arial" w:cs="Arial"/>
          <w:b/>
          <w:bCs/>
          <w:lang w:eastAsia="en-IN"/>
        </w:rPr>
      </w:pPr>
      <w:r w:rsidRPr="000A7B2A">
        <w:rPr>
          <w:rFonts w:ascii="Arial" w:eastAsia="Times New Roman" w:hAnsi="Arial" w:cs="Arial"/>
          <w:b/>
          <w:bCs/>
          <w:lang w:eastAsia="en-IN"/>
        </w:rPr>
        <w:t>ABSTRACT</w:t>
      </w:r>
    </w:p>
    <w:p w14:paraId="17A61255" w14:textId="77777777" w:rsidR="00C155EF" w:rsidRPr="000A7B2A" w:rsidRDefault="00C155E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Aims:</w:t>
      </w:r>
      <w:r w:rsidRPr="000A7B2A">
        <w:rPr>
          <w:rFonts w:ascii="Arial" w:eastAsia="Times New Roman" w:hAnsi="Arial" w:cs="Arial"/>
          <w:sz w:val="20"/>
          <w:szCs w:val="20"/>
          <w:lang w:eastAsia="en-IN"/>
        </w:rPr>
        <w:t xml:space="preserve"> This study examines earnings inequality among rural agricultural workers in Telangana by analysing the associations of employment type, gender, age, and education with monthly labour earnings.</w:t>
      </w:r>
    </w:p>
    <w:p w14:paraId="591A00A6" w14:textId="77777777" w:rsidR="00C155EF" w:rsidRPr="000A7B2A" w:rsidRDefault="00C155E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Study Design:</w:t>
      </w:r>
      <w:r w:rsidRPr="000A7B2A">
        <w:rPr>
          <w:rFonts w:ascii="Arial" w:eastAsia="Times New Roman" w:hAnsi="Arial" w:cs="Arial"/>
          <w:sz w:val="20"/>
          <w:szCs w:val="20"/>
          <w:lang w:eastAsia="en-IN"/>
        </w:rPr>
        <w:t xml:space="preserve"> Cross-sectional quantitative study.</w:t>
      </w:r>
    </w:p>
    <w:p w14:paraId="5597BBDE" w14:textId="77777777" w:rsidR="00C155EF" w:rsidRPr="000A7B2A" w:rsidRDefault="00C155E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Place and Duration of Study:</w:t>
      </w:r>
      <w:r w:rsidRPr="000A7B2A">
        <w:rPr>
          <w:rFonts w:ascii="Arial" w:eastAsia="Times New Roman" w:hAnsi="Arial" w:cs="Arial"/>
          <w:sz w:val="20"/>
          <w:szCs w:val="20"/>
          <w:lang w:eastAsia="en-IN"/>
        </w:rPr>
        <w:t xml:space="preserve"> The study uses unit-level data from the Periodic Labour Force Survey (PLFS) 2023–24 conducted by the Ministry of Statistics and Programme Implementation (MoSPI), Government of India.</w:t>
      </w:r>
    </w:p>
    <w:p w14:paraId="390F0C24" w14:textId="77777777" w:rsidR="00C155EF" w:rsidRPr="000A7B2A" w:rsidRDefault="00C155E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Methodology:</w:t>
      </w:r>
      <w:r w:rsidRPr="000A7B2A">
        <w:rPr>
          <w:rFonts w:ascii="Arial" w:eastAsia="Times New Roman" w:hAnsi="Arial" w:cs="Arial"/>
          <w:sz w:val="20"/>
          <w:szCs w:val="20"/>
          <w:lang w:eastAsia="en-IN"/>
        </w:rPr>
        <w:t xml:space="preserve"> </w:t>
      </w:r>
      <w:r w:rsidR="00A87BE7" w:rsidRPr="000A7B2A">
        <w:rPr>
          <w:rFonts w:ascii="Arial" w:eastAsia="Times New Roman" w:hAnsi="Arial" w:cs="Arial"/>
          <w:sz w:val="20"/>
          <w:szCs w:val="20"/>
          <w:lang w:eastAsia="en-IN"/>
        </w:rPr>
        <w:t>The study</w:t>
      </w:r>
      <w:r w:rsidR="00C745C9" w:rsidRPr="000A7B2A">
        <w:rPr>
          <w:rFonts w:ascii="Arial" w:eastAsia="Times New Roman" w:hAnsi="Arial" w:cs="Arial"/>
          <w:sz w:val="20"/>
          <w:szCs w:val="20"/>
          <w:lang w:eastAsia="en-IN"/>
        </w:rPr>
        <w:t xml:space="preserve"> </w:t>
      </w:r>
      <w:r w:rsidRPr="000A7B2A">
        <w:rPr>
          <w:rFonts w:ascii="Arial" w:eastAsia="Times New Roman" w:hAnsi="Arial" w:cs="Arial"/>
          <w:sz w:val="20"/>
          <w:szCs w:val="20"/>
          <w:lang w:eastAsia="en-IN"/>
        </w:rPr>
        <w:t xml:space="preserve">analyses rural agricultural workers engaged in self-employment and casual labour. Monthly labour earnings were classified into three mutually exclusive categories: Zero Earnings, ₹1–5,000, and </w:t>
      </w:r>
      <w:r w:rsidR="00E774BB" w:rsidRPr="000A7B2A">
        <w:rPr>
          <w:rFonts w:ascii="Arial" w:eastAsia="Times New Roman" w:hAnsi="Arial" w:cs="Arial"/>
          <w:sz w:val="20"/>
          <w:szCs w:val="20"/>
          <w:lang w:eastAsia="en-IN"/>
        </w:rPr>
        <w:t>above</w:t>
      </w:r>
      <w:r w:rsidRPr="000A7B2A">
        <w:rPr>
          <w:rFonts w:ascii="Arial" w:eastAsia="Times New Roman" w:hAnsi="Arial" w:cs="Arial"/>
          <w:sz w:val="20"/>
          <w:szCs w:val="20"/>
          <w:lang w:eastAsia="en-IN"/>
        </w:rPr>
        <w:t xml:space="preserve"> ₹5,000. Multinomial Logistic Regression, Average Marginal Effects, and Predicted Probability analyses were employed to examine the associations between individual characteristics, employment type, and earnings outcomes.</w:t>
      </w:r>
    </w:p>
    <w:p w14:paraId="1151886A" w14:textId="77777777" w:rsidR="00C155EF" w:rsidRPr="000A7B2A" w:rsidRDefault="00C155E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Results:</w:t>
      </w:r>
      <w:r w:rsidRPr="000A7B2A">
        <w:rPr>
          <w:rFonts w:ascii="Arial" w:eastAsia="Times New Roman" w:hAnsi="Arial" w:cs="Arial"/>
          <w:sz w:val="20"/>
          <w:szCs w:val="20"/>
          <w:lang w:eastAsia="en-IN"/>
        </w:rPr>
        <w:t xml:space="preserve"> Employment type exhibited the strongest association with earnings outcomes. Compared with self-employed workers, casual labourers had substantially higher odds of being in both the ₹1–5,000 category (β = 4.138,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&lt; 0.001) and the Above ₹5,000 category (β = 4.120,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&lt; 0.001), relative to the Zero Earnings category. Senior workers had significantly lower odds of earning above ₹5,000 than younger workers (β = −1.211,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&lt; 0.01). Higher education was negatively associated </w:t>
      </w:r>
      <w:r w:rsidR="00A87BE7" w:rsidRPr="000A7B2A">
        <w:rPr>
          <w:rFonts w:ascii="Arial" w:eastAsia="Times New Roman" w:hAnsi="Arial" w:cs="Arial"/>
          <w:sz w:val="20"/>
          <w:szCs w:val="20"/>
          <w:lang w:eastAsia="en-IN"/>
        </w:rPr>
        <w:t>with the</w:t>
      </w:r>
      <w:r w:rsidRPr="000A7B2A">
        <w:rPr>
          <w:rFonts w:ascii="Arial" w:eastAsia="Times New Roman" w:hAnsi="Arial" w:cs="Arial"/>
          <w:sz w:val="20"/>
          <w:szCs w:val="20"/>
          <w:lang w:eastAsia="en-IN"/>
        </w:rPr>
        <w:t xml:space="preserve"> ₹1–5,000 and </w:t>
      </w:r>
      <w:r w:rsidR="00996715" w:rsidRPr="000A7B2A">
        <w:rPr>
          <w:rFonts w:ascii="Arial" w:eastAsia="Times New Roman" w:hAnsi="Arial" w:cs="Arial"/>
          <w:sz w:val="20"/>
          <w:szCs w:val="20"/>
          <w:lang w:eastAsia="en-IN"/>
        </w:rPr>
        <w:t>above</w:t>
      </w:r>
      <w:r w:rsidRPr="000A7B2A">
        <w:rPr>
          <w:rFonts w:ascii="Arial" w:eastAsia="Times New Roman" w:hAnsi="Arial" w:cs="Arial"/>
          <w:sz w:val="20"/>
          <w:szCs w:val="20"/>
          <w:lang w:eastAsia="en-IN"/>
        </w:rPr>
        <w:t xml:space="preserve"> ₹5,000 categories. Gender was significantly associated with the ₹1–5,000 category, while the gender difference in the Above ₹5,000 category was not statistically significant at the 5 per cent level. Predicted probabilities further indicated that employment type was more strongly associated with the probability of earning above ₹5,000 than gender.</w:t>
      </w:r>
    </w:p>
    <w:p w14:paraId="7FEAFAFC" w14:textId="77777777" w:rsidR="00632574" w:rsidRPr="000A7B2A" w:rsidRDefault="00C155EF" w:rsidP="00DF130D">
      <w:pPr>
        <w:spacing w:before="100" w:beforeAutospacing="1" w:after="100" w:afterAutospacing="1" w:line="276" w:lineRule="auto"/>
        <w:jc w:val="both"/>
        <w:rPr>
          <w:rFonts w:ascii="Arial" w:hAnsi="Arial" w:cs="Arial"/>
          <w:sz w:val="20"/>
          <w:szCs w:val="20"/>
        </w:rPr>
      </w:pPr>
      <w:r w:rsidRPr="000A7B2A">
        <w:rPr>
          <w:rFonts w:ascii="Arial" w:eastAsia="Times New Roman" w:hAnsi="Arial" w:cs="Arial"/>
          <w:b/>
          <w:bCs/>
          <w:sz w:val="20"/>
          <w:szCs w:val="20"/>
          <w:lang w:eastAsia="en-IN"/>
        </w:rPr>
        <w:t>Conclusion:</w:t>
      </w:r>
      <w:r w:rsidR="00A87BE7" w:rsidRPr="000A7B2A">
        <w:rPr>
          <w:rFonts w:ascii="Arial" w:eastAsia="Times New Roman" w:hAnsi="Arial" w:cs="Arial"/>
          <w:b/>
          <w:bCs/>
          <w:sz w:val="20"/>
          <w:szCs w:val="20"/>
          <w:lang w:eastAsia="en-IN"/>
        </w:rPr>
        <w:t xml:space="preserve"> </w:t>
      </w:r>
      <w:r w:rsidR="00632574" w:rsidRPr="000A7B2A">
        <w:rPr>
          <w:rFonts w:ascii="Arial" w:hAnsi="Arial" w:cs="Arial"/>
          <w:sz w:val="20"/>
          <w:szCs w:val="20"/>
        </w:rPr>
        <w:t xml:space="preserve">The findings show that employment type has a stronger association with earnings than gender among rural agricultural workers in Telangana. The study highlights the need to strengthen income security for self-employed and unpaid family workers, expand productive employment opportunities, and improve access to social protection. These findings are consistent with </w:t>
      </w:r>
      <w:r w:rsidR="00632574" w:rsidRPr="000A7B2A">
        <w:rPr>
          <w:rStyle w:val="Strong"/>
          <w:rFonts w:ascii="Arial" w:hAnsi="Arial" w:cs="Arial"/>
          <w:b w:val="0"/>
          <w:bCs w:val="0"/>
          <w:sz w:val="20"/>
          <w:szCs w:val="20"/>
        </w:rPr>
        <w:t>Labour Market Segmentation Theory</w:t>
      </w:r>
      <w:r w:rsidR="00632574" w:rsidRPr="000A7B2A">
        <w:rPr>
          <w:rFonts w:ascii="Arial" w:hAnsi="Arial" w:cs="Arial"/>
          <w:sz w:val="20"/>
          <w:szCs w:val="20"/>
        </w:rPr>
        <w:t xml:space="preserve"> and provide useful policy insights for promoting inclusive rural development in Telangana.</w:t>
      </w:r>
    </w:p>
    <w:p w14:paraId="74AB8364" w14:textId="77777777" w:rsidR="00DE0831" w:rsidRPr="000A7B2A" w:rsidRDefault="00C155E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Keywords:</w:t>
      </w:r>
      <w:r w:rsidRPr="000A7B2A">
        <w:rPr>
          <w:rFonts w:ascii="Arial" w:eastAsia="Times New Roman" w:hAnsi="Arial" w:cs="Arial"/>
          <w:sz w:val="20"/>
          <w:szCs w:val="20"/>
          <w:lang w:eastAsia="en-IN"/>
        </w:rPr>
        <w:t xml:space="preserve"> Agricultural workers; Earnings inequality; Employment type; Gender; Labour Market Segmentation Theory; Multinomial Logistic Regression; Telangana</w:t>
      </w:r>
    </w:p>
    <w:p w14:paraId="72DC7841" w14:textId="77777777" w:rsidR="00211178" w:rsidRPr="000A7B2A" w:rsidRDefault="00211178" w:rsidP="00DF130D">
      <w:pPr>
        <w:spacing w:before="100" w:beforeAutospacing="1" w:after="100" w:afterAutospacing="1" w:line="276" w:lineRule="auto"/>
        <w:jc w:val="both"/>
        <w:rPr>
          <w:rFonts w:ascii="Arial" w:eastAsia="Times New Roman" w:hAnsi="Arial" w:cs="Arial"/>
          <w:sz w:val="20"/>
          <w:szCs w:val="20"/>
          <w:lang w:eastAsia="en-IN"/>
        </w:rPr>
      </w:pPr>
    </w:p>
    <w:p w14:paraId="0EFE493B" w14:textId="77777777" w:rsidR="00DF130D" w:rsidRPr="000A7B2A" w:rsidRDefault="00DF130D" w:rsidP="00DF130D">
      <w:pPr>
        <w:spacing w:before="100" w:beforeAutospacing="1" w:after="100" w:afterAutospacing="1" w:line="276" w:lineRule="auto"/>
        <w:jc w:val="both"/>
        <w:rPr>
          <w:rFonts w:ascii="Arial" w:eastAsia="Times New Roman" w:hAnsi="Arial" w:cs="Arial"/>
          <w:sz w:val="20"/>
          <w:szCs w:val="20"/>
          <w:lang w:eastAsia="en-IN"/>
        </w:rPr>
      </w:pPr>
    </w:p>
    <w:p w14:paraId="4C4C1A66" w14:textId="77777777" w:rsidR="00DF130D" w:rsidRPr="000A7B2A" w:rsidRDefault="00DF130D" w:rsidP="00DF130D">
      <w:pPr>
        <w:spacing w:before="100" w:beforeAutospacing="1" w:after="100" w:afterAutospacing="1" w:line="276" w:lineRule="auto"/>
        <w:jc w:val="both"/>
        <w:rPr>
          <w:rFonts w:ascii="Arial" w:eastAsia="Times New Roman" w:hAnsi="Arial" w:cs="Arial"/>
          <w:sz w:val="20"/>
          <w:szCs w:val="20"/>
          <w:lang w:eastAsia="en-IN"/>
        </w:rPr>
      </w:pPr>
    </w:p>
    <w:p w14:paraId="1E9D9D37" w14:textId="77777777" w:rsidR="00DF130D" w:rsidRPr="000A7B2A" w:rsidRDefault="00DF130D" w:rsidP="00DF130D">
      <w:pPr>
        <w:spacing w:before="100" w:beforeAutospacing="1" w:after="100" w:afterAutospacing="1" w:line="276" w:lineRule="auto"/>
        <w:jc w:val="both"/>
        <w:rPr>
          <w:rFonts w:ascii="Arial" w:eastAsia="Times New Roman" w:hAnsi="Arial" w:cs="Arial"/>
          <w:sz w:val="20"/>
          <w:szCs w:val="20"/>
          <w:lang w:eastAsia="en-IN"/>
        </w:rPr>
      </w:pPr>
    </w:p>
    <w:p w14:paraId="1FA4F883" w14:textId="77777777" w:rsidR="00DE0831" w:rsidRPr="000A7B2A" w:rsidRDefault="00DE0831" w:rsidP="00DF130D">
      <w:pPr>
        <w:spacing w:before="100" w:beforeAutospacing="1" w:after="100" w:afterAutospacing="1" w:line="276" w:lineRule="auto"/>
        <w:jc w:val="both"/>
        <w:outlineLvl w:val="0"/>
        <w:rPr>
          <w:rFonts w:ascii="Arial" w:eastAsia="Times New Roman" w:hAnsi="Arial" w:cs="Arial"/>
          <w:b/>
          <w:bCs/>
          <w:kern w:val="36"/>
          <w:lang w:eastAsia="en-IN"/>
        </w:rPr>
      </w:pPr>
      <w:r w:rsidRPr="000A7B2A">
        <w:rPr>
          <w:rFonts w:ascii="Arial" w:eastAsia="Times New Roman" w:hAnsi="Arial" w:cs="Arial"/>
          <w:b/>
          <w:bCs/>
          <w:kern w:val="36"/>
          <w:lang w:eastAsia="en-IN"/>
        </w:rPr>
        <w:lastRenderedPageBreak/>
        <w:t>1. I</w:t>
      </w:r>
      <w:r w:rsidR="0084325B" w:rsidRPr="000A7B2A">
        <w:rPr>
          <w:rFonts w:ascii="Arial" w:eastAsia="Times New Roman" w:hAnsi="Arial" w:cs="Arial"/>
          <w:b/>
          <w:bCs/>
          <w:kern w:val="36"/>
          <w:lang w:eastAsia="en-IN"/>
        </w:rPr>
        <w:t>NTRODUCTION</w:t>
      </w:r>
    </w:p>
    <w:p w14:paraId="16DE6F8B" w14:textId="77777777" w:rsidR="00DE0831" w:rsidRPr="000A7B2A" w:rsidRDefault="00DE0831"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Agriculture remains a major source of employment and livelihood worldwide, particularly in developing economies. The sector plays an important role in providing employment, food security, and income to rural populations (Food and Agriculture Organization, 2021). According to the International Labour Organization (ILO, 2024), agricultural activities continue to employ hundreds of millions of workers globally, with a particularly large concentration in Asia. Agriculture, forestry, and fishing also make a significant contribution to global economic activity, accounting for approximately 4 per cent of global Gross Domestic Product (GDP) (World Bank, 2024). Despite ongoing industrialisation and structural transformation, agriculture continues to be an important source of livelihood for rural households.</w:t>
      </w:r>
    </w:p>
    <w:p w14:paraId="6E69D294" w14:textId="77777777" w:rsidR="00DE0831" w:rsidRPr="000A7B2A" w:rsidRDefault="00DE0831"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In India, agriculture remains central to the rural economy and continues to provide employment to a substantial proportion of the workforce. Although the sector's contribution to national GDP has declined over time, agriculture continues to account for a significant share of economic output and supports a large rural workforce (Ministry of Finance, Government of India, 2024). Agricultural employment is predominantly informal and includes self-employed farmers, unpaid family workers, and casual agricultural labourers (National Commission for Enterprises in the Unorganised Sector, 2007). These forms of employment are often characterised by seasonal work, unstable earnings, low productivity, limited access to social security, and considerable income uncertainty. Consequently, examining earnings inequality within the agricultural labour market is important for understanding rural poverty, employment insecurity, and inclusive development.</w:t>
      </w:r>
    </w:p>
    <w:p w14:paraId="6CC0629C" w14:textId="77777777" w:rsidR="00DE0831" w:rsidRPr="000A7B2A" w:rsidRDefault="00DE0831"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Telangana provides an important setting for examining earnings inequality among rural agricultural workers. Since the formation of the state in 2014, agriculture has remained an important component of the rural economy. Investments in irrigation and agricultural infrastructure have contributed to agricultural development; however, rural employment continues to include substantial proportions of self-employment and casual wage labour. Women constitute an important part of the agricultural workforce but are often concentrated in unpaid family work and relatively low-paid agricultural activities. These employment patterns indicate that differences in agricultural earnings may reflect not only individual characteristics such as gender, education, and age, but also differences in employment arrangements and labour-market segmentation.</w:t>
      </w:r>
    </w:p>
    <w:p w14:paraId="2B93FBC6" w14:textId="77777777" w:rsidR="00DE0831" w:rsidRPr="000A7B2A" w:rsidRDefault="00DE0831"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Earnings inequality has significant implications for household welfare, poverty reduction, labour productivity, and inclusive economic growth (Kannan, 2014). Limited individual earnings can reduce household income security and constrain economic opportunities, particularly for workers engaged in informal employment. Gendered social norms and the distribution of women’s paid, expenditure-saving, and unpaid work can shape labour supply and economic outcomes (Deshpande &amp; Kabeer, 2024). Therefore, it is important to examine whether observed earnings differences are primarily associated with individual characteristics such as gender and education or with the type of employment in which workers are engaged.</w:t>
      </w:r>
    </w:p>
    <w:p w14:paraId="672EB391" w14:textId="77777777" w:rsidR="006B4B64" w:rsidRPr="000A7B2A" w:rsidRDefault="00000000">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hAnsi="Arial" w:cs="Arial"/>
          <w:b/>
          <w:sz w:val="20"/>
        </w:rPr>
        <w:t>Recent studies of agricultural labour and labour-force participation in India further underscore the relevance of employment conditions and gender to rural labour-market outcomes. Evidence on farm labour in Punjab identifies continuing employment and socioeconomic vulnerabilities among agricultural labourers (Singh, 2024), while a state-wise analysis of labour-force participation documents rural gender disparities across Indian states, including Telangana (Patil, 2025).</w:t>
      </w:r>
    </w:p>
    <w:p w14:paraId="05ABBD50" w14:textId="77777777" w:rsidR="006B4B64" w:rsidRPr="000A7B2A" w:rsidRDefault="00000000">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hAnsi="Arial" w:cs="Arial"/>
          <w:b/>
          <w:sz w:val="20"/>
        </w:rPr>
        <w:t>Recent peer-reviewed research has also examined the contribution of wage income to agricultural-household earnings and has highlighted how women’s agricultural work can vary with labour allocation, employment opportunities, and agrarian labour conditions (Roy &amp; Terway, 2024; Sinha, 2024; Gulati et al., 2025).</w:t>
      </w:r>
    </w:p>
    <w:p w14:paraId="288A4E4D" w14:textId="77777777" w:rsidR="00FA7DA2" w:rsidRPr="000A7B2A" w:rsidRDefault="00DE0831" w:rsidP="00DF130D">
      <w:pPr>
        <w:spacing w:before="100" w:beforeAutospacing="1" w:after="100" w:afterAutospacing="1" w:line="276" w:lineRule="auto"/>
        <w:jc w:val="both"/>
        <w:rPr>
          <w:rFonts w:ascii="Arial" w:eastAsia="Times New Roman" w:hAnsi="Arial" w:cs="Arial"/>
          <w:i/>
          <w:iCs/>
          <w:sz w:val="20"/>
          <w:szCs w:val="20"/>
          <w:lang w:eastAsia="en-IN"/>
        </w:rPr>
      </w:pPr>
      <w:r w:rsidRPr="000A7B2A">
        <w:rPr>
          <w:rFonts w:ascii="Arial" w:eastAsia="Times New Roman" w:hAnsi="Arial" w:cs="Arial"/>
          <w:sz w:val="20"/>
          <w:szCs w:val="20"/>
          <w:lang w:eastAsia="en-IN"/>
        </w:rPr>
        <w:lastRenderedPageBreak/>
        <w:t xml:space="preserve">Although existing research has examined gender and earnings inequality in Indian agriculture, comparatively limited evidence is available for Telangana using recent micro-level data. In particular, insufficient attention has been given to differences between self-employed and casual agricultural workers and to the combined association of employment type, gender, education, and age with individual earnings. This study addresses this issue by analysing rural agricultural workers in Telangana using unit-level data from the </w:t>
      </w:r>
      <w:r w:rsidRPr="000A7B2A">
        <w:rPr>
          <w:rFonts w:ascii="Arial" w:eastAsia="Times New Roman" w:hAnsi="Arial" w:cs="Arial"/>
          <w:i/>
          <w:iCs/>
          <w:sz w:val="20"/>
          <w:szCs w:val="20"/>
          <w:lang w:eastAsia="en-IN"/>
        </w:rPr>
        <w:t>Periodic Labour Force Survey (PLFS) 2023–24.</w:t>
      </w:r>
    </w:p>
    <w:p w14:paraId="5CEAA834" w14:textId="77777777" w:rsidR="00A00E49"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Objectives of the Study</w:t>
      </w:r>
    </w:p>
    <w:p w14:paraId="3143B0A1"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sz w:val="20"/>
          <w:szCs w:val="20"/>
          <w:lang w:eastAsia="en-IN"/>
        </w:rPr>
        <w:t>The study has the following objectives:</w:t>
      </w:r>
    </w:p>
    <w:p w14:paraId="0CDBCCE2" w14:textId="77777777" w:rsidR="00A00E49" w:rsidRPr="000A7B2A" w:rsidRDefault="00A00E49" w:rsidP="00DF130D">
      <w:pPr>
        <w:numPr>
          <w:ilvl w:val="0"/>
          <w:numId w:val="22"/>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sz w:val="20"/>
          <w:szCs w:val="20"/>
          <w:lang w:eastAsia="en-IN"/>
        </w:rPr>
        <w:t>To examine the distribution of earnings categories among self-employed and casual agricultural workers in Telangana.</w:t>
      </w:r>
    </w:p>
    <w:p w14:paraId="674FBD03" w14:textId="77777777" w:rsidR="005D3655" w:rsidRPr="000A7B2A" w:rsidRDefault="00A00E49" w:rsidP="00DF130D">
      <w:pPr>
        <w:numPr>
          <w:ilvl w:val="0"/>
          <w:numId w:val="22"/>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sz w:val="20"/>
          <w:szCs w:val="20"/>
          <w:lang w:eastAsia="en-IN"/>
        </w:rPr>
        <w:t>To analyse the associations of gender, educational attainment, age, and employment type with earnings outcomes using multinomial logistic regression.</w:t>
      </w:r>
    </w:p>
    <w:p w14:paraId="7912FDCB" w14:textId="77777777" w:rsidR="008A116E" w:rsidRPr="000A7B2A" w:rsidRDefault="008A116E" w:rsidP="008A116E">
      <w:pPr>
        <w:spacing w:before="100" w:beforeAutospacing="1" w:after="100" w:afterAutospacing="1" w:line="240" w:lineRule="auto"/>
        <w:outlineLvl w:val="1"/>
        <w:rPr>
          <w:rFonts w:ascii="Times New Roman" w:eastAsia="Times New Roman" w:hAnsi="Times New Roman" w:cs="Times New Roman"/>
          <w:b/>
          <w:bCs/>
          <w:lang w:eastAsia="en-IN"/>
        </w:rPr>
      </w:pPr>
      <w:r w:rsidRPr="000A7B2A">
        <w:rPr>
          <w:rFonts w:ascii="Times New Roman" w:eastAsia="Times New Roman" w:hAnsi="Times New Roman" w:cs="Times New Roman"/>
          <w:b/>
          <w:bCs/>
          <w:lang w:eastAsia="en-IN"/>
        </w:rPr>
        <w:t>2. LITERATURE REVIEW</w:t>
      </w:r>
    </w:p>
    <w:p w14:paraId="689F4F8D"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Labour Market Segmentation Theory, developed by Doeringer and Piore (1971), argues that labour markets are divided into distinct segments characterised by differences in employment security, earnings, working conditions, and opportunities for advancement. Workers in the primary segment generally enjoy stable employment, higher earnings, and better opportunities for career progression, whereas those in the secondary segment are more likely to experience irregular employment, lower wages, and limited mobility. Informal agricultural employment largely reflects the characteristics of the secondary segment, as agricultural workers often face employment insecurity, low earnings, and limited access to social protection.</w:t>
      </w:r>
    </w:p>
    <w:p w14:paraId="42BBC956"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Empirical evidence supports the relevance of labour market segmentation to rural employment in India. Reddy (2015) documents slow structural change in rural labour markets and substantial interstate variation in wage rates, non-farm growth, urbanisation, and rural poverty. Similarly, Srivastava (2019) identifies informality, migration, caste, and regional disparities as important factors contributing to labour-market inequalities in India. Chand, Srivastava, and Singh (2017) further demonstrate that although non-farm activities have become increasingly important for rural households, employment diversification has progressed slowly. As a result, a considerable proportion of the rural workforce remains dependent on relatively low-productivity agricultural employment.</w:t>
      </w:r>
    </w:p>
    <w:p w14:paraId="3927BE69"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Gender and Development (GAD) Theory, associated with Moser (1993), explains gender inequality through unequal social relations, access to productive resources, institutional arrangements, and bargaining power. The theory emphasises that differences in economic outcomes between men and women are not simply the result of individual characteristics but are also shaped by broader social and institutional structures.</w:t>
      </w:r>
    </w:p>
    <w:p w14:paraId="44C097A3"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Several empirical studies have documented persistent gender disparities in agricultural earnings. Ahmed and Maitra (2010, 2015) identify substantial gender earnings differentials in Bangladesh and demonstrate that unequal returns to worker characteristics contribute significantly to these differences. Valientes (2015) similarly finds significant gender disparities in agricultural earnings in the Philippines, partly reflecting unequal returns to productive characteristics. More recently, Benali et al. (2024) report substantial gender pay gaps in agricultural and non-agricultural wage employment across lower-middle-income countries and show that structural differences and differential returns to worker characteristics account for important shares of these gaps. Yemelina et al. (2024) likewise document a persistent gender wage gap in Kazakhstan and an increasing adverse contribution of industrial segregation between 2011 and 2019.</w:t>
      </w:r>
    </w:p>
    <w:p w14:paraId="2B862BB9"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lastRenderedPageBreak/>
        <w:t>Evidence from India further indicates that agricultural earnings are shaped by gender-specific labour-market conditions. Mahajan (2017) finds that rainfall shocks affect male and female agricultural earnings differently, while Kundu and Das (2019) identify women’s primary education, Self-Help Group expansion, and higher cropping intensity supported by irrigation as factors associated with a narrower agricultural gender wage gap across Indian states. However, much of the existing literature is based on national-level or multi-state analyses and may therefore overlook the specific institutional, agricultural, and labour-market characteristics of Telangana. The present study addresses this gap by examining the influence of gender alongside employment type, education, and age on agricultural earnings.</w:t>
      </w:r>
    </w:p>
    <w:p w14:paraId="55481413"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Human Capital Theory, developed by Becker (1964), posits that investments in education, skills, training, and work experience enhance worker productivity and consequently improve labour-market outcomes. From this perspective, individuals with greater human capital are expected to have better employment opportunities and higher earnings.</w:t>
      </w:r>
    </w:p>
    <w:p w14:paraId="4936FBC3"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Nevertheless, the returns to education may vary considerably across different labour-market segments. Unni and Rani (2004) document a movement towards a more skill-based workforce in India during the late 1990s, with variation across industries, locations, gender, and employment status. More broadly, slow structural change can limit movement from low-productivity rural employment into more remunerative activities (Reddy, 2015). Srivastava (2019) similarly notes that although education and experience can improve labour-market outcomes, disadvantaged groups, particularly women, may continue to receive lower earnings because of persistent structural constraints.</w:t>
      </w:r>
    </w:p>
    <w:p w14:paraId="5D654007" w14:textId="77777777" w:rsidR="008A116E" w:rsidRPr="000A7B2A" w:rsidRDefault="008A116E" w:rsidP="00C90874">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relationship between education and agricultural earnings may therefore not be linear. Individuals with higher levels of education may have greater opportunities to move from agriculture into non-farm employment, resulting in a lower representation of highly educated workers within agricultural activities (Binswanger-Mkhize, 2013). This possibility is particularly important when examining the determinants of earnings among rural agricultural workers in Telangana. The existing literature suggests that agricultural earnings are influenced not only by individual characteristics such as education and age but also by gender, employment conditions, and broader labour-market structures. These theoretical and empirical perspectives provide the basis for examining the determinants of agricultural earnings in the present study.</w:t>
      </w:r>
    </w:p>
    <w:p w14:paraId="105644BB" w14:textId="77777777" w:rsidR="00A00E49"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Research Gap</w:t>
      </w:r>
    </w:p>
    <w:p w14:paraId="58977AE5" w14:textId="77777777" w:rsidR="00A00E49" w:rsidRPr="000A7B2A" w:rsidRDefault="00520083" w:rsidP="00DF130D">
      <w:pPr>
        <w:spacing w:before="100" w:beforeAutospacing="1" w:after="100" w:afterAutospacing="1" w:line="276" w:lineRule="auto"/>
        <w:jc w:val="both"/>
        <w:rPr>
          <w:rFonts w:ascii="Arial" w:eastAsia="Times New Roman" w:hAnsi="Arial" w:cs="Arial"/>
          <w:i/>
          <w:iCs/>
          <w:sz w:val="20"/>
          <w:szCs w:val="20"/>
          <w:lang w:eastAsia="en-IN"/>
        </w:rPr>
      </w:pPr>
      <w:r w:rsidRPr="000A7B2A">
        <w:rPr>
          <w:rFonts w:ascii="Arial" w:eastAsia="Times New Roman" w:hAnsi="Arial" w:cs="Arial"/>
          <w:sz w:val="20"/>
          <w:szCs w:val="20"/>
          <w:lang w:eastAsia="en-IN"/>
        </w:rPr>
        <w:t>T</w:t>
      </w:r>
      <w:r w:rsidR="00A00E49" w:rsidRPr="000A7B2A">
        <w:rPr>
          <w:rFonts w:ascii="Arial" w:eastAsia="Times New Roman" w:hAnsi="Arial" w:cs="Arial"/>
          <w:sz w:val="20"/>
          <w:szCs w:val="20"/>
          <w:lang w:eastAsia="en-IN"/>
        </w:rPr>
        <w:t xml:space="preserve">he existing literature relies on national or multi-state datasets, which may obscure state-specific labour market characteristics. In particular, limited attention has been given to differences in earnings between self-employed and casual agricultural workers, despite their distinct employment arrangements, income-generation mechanisms, and labour market conditions. Furthermore, relatively few studies have jointly examined the association of gender, education, age, and employment type with agricultural earnings using the latest </w:t>
      </w:r>
      <w:r w:rsidR="00A00E49" w:rsidRPr="000A7B2A">
        <w:rPr>
          <w:rFonts w:ascii="Arial" w:eastAsia="Times New Roman" w:hAnsi="Arial" w:cs="Arial"/>
          <w:i/>
          <w:iCs/>
          <w:sz w:val="20"/>
          <w:szCs w:val="20"/>
          <w:lang w:eastAsia="en-IN"/>
        </w:rPr>
        <w:t>Periodic Labour Force Survey (PLFS) 2023–24 data.</w:t>
      </w:r>
    </w:p>
    <w:p w14:paraId="46528F8A" w14:textId="77777777" w:rsidR="00422E31" w:rsidRPr="000A7B2A" w:rsidRDefault="005D3655" w:rsidP="00F31758">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study</w:t>
      </w:r>
      <w:r w:rsidR="00A00E49" w:rsidRPr="000A7B2A">
        <w:rPr>
          <w:rFonts w:ascii="Arial" w:eastAsia="Times New Roman" w:hAnsi="Arial" w:cs="Arial"/>
          <w:sz w:val="20"/>
          <w:szCs w:val="20"/>
          <w:lang w:eastAsia="en-IN"/>
        </w:rPr>
        <w:t xml:space="preserve"> addresses these gaps by providing a state-specific analysis of earnings outcomes among rural agricultural workers in Telangana. It distinguishes between self-employed and casual agricultural workers and examines how gender, educational attainment, age, and employment type are associated with different earnings categories. The study draws primarily on Human Capital Theory and Labour Market Segmentation Theory to provide a theoretical framework for understanding variations in agricultural earnings.</w:t>
      </w:r>
    </w:p>
    <w:p w14:paraId="68596DA2" w14:textId="77777777" w:rsidR="00A00E49"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Research Questions</w:t>
      </w:r>
    </w:p>
    <w:p w14:paraId="49CFCB26"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study addresses the following research questions:</w:t>
      </w:r>
    </w:p>
    <w:p w14:paraId="43B14ED7" w14:textId="77777777" w:rsidR="00A00E49" w:rsidRPr="000A7B2A" w:rsidRDefault="00A00E49" w:rsidP="00DF130D">
      <w:pPr>
        <w:numPr>
          <w:ilvl w:val="0"/>
          <w:numId w:val="21"/>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lastRenderedPageBreak/>
        <w:t>What are the patterns of earnings distribution among self-employed and casual agricultural workers in Telangana?</w:t>
      </w:r>
    </w:p>
    <w:p w14:paraId="042A6660" w14:textId="77777777" w:rsidR="00A00E49" w:rsidRPr="000A7B2A" w:rsidRDefault="00A00E49" w:rsidP="00DF130D">
      <w:pPr>
        <w:numPr>
          <w:ilvl w:val="0"/>
          <w:numId w:val="21"/>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How are gender, education, age, and employment type associated with earnings outcomes among rural agricultural workers in Telangana?</w:t>
      </w:r>
    </w:p>
    <w:p w14:paraId="69A6234D" w14:textId="77777777" w:rsidR="00A00E49" w:rsidRPr="000A7B2A" w:rsidRDefault="00A00E49" w:rsidP="00DF130D">
      <w:pPr>
        <w:numPr>
          <w:ilvl w:val="0"/>
          <w:numId w:val="21"/>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Does employment type have a stronger association with earnings outcomes than gender among rural agricultural workers in Telangana?</w:t>
      </w:r>
    </w:p>
    <w:p w14:paraId="25A5242E" w14:textId="77777777" w:rsidR="000A2891"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 xml:space="preserve"> </w:t>
      </w:r>
    </w:p>
    <w:p w14:paraId="4B69BF11" w14:textId="77777777" w:rsidR="000A2891" w:rsidRPr="000A7B2A" w:rsidRDefault="000A2891" w:rsidP="00DF130D">
      <w:pPr>
        <w:spacing w:before="100" w:beforeAutospacing="1" w:after="100" w:afterAutospacing="1" w:line="276" w:lineRule="auto"/>
        <w:jc w:val="both"/>
        <w:outlineLvl w:val="2"/>
        <w:rPr>
          <w:rFonts w:ascii="Arial" w:eastAsia="Times New Roman" w:hAnsi="Arial" w:cs="Arial"/>
          <w:b/>
          <w:bCs/>
          <w:sz w:val="20"/>
          <w:szCs w:val="20"/>
          <w:lang w:eastAsia="en-IN"/>
        </w:rPr>
      </w:pPr>
    </w:p>
    <w:p w14:paraId="32D3DE85" w14:textId="77777777" w:rsidR="00520083" w:rsidRPr="000A7B2A" w:rsidRDefault="00520083" w:rsidP="00DF130D">
      <w:pPr>
        <w:spacing w:before="100" w:beforeAutospacing="1" w:after="100" w:afterAutospacing="1" w:line="276" w:lineRule="auto"/>
        <w:jc w:val="both"/>
        <w:outlineLvl w:val="2"/>
        <w:rPr>
          <w:rFonts w:ascii="Arial" w:eastAsia="Times New Roman" w:hAnsi="Arial" w:cs="Arial"/>
          <w:b/>
          <w:bCs/>
          <w:sz w:val="20"/>
          <w:szCs w:val="20"/>
          <w:lang w:eastAsia="en-IN"/>
        </w:rPr>
      </w:pPr>
    </w:p>
    <w:p w14:paraId="050C6B03" w14:textId="77777777" w:rsidR="00520083" w:rsidRPr="000A7B2A" w:rsidRDefault="00520083" w:rsidP="00DF130D">
      <w:pPr>
        <w:spacing w:before="100" w:beforeAutospacing="1" w:after="100" w:afterAutospacing="1" w:line="276" w:lineRule="auto"/>
        <w:jc w:val="both"/>
        <w:outlineLvl w:val="2"/>
        <w:rPr>
          <w:rFonts w:ascii="Arial" w:eastAsia="Times New Roman" w:hAnsi="Arial" w:cs="Arial"/>
          <w:b/>
          <w:bCs/>
          <w:sz w:val="20"/>
          <w:szCs w:val="20"/>
          <w:lang w:eastAsia="en-IN"/>
        </w:rPr>
      </w:pPr>
    </w:p>
    <w:p w14:paraId="48720BA2"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Research Hypotheses</w:t>
      </w:r>
    </w:p>
    <w:p w14:paraId="5A3532DF"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study tests the following hypotheses:</w:t>
      </w:r>
    </w:p>
    <w:p w14:paraId="45ED79DD"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H1:</w:t>
      </w:r>
      <w:r w:rsidRPr="000A7B2A">
        <w:rPr>
          <w:rFonts w:ascii="Arial" w:eastAsia="Times New Roman" w:hAnsi="Arial" w:cs="Arial"/>
          <w:sz w:val="20"/>
          <w:szCs w:val="20"/>
          <w:lang w:eastAsia="en-IN"/>
        </w:rPr>
        <w:t xml:space="preserve"> Gender is significantly associated with the earnings outcomes of rural agricultural workers in Telangana.</w:t>
      </w:r>
    </w:p>
    <w:p w14:paraId="4268FFDB"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H2:</w:t>
      </w:r>
      <w:r w:rsidRPr="000A7B2A">
        <w:rPr>
          <w:rFonts w:ascii="Arial" w:eastAsia="Times New Roman" w:hAnsi="Arial" w:cs="Arial"/>
          <w:sz w:val="20"/>
          <w:szCs w:val="20"/>
          <w:lang w:eastAsia="en-IN"/>
        </w:rPr>
        <w:t xml:space="preserve"> Educational attainment is significantly associated with the earnings outcomes of rural agricultural workers in Telangana.</w:t>
      </w:r>
    </w:p>
    <w:p w14:paraId="512C55F7"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H3:</w:t>
      </w:r>
      <w:r w:rsidRPr="000A7B2A">
        <w:rPr>
          <w:rFonts w:ascii="Arial" w:eastAsia="Times New Roman" w:hAnsi="Arial" w:cs="Arial"/>
          <w:sz w:val="20"/>
          <w:szCs w:val="20"/>
          <w:lang w:eastAsia="en-IN"/>
        </w:rPr>
        <w:t xml:space="preserve"> Age group is significantly associated with the earnings outcomes of rural agricultural workers in Telangana.</w:t>
      </w:r>
    </w:p>
    <w:p w14:paraId="2CEAC3AB" w14:textId="77777777" w:rsidR="00F31758" w:rsidRPr="000A7B2A" w:rsidRDefault="00A00E49" w:rsidP="00520083">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H4:</w:t>
      </w:r>
      <w:r w:rsidRPr="000A7B2A">
        <w:rPr>
          <w:rFonts w:ascii="Arial" w:eastAsia="Times New Roman" w:hAnsi="Arial" w:cs="Arial"/>
          <w:sz w:val="20"/>
          <w:szCs w:val="20"/>
          <w:lang w:eastAsia="en-IN"/>
        </w:rPr>
        <w:t xml:space="preserve"> Employment type is significantly associated with the earnings outcomes of rural agricultural workers in Telangana.</w:t>
      </w:r>
    </w:p>
    <w:p w14:paraId="45612FEB" w14:textId="77777777" w:rsidR="00A00E49" w:rsidRPr="000A7B2A" w:rsidRDefault="005F485A" w:rsidP="00DF130D">
      <w:pPr>
        <w:spacing w:before="100" w:beforeAutospacing="1" w:after="100" w:afterAutospacing="1" w:line="276" w:lineRule="auto"/>
        <w:jc w:val="both"/>
        <w:outlineLvl w:val="0"/>
        <w:rPr>
          <w:rFonts w:ascii="Arial" w:eastAsia="Times New Roman" w:hAnsi="Arial" w:cs="Arial"/>
          <w:b/>
          <w:bCs/>
          <w:kern w:val="36"/>
          <w:lang w:eastAsia="en-IN"/>
        </w:rPr>
      </w:pPr>
      <w:r w:rsidRPr="000A7B2A">
        <w:rPr>
          <w:rFonts w:ascii="Arial" w:eastAsia="Times New Roman" w:hAnsi="Arial" w:cs="Arial"/>
          <w:b/>
          <w:bCs/>
          <w:kern w:val="36"/>
          <w:lang w:eastAsia="en-IN"/>
        </w:rPr>
        <w:t>3.</w:t>
      </w:r>
      <w:r w:rsidR="00A00E49" w:rsidRPr="000A7B2A">
        <w:rPr>
          <w:rFonts w:ascii="Arial" w:eastAsia="Times New Roman" w:hAnsi="Arial" w:cs="Arial"/>
          <w:b/>
          <w:bCs/>
          <w:kern w:val="36"/>
          <w:lang w:eastAsia="en-IN"/>
        </w:rPr>
        <w:t xml:space="preserve"> MATERIALS AND METHODS</w:t>
      </w:r>
    </w:p>
    <w:p w14:paraId="3C781813" w14:textId="77777777" w:rsidR="00A00E49" w:rsidRPr="000A7B2A" w:rsidRDefault="005D3655"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3</w:t>
      </w:r>
      <w:r w:rsidR="00A00E49" w:rsidRPr="000A7B2A">
        <w:rPr>
          <w:rFonts w:ascii="Arial" w:eastAsia="Times New Roman" w:hAnsi="Arial" w:cs="Arial"/>
          <w:b/>
          <w:bCs/>
          <w:sz w:val="20"/>
          <w:szCs w:val="20"/>
          <w:lang w:eastAsia="en-IN"/>
        </w:rPr>
        <w:t>.1 Data Source</w:t>
      </w:r>
    </w:p>
    <w:p w14:paraId="6640523D" w14:textId="77777777" w:rsidR="00523F1A" w:rsidRPr="000A7B2A" w:rsidRDefault="00523F1A" w:rsidP="00DF130D">
      <w:pPr>
        <w:pStyle w:val="pdq2pgselectionanchorcontainer"/>
        <w:spacing w:line="276" w:lineRule="auto"/>
        <w:jc w:val="both"/>
        <w:rPr>
          <w:rFonts w:ascii="Arial" w:hAnsi="Arial" w:cs="Arial"/>
          <w:sz w:val="20"/>
          <w:szCs w:val="20"/>
        </w:rPr>
      </w:pPr>
      <w:r w:rsidRPr="000A7B2A">
        <w:rPr>
          <w:rFonts w:ascii="Arial" w:hAnsi="Arial" w:cs="Arial"/>
          <w:sz w:val="20"/>
          <w:szCs w:val="20"/>
        </w:rPr>
        <w:t xml:space="preserve">The study uses unit-level data from the </w:t>
      </w:r>
      <w:r w:rsidRPr="000A7B2A">
        <w:rPr>
          <w:rFonts w:ascii="Arial" w:hAnsi="Arial" w:cs="Arial"/>
          <w:i/>
          <w:iCs/>
          <w:sz w:val="20"/>
          <w:szCs w:val="20"/>
        </w:rPr>
        <w:t>Periodic Labour Force Survey (PLFS) 2023–24</w:t>
      </w:r>
      <w:r w:rsidRPr="000A7B2A">
        <w:rPr>
          <w:rFonts w:ascii="Arial" w:hAnsi="Arial" w:cs="Arial"/>
          <w:sz w:val="20"/>
          <w:szCs w:val="20"/>
        </w:rPr>
        <w:t xml:space="preserve"> conducted by the Ministry of Statistics and Programme Implementation (MoSPI), Government of India (Ministry of Statistics and Programme Implementation, 2024). The analysis focuses on rural agricultural workers in Telangana engaged in self-employment and casual labour.</w:t>
      </w:r>
    </w:p>
    <w:p w14:paraId="4C9FD6FC" w14:textId="77777777" w:rsidR="00523F1A" w:rsidRPr="000A7B2A" w:rsidRDefault="00523F1A" w:rsidP="00DF130D">
      <w:pPr>
        <w:pStyle w:val="NormalWeb"/>
        <w:spacing w:line="276" w:lineRule="auto"/>
        <w:jc w:val="both"/>
        <w:rPr>
          <w:rFonts w:ascii="Arial" w:hAnsi="Arial" w:cs="Arial"/>
          <w:sz w:val="20"/>
          <w:szCs w:val="20"/>
        </w:rPr>
      </w:pPr>
      <w:r w:rsidRPr="000A7B2A">
        <w:rPr>
          <w:rFonts w:ascii="Arial" w:hAnsi="Arial" w:cs="Arial"/>
          <w:sz w:val="20"/>
          <w:szCs w:val="20"/>
        </w:rPr>
        <w:t xml:space="preserve">The </w:t>
      </w:r>
      <w:r w:rsidRPr="000A7B2A">
        <w:rPr>
          <w:rFonts w:ascii="Arial" w:hAnsi="Arial" w:cs="Arial"/>
          <w:i/>
          <w:iCs/>
          <w:sz w:val="20"/>
          <w:szCs w:val="20"/>
        </w:rPr>
        <w:t>PLFS 2023–24</w:t>
      </w:r>
      <w:r w:rsidRPr="000A7B2A">
        <w:rPr>
          <w:rFonts w:ascii="Arial" w:hAnsi="Arial" w:cs="Arial"/>
          <w:sz w:val="20"/>
          <w:szCs w:val="20"/>
        </w:rPr>
        <w:t xml:space="preserve"> unit-level dataset contains 4,18,159 individual observations at the all-India level. Telangana is identified using state code 36. From the Telangana sample, individuals engaged in agricultural activities (NIC 01–03) were identified, resulting in an analytical sample of 1,511 rural agricultural workers after applying the study's sample-selection criteria. The analytical sample includes self-employed workers and casual labourers across gender, age, and educational categories.</w:t>
      </w:r>
    </w:p>
    <w:p w14:paraId="2B075FCF" w14:textId="77777777" w:rsidR="00523F1A" w:rsidRPr="000A7B2A" w:rsidRDefault="00523F1A" w:rsidP="00DF130D">
      <w:pPr>
        <w:pStyle w:val="NormalWeb"/>
        <w:spacing w:line="276" w:lineRule="auto"/>
        <w:jc w:val="both"/>
        <w:rPr>
          <w:rFonts w:ascii="Arial" w:hAnsi="Arial" w:cs="Arial"/>
          <w:sz w:val="20"/>
          <w:szCs w:val="20"/>
        </w:rPr>
      </w:pPr>
      <w:r w:rsidRPr="000A7B2A">
        <w:rPr>
          <w:rFonts w:ascii="Arial" w:hAnsi="Arial" w:cs="Arial"/>
          <w:sz w:val="20"/>
          <w:szCs w:val="20"/>
        </w:rPr>
        <w:t xml:space="preserve">The analysis incorporates the PLFS survey weights to account for the unequal probability of selection and to obtain population-representative descriptive estimates. The survey design information, including the relevant sampling structure, was </w:t>
      </w:r>
      <w:r w:rsidR="00C53471" w:rsidRPr="000A7B2A">
        <w:rPr>
          <w:rFonts w:ascii="Arial" w:hAnsi="Arial" w:cs="Arial"/>
          <w:sz w:val="20"/>
          <w:szCs w:val="20"/>
        </w:rPr>
        <w:t>considered</w:t>
      </w:r>
      <w:r w:rsidRPr="000A7B2A">
        <w:rPr>
          <w:rFonts w:ascii="Arial" w:hAnsi="Arial" w:cs="Arial"/>
          <w:sz w:val="20"/>
          <w:szCs w:val="20"/>
        </w:rPr>
        <w:t xml:space="preserve"> in the estimation of standard errors. Robust/survey-adjusted standard errors were used for the regression estimates, and the same estimation framework was retained when calculating average marginal effects and predicted probabilities.</w:t>
      </w:r>
    </w:p>
    <w:p w14:paraId="54F34F01" w14:textId="77777777" w:rsidR="00523F1A" w:rsidRPr="000A7B2A" w:rsidRDefault="00D764F7"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hAnsi="Arial" w:cs="Arial"/>
          <w:sz w:val="20"/>
          <w:szCs w:val="20"/>
        </w:rPr>
        <w:lastRenderedPageBreak/>
        <w:t xml:space="preserve">The PLFS sampling weights and complex survey design were incorporated using the survey estimation procedures in Stata. The sampling weight, primary sampling unit (PSU), and strata information provided in the PLFS dataset were specified using </w:t>
      </w:r>
      <w:r w:rsidRPr="000A7B2A">
        <w:rPr>
          <w:rStyle w:val="HTMLCode"/>
          <w:rFonts w:ascii="Arial" w:eastAsiaTheme="majorEastAsia" w:hAnsi="Arial" w:cs="Arial"/>
        </w:rPr>
        <w:t>svyset</w:t>
      </w:r>
      <w:r w:rsidRPr="000A7B2A">
        <w:rPr>
          <w:rFonts w:ascii="Arial" w:hAnsi="Arial" w:cs="Arial"/>
          <w:sz w:val="20"/>
          <w:szCs w:val="20"/>
        </w:rPr>
        <w:t xml:space="preserve">, and the multinomial logistic regression was estimated using the </w:t>
      </w:r>
      <w:r w:rsidRPr="000A7B2A">
        <w:rPr>
          <w:rStyle w:val="HTMLCode"/>
          <w:rFonts w:ascii="Arial" w:eastAsiaTheme="majorEastAsia" w:hAnsi="Arial" w:cs="Arial"/>
        </w:rPr>
        <w:t>svy:</w:t>
      </w:r>
      <w:r w:rsidRPr="000A7B2A">
        <w:rPr>
          <w:rFonts w:ascii="Arial" w:hAnsi="Arial" w:cs="Arial"/>
          <w:sz w:val="20"/>
          <w:szCs w:val="20"/>
        </w:rPr>
        <w:t xml:space="preserve"> prefix. Average marginal effects and predicted probabilities were subsequently calculated using the survey-adjusted estimation results.</w:t>
      </w:r>
    </w:p>
    <w:p w14:paraId="152ACC28" w14:textId="77777777" w:rsidR="00A00E49" w:rsidRPr="000A7B2A" w:rsidRDefault="005D3655"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3</w:t>
      </w:r>
      <w:r w:rsidR="00A00E49" w:rsidRPr="000A7B2A">
        <w:rPr>
          <w:rFonts w:ascii="Arial" w:eastAsia="Times New Roman" w:hAnsi="Arial" w:cs="Arial"/>
          <w:b/>
          <w:bCs/>
          <w:sz w:val="20"/>
          <w:szCs w:val="20"/>
          <w:lang w:eastAsia="en-IN"/>
        </w:rPr>
        <w:t>.2 Construction of the Earnings Variable</w:t>
      </w:r>
    </w:p>
    <w:p w14:paraId="25E6D880"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PLFS collects earnings information differently according to employment status. Therefore, a comparable monthly labour earnings measure was constructed to facilitate the analysis of self-employed and casual agricultural workers.</w:t>
      </w:r>
    </w:p>
    <w:p w14:paraId="240C624B"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For casual labourers, the PLFS records daily cash and in-kind wages together with the number of days worked during the relevant reference period. Monthly labour earnings were estimated using the reported daily earnings and the corresponding number of days worked.</w:t>
      </w:r>
    </w:p>
    <w:p w14:paraId="0A23AF24"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For self-employed workers, the PLFS reports net earnings from self-employment. Such earnings may arise from own-account farming or household agricultural enterprises and therefore do not necessarily represent individually received wage payments. Accordingly, the present study uses the term monthly labour earnings rather than wages in the strict economic sense. The PLFS measurement framework therefore requires employment-status-specific treatment of earnings (Ministry of Statistics and Programme Implementation, 2024). More broadly, India’s labour-market literature documents marked differences in employment structure and participation across worker groups (Mehrotra &amp; Parida, 2017; Abraham, 2017).</w:t>
      </w:r>
    </w:p>
    <w:p w14:paraId="1602AE08"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A substantial proportion of self-employed agricultural workers, particularly unpaid family workers, reported zero individual monetary earnings during the reference period. Zero reported earnings should not necessarily be interpreted as an absence of productive work. Instead, they may reflect unpaid family labour, the non-allocation of household agricultural income among individual members, or the absence of positive monetary returns during the survey period. Such measurement issues are commonly recognised in studies of rural labour markets and informal employment (Binswanger &amp; Rosenzweig, 1986; Ellis, 2000; Ministry of Statistics and Programme Implementation, 2024</w:t>
      </w:r>
      <w:r w:rsidR="00047511" w:rsidRPr="000A7B2A">
        <w:rPr>
          <w:rFonts w:ascii="Arial" w:eastAsia="Times New Roman" w:hAnsi="Arial" w:cs="Arial"/>
          <w:sz w:val="20"/>
          <w:szCs w:val="20"/>
          <w:lang w:eastAsia="en-IN"/>
        </w:rPr>
        <w:t>). Therefore</w:t>
      </w:r>
      <w:r w:rsidRPr="000A7B2A">
        <w:rPr>
          <w:rFonts w:ascii="Arial" w:eastAsia="Times New Roman" w:hAnsi="Arial" w:cs="Arial"/>
          <w:sz w:val="20"/>
          <w:szCs w:val="20"/>
          <w:lang w:eastAsia="en-IN"/>
        </w:rPr>
        <w:t xml:space="preserve">, the </w:t>
      </w:r>
      <w:r w:rsidRPr="000A7B2A">
        <w:rPr>
          <w:rFonts w:ascii="Arial" w:eastAsia="Times New Roman" w:hAnsi="Arial" w:cs="Arial"/>
          <w:b/>
          <w:bCs/>
          <w:sz w:val="20"/>
          <w:szCs w:val="20"/>
          <w:lang w:eastAsia="en-IN"/>
        </w:rPr>
        <w:t>Zero Earnings</w:t>
      </w:r>
      <w:r w:rsidRPr="000A7B2A">
        <w:rPr>
          <w:rFonts w:ascii="Arial" w:eastAsia="Times New Roman" w:hAnsi="Arial" w:cs="Arial"/>
          <w:sz w:val="20"/>
          <w:szCs w:val="20"/>
          <w:lang w:eastAsia="en-IN"/>
        </w:rPr>
        <w:t xml:space="preserve"> category in this study indicates the absence of reported individual monetary earnings during the reference period and should not be interpreted solely as evidence of labour market withdrawal, unemployment, or agricultural losses.</w:t>
      </w:r>
    </w:p>
    <w:p w14:paraId="7FDB13FD" w14:textId="77777777" w:rsidR="00A00E49"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Dependent Variable</w:t>
      </w:r>
    </w:p>
    <w:p w14:paraId="129ABBC3"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The dependent variable is </w:t>
      </w:r>
      <w:r w:rsidRPr="000A7B2A">
        <w:rPr>
          <w:rFonts w:ascii="Arial" w:eastAsia="Times New Roman" w:hAnsi="Arial" w:cs="Arial"/>
          <w:b/>
          <w:bCs/>
          <w:sz w:val="20"/>
          <w:szCs w:val="20"/>
          <w:lang w:eastAsia="en-IN"/>
        </w:rPr>
        <w:t>monthly agricultural labour earnings</w:t>
      </w:r>
      <w:r w:rsidRPr="000A7B2A">
        <w:rPr>
          <w:rFonts w:ascii="Arial" w:eastAsia="Times New Roman" w:hAnsi="Arial" w:cs="Arial"/>
          <w:sz w:val="20"/>
          <w:szCs w:val="20"/>
          <w:lang w:eastAsia="en-IN"/>
        </w:rPr>
        <w:t>, classified into three mutually exclusive categories:</w:t>
      </w:r>
    </w:p>
    <w:p w14:paraId="5521DC37" w14:textId="77777777" w:rsidR="00A00E49" w:rsidRPr="000A7B2A" w:rsidRDefault="00A00E49" w:rsidP="00DF130D">
      <w:pPr>
        <w:numPr>
          <w:ilvl w:val="0"/>
          <w:numId w:val="23"/>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0 = Zero Earnings</w:t>
      </w:r>
    </w:p>
    <w:p w14:paraId="0F0A028D" w14:textId="77777777" w:rsidR="00A00E49" w:rsidRPr="000A7B2A" w:rsidRDefault="00A00E49" w:rsidP="00DF130D">
      <w:pPr>
        <w:numPr>
          <w:ilvl w:val="0"/>
          <w:numId w:val="23"/>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1 = ₹1–5,000 per month</w:t>
      </w:r>
    </w:p>
    <w:p w14:paraId="0E10832A" w14:textId="77777777" w:rsidR="00A00E49" w:rsidRPr="000A7B2A" w:rsidRDefault="00A00E49" w:rsidP="00DF130D">
      <w:pPr>
        <w:numPr>
          <w:ilvl w:val="0"/>
          <w:numId w:val="23"/>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2 = Above ₹5,000 per month</w:t>
      </w:r>
    </w:p>
    <w:p w14:paraId="2A848E9E"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This categorisation captures differences in individual monetary earnings among rural agricultural workers while explicitly accounting for the substantial proportion of workers reporting zero individual monetary earnings during the reference period.</w:t>
      </w:r>
    </w:p>
    <w:p w14:paraId="3A600B41" w14:textId="77777777" w:rsidR="00A00E49"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Explanatory Variables</w:t>
      </w:r>
    </w:p>
    <w:p w14:paraId="119C9DE0"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lastRenderedPageBreak/>
        <w:t>The explanatory variables included in the analysis are gender, educational attainment, age group, and employment type. Their reference categories are specified as follows:</w:t>
      </w:r>
    </w:p>
    <w:tbl>
      <w:tblPr>
        <w:tblStyle w:val="ListTable6Colorful"/>
        <w:tblW w:w="0" w:type="auto"/>
        <w:shd w:val="clear" w:color="auto" w:fill="FFFFFF" w:themeFill="background1"/>
        <w:tblLook w:val="04A0" w:firstRow="1" w:lastRow="0" w:firstColumn="1" w:lastColumn="0" w:noHBand="0" w:noVBand="1"/>
      </w:tblPr>
      <w:tblGrid>
        <w:gridCol w:w="1939"/>
        <w:gridCol w:w="5175"/>
        <w:gridCol w:w="1495"/>
      </w:tblGrid>
      <w:tr w:rsidR="00B72B95" w:rsidRPr="000A7B2A" w14:paraId="7A671901" w14:textId="77777777" w:rsidTr="00B72B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0614502" w14:textId="77777777" w:rsidR="00B72B95" w:rsidRPr="000A7B2A" w:rsidRDefault="00B72B95"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Variable</w:t>
            </w:r>
          </w:p>
        </w:tc>
        <w:tc>
          <w:tcPr>
            <w:tcW w:w="0" w:type="auto"/>
            <w:shd w:val="clear" w:color="auto" w:fill="FFFFFF" w:themeFill="background1"/>
            <w:hideMark/>
          </w:tcPr>
          <w:p w14:paraId="6EA14520" w14:textId="77777777" w:rsidR="00B72B95" w:rsidRPr="000A7B2A" w:rsidRDefault="00B72B95"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Coding</w:t>
            </w:r>
          </w:p>
        </w:tc>
        <w:tc>
          <w:tcPr>
            <w:tcW w:w="0" w:type="auto"/>
            <w:shd w:val="clear" w:color="auto" w:fill="FFFFFF" w:themeFill="background1"/>
            <w:hideMark/>
          </w:tcPr>
          <w:p w14:paraId="3BE5CFF1" w14:textId="77777777" w:rsidR="00B72B95" w:rsidRPr="000A7B2A" w:rsidRDefault="00B72B95"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Reference</w:t>
            </w:r>
          </w:p>
        </w:tc>
      </w:tr>
      <w:tr w:rsidR="00B72B95" w:rsidRPr="000A7B2A" w14:paraId="49E5CC83" w14:textId="77777777" w:rsidTr="00B72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0372E00" w14:textId="77777777" w:rsidR="00B72B95" w:rsidRPr="000A7B2A" w:rsidRDefault="00B72B95"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Earnings</w:t>
            </w:r>
          </w:p>
        </w:tc>
        <w:tc>
          <w:tcPr>
            <w:tcW w:w="0" w:type="auto"/>
            <w:shd w:val="clear" w:color="auto" w:fill="FFFFFF" w:themeFill="background1"/>
            <w:hideMark/>
          </w:tcPr>
          <w:p w14:paraId="3FECB2E8" w14:textId="77777777" w:rsidR="00B72B95" w:rsidRPr="000A7B2A" w:rsidRDefault="00B72B95"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 = Zero; 1 = ₹1–5,000; 2 = Above ₹5,000</w:t>
            </w:r>
          </w:p>
        </w:tc>
        <w:tc>
          <w:tcPr>
            <w:tcW w:w="0" w:type="auto"/>
            <w:shd w:val="clear" w:color="auto" w:fill="FFFFFF" w:themeFill="background1"/>
            <w:hideMark/>
          </w:tcPr>
          <w:p w14:paraId="76984040" w14:textId="77777777" w:rsidR="00B72B95" w:rsidRPr="000A7B2A" w:rsidRDefault="00B72B95"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Zero Earnings</w:t>
            </w:r>
          </w:p>
        </w:tc>
      </w:tr>
      <w:tr w:rsidR="00B72B95" w:rsidRPr="000A7B2A" w14:paraId="32BA5CBB" w14:textId="77777777" w:rsidTr="00B72B95">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FE3A1C6" w14:textId="77777777" w:rsidR="00B72B95" w:rsidRPr="000A7B2A" w:rsidRDefault="00B72B95"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Gender</w:t>
            </w:r>
          </w:p>
        </w:tc>
        <w:tc>
          <w:tcPr>
            <w:tcW w:w="0" w:type="auto"/>
            <w:shd w:val="clear" w:color="auto" w:fill="FFFFFF" w:themeFill="background1"/>
            <w:hideMark/>
          </w:tcPr>
          <w:p w14:paraId="2AC1D6CA" w14:textId="77777777" w:rsidR="00B72B95" w:rsidRPr="000A7B2A" w:rsidRDefault="00B72B95"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 = Male; 1 = Female</w:t>
            </w:r>
          </w:p>
        </w:tc>
        <w:tc>
          <w:tcPr>
            <w:tcW w:w="0" w:type="auto"/>
            <w:shd w:val="clear" w:color="auto" w:fill="FFFFFF" w:themeFill="background1"/>
            <w:hideMark/>
          </w:tcPr>
          <w:p w14:paraId="6959BD26" w14:textId="77777777" w:rsidR="00B72B95" w:rsidRPr="000A7B2A" w:rsidRDefault="00B72B95"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Male</w:t>
            </w:r>
          </w:p>
        </w:tc>
      </w:tr>
      <w:tr w:rsidR="00B72B95" w:rsidRPr="000A7B2A" w14:paraId="2EC9C2D2" w14:textId="77777777" w:rsidTr="00B72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2844A6D" w14:textId="77777777" w:rsidR="00B72B95" w:rsidRPr="000A7B2A" w:rsidRDefault="00B72B95"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Education</w:t>
            </w:r>
          </w:p>
        </w:tc>
        <w:tc>
          <w:tcPr>
            <w:tcW w:w="0" w:type="auto"/>
            <w:shd w:val="clear" w:color="auto" w:fill="FFFFFF" w:themeFill="background1"/>
            <w:hideMark/>
          </w:tcPr>
          <w:p w14:paraId="1827FEEF" w14:textId="77777777" w:rsidR="00B72B95" w:rsidRPr="000A7B2A" w:rsidRDefault="00B72B95"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 = Not Literate; 1 = Primary; 2 = Secondary; 3 = Higher</w:t>
            </w:r>
          </w:p>
        </w:tc>
        <w:tc>
          <w:tcPr>
            <w:tcW w:w="0" w:type="auto"/>
            <w:shd w:val="clear" w:color="auto" w:fill="FFFFFF" w:themeFill="background1"/>
            <w:hideMark/>
          </w:tcPr>
          <w:p w14:paraId="516BC74D" w14:textId="77777777" w:rsidR="00B72B95" w:rsidRPr="000A7B2A" w:rsidRDefault="00B72B95"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Not Literate</w:t>
            </w:r>
          </w:p>
        </w:tc>
      </w:tr>
      <w:tr w:rsidR="00B72B95" w:rsidRPr="000A7B2A" w14:paraId="2412561C" w14:textId="77777777" w:rsidTr="00B72B95">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D43B0B5" w14:textId="77777777" w:rsidR="00B72B95" w:rsidRPr="000A7B2A" w:rsidRDefault="00B72B95"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Age Group</w:t>
            </w:r>
          </w:p>
        </w:tc>
        <w:tc>
          <w:tcPr>
            <w:tcW w:w="0" w:type="auto"/>
            <w:shd w:val="clear" w:color="auto" w:fill="FFFFFF" w:themeFill="background1"/>
            <w:hideMark/>
          </w:tcPr>
          <w:p w14:paraId="78DECEFE" w14:textId="77777777" w:rsidR="00B72B95" w:rsidRPr="000A7B2A" w:rsidRDefault="00B72B95"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 = Young/Early; 1 = Mature; 2 = Senior</w:t>
            </w:r>
          </w:p>
        </w:tc>
        <w:tc>
          <w:tcPr>
            <w:tcW w:w="0" w:type="auto"/>
            <w:shd w:val="clear" w:color="auto" w:fill="FFFFFF" w:themeFill="background1"/>
            <w:hideMark/>
          </w:tcPr>
          <w:p w14:paraId="16B7CBCE" w14:textId="77777777" w:rsidR="00B72B95" w:rsidRPr="000A7B2A" w:rsidRDefault="00B72B95"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Young/Early</w:t>
            </w:r>
          </w:p>
        </w:tc>
      </w:tr>
      <w:tr w:rsidR="00B72B95" w:rsidRPr="000A7B2A" w14:paraId="6C389892" w14:textId="77777777" w:rsidTr="00B72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E7E3374" w14:textId="77777777" w:rsidR="00B72B95" w:rsidRPr="000A7B2A" w:rsidRDefault="00B72B95"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Employment Type</w:t>
            </w:r>
          </w:p>
        </w:tc>
        <w:tc>
          <w:tcPr>
            <w:tcW w:w="0" w:type="auto"/>
            <w:shd w:val="clear" w:color="auto" w:fill="FFFFFF" w:themeFill="background1"/>
            <w:hideMark/>
          </w:tcPr>
          <w:p w14:paraId="7A88EDAF" w14:textId="77777777" w:rsidR="00B72B95" w:rsidRPr="000A7B2A" w:rsidRDefault="00B72B95"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 = Self-employed; 1 = Casual Labour</w:t>
            </w:r>
          </w:p>
        </w:tc>
        <w:tc>
          <w:tcPr>
            <w:tcW w:w="0" w:type="auto"/>
            <w:shd w:val="clear" w:color="auto" w:fill="FFFFFF" w:themeFill="background1"/>
            <w:hideMark/>
          </w:tcPr>
          <w:p w14:paraId="72135F36" w14:textId="77777777" w:rsidR="00B72B95" w:rsidRPr="000A7B2A" w:rsidRDefault="00B72B95"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Self-employed</w:t>
            </w:r>
          </w:p>
        </w:tc>
      </w:tr>
    </w:tbl>
    <w:p w14:paraId="5241FFEA"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These variables were selected based on the theoretical perspectives of Human Capital Theory (Becker, 1964), Labour Market Segmentation Theory (Doeringer &amp; Piore, 1971), and Gender and Development Theory (Moser, 1993), as well as previous empirical research on labour market participation and earnings determination in India (Klasen &amp; Pieters, 2015; Mehrotra &amp; Parida, 2017).</w:t>
      </w:r>
    </w:p>
    <w:p w14:paraId="49039CFB" w14:textId="77777777" w:rsidR="00A00E49"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Human Capital Theory suggests that education and other individual characteristics can influence productivity and earnings potential. Labour Market Segmentation Theory highlights differences in employment arrangements and the unequal distribution of earnings across segments of the labour market. The gender perspective further recognises that social and economic structures may contribute to systematic differences in labour market outcomes between men and women.</w:t>
      </w:r>
    </w:p>
    <w:p w14:paraId="2AAA3562" w14:textId="77777777" w:rsidR="001228AD" w:rsidRPr="000A7B2A" w:rsidRDefault="00A00E4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Although factors such as caste, landholding, irrigation, farm size, and household asset ownership may also influence agricultural earnings, comparable information for all workers in the analytical sample was not available in a form suitable for inclusion in the present model. This limitation is therefore taken into consideration when interpreting the estimated associations.</w:t>
      </w:r>
    </w:p>
    <w:p w14:paraId="5ECEAF2A" w14:textId="77777777" w:rsidR="00A00E49" w:rsidRPr="000A7B2A" w:rsidRDefault="00A00E49"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Econometric Model</w:t>
      </w:r>
    </w:p>
    <w:p w14:paraId="3A22D1CC" w14:textId="77777777" w:rsidR="006931BA" w:rsidRPr="000A7B2A" w:rsidRDefault="006931BA" w:rsidP="00DF130D">
      <w:pPr>
        <w:pStyle w:val="pdq2pgselectionanchorcontainer"/>
        <w:spacing w:line="276" w:lineRule="auto"/>
        <w:jc w:val="both"/>
        <w:rPr>
          <w:rFonts w:ascii="Arial" w:hAnsi="Arial" w:cs="Arial"/>
          <w:sz w:val="20"/>
          <w:szCs w:val="20"/>
        </w:rPr>
      </w:pPr>
      <w:r w:rsidRPr="000A7B2A">
        <w:rPr>
          <w:rFonts w:ascii="Arial" w:hAnsi="Arial" w:cs="Arial"/>
          <w:sz w:val="20"/>
          <w:szCs w:val="20"/>
        </w:rPr>
        <w:t xml:space="preserve">Although the three earnings categories have a natural monetary ordering, the categories were treated as nominal outcomes rather than as points on a single continuous latent earnings scale. The Zero Earnings category is substantively distinct from positive earnings because it may reflect unpaid family labour, household-based agricultural production, or the absence of individually allocated monetary returns. Moreover, the ₹1–5,000 and above ₹5,000 categories represent broad earnings intervals rather than equal increments on an underlying continuous scale. The earnings measure also differs in construction between self-employed workers and casual labourers. For these reasons, a multinomial logistic regression (MNL) model was preferred to an ordered logit specification (Greene, 2018; Gujarati et al., 2021). The MNL model allows the associations between the explanatory variables and each positive-earnings category to differ relative to the Zero Earnings category and does not impose the proportional-odds assumption required by an ordered logit </w:t>
      </w:r>
      <w:r w:rsidR="00DA15A6" w:rsidRPr="000A7B2A">
        <w:rPr>
          <w:rFonts w:ascii="Arial" w:hAnsi="Arial" w:cs="Arial"/>
          <w:sz w:val="20"/>
          <w:szCs w:val="20"/>
        </w:rPr>
        <w:t>model. As</w:t>
      </w:r>
      <w:r w:rsidR="005474A9" w:rsidRPr="000A7B2A">
        <w:rPr>
          <w:rFonts w:ascii="Arial" w:hAnsi="Arial" w:cs="Arial"/>
          <w:sz w:val="20"/>
          <w:szCs w:val="20"/>
        </w:rPr>
        <w:t xml:space="preserve"> a sensitivity check, an ordered logistic model was estimated and the proportional-odds assumption was assessed. The assumption was not supported, indicating that the effect of the explanatory variables was not constant across the earnings thresholds. This provides additional support for the multinomial specification, which allows the coefficients to vary across earnings contrasts.</w:t>
      </w:r>
    </w:p>
    <w:p w14:paraId="64D75C65" w14:textId="77777777" w:rsidR="005F1629" w:rsidRPr="000A7B2A" w:rsidRDefault="005F162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Let z</w:t>
      </w:r>
      <w:r w:rsidRPr="000A7B2A">
        <w:rPr>
          <w:rFonts w:ascii="Arial" w:eastAsia="Times New Roman" w:hAnsi="Arial" w:cs="Arial"/>
          <w:b/>
          <w:bCs/>
          <w:sz w:val="20"/>
          <w:szCs w:val="20"/>
          <w:vertAlign w:val="subscript"/>
          <w:lang w:eastAsia="en-IN"/>
        </w:rPr>
        <w:t>i</w:t>
      </w:r>
      <w:r w:rsidRPr="000A7B2A">
        <w:rPr>
          <w:rFonts w:ascii="Arial" w:eastAsia="Times New Roman" w:hAnsi="Arial" w:cs="Arial"/>
          <w:b/>
          <w:bCs/>
          <w:sz w:val="20"/>
          <w:szCs w:val="20"/>
          <w:lang w:eastAsia="en-IN"/>
        </w:rPr>
        <w:t xml:space="preserve"> </w:t>
      </w:r>
      <w:r w:rsidRPr="000A7B2A">
        <w:rPr>
          <w:rFonts w:ascii="Arial" w:eastAsia="Times New Roman" w:hAnsi="Arial" w:cs="Arial"/>
          <w:sz w:val="20"/>
          <w:szCs w:val="20"/>
          <w:lang w:eastAsia="en-IN"/>
        </w:rPr>
        <w:t xml:space="preserve">denote the </w:t>
      </w:r>
      <w:r w:rsidR="006A7774" w:rsidRPr="000A7B2A">
        <w:rPr>
          <w:rFonts w:ascii="Arial" w:eastAsia="Times New Roman" w:hAnsi="Arial" w:cs="Arial"/>
          <w:sz w:val="20"/>
          <w:szCs w:val="20"/>
          <w:lang w:eastAsia="en-IN"/>
        </w:rPr>
        <w:t>zero-earning</w:t>
      </w:r>
      <w:r w:rsidRPr="000A7B2A">
        <w:rPr>
          <w:rFonts w:ascii="Arial" w:eastAsia="Times New Roman" w:hAnsi="Arial" w:cs="Arial"/>
          <w:sz w:val="20"/>
          <w:szCs w:val="20"/>
          <w:lang w:eastAsia="en-IN"/>
        </w:rPr>
        <w:t xml:space="preserve"> category of the individual, where:</w:t>
      </w:r>
    </w:p>
    <w:p w14:paraId="35006E00" w14:textId="77777777" w:rsidR="005F1629" w:rsidRPr="000A7B2A" w:rsidRDefault="00047511"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Y</w:t>
      </w:r>
      <w:r w:rsidRPr="000A7B2A">
        <w:rPr>
          <w:rFonts w:ascii="Arial" w:eastAsia="Times New Roman" w:hAnsi="Arial" w:cs="Arial"/>
          <w:sz w:val="20"/>
          <w:szCs w:val="20"/>
          <w:vertAlign w:val="subscript"/>
          <w:lang w:eastAsia="en-IN"/>
        </w:rPr>
        <w:t>i</w:t>
      </w:r>
      <m:oMath>
        <m:d>
          <m:dPr>
            <m:begChr m:val="{"/>
            <m:endChr m:val=""/>
            <m:ctrlPr>
              <w:rPr>
                <w:rFonts w:ascii="Cambria Math" w:eastAsia="Times New Roman" w:hAnsi="Cambria Math" w:cs="Arial"/>
                <w:i/>
                <w:sz w:val="20"/>
                <w:szCs w:val="20"/>
                <w:lang w:eastAsia="en-IN"/>
              </w:rPr>
            </m:ctrlPr>
          </m:dPr>
          <m:e>
            <m:eqArr>
              <m:eqArrPr>
                <m:ctrlPr>
                  <w:rPr>
                    <w:rFonts w:ascii="Cambria Math" w:eastAsia="Times New Roman" w:hAnsi="Cambria Math" w:cs="Arial"/>
                    <w:i/>
                    <w:sz w:val="20"/>
                    <w:szCs w:val="20"/>
                    <w:lang w:eastAsia="en-IN"/>
                  </w:rPr>
                </m:ctrlPr>
              </m:eqArrPr>
              <m:e>
                <m:r>
                  <w:rPr>
                    <w:rFonts w:ascii="Cambria Math" w:eastAsia="Times New Roman" w:hAnsi="Cambria Math" w:cs="Arial"/>
                    <w:sz w:val="20"/>
                    <w:szCs w:val="20"/>
                    <w:lang w:eastAsia="en-IN"/>
                  </w:rPr>
                  <m:t>0.zero earning</m:t>
                </m:r>
              </m:e>
              <m:e>
                <m:r>
                  <w:rPr>
                    <w:rFonts w:ascii="Cambria Math" w:eastAsia="Times New Roman" w:hAnsi="Cambria Math" w:cs="Arial"/>
                    <w:sz w:val="20"/>
                    <w:szCs w:val="20"/>
                    <w:lang w:eastAsia="en-IN"/>
                  </w:rPr>
                  <m:t>1.</m:t>
                </m:r>
                <m:r>
                  <m:rPr>
                    <m:sty m:val="p"/>
                  </m:rPr>
                  <w:rPr>
                    <w:rFonts w:ascii="Cambria Math" w:eastAsia="Times New Roman" w:hAnsi="Cambria Math" w:cs="Arial"/>
                    <w:sz w:val="20"/>
                    <w:szCs w:val="20"/>
                    <w:lang w:eastAsia="en-IN"/>
                  </w:rPr>
                  <m:t>₹1-5,000</m:t>
                </m:r>
              </m:e>
              <m:e>
                <m:r>
                  <w:rPr>
                    <w:rFonts w:ascii="Cambria Math" w:eastAsia="Times New Roman" w:hAnsi="Cambria Math" w:cs="Arial"/>
                    <w:sz w:val="20"/>
                    <w:szCs w:val="20"/>
                    <w:lang w:eastAsia="en-IN"/>
                  </w:rPr>
                  <m:t xml:space="preserve">2.Above₹5,000 </m:t>
                </m:r>
              </m:e>
            </m:eqArr>
          </m:e>
        </m:d>
      </m:oMath>
    </w:p>
    <w:p w14:paraId="6C88D1A3" w14:textId="77777777" w:rsidR="005F1629" w:rsidRPr="000A7B2A" w:rsidRDefault="005F162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multinomial logit Model is specified as:</w:t>
      </w:r>
    </w:p>
    <w:p w14:paraId="57DF39AC" w14:textId="77777777" w:rsidR="005F1629" w:rsidRPr="000A7B2A" w:rsidRDefault="005F162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lastRenderedPageBreak/>
        <w:t>In</w:t>
      </w:r>
      <m:oMath>
        <m:d>
          <m:dPr>
            <m:ctrlPr>
              <w:rPr>
                <w:rFonts w:ascii="Cambria Math" w:eastAsia="Times New Roman" w:hAnsi="Cambria Math" w:cs="Arial"/>
                <w:i/>
                <w:sz w:val="20"/>
                <w:szCs w:val="20"/>
                <w:lang w:eastAsia="en-IN"/>
              </w:rPr>
            </m:ctrlPr>
          </m:dPr>
          <m:e>
            <m:f>
              <m:fPr>
                <m:ctrlPr>
                  <w:rPr>
                    <w:rFonts w:ascii="Cambria Math" w:eastAsia="Times New Roman" w:hAnsi="Cambria Math" w:cs="Arial"/>
                    <w:i/>
                    <w:sz w:val="20"/>
                    <w:szCs w:val="20"/>
                    <w:lang w:eastAsia="en-IN"/>
                  </w:rPr>
                </m:ctrlPr>
              </m:fPr>
              <m:num>
                <m:r>
                  <w:rPr>
                    <w:rFonts w:ascii="Cambria Math" w:eastAsia="Times New Roman" w:hAnsi="Cambria Math" w:cs="Arial"/>
                    <w:sz w:val="20"/>
                    <w:szCs w:val="20"/>
                    <w:lang w:eastAsia="en-IN"/>
                  </w:rPr>
                  <m:t>P</m:t>
                </m:r>
                <m:d>
                  <m:dPr>
                    <m:ctrlPr>
                      <w:rPr>
                        <w:rFonts w:ascii="Cambria Math" w:eastAsia="Times New Roman" w:hAnsi="Cambria Math" w:cs="Arial"/>
                        <w:i/>
                        <w:sz w:val="20"/>
                        <w:szCs w:val="20"/>
                        <w:lang w:eastAsia="en-IN"/>
                      </w:rPr>
                    </m:ctrlPr>
                  </m:dPr>
                  <m:e>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Ye</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≡j</m:t>
                    </m:r>
                  </m:e>
                </m:d>
              </m:num>
              <m:den>
                <m:r>
                  <w:rPr>
                    <w:rFonts w:ascii="Cambria Math" w:eastAsia="Times New Roman" w:hAnsi="Cambria Math" w:cs="Arial"/>
                    <w:sz w:val="20"/>
                    <w:szCs w:val="20"/>
                    <w:lang w:eastAsia="en-IN"/>
                  </w:rPr>
                  <m:t>P</m:t>
                </m:r>
                <m:d>
                  <m:dPr>
                    <m:ctrlPr>
                      <w:rPr>
                        <w:rFonts w:ascii="Cambria Math" w:eastAsia="Times New Roman" w:hAnsi="Cambria Math" w:cs="Arial"/>
                        <w:i/>
                        <w:sz w:val="20"/>
                        <w:szCs w:val="20"/>
                        <w:lang w:eastAsia="en-IN"/>
                      </w:rPr>
                    </m:ctrlPr>
                  </m:dPr>
                  <m:e>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Y</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≡0</m:t>
                    </m:r>
                  </m:e>
                </m:d>
              </m:den>
            </m:f>
          </m:e>
        </m:d>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α</m:t>
            </m:r>
          </m:e>
          <m:sub>
            <m:r>
              <w:rPr>
                <w:rFonts w:ascii="Cambria Math" w:eastAsia="Times New Roman" w:hAnsi="Cambria Math" w:cs="Arial"/>
                <w:sz w:val="20"/>
                <w:szCs w:val="20"/>
                <w:lang w:eastAsia="en-IN"/>
              </w:rPr>
              <m:t>j</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1j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Gender</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2j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Education</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3j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Age Group</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4j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Employment Type</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ϵ</m:t>
            </m:r>
          </m:e>
          <m:sub>
            <m:r>
              <w:rPr>
                <w:rFonts w:ascii="Cambria Math" w:eastAsia="Times New Roman" w:hAnsi="Cambria Math" w:cs="Arial"/>
                <w:sz w:val="20"/>
                <w:szCs w:val="20"/>
                <w:lang w:eastAsia="en-IN"/>
              </w:rPr>
              <m:t xml:space="preserve">ij,     </m:t>
            </m:r>
          </m:sub>
        </m:sSub>
      </m:oMath>
    </w:p>
    <w:p w14:paraId="29B46536" w14:textId="77777777" w:rsidR="005F1629" w:rsidRPr="000A7B2A" w:rsidRDefault="005F1629" w:rsidP="00DF130D">
      <w:pPr>
        <w:spacing w:before="100" w:beforeAutospacing="1" w:after="100" w:afterAutospacing="1" w:line="276" w:lineRule="auto"/>
        <w:jc w:val="both"/>
        <w:rPr>
          <w:rFonts w:ascii="Arial" w:eastAsiaTheme="majorEastAsia" w:hAnsi="Arial" w:cs="Arial"/>
          <w:sz w:val="20"/>
          <w:szCs w:val="20"/>
          <w:vertAlign w:val="subscript"/>
          <w:lang w:eastAsia="en-IN"/>
        </w:rPr>
      </w:pPr>
      <m:oMath>
        <m:r>
          <w:rPr>
            <w:rFonts w:ascii="Cambria Math" w:eastAsia="Times New Roman" w:hAnsi="Cambria Math" w:cs="Arial"/>
            <w:sz w:val="20"/>
            <w:szCs w:val="20"/>
            <w:lang w:eastAsia="en-IN"/>
          </w:rPr>
          <m:t>P</m:t>
        </m:r>
        <m:d>
          <m:dPr>
            <m:ctrlPr>
              <w:rPr>
                <w:rFonts w:ascii="Cambria Math" w:eastAsia="Times New Roman" w:hAnsi="Cambria Math" w:cs="Arial"/>
                <w:i/>
                <w:sz w:val="20"/>
                <w:szCs w:val="20"/>
                <w:lang w:eastAsia="en-IN"/>
              </w:rPr>
            </m:ctrlPr>
          </m:dPr>
          <m:e>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y</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≡j</m:t>
            </m:r>
          </m:e>
        </m:d>
      </m:oMath>
      <w:r w:rsidRPr="000A7B2A">
        <w:rPr>
          <w:rFonts w:ascii="Arial" w:eastAsia="Times New Roman" w:hAnsi="Arial" w:cs="Arial"/>
          <w:sz w:val="20"/>
          <w:szCs w:val="20"/>
          <w:lang w:eastAsia="en-IN"/>
        </w:rPr>
        <w:t xml:space="preserve">=Probability that individual </w:t>
      </w:r>
      <w:r w:rsidRPr="000A7B2A">
        <w:rPr>
          <w:rFonts w:ascii="Arial" w:eastAsiaTheme="majorEastAsia" w:hAnsi="Arial" w:cs="Arial"/>
          <w:sz w:val="20"/>
          <w:szCs w:val="20"/>
          <w:lang w:eastAsia="en-IN"/>
        </w:rPr>
        <w:t>iii</w:t>
      </w:r>
      <w:r w:rsidRPr="000A7B2A">
        <w:rPr>
          <w:rFonts w:ascii="Arial" w:eastAsia="Times New Roman" w:hAnsi="Arial" w:cs="Arial"/>
          <w:sz w:val="20"/>
          <w:szCs w:val="20"/>
          <w:lang w:eastAsia="en-IN"/>
        </w:rPr>
        <w:t xml:space="preserve"> belongs to</w:t>
      </w:r>
      <w:r w:rsidR="00774A91" w:rsidRPr="000A7B2A">
        <w:rPr>
          <w:rFonts w:ascii="Arial" w:eastAsia="Times New Roman" w:hAnsi="Arial" w:cs="Arial"/>
          <w:sz w:val="20"/>
          <w:szCs w:val="20"/>
          <w:lang w:eastAsia="en-IN"/>
        </w:rPr>
        <w:t xml:space="preserve"> earnings </w:t>
      </w:r>
      <w:r w:rsidRPr="000A7B2A">
        <w:rPr>
          <w:rFonts w:ascii="Arial" w:eastAsia="Times New Roman" w:hAnsi="Arial" w:cs="Arial"/>
          <w:sz w:val="20"/>
          <w:szCs w:val="20"/>
          <w:lang w:eastAsia="en-IN"/>
        </w:rPr>
        <w:t>category j</w:t>
      </w:r>
    </w:p>
    <w:p w14:paraId="089B8769" w14:textId="77777777" w:rsidR="005F1629" w:rsidRPr="000A7B2A" w:rsidRDefault="00000000" w:rsidP="00DF130D">
      <w:pPr>
        <w:spacing w:before="100" w:beforeAutospacing="1" w:after="100" w:afterAutospacing="1" w:line="276" w:lineRule="auto"/>
        <w:jc w:val="both"/>
        <w:rPr>
          <w:rFonts w:ascii="Arial" w:eastAsiaTheme="majorEastAsia" w:hAnsi="Arial" w:cs="Arial"/>
          <w:sz w:val="20"/>
          <w:szCs w:val="20"/>
          <w:vertAlign w:val="subscript"/>
          <w:lang w:eastAsia="en-IN"/>
        </w:rPr>
      </w:pPr>
      <m:oMathPara>
        <m:oMathParaPr>
          <m:jc m:val="left"/>
        </m:oMathParaPr>
        <m:oMath>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α</m:t>
              </m:r>
            </m:e>
            <m:sub>
              <m:r>
                <w:rPr>
                  <w:rFonts w:ascii="Cambria Math" w:eastAsia="Times New Roman" w:hAnsi="Cambria Math" w:cs="Arial"/>
                  <w:sz w:val="20"/>
                  <w:szCs w:val="20"/>
                  <w:lang w:eastAsia="en-IN"/>
                </w:rPr>
                <m:t>j</m:t>
              </m:r>
            </m:sub>
          </m:sSub>
          <m:r>
            <w:rPr>
              <w:rFonts w:ascii="Cambria Math" w:eastAsia="Times New Roman" w:hAnsi="Cambria Math" w:cs="Arial"/>
              <w:sz w:val="20"/>
              <w:szCs w:val="20"/>
              <w:lang w:eastAsia="en-IN"/>
            </w:rPr>
            <m:t>=</m:t>
          </m:r>
          <m:r>
            <m:rPr>
              <m:sty m:val="p"/>
            </m:rPr>
            <w:rPr>
              <w:rFonts w:ascii="Cambria Math" w:eastAsia="Times New Roman" w:hAnsi="Cambria Math" w:cs="Arial"/>
              <w:sz w:val="20"/>
              <w:szCs w:val="20"/>
              <w:lang w:eastAsia="en-IN"/>
            </w:rPr>
            <m:t>Intercept term</m:t>
          </m:r>
        </m:oMath>
      </m:oMathPara>
    </w:p>
    <w:p w14:paraId="51A682DD" w14:textId="77777777" w:rsidR="005F1629" w:rsidRPr="000A7B2A" w:rsidRDefault="00000000" w:rsidP="00DF130D">
      <w:pPr>
        <w:spacing w:before="100" w:beforeAutospacing="1" w:after="100" w:afterAutospacing="1" w:line="276" w:lineRule="auto"/>
        <w:jc w:val="both"/>
        <w:rPr>
          <w:rFonts w:ascii="Arial" w:eastAsiaTheme="majorEastAsia" w:hAnsi="Arial" w:cs="Arial"/>
          <w:sz w:val="20"/>
          <w:szCs w:val="20"/>
          <w:lang w:eastAsia="en-IN"/>
        </w:rPr>
      </w:pPr>
      <m:oMathPara>
        <m:oMathParaPr>
          <m:jc m:val="left"/>
        </m:oMathParaPr>
        <m:oMath>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1j</m:t>
              </m:r>
            </m:sub>
          </m:sSub>
          <m:r>
            <w:rPr>
              <w:rFonts w:ascii="Cambria Math" w:eastAsia="Times New Roman" w:hAnsi="Cambria Math" w:cs="Arial"/>
              <w:sz w:val="20"/>
              <w:szCs w:val="20"/>
              <w:lang w:eastAsia="en-IN"/>
            </w:rPr>
            <m:t>to</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4j=</m:t>
              </m:r>
            </m:sub>
          </m:sSub>
          <m:r>
            <m:rPr>
              <m:sty m:val="p"/>
            </m:rPr>
            <w:rPr>
              <w:rFonts w:ascii="Cambria Math" w:eastAsia="Times New Roman" w:hAnsi="Cambria Math" w:cs="Arial"/>
              <w:sz w:val="20"/>
              <w:szCs w:val="20"/>
              <w:lang w:eastAsia="en-IN"/>
            </w:rPr>
            <m:t>Coefficients of explanatory variables</m:t>
          </m:r>
        </m:oMath>
      </m:oMathPara>
    </w:p>
    <w:p w14:paraId="7BF72934" w14:textId="77777777" w:rsidR="005F1629" w:rsidRPr="000A7B2A" w:rsidRDefault="00000000" w:rsidP="00DF130D">
      <w:pPr>
        <w:spacing w:before="100" w:beforeAutospacing="1" w:after="100" w:afterAutospacing="1" w:line="276" w:lineRule="auto"/>
        <w:jc w:val="both"/>
        <w:rPr>
          <w:rFonts w:ascii="Arial" w:eastAsiaTheme="majorEastAsia" w:hAnsi="Arial" w:cs="Arial"/>
          <w:sz w:val="20"/>
          <w:szCs w:val="20"/>
          <w:lang w:eastAsia="en-IN"/>
        </w:rPr>
      </w:pPr>
      <m:oMathPara>
        <m:oMathParaPr>
          <m:jc m:val="left"/>
        </m:oMathParaPr>
        <m:oMath>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ϵ</m:t>
              </m:r>
            </m:e>
            <m:sub>
              <m:r>
                <w:rPr>
                  <w:rFonts w:ascii="Cambria Math" w:eastAsia="Times New Roman" w:hAnsi="Cambria Math" w:cs="Arial"/>
                  <w:sz w:val="20"/>
                  <w:szCs w:val="20"/>
                  <w:lang w:eastAsia="en-IN"/>
                </w:rPr>
                <m:t>i,  =</m:t>
              </m:r>
              <m:r>
                <m:rPr>
                  <m:sty m:val="p"/>
                </m:rPr>
                <w:rPr>
                  <w:rFonts w:ascii="Cambria Math" w:eastAsia="Times New Roman" w:hAnsi="Cambria Math" w:cs="Arial"/>
                  <w:sz w:val="20"/>
                  <w:szCs w:val="20"/>
                  <w:lang w:eastAsia="en-IN"/>
                </w:rPr>
                <m:t>Error term</m:t>
              </m:r>
              <m:r>
                <w:rPr>
                  <w:rFonts w:ascii="Cambria Math" w:eastAsia="Times New Roman" w:hAnsi="Cambria Math" w:cs="Arial"/>
                  <w:sz w:val="20"/>
                  <w:szCs w:val="20"/>
                  <w:lang w:eastAsia="en-IN"/>
                </w:rPr>
                <m:t xml:space="preserve">  </m:t>
              </m:r>
            </m:sub>
          </m:sSub>
        </m:oMath>
      </m:oMathPara>
    </w:p>
    <w:p w14:paraId="53F4B6B0" w14:textId="77777777" w:rsidR="006345BD" w:rsidRPr="000A7B2A" w:rsidRDefault="006345BD"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where:</w:t>
      </w:r>
    </w:p>
    <w:p w14:paraId="6E114F15" w14:textId="77777777" w:rsidR="006345BD" w:rsidRPr="000A7B2A" w:rsidRDefault="006345BD" w:rsidP="00DF130D">
      <w:pPr>
        <w:numPr>
          <w:ilvl w:val="0"/>
          <w:numId w:val="26"/>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(Y</w:t>
      </w:r>
      <w:r w:rsidRPr="000A7B2A">
        <w:rPr>
          <w:rFonts w:ascii="Arial" w:eastAsia="Times New Roman" w:hAnsi="Arial" w:cs="Arial"/>
          <w:sz w:val="20"/>
          <w:szCs w:val="20"/>
          <w:vertAlign w:val="subscript"/>
          <w:lang w:eastAsia="en-IN"/>
        </w:rPr>
        <w:t>i</w:t>
      </w:r>
      <w:r w:rsidRPr="000A7B2A">
        <w:rPr>
          <w:rFonts w:ascii="Arial" w:eastAsia="Times New Roman" w:hAnsi="Arial" w:cs="Arial"/>
          <w:sz w:val="20"/>
          <w:szCs w:val="20"/>
          <w:lang w:eastAsia="en-IN"/>
        </w:rPr>
        <w:t>) denotes the earnings category of individual (i);</w:t>
      </w:r>
    </w:p>
    <w:p w14:paraId="2913CDF8" w14:textId="77777777" w:rsidR="006345BD" w:rsidRPr="000A7B2A" w:rsidRDefault="006345BD" w:rsidP="00DF130D">
      <w:pPr>
        <w:numPr>
          <w:ilvl w:val="0"/>
          <w:numId w:val="26"/>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(j=1) represents the ₹1–5,000 earnings category;</w:t>
      </w:r>
    </w:p>
    <w:p w14:paraId="77D167F3" w14:textId="77777777" w:rsidR="006345BD" w:rsidRPr="000A7B2A" w:rsidRDefault="006345BD" w:rsidP="00DF130D">
      <w:pPr>
        <w:numPr>
          <w:ilvl w:val="0"/>
          <w:numId w:val="26"/>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(j=2) represents the Above ₹5,000 earnings category;</w:t>
      </w:r>
    </w:p>
    <w:p w14:paraId="378DD2B5" w14:textId="77777777" w:rsidR="006345BD" w:rsidRPr="000A7B2A" w:rsidRDefault="006345BD" w:rsidP="00DF130D">
      <w:pPr>
        <w:numPr>
          <w:ilvl w:val="0"/>
          <w:numId w:val="26"/>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(j=0) represents the Zero Earnings category and is the reference outcome;</w:t>
      </w:r>
    </w:p>
    <w:p w14:paraId="56D9464A" w14:textId="77777777" w:rsidR="006345BD" w:rsidRPr="000A7B2A" w:rsidRDefault="006345BD" w:rsidP="00DF130D">
      <w:pPr>
        <w:numPr>
          <w:ilvl w:val="0"/>
          <w:numId w:val="26"/>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(P(Y</w:t>
      </w:r>
      <w:r w:rsidRPr="000A7B2A">
        <w:rPr>
          <w:rFonts w:ascii="Arial" w:eastAsia="Times New Roman" w:hAnsi="Arial" w:cs="Arial"/>
          <w:sz w:val="20"/>
          <w:szCs w:val="20"/>
          <w:vertAlign w:val="subscript"/>
          <w:lang w:eastAsia="en-IN"/>
        </w:rPr>
        <w:t>i</w:t>
      </w:r>
      <w:r w:rsidRPr="000A7B2A">
        <w:rPr>
          <w:rFonts w:ascii="Arial" w:eastAsia="Times New Roman" w:hAnsi="Arial" w:cs="Arial"/>
          <w:sz w:val="20"/>
          <w:szCs w:val="20"/>
          <w:lang w:eastAsia="en-IN"/>
        </w:rPr>
        <w:t>=j)) is the probability that individual (i) belongs to earnings category (j);</w:t>
      </w:r>
    </w:p>
    <w:p w14:paraId="686A6B3C" w14:textId="77777777" w:rsidR="005F1629" w:rsidRPr="000A7B2A" w:rsidRDefault="005F1629"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reference categories are:</w:t>
      </w:r>
    </w:p>
    <w:p w14:paraId="55A0BB48" w14:textId="77777777" w:rsidR="005F1629" w:rsidRPr="000A7B2A" w:rsidRDefault="005F1629" w:rsidP="00DF130D">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Gender:</w:t>
      </w:r>
      <w:r w:rsidRPr="000A7B2A">
        <w:rPr>
          <w:rFonts w:ascii="Arial" w:eastAsia="Times New Roman" w:hAnsi="Arial" w:cs="Arial"/>
          <w:sz w:val="20"/>
          <w:szCs w:val="20"/>
          <w:lang w:eastAsia="en-IN"/>
        </w:rPr>
        <w:t xml:space="preserve"> Male</w:t>
      </w:r>
    </w:p>
    <w:p w14:paraId="123D94DF" w14:textId="77777777" w:rsidR="005F1629" w:rsidRPr="000A7B2A" w:rsidRDefault="005F1629" w:rsidP="00DF130D">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Education:</w:t>
      </w:r>
      <w:r w:rsidRPr="000A7B2A">
        <w:rPr>
          <w:rFonts w:ascii="Arial" w:eastAsia="Times New Roman" w:hAnsi="Arial" w:cs="Arial"/>
          <w:sz w:val="20"/>
          <w:szCs w:val="20"/>
          <w:lang w:eastAsia="en-IN"/>
        </w:rPr>
        <w:t xml:space="preserve"> Not Literate</w:t>
      </w:r>
    </w:p>
    <w:p w14:paraId="5F84EF13" w14:textId="77777777" w:rsidR="005F1629" w:rsidRPr="000A7B2A" w:rsidRDefault="005F1629" w:rsidP="00DF130D">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Age Group:</w:t>
      </w:r>
      <w:r w:rsidRPr="000A7B2A">
        <w:rPr>
          <w:rFonts w:ascii="Arial" w:eastAsia="Times New Roman" w:hAnsi="Arial" w:cs="Arial"/>
          <w:sz w:val="20"/>
          <w:szCs w:val="20"/>
          <w:lang w:eastAsia="en-IN"/>
        </w:rPr>
        <w:t xml:space="preserve"> Young/Early (15–25 years)</w:t>
      </w:r>
    </w:p>
    <w:p w14:paraId="09D4915C" w14:textId="77777777" w:rsidR="005F1629" w:rsidRPr="000A7B2A" w:rsidRDefault="005F1629" w:rsidP="00DF130D">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Employment Type:</w:t>
      </w:r>
      <w:r w:rsidRPr="000A7B2A">
        <w:rPr>
          <w:rFonts w:ascii="Arial" w:eastAsia="Times New Roman" w:hAnsi="Arial" w:cs="Arial"/>
          <w:sz w:val="20"/>
          <w:szCs w:val="20"/>
          <w:lang w:eastAsia="en-IN"/>
        </w:rPr>
        <w:t xml:space="preserve"> Self-employed</w:t>
      </w:r>
    </w:p>
    <w:p w14:paraId="3AD927A7" w14:textId="77777777" w:rsidR="00C92E95" w:rsidRPr="000A7B2A" w:rsidRDefault="00A00E49" w:rsidP="00520083">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Following estimation of the multinomial logistic regression model, Average Marginal Effects (AMEs) and Predicted Probabilities were computed to facilitate substantive interpretation of the estimated associations. These measures provide a more intuitive assessment of how changes in the explanatory variables are associated with the probability of falling into each earnings category.</w:t>
      </w:r>
    </w:p>
    <w:p w14:paraId="37D2F21B" w14:textId="77777777" w:rsidR="00A26AF8" w:rsidRPr="000A7B2A" w:rsidRDefault="006A7774" w:rsidP="00DF130D">
      <w:pPr>
        <w:spacing w:before="100" w:beforeAutospacing="1" w:after="100" w:afterAutospacing="1" w:line="276" w:lineRule="auto"/>
        <w:jc w:val="both"/>
        <w:outlineLvl w:val="2"/>
        <w:rPr>
          <w:rFonts w:ascii="Arial" w:eastAsia="Times New Roman" w:hAnsi="Arial" w:cs="Arial"/>
          <w:b/>
          <w:bCs/>
          <w:sz w:val="24"/>
          <w:szCs w:val="24"/>
          <w:lang w:eastAsia="en-IN"/>
        </w:rPr>
      </w:pPr>
      <w:r w:rsidRPr="000A7B2A">
        <w:rPr>
          <w:rFonts w:ascii="Arial" w:eastAsia="Times New Roman" w:hAnsi="Arial" w:cs="Arial"/>
          <w:b/>
          <w:bCs/>
          <w:sz w:val="24"/>
          <w:szCs w:val="24"/>
          <w:lang w:eastAsia="en-IN"/>
        </w:rPr>
        <w:t>4</w:t>
      </w:r>
      <w:r w:rsidR="00F04AE6" w:rsidRPr="000A7B2A">
        <w:rPr>
          <w:rFonts w:ascii="Arial" w:eastAsia="Times New Roman" w:hAnsi="Arial" w:cs="Arial"/>
          <w:b/>
          <w:bCs/>
          <w:sz w:val="24"/>
          <w:szCs w:val="24"/>
          <w:lang w:eastAsia="en-IN"/>
        </w:rPr>
        <w:t>.RESULTS AND DISCUSSION</w:t>
      </w:r>
    </w:p>
    <w:tbl>
      <w:tblPr>
        <w:tblStyle w:val="ListTable6Colorful"/>
        <w:tblpPr w:leftFromText="180" w:rightFromText="180" w:vertAnchor="text" w:horzAnchor="margin" w:tblpY="588"/>
        <w:tblW w:w="9743" w:type="dxa"/>
        <w:shd w:val="clear" w:color="auto" w:fill="FFFFFF" w:themeFill="background1"/>
        <w:tblLook w:val="04A0" w:firstRow="1" w:lastRow="0" w:firstColumn="1" w:lastColumn="0" w:noHBand="0" w:noVBand="1"/>
      </w:tblPr>
      <w:tblGrid>
        <w:gridCol w:w="2120"/>
        <w:gridCol w:w="1976"/>
        <w:gridCol w:w="1652"/>
        <w:gridCol w:w="1301"/>
        <w:gridCol w:w="1690"/>
        <w:gridCol w:w="1004"/>
      </w:tblGrid>
      <w:tr w:rsidR="00650F3A" w:rsidRPr="000A7B2A" w14:paraId="3C0B404A" w14:textId="77777777" w:rsidTr="00650F3A">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329ED7BE" w14:textId="77777777" w:rsidR="00650F3A" w:rsidRPr="000A7B2A" w:rsidRDefault="00650F3A" w:rsidP="00DF130D">
            <w:pPr>
              <w:spacing w:line="276" w:lineRule="auto"/>
              <w:jc w:val="both"/>
              <w:rPr>
                <w:rFonts w:ascii="Arial" w:hAnsi="Arial" w:cs="Arial"/>
                <w:sz w:val="20"/>
                <w:szCs w:val="20"/>
              </w:rPr>
            </w:pPr>
            <w:r w:rsidRPr="000A7B2A">
              <w:rPr>
                <w:rFonts w:ascii="Arial" w:hAnsi="Arial" w:cs="Arial"/>
                <w:sz w:val="20"/>
                <w:szCs w:val="20"/>
              </w:rPr>
              <w:t xml:space="preserve">Variable </w:t>
            </w:r>
          </w:p>
        </w:tc>
        <w:tc>
          <w:tcPr>
            <w:tcW w:w="1976" w:type="dxa"/>
            <w:shd w:val="clear" w:color="auto" w:fill="FFFFFF" w:themeFill="background1"/>
            <w:hideMark/>
          </w:tcPr>
          <w:p w14:paraId="12C75703" w14:textId="77777777" w:rsidR="00650F3A" w:rsidRPr="000A7B2A" w:rsidRDefault="00650F3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Category</w:t>
            </w:r>
          </w:p>
        </w:tc>
        <w:tc>
          <w:tcPr>
            <w:tcW w:w="0" w:type="auto"/>
            <w:shd w:val="clear" w:color="auto" w:fill="FFFFFF" w:themeFill="background1"/>
            <w:hideMark/>
          </w:tcPr>
          <w:p w14:paraId="0461D068" w14:textId="77777777" w:rsidR="00650F3A" w:rsidRPr="000A7B2A" w:rsidRDefault="00650F3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Zero earning (%)</w:t>
            </w:r>
          </w:p>
        </w:tc>
        <w:tc>
          <w:tcPr>
            <w:tcW w:w="0" w:type="auto"/>
            <w:shd w:val="clear" w:color="auto" w:fill="FFFFFF" w:themeFill="background1"/>
            <w:hideMark/>
          </w:tcPr>
          <w:p w14:paraId="3784CFBE" w14:textId="77777777" w:rsidR="00650F3A" w:rsidRPr="000A7B2A" w:rsidRDefault="00650F3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₹1–5,000 (%)</w:t>
            </w:r>
          </w:p>
        </w:tc>
        <w:tc>
          <w:tcPr>
            <w:tcW w:w="0" w:type="auto"/>
            <w:shd w:val="clear" w:color="auto" w:fill="FFFFFF" w:themeFill="background1"/>
            <w:hideMark/>
          </w:tcPr>
          <w:p w14:paraId="7D227B12" w14:textId="77777777" w:rsidR="00650F3A" w:rsidRPr="000A7B2A" w:rsidRDefault="00650F3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Above ₹5,000 (%)</w:t>
            </w:r>
          </w:p>
        </w:tc>
        <w:tc>
          <w:tcPr>
            <w:tcW w:w="0" w:type="auto"/>
            <w:shd w:val="clear" w:color="auto" w:fill="FFFFFF" w:themeFill="background1"/>
            <w:hideMark/>
          </w:tcPr>
          <w:p w14:paraId="2ED85395" w14:textId="77777777" w:rsidR="00650F3A" w:rsidRPr="000A7B2A" w:rsidRDefault="00650F3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Total (%)</w:t>
            </w:r>
          </w:p>
        </w:tc>
      </w:tr>
      <w:tr w:rsidR="00650F3A" w:rsidRPr="000A7B2A" w14:paraId="7B76A903" w14:textId="77777777" w:rsidTr="00650F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16AE2376" w14:textId="77777777" w:rsidR="00650F3A" w:rsidRPr="000A7B2A" w:rsidRDefault="00650F3A" w:rsidP="00DF130D">
            <w:pPr>
              <w:spacing w:line="276" w:lineRule="auto"/>
              <w:jc w:val="both"/>
              <w:rPr>
                <w:rFonts w:ascii="Arial" w:hAnsi="Arial" w:cs="Arial"/>
                <w:sz w:val="20"/>
                <w:szCs w:val="20"/>
              </w:rPr>
            </w:pPr>
            <w:r w:rsidRPr="000A7B2A">
              <w:rPr>
                <w:rFonts w:ascii="Arial" w:hAnsi="Arial" w:cs="Arial"/>
                <w:sz w:val="20"/>
                <w:szCs w:val="20"/>
              </w:rPr>
              <w:t>Gender</w:t>
            </w:r>
          </w:p>
        </w:tc>
        <w:tc>
          <w:tcPr>
            <w:tcW w:w="1976" w:type="dxa"/>
            <w:shd w:val="clear" w:color="auto" w:fill="FFFFFF" w:themeFill="background1"/>
            <w:hideMark/>
          </w:tcPr>
          <w:p w14:paraId="319331C5"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76E92C7A"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60.55</w:t>
            </w:r>
          </w:p>
        </w:tc>
        <w:tc>
          <w:tcPr>
            <w:tcW w:w="0" w:type="auto"/>
            <w:shd w:val="clear" w:color="auto" w:fill="FFFFFF" w:themeFill="background1"/>
            <w:hideMark/>
          </w:tcPr>
          <w:p w14:paraId="6A5C4352"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34.38</w:t>
            </w:r>
          </w:p>
        </w:tc>
        <w:tc>
          <w:tcPr>
            <w:tcW w:w="0" w:type="auto"/>
            <w:shd w:val="clear" w:color="auto" w:fill="FFFFFF" w:themeFill="background1"/>
            <w:hideMark/>
          </w:tcPr>
          <w:p w14:paraId="708F9C7E"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38.71</w:t>
            </w:r>
          </w:p>
        </w:tc>
        <w:tc>
          <w:tcPr>
            <w:tcW w:w="0" w:type="auto"/>
            <w:shd w:val="clear" w:color="auto" w:fill="FFFFFF" w:themeFill="background1"/>
            <w:hideMark/>
          </w:tcPr>
          <w:p w14:paraId="507389B4"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51.89</w:t>
            </w:r>
          </w:p>
        </w:tc>
      </w:tr>
      <w:tr w:rsidR="00650F3A" w:rsidRPr="000A7B2A" w14:paraId="62A8B3D5" w14:textId="77777777" w:rsidTr="00650F3A">
        <w:trPr>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123EC424"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0CF749DC"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05D939EB"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39.45</w:t>
            </w:r>
          </w:p>
        </w:tc>
        <w:tc>
          <w:tcPr>
            <w:tcW w:w="0" w:type="auto"/>
            <w:shd w:val="clear" w:color="auto" w:fill="FFFFFF" w:themeFill="background1"/>
            <w:hideMark/>
          </w:tcPr>
          <w:p w14:paraId="798F9A4D"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65.62</w:t>
            </w:r>
          </w:p>
        </w:tc>
        <w:tc>
          <w:tcPr>
            <w:tcW w:w="0" w:type="auto"/>
            <w:shd w:val="clear" w:color="auto" w:fill="FFFFFF" w:themeFill="background1"/>
            <w:hideMark/>
          </w:tcPr>
          <w:p w14:paraId="151F6314"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61.29</w:t>
            </w:r>
          </w:p>
        </w:tc>
        <w:tc>
          <w:tcPr>
            <w:tcW w:w="0" w:type="auto"/>
            <w:shd w:val="clear" w:color="auto" w:fill="FFFFFF" w:themeFill="background1"/>
            <w:hideMark/>
          </w:tcPr>
          <w:p w14:paraId="7028A757"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48.11</w:t>
            </w:r>
          </w:p>
        </w:tc>
      </w:tr>
      <w:tr w:rsidR="00650F3A" w:rsidRPr="000A7B2A" w14:paraId="203F1E37" w14:textId="77777777" w:rsidTr="00650F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7D07DCB3" w14:textId="77777777" w:rsidR="00650F3A" w:rsidRPr="000A7B2A" w:rsidRDefault="00650F3A" w:rsidP="00DF130D">
            <w:pPr>
              <w:spacing w:line="276" w:lineRule="auto"/>
              <w:jc w:val="both"/>
              <w:rPr>
                <w:rFonts w:ascii="Arial" w:hAnsi="Arial" w:cs="Arial"/>
                <w:sz w:val="20"/>
                <w:szCs w:val="20"/>
              </w:rPr>
            </w:pPr>
            <w:r w:rsidRPr="000A7B2A">
              <w:rPr>
                <w:rFonts w:ascii="Arial" w:hAnsi="Arial" w:cs="Arial"/>
                <w:sz w:val="20"/>
                <w:szCs w:val="20"/>
              </w:rPr>
              <w:t>Education Level</w:t>
            </w:r>
          </w:p>
        </w:tc>
        <w:tc>
          <w:tcPr>
            <w:tcW w:w="1976" w:type="dxa"/>
            <w:shd w:val="clear" w:color="auto" w:fill="FFFFFF" w:themeFill="background1"/>
            <w:hideMark/>
          </w:tcPr>
          <w:p w14:paraId="31AAB591"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Not Literate</w:t>
            </w:r>
          </w:p>
        </w:tc>
        <w:tc>
          <w:tcPr>
            <w:tcW w:w="0" w:type="auto"/>
            <w:shd w:val="clear" w:color="auto" w:fill="FFFFFF" w:themeFill="background1"/>
            <w:hideMark/>
          </w:tcPr>
          <w:p w14:paraId="7D043CEF"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41.85</w:t>
            </w:r>
          </w:p>
        </w:tc>
        <w:tc>
          <w:tcPr>
            <w:tcW w:w="0" w:type="auto"/>
            <w:shd w:val="clear" w:color="auto" w:fill="FFFFFF" w:themeFill="background1"/>
            <w:hideMark/>
          </w:tcPr>
          <w:p w14:paraId="26A2A50C"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62.12</w:t>
            </w:r>
          </w:p>
        </w:tc>
        <w:tc>
          <w:tcPr>
            <w:tcW w:w="0" w:type="auto"/>
            <w:shd w:val="clear" w:color="auto" w:fill="FFFFFF" w:themeFill="background1"/>
            <w:hideMark/>
          </w:tcPr>
          <w:p w14:paraId="48A27987"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55.43</w:t>
            </w:r>
          </w:p>
        </w:tc>
        <w:tc>
          <w:tcPr>
            <w:tcW w:w="0" w:type="auto"/>
            <w:shd w:val="clear" w:color="auto" w:fill="FFFFFF" w:themeFill="background1"/>
            <w:hideMark/>
          </w:tcPr>
          <w:p w14:paraId="1C1D046A"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47.58</w:t>
            </w:r>
          </w:p>
        </w:tc>
      </w:tr>
      <w:tr w:rsidR="00650F3A" w:rsidRPr="000A7B2A" w14:paraId="77B92450" w14:textId="77777777" w:rsidTr="00650F3A">
        <w:trPr>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3076F74D"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5EFA1E36"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Primary</w:t>
            </w:r>
          </w:p>
        </w:tc>
        <w:tc>
          <w:tcPr>
            <w:tcW w:w="0" w:type="auto"/>
            <w:shd w:val="clear" w:color="auto" w:fill="FFFFFF" w:themeFill="background1"/>
            <w:hideMark/>
          </w:tcPr>
          <w:p w14:paraId="3C65E445"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25.48</w:t>
            </w:r>
          </w:p>
        </w:tc>
        <w:tc>
          <w:tcPr>
            <w:tcW w:w="0" w:type="auto"/>
            <w:shd w:val="clear" w:color="auto" w:fill="FFFFFF" w:themeFill="background1"/>
            <w:hideMark/>
          </w:tcPr>
          <w:p w14:paraId="2BF2FF10"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11.65</w:t>
            </w:r>
          </w:p>
        </w:tc>
        <w:tc>
          <w:tcPr>
            <w:tcW w:w="0" w:type="auto"/>
            <w:shd w:val="clear" w:color="auto" w:fill="FFFFFF" w:themeFill="background1"/>
            <w:hideMark/>
          </w:tcPr>
          <w:p w14:paraId="242FD40B"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28.44</w:t>
            </w:r>
          </w:p>
        </w:tc>
        <w:tc>
          <w:tcPr>
            <w:tcW w:w="0" w:type="auto"/>
            <w:shd w:val="clear" w:color="auto" w:fill="FFFFFF" w:themeFill="background1"/>
            <w:hideMark/>
          </w:tcPr>
          <w:p w14:paraId="59E66B8F"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25.15</w:t>
            </w:r>
          </w:p>
        </w:tc>
      </w:tr>
      <w:tr w:rsidR="00650F3A" w:rsidRPr="000A7B2A" w14:paraId="2979AA6D" w14:textId="77777777" w:rsidTr="00650F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14B30953"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33797D29"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Secondary</w:t>
            </w:r>
          </w:p>
        </w:tc>
        <w:tc>
          <w:tcPr>
            <w:tcW w:w="0" w:type="auto"/>
            <w:shd w:val="clear" w:color="auto" w:fill="FFFFFF" w:themeFill="background1"/>
            <w:hideMark/>
          </w:tcPr>
          <w:p w14:paraId="56C356B9"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22.68</w:t>
            </w:r>
          </w:p>
        </w:tc>
        <w:tc>
          <w:tcPr>
            <w:tcW w:w="0" w:type="auto"/>
            <w:shd w:val="clear" w:color="auto" w:fill="FFFFFF" w:themeFill="background1"/>
            <w:hideMark/>
          </w:tcPr>
          <w:p w14:paraId="1EE2E654"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25.64</w:t>
            </w:r>
          </w:p>
        </w:tc>
        <w:tc>
          <w:tcPr>
            <w:tcW w:w="0" w:type="auto"/>
            <w:shd w:val="clear" w:color="auto" w:fill="FFFFFF" w:themeFill="background1"/>
            <w:hideMark/>
          </w:tcPr>
          <w:p w14:paraId="01AAE64F"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15.09</w:t>
            </w:r>
          </w:p>
        </w:tc>
        <w:tc>
          <w:tcPr>
            <w:tcW w:w="0" w:type="auto"/>
            <w:shd w:val="clear" w:color="auto" w:fill="FFFFFF" w:themeFill="background1"/>
            <w:hideMark/>
          </w:tcPr>
          <w:p w14:paraId="1452043F"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20.71</w:t>
            </w:r>
          </w:p>
        </w:tc>
      </w:tr>
      <w:tr w:rsidR="00650F3A" w:rsidRPr="000A7B2A" w14:paraId="0C5903D1" w14:textId="77777777" w:rsidTr="00650F3A">
        <w:trPr>
          <w:trHeight w:val="25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3B8BD14B"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7DE8FED6"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Higher</w:t>
            </w:r>
          </w:p>
        </w:tc>
        <w:tc>
          <w:tcPr>
            <w:tcW w:w="0" w:type="auto"/>
            <w:shd w:val="clear" w:color="auto" w:fill="FFFFFF" w:themeFill="background1"/>
            <w:hideMark/>
          </w:tcPr>
          <w:p w14:paraId="6E855AB7"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10.00</w:t>
            </w:r>
          </w:p>
        </w:tc>
        <w:tc>
          <w:tcPr>
            <w:tcW w:w="0" w:type="auto"/>
            <w:shd w:val="clear" w:color="auto" w:fill="FFFFFF" w:themeFill="background1"/>
            <w:hideMark/>
          </w:tcPr>
          <w:p w14:paraId="0CF60BCE"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0.60</w:t>
            </w:r>
          </w:p>
        </w:tc>
        <w:tc>
          <w:tcPr>
            <w:tcW w:w="0" w:type="auto"/>
            <w:shd w:val="clear" w:color="auto" w:fill="FFFFFF" w:themeFill="background1"/>
            <w:hideMark/>
          </w:tcPr>
          <w:p w14:paraId="562F91E9"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1.04</w:t>
            </w:r>
          </w:p>
        </w:tc>
        <w:tc>
          <w:tcPr>
            <w:tcW w:w="0" w:type="auto"/>
            <w:shd w:val="clear" w:color="auto" w:fill="FFFFFF" w:themeFill="background1"/>
            <w:hideMark/>
          </w:tcPr>
          <w:p w14:paraId="79FD7AB2"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6.56</w:t>
            </w:r>
          </w:p>
        </w:tc>
      </w:tr>
      <w:tr w:rsidR="00650F3A" w:rsidRPr="000A7B2A" w14:paraId="2602ECB3" w14:textId="77777777" w:rsidTr="00650F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4DF413DC" w14:textId="77777777" w:rsidR="00650F3A" w:rsidRPr="000A7B2A" w:rsidRDefault="00650F3A" w:rsidP="00DF130D">
            <w:pPr>
              <w:spacing w:line="276" w:lineRule="auto"/>
              <w:jc w:val="both"/>
              <w:rPr>
                <w:rFonts w:ascii="Arial" w:hAnsi="Arial" w:cs="Arial"/>
                <w:sz w:val="20"/>
                <w:szCs w:val="20"/>
              </w:rPr>
            </w:pPr>
            <w:r w:rsidRPr="000A7B2A">
              <w:rPr>
                <w:rFonts w:ascii="Arial" w:hAnsi="Arial" w:cs="Arial"/>
                <w:sz w:val="20"/>
                <w:szCs w:val="20"/>
              </w:rPr>
              <w:t>Age Group</w:t>
            </w:r>
          </w:p>
        </w:tc>
        <w:tc>
          <w:tcPr>
            <w:tcW w:w="1976" w:type="dxa"/>
            <w:shd w:val="clear" w:color="auto" w:fill="FFFFFF" w:themeFill="background1"/>
            <w:hideMark/>
          </w:tcPr>
          <w:p w14:paraId="27AABBD6"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Young/Early</w:t>
            </w:r>
          </w:p>
        </w:tc>
        <w:tc>
          <w:tcPr>
            <w:tcW w:w="0" w:type="auto"/>
            <w:shd w:val="clear" w:color="auto" w:fill="FFFFFF" w:themeFill="background1"/>
            <w:hideMark/>
          </w:tcPr>
          <w:p w14:paraId="5BF4BD35"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8.58</w:t>
            </w:r>
          </w:p>
        </w:tc>
        <w:tc>
          <w:tcPr>
            <w:tcW w:w="0" w:type="auto"/>
            <w:shd w:val="clear" w:color="auto" w:fill="FFFFFF" w:themeFill="background1"/>
            <w:hideMark/>
          </w:tcPr>
          <w:p w14:paraId="570B8A7F"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11.51</w:t>
            </w:r>
          </w:p>
        </w:tc>
        <w:tc>
          <w:tcPr>
            <w:tcW w:w="0" w:type="auto"/>
            <w:shd w:val="clear" w:color="auto" w:fill="FFFFFF" w:themeFill="background1"/>
            <w:hideMark/>
          </w:tcPr>
          <w:p w14:paraId="70CD07B8"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12.43</w:t>
            </w:r>
          </w:p>
        </w:tc>
        <w:tc>
          <w:tcPr>
            <w:tcW w:w="0" w:type="auto"/>
            <w:shd w:val="clear" w:color="auto" w:fill="FFFFFF" w:themeFill="background1"/>
            <w:hideMark/>
          </w:tcPr>
          <w:p w14:paraId="04AE1908"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9.96</w:t>
            </w:r>
          </w:p>
        </w:tc>
      </w:tr>
      <w:tr w:rsidR="00650F3A" w:rsidRPr="000A7B2A" w14:paraId="4EC1A584" w14:textId="77777777" w:rsidTr="00650F3A">
        <w:trPr>
          <w:trHeight w:val="25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593F499F"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6BF8343F"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Mature</w:t>
            </w:r>
          </w:p>
        </w:tc>
        <w:tc>
          <w:tcPr>
            <w:tcW w:w="0" w:type="auto"/>
            <w:shd w:val="clear" w:color="auto" w:fill="FFFFFF" w:themeFill="background1"/>
            <w:hideMark/>
          </w:tcPr>
          <w:p w14:paraId="2BF94CC6"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20.64</w:t>
            </w:r>
          </w:p>
        </w:tc>
        <w:tc>
          <w:tcPr>
            <w:tcW w:w="0" w:type="auto"/>
            <w:shd w:val="clear" w:color="auto" w:fill="FFFFFF" w:themeFill="background1"/>
            <w:hideMark/>
          </w:tcPr>
          <w:p w14:paraId="16031363"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16.56</w:t>
            </w:r>
          </w:p>
        </w:tc>
        <w:tc>
          <w:tcPr>
            <w:tcW w:w="0" w:type="auto"/>
            <w:shd w:val="clear" w:color="auto" w:fill="FFFFFF" w:themeFill="background1"/>
            <w:hideMark/>
          </w:tcPr>
          <w:p w14:paraId="0F0B6D12"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22.44</w:t>
            </w:r>
          </w:p>
        </w:tc>
        <w:tc>
          <w:tcPr>
            <w:tcW w:w="0" w:type="auto"/>
            <w:shd w:val="clear" w:color="auto" w:fill="FFFFFF" w:themeFill="background1"/>
            <w:hideMark/>
          </w:tcPr>
          <w:p w14:paraId="4464168B"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20.82</w:t>
            </w:r>
          </w:p>
        </w:tc>
      </w:tr>
      <w:tr w:rsidR="00650F3A" w:rsidRPr="000A7B2A" w14:paraId="63B11132" w14:textId="77777777" w:rsidTr="00650F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75F79CAE"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3742B659"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Senior</w:t>
            </w:r>
          </w:p>
        </w:tc>
        <w:tc>
          <w:tcPr>
            <w:tcW w:w="0" w:type="auto"/>
            <w:shd w:val="clear" w:color="auto" w:fill="FFFFFF" w:themeFill="background1"/>
            <w:hideMark/>
          </w:tcPr>
          <w:p w14:paraId="155A46FB"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70.77</w:t>
            </w:r>
          </w:p>
        </w:tc>
        <w:tc>
          <w:tcPr>
            <w:tcW w:w="0" w:type="auto"/>
            <w:shd w:val="clear" w:color="auto" w:fill="FFFFFF" w:themeFill="background1"/>
            <w:hideMark/>
          </w:tcPr>
          <w:p w14:paraId="4361CC12"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71.93</w:t>
            </w:r>
          </w:p>
        </w:tc>
        <w:tc>
          <w:tcPr>
            <w:tcW w:w="0" w:type="auto"/>
            <w:shd w:val="clear" w:color="auto" w:fill="FFFFFF" w:themeFill="background1"/>
            <w:hideMark/>
          </w:tcPr>
          <w:p w14:paraId="19DEB3EB"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65.13</w:t>
            </w:r>
          </w:p>
        </w:tc>
        <w:tc>
          <w:tcPr>
            <w:tcW w:w="0" w:type="auto"/>
            <w:shd w:val="clear" w:color="auto" w:fill="FFFFFF" w:themeFill="background1"/>
            <w:hideMark/>
          </w:tcPr>
          <w:p w14:paraId="0FA90EFF"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69.22</w:t>
            </w:r>
          </w:p>
        </w:tc>
      </w:tr>
      <w:tr w:rsidR="00650F3A" w:rsidRPr="000A7B2A" w14:paraId="223D6F04" w14:textId="77777777" w:rsidTr="00650F3A">
        <w:trPr>
          <w:trHeight w:val="25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1AED8CB9" w14:textId="77777777" w:rsidR="00650F3A" w:rsidRPr="000A7B2A" w:rsidRDefault="00650F3A" w:rsidP="00DF130D">
            <w:pPr>
              <w:spacing w:line="276" w:lineRule="auto"/>
              <w:jc w:val="both"/>
              <w:rPr>
                <w:rFonts w:ascii="Arial" w:hAnsi="Arial" w:cs="Arial"/>
                <w:sz w:val="20"/>
                <w:szCs w:val="20"/>
              </w:rPr>
            </w:pPr>
            <w:r w:rsidRPr="000A7B2A">
              <w:rPr>
                <w:rFonts w:ascii="Arial" w:hAnsi="Arial" w:cs="Arial"/>
                <w:sz w:val="20"/>
                <w:szCs w:val="20"/>
              </w:rPr>
              <w:t>Employment Type</w:t>
            </w:r>
          </w:p>
        </w:tc>
        <w:tc>
          <w:tcPr>
            <w:tcW w:w="1976" w:type="dxa"/>
            <w:shd w:val="clear" w:color="auto" w:fill="FFFFFF" w:themeFill="background1"/>
            <w:hideMark/>
          </w:tcPr>
          <w:p w14:paraId="263C5BB7"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Self-Employed</w:t>
            </w:r>
          </w:p>
        </w:tc>
        <w:tc>
          <w:tcPr>
            <w:tcW w:w="0" w:type="auto"/>
            <w:shd w:val="clear" w:color="auto" w:fill="FFFFFF" w:themeFill="background1"/>
            <w:hideMark/>
          </w:tcPr>
          <w:p w14:paraId="74975265"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97.04</w:t>
            </w:r>
          </w:p>
        </w:tc>
        <w:tc>
          <w:tcPr>
            <w:tcW w:w="0" w:type="auto"/>
            <w:shd w:val="clear" w:color="auto" w:fill="FFFFFF" w:themeFill="background1"/>
            <w:hideMark/>
          </w:tcPr>
          <w:p w14:paraId="6C40E181"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33.19</w:t>
            </w:r>
          </w:p>
        </w:tc>
        <w:tc>
          <w:tcPr>
            <w:tcW w:w="0" w:type="auto"/>
            <w:shd w:val="clear" w:color="auto" w:fill="FFFFFF" w:themeFill="background1"/>
            <w:hideMark/>
          </w:tcPr>
          <w:p w14:paraId="1017F299"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32.59</w:t>
            </w:r>
          </w:p>
        </w:tc>
        <w:tc>
          <w:tcPr>
            <w:tcW w:w="0" w:type="auto"/>
            <w:shd w:val="clear" w:color="auto" w:fill="FFFFFF" w:themeFill="background1"/>
            <w:hideMark/>
          </w:tcPr>
          <w:p w14:paraId="01C29E3E" w14:textId="77777777" w:rsidR="00650F3A" w:rsidRPr="000A7B2A" w:rsidRDefault="00650F3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72.65</w:t>
            </w:r>
          </w:p>
        </w:tc>
      </w:tr>
      <w:tr w:rsidR="00650F3A" w:rsidRPr="000A7B2A" w14:paraId="0E1089CA" w14:textId="77777777" w:rsidTr="00650F3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0" w:type="dxa"/>
            <w:shd w:val="clear" w:color="auto" w:fill="FFFFFF" w:themeFill="background1"/>
            <w:hideMark/>
          </w:tcPr>
          <w:p w14:paraId="29D8B2AA" w14:textId="77777777" w:rsidR="00650F3A" w:rsidRPr="000A7B2A" w:rsidRDefault="00650F3A" w:rsidP="00DF130D">
            <w:pPr>
              <w:spacing w:line="276" w:lineRule="auto"/>
              <w:jc w:val="both"/>
              <w:rPr>
                <w:rFonts w:ascii="Arial" w:hAnsi="Arial" w:cs="Arial"/>
                <w:sz w:val="20"/>
                <w:szCs w:val="20"/>
              </w:rPr>
            </w:pPr>
          </w:p>
        </w:tc>
        <w:tc>
          <w:tcPr>
            <w:tcW w:w="1976" w:type="dxa"/>
            <w:shd w:val="clear" w:color="auto" w:fill="FFFFFF" w:themeFill="background1"/>
            <w:hideMark/>
          </w:tcPr>
          <w:p w14:paraId="794AF5CD"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Casual Labour</w:t>
            </w:r>
          </w:p>
        </w:tc>
        <w:tc>
          <w:tcPr>
            <w:tcW w:w="0" w:type="auto"/>
            <w:shd w:val="clear" w:color="auto" w:fill="FFFFFF" w:themeFill="background1"/>
            <w:hideMark/>
          </w:tcPr>
          <w:p w14:paraId="4BC4B5B4"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2.96</w:t>
            </w:r>
          </w:p>
        </w:tc>
        <w:tc>
          <w:tcPr>
            <w:tcW w:w="0" w:type="auto"/>
            <w:shd w:val="clear" w:color="auto" w:fill="FFFFFF" w:themeFill="background1"/>
            <w:hideMark/>
          </w:tcPr>
          <w:p w14:paraId="547B9A86"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66.81</w:t>
            </w:r>
          </w:p>
        </w:tc>
        <w:tc>
          <w:tcPr>
            <w:tcW w:w="0" w:type="auto"/>
            <w:shd w:val="clear" w:color="auto" w:fill="FFFFFF" w:themeFill="background1"/>
            <w:hideMark/>
          </w:tcPr>
          <w:p w14:paraId="24E3E23E"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67.41</w:t>
            </w:r>
          </w:p>
        </w:tc>
        <w:tc>
          <w:tcPr>
            <w:tcW w:w="0" w:type="auto"/>
            <w:shd w:val="clear" w:color="auto" w:fill="FFFFFF" w:themeFill="background1"/>
            <w:hideMark/>
          </w:tcPr>
          <w:p w14:paraId="556B3D03" w14:textId="77777777" w:rsidR="00650F3A" w:rsidRPr="000A7B2A" w:rsidRDefault="00650F3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27.35</w:t>
            </w:r>
          </w:p>
        </w:tc>
      </w:tr>
    </w:tbl>
    <w:p w14:paraId="2B82BADD" w14:textId="77777777" w:rsidR="00650F3A" w:rsidRPr="000A7B2A" w:rsidRDefault="00650F3A" w:rsidP="00DF130D">
      <w:pPr>
        <w:spacing w:before="100" w:beforeAutospacing="1" w:after="100" w:afterAutospacing="1" w:line="276" w:lineRule="auto"/>
        <w:jc w:val="both"/>
        <w:outlineLvl w:val="2"/>
        <w:rPr>
          <w:rFonts w:ascii="Arial" w:hAnsi="Arial" w:cs="Arial"/>
          <w:b/>
          <w:bCs/>
          <w:sz w:val="20"/>
          <w:szCs w:val="20"/>
        </w:rPr>
      </w:pPr>
      <w:r w:rsidRPr="000A7B2A">
        <w:rPr>
          <w:rFonts w:ascii="Arial" w:hAnsi="Arial" w:cs="Arial"/>
          <w:b/>
          <w:bCs/>
          <w:sz w:val="20"/>
          <w:szCs w:val="20"/>
        </w:rPr>
        <w:t>Table.</w:t>
      </w:r>
      <w:r w:rsidR="00C92E95" w:rsidRPr="000A7B2A">
        <w:rPr>
          <w:rFonts w:ascii="Arial" w:hAnsi="Arial" w:cs="Arial"/>
          <w:b/>
          <w:bCs/>
          <w:sz w:val="20"/>
          <w:szCs w:val="20"/>
        </w:rPr>
        <w:t>4.</w:t>
      </w:r>
      <w:r w:rsidRPr="000A7B2A">
        <w:rPr>
          <w:rFonts w:ascii="Arial" w:hAnsi="Arial" w:cs="Arial"/>
          <w:b/>
          <w:bCs/>
          <w:sz w:val="20"/>
          <w:szCs w:val="20"/>
        </w:rPr>
        <w:t>1. Distribution of Agricultural Workers by Earnings Category and Socio-Demographic Characteristics in Telangana</w:t>
      </w:r>
    </w:p>
    <w:p w14:paraId="514777C4" w14:textId="77777777" w:rsidR="00650F3A" w:rsidRPr="000A7B2A" w:rsidRDefault="00650F3A" w:rsidP="00DF130D">
      <w:pPr>
        <w:spacing w:before="100" w:beforeAutospacing="1" w:after="100" w:afterAutospacing="1" w:line="276" w:lineRule="auto"/>
        <w:jc w:val="both"/>
        <w:outlineLvl w:val="2"/>
        <w:rPr>
          <w:rFonts w:ascii="Arial" w:hAnsi="Arial" w:cs="Arial"/>
          <w:sz w:val="20"/>
          <w:szCs w:val="20"/>
        </w:rPr>
      </w:pPr>
    </w:p>
    <w:p w14:paraId="3DCA7EFB" w14:textId="77777777" w:rsidR="00E26FE0" w:rsidRPr="000A7B2A" w:rsidRDefault="00E26FE0" w:rsidP="00DF130D">
      <w:pPr>
        <w:spacing w:before="100" w:beforeAutospacing="1" w:after="100" w:afterAutospacing="1" w:line="276" w:lineRule="auto"/>
        <w:jc w:val="both"/>
        <w:outlineLvl w:val="2"/>
        <w:rPr>
          <w:rFonts w:ascii="Arial" w:eastAsia="Times New Roman" w:hAnsi="Arial" w:cs="Arial"/>
          <w:i/>
          <w:iCs/>
          <w:sz w:val="20"/>
          <w:szCs w:val="20"/>
          <w:lang w:eastAsia="en-IN"/>
        </w:rPr>
      </w:pPr>
      <w:r w:rsidRPr="000A7B2A">
        <w:rPr>
          <w:rFonts w:ascii="Arial" w:hAnsi="Arial" w:cs="Arial"/>
          <w:sz w:val="20"/>
          <w:szCs w:val="20"/>
        </w:rPr>
        <w:t>Source: MoSPI, PLFS 2023–2</w:t>
      </w:r>
      <w:r w:rsidR="005A6E0A" w:rsidRPr="000A7B2A">
        <w:rPr>
          <w:rFonts w:ascii="Arial" w:hAnsi="Arial" w:cs="Arial"/>
          <w:sz w:val="20"/>
          <w:szCs w:val="20"/>
        </w:rPr>
        <w:t>024</w:t>
      </w:r>
    </w:p>
    <w:p w14:paraId="1C7648CA" w14:textId="77777777" w:rsidR="00400B27" w:rsidRPr="000A7B2A" w:rsidRDefault="00400B27"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lastRenderedPageBreak/>
        <w:t xml:space="preserve"> Distribution of </w:t>
      </w:r>
      <w:r w:rsidR="00213842" w:rsidRPr="000A7B2A">
        <w:rPr>
          <w:rFonts w:ascii="Arial" w:eastAsia="Times New Roman" w:hAnsi="Arial" w:cs="Arial"/>
          <w:b/>
          <w:bCs/>
          <w:sz w:val="20"/>
          <w:szCs w:val="20"/>
          <w:lang w:eastAsia="en-IN"/>
        </w:rPr>
        <w:t>earnin</w:t>
      </w:r>
      <w:r w:rsidR="00AF0256" w:rsidRPr="000A7B2A">
        <w:rPr>
          <w:rFonts w:ascii="Arial" w:eastAsia="Times New Roman" w:hAnsi="Arial" w:cs="Arial"/>
          <w:b/>
          <w:bCs/>
          <w:sz w:val="20"/>
          <w:szCs w:val="20"/>
          <w:lang w:eastAsia="en-IN"/>
        </w:rPr>
        <w:t>gs</w:t>
      </w:r>
      <w:r w:rsidRPr="000A7B2A">
        <w:rPr>
          <w:rFonts w:ascii="Arial" w:eastAsia="Times New Roman" w:hAnsi="Arial" w:cs="Arial"/>
          <w:b/>
          <w:bCs/>
          <w:sz w:val="20"/>
          <w:szCs w:val="20"/>
          <w:lang w:eastAsia="en-IN"/>
        </w:rPr>
        <w:t xml:space="preserve"> Categories by Socio-Demographic Characteristics</w:t>
      </w:r>
    </w:p>
    <w:p w14:paraId="00D32C8D" w14:textId="77777777" w:rsidR="00EB0CA2" w:rsidRPr="000A7B2A" w:rsidRDefault="00EB0CA2" w:rsidP="00126A71">
      <w:pPr>
        <w:pStyle w:val="pdq2pgselectionanchorcontainer"/>
        <w:spacing w:line="276" w:lineRule="auto"/>
        <w:jc w:val="both"/>
        <w:rPr>
          <w:rFonts w:ascii="Arial" w:hAnsi="Arial" w:cs="Arial"/>
          <w:sz w:val="20"/>
          <w:szCs w:val="20"/>
        </w:rPr>
      </w:pPr>
      <w:r w:rsidRPr="000A7B2A">
        <w:rPr>
          <w:rFonts w:ascii="Arial" w:hAnsi="Arial" w:cs="Arial"/>
          <w:sz w:val="20"/>
          <w:szCs w:val="20"/>
        </w:rPr>
        <w:t>Table 4.1 shows the distribution of rural agricultural workers across three earnings categories: Zero Earnings,</w:t>
      </w:r>
      <w:r w:rsidRPr="000A7B2A">
        <w:rPr>
          <w:rStyle w:val="Strong"/>
          <w:rFonts w:ascii="Arial" w:eastAsiaTheme="majorEastAsia" w:hAnsi="Arial" w:cs="Arial"/>
          <w:b w:val="0"/>
          <w:bCs w:val="0"/>
          <w:sz w:val="20"/>
          <w:szCs w:val="20"/>
        </w:rPr>
        <w:t xml:space="preserve"> ₹1–5,000, and </w:t>
      </w:r>
      <w:r w:rsidR="0025762F" w:rsidRPr="000A7B2A">
        <w:rPr>
          <w:rStyle w:val="Strong"/>
          <w:rFonts w:ascii="Arial" w:eastAsiaTheme="majorEastAsia" w:hAnsi="Arial" w:cs="Arial"/>
          <w:b w:val="0"/>
          <w:bCs w:val="0"/>
          <w:sz w:val="20"/>
          <w:szCs w:val="20"/>
        </w:rPr>
        <w:t>above</w:t>
      </w:r>
      <w:r w:rsidRPr="000A7B2A">
        <w:rPr>
          <w:rStyle w:val="Strong"/>
          <w:rFonts w:ascii="Arial" w:eastAsiaTheme="majorEastAsia" w:hAnsi="Arial" w:cs="Arial"/>
          <w:b w:val="0"/>
          <w:bCs w:val="0"/>
          <w:sz w:val="20"/>
          <w:szCs w:val="20"/>
        </w:rPr>
        <w:t xml:space="preserve"> ₹5,000</w:t>
      </w:r>
      <w:r w:rsidRPr="000A7B2A">
        <w:rPr>
          <w:rFonts w:ascii="Arial" w:hAnsi="Arial" w:cs="Arial"/>
          <w:b/>
          <w:bCs/>
          <w:sz w:val="20"/>
          <w:szCs w:val="20"/>
        </w:rPr>
        <w:t xml:space="preserve"> </w:t>
      </w:r>
      <w:r w:rsidRPr="000A7B2A">
        <w:rPr>
          <w:rFonts w:ascii="Arial" w:hAnsi="Arial" w:cs="Arial"/>
          <w:sz w:val="20"/>
          <w:szCs w:val="20"/>
        </w:rPr>
        <w:t xml:space="preserve">by gender, education level, age group, and employment type in Telangana. The gender distribution shows that males constitute </w:t>
      </w:r>
      <w:r w:rsidRPr="000A7B2A">
        <w:rPr>
          <w:rStyle w:val="Strong"/>
          <w:rFonts w:ascii="Arial" w:eastAsiaTheme="majorEastAsia" w:hAnsi="Arial" w:cs="Arial"/>
          <w:b w:val="0"/>
          <w:bCs w:val="0"/>
          <w:sz w:val="20"/>
          <w:szCs w:val="20"/>
        </w:rPr>
        <w:t>60.55% of workers with zero wages</w:t>
      </w:r>
      <w:r w:rsidRPr="000A7B2A">
        <w:rPr>
          <w:rFonts w:ascii="Arial" w:hAnsi="Arial" w:cs="Arial"/>
          <w:b/>
          <w:bCs/>
          <w:sz w:val="20"/>
          <w:szCs w:val="20"/>
        </w:rPr>
        <w:t xml:space="preserve">, </w:t>
      </w:r>
      <w:r w:rsidRPr="000A7B2A">
        <w:rPr>
          <w:rFonts w:ascii="Arial" w:hAnsi="Arial" w:cs="Arial"/>
          <w:sz w:val="20"/>
          <w:szCs w:val="20"/>
        </w:rPr>
        <w:t>compared with 39.45% for females. However, females account for a larger share of workers in the ₹1–5,000 category (</w:t>
      </w:r>
      <w:r w:rsidRPr="000A7B2A">
        <w:rPr>
          <w:rStyle w:val="Strong"/>
          <w:rFonts w:ascii="Arial" w:eastAsiaTheme="majorEastAsia" w:hAnsi="Arial" w:cs="Arial"/>
          <w:b w:val="0"/>
          <w:bCs w:val="0"/>
          <w:sz w:val="20"/>
          <w:szCs w:val="20"/>
        </w:rPr>
        <w:t>65.62%</w:t>
      </w:r>
      <w:r w:rsidRPr="000A7B2A">
        <w:rPr>
          <w:rFonts w:ascii="Arial" w:hAnsi="Arial" w:cs="Arial"/>
          <w:b/>
          <w:bCs/>
          <w:sz w:val="20"/>
          <w:szCs w:val="20"/>
        </w:rPr>
        <w:t>)</w:t>
      </w:r>
      <w:r w:rsidRPr="000A7B2A">
        <w:rPr>
          <w:rFonts w:ascii="Arial" w:hAnsi="Arial" w:cs="Arial"/>
          <w:sz w:val="20"/>
          <w:szCs w:val="20"/>
        </w:rPr>
        <w:t xml:space="preserve"> and the Above ₹5,000 category (</w:t>
      </w:r>
      <w:r w:rsidRPr="000A7B2A">
        <w:rPr>
          <w:rStyle w:val="Strong"/>
          <w:rFonts w:ascii="Arial" w:eastAsiaTheme="majorEastAsia" w:hAnsi="Arial" w:cs="Arial"/>
          <w:b w:val="0"/>
          <w:bCs w:val="0"/>
          <w:sz w:val="20"/>
          <w:szCs w:val="20"/>
        </w:rPr>
        <w:t>61.29%</w:t>
      </w:r>
      <w:r w:rsidRPr="000A7B2A">
        <w:rPr>
          <w:rFonts w:ascii="Arial" w:hAnsi="Arial" w:cs="Arial"/>
          <w:sz w:val="20"/>
          <w:szCs w:val="20"/>
        </w:rPr>
        <w:t>). Males constitute 51.89% and females constitute 48.11% of the sample. These descriptive differences suggest that women are more concentrated in the positive-earnings categories, although this table alone does not establish whether the differences are statistically significant.</w:t>
      </w:r>
    </w:p>
    <w:p w14:paraId="4060D56B" w14:textId="77777777" w:rsidR="00EB0CA2" w:rsidRPr="000A7B2A" w:rsidRDefault="00EB0CA2" w:rsidP="00DF130D">
      <w:pPr>
        <w:pStyle w:val="NormalWeb"/>
        <w:spacing w:line="276" w:lineRule="auto"/>
        <w:jc w:val="both"/>
        <w:rPr>
          <w:rFonts w:ascii="Arial" w:hAnsi="Arial" w:cs="Arial"/>
          <w:sz w:val="20"/>
          <w:szCs w:val="20"/>
        </w:rPr>
      </w:pPr>
      <w:r w:rsidRPr="000A7B2A">
        <w:rPr>
          <w:rFonts w:ascii="Arial" w:hAnsi="Arial" w:cs="Arial"/>
          <w:sz w:val="20"/>
          <w:szCs w:val="20"/>
        </w:rPr>
        <w:t xml:space="preserve">Education shows a clear concentration of workers who are not literate across all earnings categories. Workers who are not literate account for </w:t>
      </w:r>
      <w:r w:rsidRPr="000A7B2A">
        <w:rPr>
          <w:rStyle w:val="Strong"/>
          <w:rFonts w:ascii="Arial" w:eastAsiaTheme="majorEastAsia" w:hAnsi="Arial" w:cs="Arial"/>
          <w:b w:val="0"/>
          <w:bCs w:val="0"/>
          <w:sz w:val="20"/>
          <w:szCs w:val="20"/>
        </w:rPr>
        <w:t>41.85% of zero-wage workers, 62.12% of those earning ₹1–5,000, and 55.43% of those earning above ₹5,000</w:t>
      </w:r>
      <w:r w:rsidRPr="000A7B2A">
        <w:rPr>
          <w:rFonts w:ascii="Arial" w:hAnsi="Arial" w:cs="Arial"/>
          <w:sz w:val="20"/>
          <w:szCs w:val="20"/>
        </w:rPr>
        <w:t>. Workers with higher education represent only 0.60% of the ₹1–5,000 group and 1.04% of the Above ₹5,000 group. This indicates that agricultural workers in the sample are predominantly concentrated among those with lower educational attainment. However, these descriptive percentages should not be interpreted as evidence that higher education reduces earnings, since educated workers may have greater opportunities to move into non-agricultural employment.</w:t>
      </w:r>
    </w:p>
    <w:p w14:paraId="5DE84C8D" w14:textId="77777777" w:rsidR="00EB0CA2" w:rsidRPr="000A7B2A" w:rsidRDefault="00EB0CA2" w:rsidP="00C92E95">
      <w:pPr>
        <w:pStyle w:val="NormalWeb"/>
        <w:spacing w:line="276" w:lineRule="auto"/>
        <w:jc w:val="both"/>
        <w:rPr>
          <w:rFonts w:ascii="Arial" w:hAnsi="Arial" w:cs="Arial"/>
          <w:sz w:val="20"/>
          <w:szCs w:val="20"/>
        </w:rPr>
      </w:pPr>
      <w:r w:rsidRPr="000A7B2A">
        <w:rPr>
          <w:rFonts w:ascii="Arial" w:hAnsi="Arial" w:cs="Arial"/>
          <w:sz w:val="20"/>
          <w:szCs w:val="20"/>
        </w:rPr>
        <w:t xml:space="preserve">The age distribution indicates that </w:t>
      </w:r>
      <w:r w:rsidRPr="000A7B2A">
        <w:rPr>
          <w:rStyle w:val="Strong"/>
          <w:rFonts w:ascii="Arial" w:eastAsiaTheme="majorEastAsia" w:hAnsi="Arial" w:cs="Arial"/>
          <w:b w:val="0"/>
          <w:bCs w:val="0"/>
          <w:sz w:val="20"/>
          <w:szCs w:val="20"/>
        </w:rPr>
        <w:t>senior workers constitute the largest proportion of agricultural workers in every earnings category</w:t>
      </w:r>
      <w:r w:rsidRPr="000A7B2A">
        <w:rPr>
          <w:rFonts w:ascii="Arial" w:hAnsi="Arial" w:cs="Arial"/>
          <w:b/>
          <w:bCs/>
          <w:sz w:val="20"/>
          <w:szCs w:val="20"/>
        </w:rPr>
        <w:t>.</w:t>
      </w:r>
      <w:r w:rsidRPr="000A7B2A">
        <w:rPr>
          <w:rFonts w:ascii="Arial" w:hAnsi="Arial" w:cs="Arial"/>
          <w:sz w:val="20"/>
          <w:szCs w:val="20"/>
        </w:rPr>
        <w:t xml:space="preserve"> They account for 70.77% of zero-wage workers, 71.93% of workers earning ₹1–5,000, and 65.13% of workers earning above ₹5,000. Mature workers account for 20.64%, 16.56%, and 22.44%, respectively, while young/early workers represent the smallest shares. Thus, the agricultural workforce in the sample is strongly concentrated among senior workers. By employment type, self-employed workers constitute </w:t>
      </w:r>
      <w:r w:rsidRPr="000A7B2A">
        <w:rPr>
          <w:rStyle w:val="Strong"/>
          <w:rFonts w:ascii="Arial" w:eastAsiaTheme="majorEastAsia" w:hAnsi="Arial" w:cs="Arial"/>
          <w:b w:val="0"/>
          <w:bCs w:val="0"/>
          <w:sz w:val="20"/>
          <w:szCs w:val="20"/>
        </w:rPr>
        <w:t>97.04% of zero-</w:t>
      </w:r>
      <w:r w:rsidR="0020494E" w:rsidRPr="000A7B2A">
        <w:rPr>
          <w:rStyle w:val="Strong"/>
          <w:rFonts w:ascii="Arial" w:eastAsiaTheme="majorEastAsia" w:hAnsi="Arial" w:cs="Arial"/>
          <w:b w:val="0"/>
          <w:bCs w:val="0"/>
          <w:sz w:val="20"/>
          <w:szCs w:val="20"/>
        </w:rPr>
        <w:t xml:space="preserve">earning </w:t>
      </w:r>
      <w:r w:rsidRPr="000A7B2A">
        <w:rPr>
          <w:rStyle w:val="Strong"/>
          <w:rFonts w:ascii="Arial" w:eastAsiaTheme="majorEastAsia" w:hAnsi="Arial" w:cs="Arial"/>
          <w:b w:val="0"/>
          <w:bCs w:val="0"/>
          <w:sz w:val="20"/>
          <w:szCs w:val="20"/>
        </w:rPr>
        <w:t>workers</w:t>
      </w:r>
      <w:r w:rsidRPr="000A7B2A">
        <w:rPr>
          <w:rFonts w:ascii="Arial" w:hAnsi="Arial" w:cs="Arial"/>
          <w:b/>
          <w:bCs/>
          <w:sz w:val="20"/>
          <w:szCs w:val="20"/>
        </w:rPr>
        <w:t>,</w:t>
      </w:r>
      <w:r w:rsidRPr="000A7B2A">
        <w:rPr>
          <w:rFonts w:ascii="Arial" w:hAnsi="Arial" w:cs="Arial"/>
          <w:sz w:val="20"/>
          <w:szCs w:val="20"/>
        </w:rPr>
        <w:t xml:space="preserve"> but only 33.19% of workers earning ₹1–5,000 and 32.59% of those earning above ₹5,000. In contrast, casual labourers constitute only 2.96% of zero-wage workers but account for </w:t>
      </w:r>
      <w:r w:rsidRPr="000A7B2A">
        <w:rPr>
          <w:rStyle w:val="Strong"/>
          <w:rFonts w:ascii="Arial" w:eastAsiaTheme="majorEastAsia" w:hAnsi="Arial" w:cs="Arial"/>
          <w:b w:val="0"/>
          <w:bCs w:val="0"/>
          <w:sz w:val="20"/>
          <w:szCs w:val="20"/>
        </w:rPr>
        <w:t>66.81% of workers earning ₹1–5,000 and 67.41% of workers earning above ₹5,000</w:t>
      </w:r>
      <w:r w:rsidRPr="000A7B2A">
        <w:rPr>
          <w:rFonts w:ascii="Arial" w:hAnsi="Arial" w:cs="Arial"/>
          <w:b/>
          <w:bCs/>
          <w:sz w:val="20"/>
          <w:szCs w:val="20"/>
        </w:rPr>
        <w:t xml:space="preserve">. </w:t>
      </w:r>
      <w:r w:rsidRPr="000A7B2A">
        <w:rPr>
          <w:rFonts w:ascii="Arial" w:hAnsi="Arial" w:cs="Arial"/>
          <w:sz w:val="20"/>
          <w:szCs w:val="20"/>
        </w:rPr>
        <w:t>This descriptive pattern indicates a strong association between employment type and reported earnings status, with casual labourers being substantially more concentrated in the positive-earnings categories.</w:t>
      </w:r>
    </w:p>
    <w:p w14:paraId="33CDAAFE" w14:textId="77777777" w:rsidR="00A10E91" w:rsidRPr="000A7B2A" w:rsidRDefault="00A10E91"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 xml:space="preserve">Table </w:t>
      </w:r>
      <w:r w:rsidR="00C92E95" w:rsidRPr="000A7B2A">
        <w:rPr>
          <w:rFonts w:ascii="Arial" w:eastAsia="Times New Roman" w:hAnsi="Arial" w:cs="Arial"/>
          <w:b/>
          <w:bCs/>
          <w:sz w:val="20"/>
          <w:szCs w:val="20"/>
          <w:lang w:eastAsia="en-IN"/>
        </w:rPr>
        <w:t>4.2</w:t>
      </w:r>
      <w:r w:rsidRPr="000A7B2A">
        <w:rPr>
          <w:rFonts w:ascii="Arial" w:eastAsia="Times New Roman" w:hAnsi="Arial" w:cs="Arial"/>
          <w:b/>
          <w:bCs/>
          <w:sz w:val="20"/>
          <w:szCs w:val="20"/>
          <w:lang w:eastAsia="en-IN"/>
        </w:rPr>
        <w:t>. Multicollinearity Diagnostics (Variance Inflation Factor) for Explanatory Variables</w:t>
      </w:r>
    </w:p>
    <w:tbl>
      <w:tblPr>
        <w:tblStyle w:val="ListTable6Colorful"/>
        <w:tblpPr w:leftFromText="180" w:rightFromText="180" w:vertAnchor="text" w:horzAnchor="margin" w:tblpY="43"/>
        <w:tblW w:w="9374" w:type="dxa"/>
        <w:shd w:val="clear" w:color="auto" w:fill="FFFFFF" w:themeFill="background1"/>
        <w:tblLook w:val="04A0" w:firstRow="1" w:lastRow="0" w:firstColumn="1" w:lastColumn="0" w:noHBand="0" w:noVBand="1"/>
      </w:tblPr>
      <w:tblGrid>
        <w:gridCol w:w="3018"/>
        <w:gridCol w:w="2568"/>
        <w:gridCol w:w="943"/>
        <w:gridCol w:w="2845"/>
      </w:tblGrid>
      <w:tr w:rsidR="006A7774" w:rsidRPr="000A7B2A" w14:paraId="67CFC22B" w14:textId="77777777" w:rsidTr="006A7774">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425B015" w14:textId="77777777" w:rsidR="006A7774" w:rsidRPr="000A7B2A" w:rsidRDefault="006A7774" w:rsidP="00DF130D">
            <w:pPr>
              <w:spacing w:line="276" w:lineRule="auto"/>
              <w:jc w:val="both"/>
              <w:rPr>
                <w:rFonts w:ascii="Arial" w:eastAsia="Times New Roman" w:hAnsi="Arial" w:cs="Arial"/>
                <w:b w:val="0"/>
                <w:bCs w:val="0"/>
                <w:color w:val="1F1F1F"/>
                <w:sz w:val="20"/>
                <w:szCs w:val="20"/>
                <w:bdr w:val="none" w:sz="0" w:space="0" w:color="auto" w:frame="1"/>
                <w:lang w:eastAsia="en-IN"/>
              </w:rPr>
            </w:pPr>
          </w:p>
          <w:p w14:paraId="64E0FF5A"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Variable</w:t>
            </w:r>
          </w:p>
        </w:tc>
        <w:tc>
          <w:tcPr>
            <w:tcW w:w="0" w:type="auto"/>
            <w:shd w:val="clear" w:color="auto" w:fill="FFFFFF" w:themeFill="background1"/>
            <w:hideMark/>
          </w:tcPr>
          <w:p w14:paraId="26B104ED" w14:textId="77777777" w:rsidR="006A7774" w:rsidRPr="000A7B2A" w:rsidRDefault="006A777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Level/Category</w:t>
            </w:r>
          </w:p>
        </w:tc>
        <w:tc>
          <w:tcPr>
            <w:tcW w:w="0" w:type="auto"/>
            <w:shd w:val="clear" w:color="auto" w:fill="FFFFFF" w:themeFill="background1"/>
            <w:hideMark/>
          </w:tcPr>
          <w:p w14:paraId="7016BAC8" w14:textId="77777777" w:rsidR="006A7774" w:rsidRPr="000A7B2A" w:rsidRDefault="006A777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VIF</w:t>
            </w:r>
          </w:p>
        </w:tc>
        <w:tc>
          <w:tcPr>
            <w:tcW w:w="0" w:type="auto"/>
            <w:shd w:val="clear" w:color="auto" w:fill="FFFFFF" w:themeFill="background1"/>
            <w:hideMark/>
          </w:tcPr>
          <w:p w14:paraId="33087DD2" w14:textId="77777777" w:rsidR="006A7774" w:rsidRPr="000A7B2A" w:rsidRDefault="006A777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1/VIF (Tolerance)</w:t>
            </w:r>
          </w:p>
        </w:tc>
      </w:tr>
      <w:tr w:rsidR="006A7774" w:rsidRPr="000A7B2A" w14:paraId="2D18BF81" w14:textId="77777777" w:rsidTr="006A777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858E681"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Gender</w:t>
            </w:r>
          </w:p>
        </w:tc>
        <w:tc>
          <w:tcPr>
            <w:tcW w:w="0" w:type="auto"/>
            <w:shd w:val="clear" w:color="auto" w:fill="FFFFFF" w:themeFill="background1"/>
            <w:hideMark/>
          </w:tcPr>
          <w:p w14:paraId="758FB881"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Female</w:t>
            </w:r>
          </w:p>
        </w:tc>
        <w:tc>
          <w:tcPr>
            <w:tcW w:w="0" w:type="auto"/>
            <w:shd w:val="clear" w:color="auto" w:fill="FFFFFF" w:themeFill="background1"/>
            <w:hideMark/>
          </w:tcPr>
          <w:p w14:paraId="25A61E4F"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1.15</w:t>
            </w:r>
          </w:p>
        </w:tc>
        <w:tc>
          <w:tcPr>
            <w:tcW w:w="0" w:type="auto"/>
            <w:shd w:val="clear" w:color="auto" w:fill="FFFFFF" w:themeFill="background1"/>
            <w:hideMark/>
          </w:tcPr>
          <w:p w14:paraId="70E57079"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0.8720</w:t>
            </w:r>
          </w:p>
        </w:tc>
      </w:tr>
      <w:tr w:rsidR="006A7774" w:rsidRPr="000A7B2A" w14:paraId="3A553BFF" w14:textId="77777777" w:rsidTr="006A7774">
        <w:trPr>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97780EC"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Age Group</w:t>
            </w:r>
          </w:p>
        </w:tc>
        <w:tc>
          <w:tcPr>
            <w:tcW w:w="0" w:type="auto"/>
            <w:shd w:val="clear" w:color="auto" w:fill="FFFFFF" w:themeFill="background1"/>
            <w:hideMark/>
          </w:tcPr>
          <w:p w14:paraId="68999508"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Mature</w:t>
            </w:r>
          </w:p>
        </w:tc>
        <w:tc>
          <w:tcPr>
            <w:tcW w:w="0" w:type="auto"/>
            <w:shd w:val="clear" w:color="auto" w:fill="FFFFFF" w:themeFill="background1"/>
            <w:hideMark/>
          </w:tcPr>
          <w:p w14:paraId="66F72FB1"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2.40</w:t>
            </w:r>
          </w:p>
        </w:tc>
        <w:tc>
          <w:tcPr>
            <w:tcW w:w="0" w:type="auto"/>
            <w:shd w:val="clear" w:color="auto" w:fill="FFFFFF" w:themeFill="background1"/>
            <w:hideMark/>
          </w:tcPr>
          <w:p w14:paraId="33ED86B2"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0.4162</w:t>
            </w:r>
          </w:p>
        </w:tc>
      </w:tr>
      <w:tr w:rsidR="006A7774" w:rsidRPr="000A7B2A" w14:paraId="17B2D8F8" w14:textId="77777777" w:rsidTr="006A777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2EB7D9A"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p>
        </w:tc>
        <w:tc>
          <w:tcPr>
            <w:tcW w:w="0" w:type="auto"/>
            <w:shd w:val="clear" w:color="auto" w:fill="FFFFFF" w:themeFill="background1"/>
            <w:hideMark/>
          </w:tcPr>
          <w:p w14:paraId="4F3E603A"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Senior</w:t>
            </w:r>
          </w:p>
        </w:tc>
        <w:tc>
          <w:tcPr>
            <w:tcW w:w="0" w:type="auto"/>
            <w:shd w:val="clear" w:color="auto" w:fill="FFFFFF" w:themeFill="background1"/>
            <w:hideMark/>
          </w:tcPr>
          <w:p w14:paraId="26FE5E79"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3.00</w:t>
            </w:r>
          </w:p>
        </w:tc>
        <w:tc>
          <w:tcPr>
            <w:tcW w:w="0" w:type="auto"/>
            <w:shd w:val="clear" w:color="auto" w:fill="FFFFFF" w:themeFill="background1"/>
            <w:hideMark/>
          </w:tcPr>
          <w:p w14:paraId="077B13CA"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0.3329</w:t>
            </w:r>
          </w:p>
        </w:tc>
      </w:tr>
      <w:tr w:rsidR="006A7774" w:rsidRPr="000A7B2A" w14:paraId="2922B849" w14:textId="77777777" w:rsidTr="006A7774">
        <w:trPr>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33A587E"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Education Group</w:t>
            </w:r>
          </w:p>
        </w:tc>
        <w:tc>
          <w:tcPr>
            <w:tcW w:w="0" w:type="auto"/>
            <w:shd w:val="clear" w:color="auto" w:fill="FFFFFF" w:themeFill="background1"/>
            <w:hideMark/>
          </w:tcPr>
          <w:p w14:paraId="3061AEAB"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Primary</w:t>
            </w:r>
          </w:p>
        </w:tc>
        <w:tc>
          <w:tcPr>
            <w:tcW w:w="0" w:type="auto"/>
            <w:shd w:val="clear" w:color="auto" w:fill="FFFFFF" w:themeFill="background1"/>
            <w:hideMark/>
          </w:tcPr>
          <w:p w14:paraId="2E76A83E"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1.34</w:t>
            </w:r>
          </w:p>
        </w:tc>
        <w:tc>
          <w:tcPr>
            <w:tcW w:w="0" w:type="auto"/>
            <w:shd w:val="clear" w:color="auto" w:fill="FFFFFF" w:themeFill="background1"/>
            <w:hideMark/>
          </w:tcPr>
          <w:p w14:paraId="19212F5D"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0.7469</w:t>
            </w:r>
          </w:p>
        </w:tc>
      </w:tr>
      <w:tr w:rsidR="006A7774" w:rsidRPr="000A7B2A" w14:paraId="77AAF3A7" w14:textId="77777777" w:rsidTr="006A777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4049685"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p>
        </w:tc>
        <w:tc>
          <w:tcPr>
            <w:tcW w:w="0" w:type="auto"/>
            <w:shd w:val="clear" w:color="auto" w:fill="FFFFFF" w:themeFill="background1"/>
            <w:hideMark/>
          </w:tcPr>
          <w:p w14:paraId="2F0F4987"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Secondary</w:t>
            </w:r>
          </w:p>
        </w:tc>
        <w:tc>
          <w:tcPr>
            <w:tcW w:w="0" w:type="auto"/>
            <w:shd w:val="clear" w:color="auto" w:fill="FFFFFF" w:themeFill="background1"/>
            <w:hideMark/>
          </w:tcPr>
          <w:p w14:paraId="78849861"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1.65</w:t>
            </w:r>
          </w:p>
        </w:tc>
        <w:tc>
          <w:tcPr>
            <w:tcW w:w="0" w:type="auto"/>
            <w:shd w:val="clear" w:color="auto" w:fill="FFFFFF" w:themeFill="background1"/>
            <w:hideMark/>
          </w:tcPr>
          <w:p w14:paraId="11D6C75D"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0.6056</w:t>
            </w:r>
          </w:p>
        </w:tc>
      </w:tr>
      <w:tr w:rsidR="006A7774" w:rsidRPr="000A7B2A" w14:paraId="73BF9897" w14:textId="77777777" w:rsidTr="006A7774">
        <w:trPr>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45248B3"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p>
        </w:tc>
        <w:tc>
          <w:tcPr>
            <w:tcW w:w="0" w:type="auto"/>
            <w:shd w:val="clear" w:color="auto" w:fill="FFFFFF" w:themeFill="background1"/>
            <w:hideMark/>
          </w:tcPr>
          <w:p w14:paraId="13BBDEC3"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Higher</w:t>
            </w:r>
          </w:p>
        </w:tc>
        <w:tc>
          <w:tcPr>
            <w:tcW w:w="0" w:type="auto"/>
            <w:shd w:val="clear" w:color="auto" w:fill="FFFFFF" w:themeFill="background1"/>
            <w:hideMark/>
          </w:tcPr>
          <w:p w14:paraId="295D8953"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1.27</w:t>
            </w:r>
          </w:p>
        </w:tc>
        <w:tc>
          <w:tcPr>
            <w:tcW w:w="0" w:type="auto"/>
            <w:shd w:val="clear" w:color="auto" w:fill="FFFFFF" w:themeFill="background1"/>
            <w:hideMark/>
          </w:tcPr>
          <w:p w14:paraId="046A0E9F"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0.7878</w:t>
            </w:r>
          </w:p>
        </w:tc>
      </w:tr>
      <w:tr w:rsidR="006A7774" w:rsidRPr="000A7B2A" w14:paraId="10F0DE19" w14:textId="77777777" w:rsidTr="006A777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84DC6DA"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Employment Type</w:t>
            </w:r>
          </w:p>
        </w:tc>
        <w:tc>
          <w:tcPr>
            <w:tcW w:w="0" w:type="auto"/>
            <w:shd w:val="clear" w:color="auto" w:fill="FFFFFF" w:themeFill="background1"/>
            <w:hideMark/>
          </w:tcPr>
          <w:p w14:paraId="7AD2658B"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Casual Labour</w:t>
            </w:r>
          </w:p>
        </w:tc>
        <w:tc>
          <w:tcPr>
            <w:tcW w:w="0" w:type="auto"/>
            <w:shd w:val="clear" w:color="auto" w:fill="FFFFFF" w:themeFill="background1"/>
            <w:hideMark/>
          </w:tcPr>
          <w:p w14:paraId="748E8938"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1.08</w:t>
            </w:r>
          </w:p>
        </w:tc>
        <w:tc>
          <w:tcPr>
            <w:tcW w:w="0" w:type="auto"/>
            <w:shd w:val="clear" w:color="auto" w:fill="FFFFFF" w:themeFill="background1"/>
            <w:hideMark/>
          </w:tcPr>
          <w:p w14:paraId="1B330FC6" w14:textId="77777777" w:rsidR="006A7774" w:rsidRPr="000A7B2A" w:rsidRDefault="006A777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0.9236</w:t>
            </w:r>
          </w:p>
        </w:tc>
      </w:tr>
      <w:tr w:rsidR="006A7774" w:rsidRPr="000A7B2A" w14:paraId="6FD3E4B0" w14:textId="77777777" w:rsidTr="006A7774">
        <w:trPr>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3851D48" w14:textId="77777777" w:rsidR="006A7774" w:rsidRPr="000A7B2A" w:rsidRDefault="006A7774" w:rsidP="00DF130D">
            <w:pPr>
              <w:spacing w:line="276" w:lineRule="auto"/>
              <w:jc w:val="both"/>
              <w:rPr>
                <w:rFonts w:ascii="Arial" w:eastAsia="Times New Roman" w:hAnsi="Arial" w:cs="Arial"/>
                <w:color w:val="1F1F1F"/>
                <w:sz w:val="20"/>
                <w:szCs w:val="20"/>
                <w:lang w:eastAsia="en-IN"/>
              </w:rPr>
            </w:pPr>
            <w:r w:rsidRPr="000A7B2A">
              <w:rPr>
                <w:rFonts w:ascii="Arial" w:eastAsia="Times New Roman" w:hAnsi="Arial" w:cs="Arial"/>
                <w:color w:val="1F1F1F"/>
                <w:sz w:val="20"/>
                <w:szCs w:val="20"/>
                <w:bdr w:val="none" w:sz="0" w:space="0" w:color="auto" w:frame="1"/>
                <w:lang w:eastAsia="en-IN"/>
              </w:rPr>
              <w:t>Mean VIF</w:t>
            </w:r>
          </w:p>
        </w:tc>
        <w:tc>
          <w:tcPr>
            <w:tcW w:w="0" w:type="auto"/>
            <w:shd w:val="clear" w:color="auto" w:fill="FFFFFF" w:themeFill="background1"/>
            <w:hideMark/>
          </w:tcPr>
          <w:p w14:paraId="24C10F7A"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p>
        </w:tc>
        <w:tc>
          <w:tcPr>
            <w:tcW w:w="0" w:type="auto"/>
            <w:shd w:val="clear" w:color="auto" w:fill="FFFFFF" w:themeFill="background1"/>
            <w:hideMark/>
          </w:tcPr>
          <w:p w14:paraId="1D7B7744"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0A7B2A">
              <w:rPr>
                <w:rFonts w:ascii="Arial" w:eastAsia="Times New Roman" w:hAnsi="Arial" w:cs="Arial"/>
                <w:b/>
                <w:bCs/>
                <w:color w:val="1F1F1F"/>
                <w:sz w:val="20"/>
                <w:szCs w:val="20"/>
                <w:bdr w:val="none" w:sz="0" w:space="0" w:color="auto" w:frame="1"/>
                <w:lang w:eastAsia="en-IN"/>
              </w:rPr>
              <w:t>1.70</w:t>
            </w:r>
          </w:p>
        </w:tc>
        <w:tc>
          <w:tcPr>
            <w:tcW w:w="0" w:type="auto"/>
            <w:shd w:val="clear" w:color="auto" w:fill="FFFFFF" w:themeFill="background1"/>
            <w:hideMark/>
          </w:tcPr>
          <w:p w14:paraId="249B2B2B" w14:textId="77777777" w:rsidR="006A7774" w:rsidRPr="000A7B2A" w:rsidRDefault="006A777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p>
        </w:tc>
      </w:tr>
    </w:tbl>
    <w:p w14:paraId="2EF92C80" w14:textId="77777777" w:rsidR="005A6E0A" w:rsidRPr="000A7B2A" w:rsidRDefault="005A6E0A" w:rsidP="00DF130D">
      <w:pPr>
        <w:spacing w:before="100" w:beforeAutospacing="1" w:after="100" w:afterAutospacing="1" w:line="276" w:lineRule="auto"/>
        <w:jc w:val="both"/>
        <w:outlineLvl w:val="2"/>
        <w:rPr>
          <w:rFonts w:ascii="Arial" w:eastAsia="Times New Roman" w:hAnsi="Arial" w:cs="Arial"/>
          <w:i/>
          <w:iCs/>
          <w:sz w:val="20"/>
          <w:szCs w:val="20"/>
          <w:lang w:eastAsia="en-IN"/>
        </w:rPr>
      </w:pPr>
      <w:r w:rsidRPr="000A7B2A">
        <w:rPr>
          <w:rFonts w:ascii="Arial" w:hAnsi="Arial" w:cs="Arial"/>
          <w:sz w:val="20"/>
          <w:szCs w:val="20"/>
        </w:rPr>
        <w:t>Source: MoSPI, PLFS 2023–2024</w:t>
      </w:r>
    </w:p>
    <w:p w14:paraId="282CE805" w14:textId="77777777" w:rsidR="00143C08" w:rsidRPr="000A7B2A" w:rsidRDefault="0096527B" w:rsidP="00DF130D">
      <w:pPr>
        <w:pStyle w:val="pdq2pgselectionanchorcontainer"/>
        <w:spacing w:line="276" w:lineRule="auto"/>
        <w:jc w:val="both"/>
        <w:rPr>
          <w:rStyle w:val="Strong"/>
          <w:rFonts w:ascii="Arial" w:eastAsiaTheme="majorEastAsia" w:hAnsi="Arial" w:cs="Arial"/>
          <w:sz w:val="20"/>
          <w:szCs w:val="20"/>
        </w:rPr>
      </w:pPr>
      <w:r w:rsidRPr="000A7B2A">
        <w:rPr>
          <w:rFonts w:ascii="Arial" w:hAnsi="Arial" w:cs="Arial"/>
          <w:sz w:val="20"/>
          <w:szCs w:val="20"/>
        </w:rPr>
        <w:t>The VIF results indicate that there is no serious multicollinearity among the explanatory variables. All VIF values are below 5, ranging from 1.08 to 3.00, with a mean VIF of 1.70. The corresponding tolerance values are above 0.30. Therefore, multicollinearity is unlikely to substantially affect the estimated multinomial logistic regression coefficients.</w:t>
      </w:r>
    </w:p>
    <w:p w14:paraId="5DCDC029" w14:textId="77777777" w:rsidR="00111CB1" w:rsidRPr="000A7B2A" w:rsidRDefault="00111CB1" w:rsidP="00DF130D">
      <w:pPr>
        <w:pStyle w:val="pdq2pgselectionanchorcontainer"/>
        <w:spacing w:line="276" w:lineRule="auto"/>
        <w:jc w:val="both"/>
        <w:rPr>
          <w:rStyle w:val="Strong"/>
          <w:rFonts w:ascii="Arial" w:eastAsiaTheme="majorEastAsia" w:hAnsi="Arial" w:cs="Arial"/>
          <w:sz w:val="20"/>
          <w:szCs w:val="20"/>
        </w:rPr>
      </w:pPr>
      <w:r w:rsidRPr="000A7B2A">
        <w:rPr>
          <w:rStyle w:val="Strong"/>
          <w:rFonts w:ascii="Arial" w:eastAsiaTheme="majorEastAsia" w:hAnsi="Arial" w:cs="Arial"/>
          <w:sz w:val="20"/>
          <w:szCs w:val="20"/>
        </w:rPr>
        <w:t xml:space="preserve">Table </w:t>
      </w:r>
      <w:r w:rsidR="00C92E95" w:rsidRPr="000A7B2A">
        <w:rPr>
          <w:rStyle w:val="Strong"/>
          <w:rFonts w:ascii="Arial" w:eastAsiaTheme="majorEastAsia" w:hAnsi="Arial" w:cs="Arial"/>
          <w:sz w:val="20"/>
          <w:szCs w:val="20"/>
        </w:rPr>
        <w:t>4.3.</w:t>
      </w:r>
      <w:r w:rsidRPr="000A7B2A">
        <w:rPr>
          <w:rStyle w:val="Strong"/>
          <w:rFonts w:ascii="Arial" w:eastAsiaTheme="majorEastAsia" w:hAnsi="Arial" w:cs="Arial"/>
          <w:sz w:val="20"/>
          <w:szCs w:val="20"/>
        </w:rPr>
        <w:t xml:space="preserve"> Model Fit Statistics (Multinomial Logistic Regression)</w:t>
      </w:r>
    </w:p>
    <w:tbl>
      <w:tblPr>
        <w:tblStyle w:val="ListTable6Colorful"/>
        <w:tblpPr w:leftFromText="180" w:rightFromText="180" w:vertAnchor="text" w:horzAnchor="margin" w:tblpY="26"/>
        <w:tblW w:w="9167" w:type="dxa"/>
        <w:shd w:val="clear" w:color="auto" w:fill="FFFFFF" w:themeFill="background1"/>
        <w:tblLook w:val="04A0" w:firstRow="1" w:lastRow="0" w:firstColumn="1" w:lastColumn="0" w:noHBand="0" w:noVBand="1"/>
      </w:tblPr>
      <w:tblGrid>
        <w:gridCol w:w="5360"/>
        <w:gridCol w:w="3807"/>
      </w:tblGrid>
      <w:tr w:rsidR="00111CB1" w:rsidRPr="000A7B2A" w14:paraId="1EB5D93F" w14:textId="77777777" w:rsidTr="00111CB1">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951D583" w14:textId="77777777" w:rsidR="00111CB1" w:rsidRPr="000A7B2A" w:rsidRDefault="00111CB1" w:rsidP="00DF130D">
            <w:pPr>
              <w:spacing w:line="276" w:lineRule="auto"/>
              <w:jc w:val="both"/>
              <w:rPr>
                <w:rFonts w:ascii="Arial" w:hAnsi="Arial" w:cs="Arial"/>
                <w:b w:val="0"/>
                <w:bCs w:val="0"/>
                <w:sz w:val="20"/>
                <w:szCs w:val="20"/>
              </w:rPr>
            </w:pPr>
            <w:r w:rsidRPr="000A7B2A">
              <w:rPr>
                <w:rFonts w:ascii="Arial" w:hAnsi="Arial" w:cs="Arial"/>
                <w:sz w:val="20"/>
                <w:szCs w:val="20"/>
              </w:rPr>
              <w:lastRenderedPageBreak/>
              <w:t>Statistic</w:t>
            </w:r>
          </w:p>
        </w:tc>
        <w:tc>
          <w:tcPr>
            <w:tcW w:w="3807" w:type="dxa"/>
            <w:shd w:val="clear" w:color="auto" w:fill="FFFFFF" w:themeFill="background1"/>
            <w:hideMark/>
          </w:tcPr>
          <w:p w14:paraId="1378DCA8" w14:textId="77777777" w:rsidR="00111CB1" w:rsidRPr="000A7B2A" w:rsidRDefault="00111CB1"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Value</w:t>
            </w:r>
          </w:p>
        </w:tc>
      </w:tr>
      <w:tr w:rsidR="00111CB1" w:rsidRPr="000A7B2A" w14:paraId="4F530C9C" w14:textId="77777777" w:rsidTr="00111C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15C12EA" w14:textId="77777777" w:rsidR="00111CB1" w:rsidRPr="000A7B2A" w:rsidRDefault="00111CB1" w:rsidP="00DF130D">
            <w:pPr>
              <w:spacing w:line="276" w:lineRule="auto"/>
              <w:jc w:val="both"/>
              <w:rPr>
                <w:rFonts w:ascii="Arial" w:hAnsi="Arial" w:cs="Arial"/>
                <w:sz w:val="20"/>
                <w:szCs w:val="20"/>
              </w:rPr>
            </w:pPr>
            <w:r w:rsidRPr="000A7B2A">
              <w:rPr>
                <w:rFonts w:ascii="Arial" w:hAnsi="Arial" w:cs="Arial"/>
                <w:sz w:val="20"/>
                <w:szCs w:val="20"/>
              </w:rPr>
              <w:t>Number of observations (N)</w:t>
            </w:r>
          </w:p>
        </w:tc>
        <w:tc>
          <w:tcPr>
            <w:tcW w:w="3807" w:type="dxa"/>
            <w:shd w:val="clear" w:color="auto" w:fill="FFFFFF" w:themeFill="background1"/>
            <w:hideMark/>
          </w:tcPr>
          <w:p w14:paraId="044E6A5C" w14:textId="77777777" w:rsidR="00111CB1" w:rsidRPr="000A7B2A" w:rsidRDefault="00111CB1"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1,511</w:t>
            </w:r>
          </w:p>
        </w:tc>
      </w:tr>
      <w:tr w:rsidR="00111CB1" w:rsidRPr="000A7B2A" w14:paraId="750F3B32" w14:textId="77777777" w:rsidTr="00111CB1">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017978F" w14:textId="77777777" w:rsidR="00111CB1" w:rsidRPr="000A7B2A" w:rsidRDefault="00111CB1" w:rsidP="00DF130D">
            <w:pPr>
              <w:spacing w:line="276" w:lineRule="auto"/>
              <w:jc w:val="both"/>
              <w:rPr>
                <w:rFonts w:ascii="Arial" w:hAnsi="Arial" w:cs="Arial"/>
                <w:sz w:val="20"/>
                <w:szCs w:val="20"/>
              </w:rPr>
            </w:pPr>
            <w:r w:rsidRPr="000A7B2A">
              <w:rPr>
                <w:rFonts w:ascii="Arial" w:hAnsi="Arial" w:cs="Arial"/>
                <w:sz w:val="20"/>
                <w:szCs w:val="20"/>
              </w:rPr>
              <w:t>Wald χ² (df = 16)</w:t>
            </w:r>
          </w:p>
        </w:tc>
        <w:tc>
          <w:tcPr>
            <w:tcW w:w="3807" w:type="dxa"/>
            <w:shd w:val="clear" w:color="auto" w:fill="FFFFFF" w:themeFill="background1"/>
            <w:hideMark/>
          </w:tcPr>
          <w:p w14:paraId="641E2F73" w14:textId="77777777" w:rsidR="00111CB1" w:rsidRPr="000A7B2A" w:rsidRDefault="00111CB1"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217.19</w:t>
            </w:r>
          </w:p>
        </w:tc>
      </w:tr>
      <w:tr w:rsidR="00111CB1" w:rsidRPr="000A7B2A" w14:paraId="0B61E8B8" w14:textId="77777777" w:rsidTr="00111C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45EE6FF" w14:textId="77777777" w:rsidR="00111CB1" w:rsidRPr="000A7B2A" w:rsidRDefault="00111CB1" w:rsidP="00DF130D">
            <w:pPr>
              <w:spacing w:line="276" w:lineRule="auto"/>
              <w:jc w:val="both"/>
              <w:rPr>
                <w:rFonts w:ascii="Arial" w:hAnsi="Arial" w:cs="Arial"/>
                <w:sz w:val="20"/>
                <w:szCs w:val="20"/>
              </w:rPr>
            </w:pPr>
            <w:r w:rsidRPr="000A7B2A">
              <w:rPr>
                <w:rFonts w:ascii="Arial" w:hAnsi="Arial" w:cs="Arial"/>
                <w:sz w:val="20"/>
                <w:szCs w:val="20"/>
              </w:rPr>
              <w:t>Prob &gt; χ²</w:t>
            </w:r>
          </w:p>
        </w:tc>
        <w:tc>
          <w:tcPr>
            <w:tcW w:w="3807" w:type="dxa"/>
            <w:shd w:val="clear" w:color="auto" w:fill="FFFFFF" w:themeFill="background1"/>
            <w:hideMark/>
          </w:tcPr>
          <w:p w14:paraId="27D0ABF7" w14:textId="77777777" w:rsidR="00111CB1" w:rsidRPr="000A7B2A" w:rsidRDefault="00111CB1"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0.0000</w:t>
            </w:r>
          </w:p>
        </w:tc>
      </w:tr>
      <w:tr w:rsidR="00111CB1" w:rsidRPr="000A7B2A" w14:paraId="36C034B8" w14:textId="77777777" w:rsidTr="00111CB1">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62980FB" w14:textId="77777777" w:rsidR="00111CB1" w:rsidRPr="000A7B2A" w:rsidRDefault="00111CB1" w:rsidP="00DF130D">
            <w:pPr>
              <w:spacing w:line="276" w:lineRule="auto"/>
              <w:jc w:val="both"/>
              <w:rPr>
                <w:rFonts w:ascii="Arial" w:hAnsi="Arial" w:cs="Arial"/>
                <w:sz w:val="20"/>
                <w:szCs w:val="20"/>
              </w:rPr>
            </w:pPr>
            <w:r w:rsidRPr="000A7B2A">
              <w:rPr>
                <w:rFonts w:ascii="Arial" w:hAnsi="Arial" w:cs="Arial"/>
                <w:sz w:val="20"/>
                <w:szCs w:val="20"/>
              </w:rPr>
              <w:t>Log Pseudolikelihood</w:t>
            </w:r>
          </w:p>
        </w:tc>
        <w:tc>
          <w:tcPr>
            <w:tcW w:w="3807" w:type="dxa"/>
            <w:shd w:val="clear" w:color="auto" w:fill="FFFFFF" w:themeFill="background1"/>
            <w:hideMark/>
          </w:tcPr>
          <w:p w14:paraId="4146087B" w14:textId="77777777" w:rsidR="00111CB1" w:rsidRPr="000A7B2A" w:rsidRDefault="00111CB1"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–14,933,309</w:t>
            </w:r>
          </w:p>
        </w:tc>
      </w:tr>
      <w:tr w:rsidR="00111CB1" w:rsidRPr="000A7B2A" w14:paraId="0CFA6993" w14:textId="77777777" w:rsidTr="00111CB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6B34F1D" w14:textId="77777777" w:rsidR="00111CB1" w:rsidRPr="000A7B2A" w:rsidRDefault="00111CB1" w:rsidP="00DF130D">
            <w:pPr>
              <w:spacing w:line="276" w:lineRule="auto"/>
              <w:jc w:val="both"/>
              <w:rPr>
                <w:rFonts w:ascii="Arial" w:hAnsi="Arial" w:cs="Arial"/>
                <w:sz w:val="20"/>
                <w:szCs w:val="20"/>
              </w:rPr>
            </w:pPr>
            <w:r w:rsidRPr="000A7B2A">
              <w:rPr>
                <w:rFonts w:ascii="Arial" w:hAnsi="Arial" w:cs="Arial"/>
                <w:sz w:val="20"/>
                <w:szCs w:val="20"/>
              </w:rPr>
              <w:t>Pseudo R²</w:t>
            </w:r>
          </w:p>
        </w:tc>
        <w:tc>
          <w:tcPr>
            <w:tcW w:w="3807" w:type="dxa"/>
            <w:shd w:val="clear" w:color="auto" w:fill="FFFFFF" w:themeFill="background1"/>
            <w:hideMark/>
          </w:tcPr>
          <w:p w14:paraId="27EEBDF7" w14:textId="77777777" w:rsidR="00111CB1" w:rsidRPr="000A7B2A" w:rsidRDefault="00111CB1"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0.3344</w:t>
            </w:r>
          </w:p>
        </w:tc>
      </w:tr>
    </w:tbl>
    <w:p w14:paraId="7DB0F2C2" w14:textId="77777777" w:rsidR="00E86A81" w:rsidRPr="000A7B2A" w:rsidRDefault="00DA135F" w:rsidP="00DF130D">
      <w:pPr>
        <w:spacing w:before="100" w:beforeAutospacing="1" w:after="100" w:afterAutospacing="1" w:line="276" w:lineRule="auto"/>
        <w:jc w:val="both"/>
        <w:outlineLvl w:val="2"/>
        <w:rPr>
          <w:rFonts w:ascii="Arial" w:hAnsi="Arial" w:cs="Arial"/>
          <w:sz w:val="20"/>
          <w:szCs w:val="20"/>
        </w:rPr>
      </w:pPr>
      <w:r w:rsidRPr="000A7B2A">
        <w:rPr>
          <w:rFonts w:ascii="Arial" w:hAnsi="Arial" w:cs="Arial"/>
          <w:sz w:val="20"/>
          <w:szCs w:val="20"/>
        </w:rPr>
        <w:t>Source: MoSPI, PLFS 2023–2024</w:t>
      </w:r>
    </w:p>
    <w:p w14:paraId="085DEBD3" w14:textId="77777777" w:rsidR="004D664F" w:rsidRPr="000A7B2A" w:rsidRDefault="00E86A81" w:rsidP="00DF130D">
      <w:pPr>
        <w:spacing w:before="100" w:beforeAutospacing="1" w:after="100" w:afterAutospacing="1" w:line="276" w:lineRule="auto"/>
        <w:jc w:val="both"/>
        <w:outlineLvl w:val="2"/>
        <w:rPr>
          <w:rFonts w:ascii="Arial" w:hAnsi="Arial" w:cs="Arial"/>
          <w:sz w:val="20"/>
          <w:szCs w:val="20"/>
        </w:rPr>
      </w:pPr>
      <w:r w:rsidRPr="000A7B2A">
        <w:rPr>
          <w:rFonts w:ascii="Arial" w:hAnsi="Arial" w:cs="Arial"/>
          <w:sz w:val="20"/>
          <w:szCs w:val="20"/>
        </w:rPr>
        <w:t xml:space="preserve">The multinomial logistic regression model is statistically significant (Wald χ² = 217.19, df = 16, </w:t>
      </w:r>
      <w:r w:rsidRPr="000A7B2A">
        <w:rPr>
          <w:rStyle w:val="Emphasis"/>
          <w:rFonts w:ascii="Arial" w:hAnsi="Arial" w:cs="Arial"/>
          <w:sz w:val="20"/>
          <w:szCs w:val="20"/>
        </w:rPr>
        <w:t>p</w:t>
      </w:r>
      <w:r w:rsidRPr="000A7B2A">
        <w:rPr>
          <w:rFonts w:ascii="Arial" w:hAnsi="Arial" w:cs="Arial"/>
          <w:sz w:val="20"/>
          <w:szCs w:val="20"/>
        </w:rPr>
        <w:t xml:space="preserve"> &lt; 0.001). The model is estimated using 1,511 observations and has a Pseudo R² of 0.3344, indicating a reasonable model fit. The results suggest that the explanatory variables jointly contribute to differences in earnings categories among rural agricultural workers in Telangana.</w:t>
      </w:r>
    </w:p>
    <w:p w14:paraId="162CAE22" w14:textId="77777777" w:rsidR="000660E0" w:rsidRPr="000A7B2A" w:rsidRDefault="00E7426B"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b/>
          <w:bCs/>
          <w:sz w:val="20"/>
          <w:szCs w:val="20"/>
          <w:lang w:eastAsia="en-IN"/>
        </w:rPr>
        <w:t>Table</w:t>
      </w:r>
      <w:r w:rsidR="00126A71" w:rsidRPr="000A7B2A">
        <w:rPr>
          <w:rFonts w:ascii="Arial" w:eastAsia="Times New Roman" w:hAnsi="Arial" w:cs="Arial"/>
          <w:b/>
          <w:bCs/>
          <w:sz w:val="20"/>
          <w:szCs w:val="20"/>
          <w:lang w:eastAsia="en-IN"/>
        </w:rPr>
        <w:t xml:space="preserve"> </w:t>
      </w:r>
      <w:r w:rsidR="004D664F" w:rsidRPr="000A7B2A">
        <w:rPr>
          <w:rFonts w:ascii="Arial" w:eastAsia="Times New Roman" w:hAnsi="Arial" w:cs="Arial"/>
          <w:b/>
          <w:bCs/>
          <w:sz w:val="20"/>
          <w:szCs w:val="20"/>
          <w:lang w:eastAsia="en-IN"/>
        </w:rPr>
        <w:t>4</w:t>
      </w:r>
      <w:r w:rsidRPr="000A7B2A">
        <w:rPr>
          <w:rFonts w:ascii="Arial" w:eastAsia="Times New Roman" w:hAnsi="Arial" w:cs="Arial"/>
          <w:b/>
          <w:bCs/>
          <w:sz w:val="20"/>
          <w:szCs w:val="20"/>
          <w:lang w:eastAsia="en-IN"/>
        </w:rPr>
        <w:t>.</w:t>
      </w:r>
      <w:r w:rsidR="004D664F" w:rsidRPr="000A7B2A">
        <w:rPr>
          <w:rFonts w:ascii="Arial" w:eastAsia="Times New Roman" w:hAnsi="Arial" w:cs="Arial"/>
          <w:b/>
          <w:bCs/>
          <w:sz w:val="20"/>
          <w:szCs w:val="20"/>
          <w:lang w:eastAsia="en-IN"/>
        </w:rPr>
        <w:t>4</w:t>
      </w:r>
      <w:r w:rsidRPr="000A7B2A">
        <w:rPr>
          <w:rFonts w:ascii="Arial" w:eastAsia="Times New Roman" w:hAnsi="Arial" w:cs="Arial"/>
          <w:b/>
          <w:bCs/>
          <w:sz w:val="20"/>
          <w:szCs w:val="20"/>
          <w:lang w:eastAsia="en-IN"/>
        </w:rPr>
        <w:t xml:space="preserve"> Multinomial Logistic Regression Results for</w:t>
      </w:r>
      <w:r w:rsidR="005C779A" w:rsidRPr="000A7B2A">
        <w:rPr>
          <w:rFonts w:ascii="Arial" w:eastAsia="Times New Roman" w:hAnsi="Arial" w:cs="Arial"/>
          <w:b/>
          <w:bCs/>
          <w:sz w:val="20"/>
          <w:szCs w:val="20"/>
          <w:lang w:eastAsia="en-IN"/>
        </w:rPr>
        <w:t xml:space="preserve"> earnings</w:t>
      </w:r>
      <w:r w:rsidRPr="000A7B2A">
        <w:rPr>
          <w:rFonts w:ascii="Arial" w:eastAsia="Times New Roman" w:hAnsi="Arial" w:cs="Arial"/>
          <w:b/>
          <w:bCs/>
          <w:sz w:val="20"/>
          <w:szCs w:val="20"/>
          <w:lang w:eastAsia="en-IN"/>
        </w:rPr>
        <w:t xml:space="preserve"> Categories of Agricultural Labourers (Telangana)</w:t>
      </w:r>
    </w:p>
    <w:tbl>
      <w:tblPr>
        <w:tblStyle w:val="ListTable6Colorful"/>
        <w:tblW w:w="9951" w:type="dxa"/>
        <w:jc w:val="center"/>
        <w:shd w:val="clear" w:color="auto" w:fill="FFFFFF" w:themeFill="background1"/>
        <w:tblLook w:val="04A0" w:firstRow="1" w:lastRow="0" w:firstColumn="1" w:lastColumn="0" w:noHBand="0" w:noVBand="1"/>
      </w:tblPr>
      <w:tblGrid>
        <w:gridCol w:w="1659"/>
        <w:gridCol w:w="1203"/>
        <w:gridCol w:w="1228"/>
        <w:gridCol w:w="754"/>
        <w:gridCol w:w="724"/>
        <w:gridCol w:w="874"/>
        <w:gridCol w:w="1067"/>
        <w:gridCol w:w="846"/>
        <w:gridCol w:w="723"/>
        <w:gridCol w:w="873"/>
      </w:tblGrid>
      <w:tr w:rsidR="00F15704" w:rsidRPr="000A7B2A" w14:paraId="15569EEF" w14:textId="77777777" w:rsidTr="00F7112A">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4B2115D5" w14:textId="77777777" w:rsidR="00F15704" w:rsidRPr="000A7B2A" w:rsidRDefault="00F15704"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Variable</w:t>
            </w:r>
          </w:p>
        </w:tc>
        <w:tc>
          <w:tcPr>
            <w:tcW w:w="1203" w:type="dxa"/>
            <w:vMerge w:val="restart"/>
            <w:shd w:val="clear" w:color="auto" w:fill="FFFFFF" w:themeFill="background1"/>
            <w:hideMark/>
          </w:tcPr>
          <w:p w14:paraId="4F4F7128" w14:textId="77777777" w:rsidR="00F15704" w:rsidRPr="000A7B2A" w:rsidRDefault="00F1570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Category</w:t>
            </w:r>
          </w:p>
        </w:tc>
        <w:tc>
          <w:tcPr>
            <w:tcW w:w="3626" w:type="dxa"/>
            <w:gridSpan w:val="4"/>
            <w:shd w:val="clear" w:color="auto" w:fill="FFFFFF" w:themeFill="background1"/>
            <w:hideMark/>
          </w:tcPr>
          <w:p w14:paraId="35B4F123" w14:textId="77777777" w:rsidR="00F15704" w:rsidRPr="000A7B2A" w:rsidRDefault="00F1570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eastAsia="Times New Roman" w:hAnsi="Arial" w:cs="Arial"/>
                <w:sz w:val="20"/>
                <w:szCs w:val="20"/>
                <w:lang w:eastAsia="en-IN"/>
              </w:rPr>
              <w:t>₹1–5,000</w:t>
            </w:r>
          </w:p>
          <w:p w14:paraId="79938AE0" w14:textId="77777777" w:rsidR="00F15704" w:rsidRPr="000A7B2A" w:rsidRDefault="00F1570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p>
        </w:tc>
        <w:tc>
          <w:tcPr>
            <w:tcW w:w="0" w:type="auto"/>
            <w:gridSpan w:val="4"/>
            <w:shd w:val="clear" w:color="auto" w:fill="FFFFFF" w:themeFill="background1"/>
            <w:hideMark/>
          </w:tcPr>
          <w:p w14:paraId="2C43B84D" w14:textId="77777777" w:rsidR="00F15704" w:rsidRPr="000A7B2A" w:rsidRDefault="00F1570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eastAsia="Times New Roman" w:hAnsi="Arial" w:cs="Arial"/>
                <w:sz w:val="20"/>
                <w:szCs w:val="20"/>
                <w:lang w:eastAsia="en-IN"/>
              </w:rPr>
              <w:t>Above ₹5,</w:t>
            </w:r>
            <w:r w:rsidR="002E3EC0" w:rsidRPr="000A7B2A">
              <w:rPr>
                <w:rFonts w:ascii="Arial" w:eastAsia="Times New Roman" w:hAnsi="Arial" w:cs="Arial"/>
                <w:sz w:val="20"/>
                <w:szCs w:val="20"/>
                <w:lang w:eastAsia="en-IN"/>
              </w:rPr>
              <w:t>000</w:t>
            </w:r>
          </w:p>
          <w:p w14:paraId="3D021E71" w14:textId="77777777" w:rsidR="00F15704" w:rsidRPr="000A7B2A" w:rsidRDefault="00F15704"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p>
        </w:tc>
      </w:tr>
      <w:tr w:rsidR="00F15704" w:rsidRPr="000A7B2A" w14:paraId="473CDDBA" w14:textId="77777777" w:rsidTr="00F7112A">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tcPr>
          <w:p w14:paraId="371BEE0C" w14:textId="77777777" w:rsidR="00F15704" w:rsidRPr="000A7B2A" w:rsidRDefault="00F15704" w:rsidP="00DF130D">
            <w:pPr>
              <w:spacing w:line="276" w:lineRule="auto"/>
              <w:jc w:val="both"/>
              <w:rPr>
                <w:rFonts w:ascii="Arial" w:eastAsia="Times New Roman" w:hAnsi="Arial" w:cs="Arial"/>
                <w:b w:val="0"/>
                <w:bCs w:val="0"/>
                <w:sz w:val="20"/>
                <w:szCs w:val="20"/>
                <w:lang w:eastAsia="en-IN"/>
              </w:rPr>
            </w:pPr>
          </w:p>
        </w:tc>
        <w:tc>
          <w:tcPr>
            <w:tcW w:w="1203" w:type="dxa"/>
            <w:vMerge/>
            <w:shd w:val="clear" w:color="auto" w:fill="FFFFFF" w:themeFill="background1"/>
          </w:tcPr>
          <w:p w14:paraId="4588172E"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p>
        </w:tc>
        <w:tc>
          <w:tcPr>
            <w:tcW w:w="1225" w:type="dxa"/>
            <w:shd w:val="clear" w:color="auto" w:fill="FFFFFF" w:themeFill="background1"/>
          </w:tcPr>
          <w:p w14:paraId="10EE0ADE"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β</w:t>
            </w:r>
          </w:p>
        </w:tc>
        <w:tc>
          <w:tcPr>
            <w:tcW w:w="752" w:type="dxa"/>
            <w:shd w:val="clear" w:color="auto" w:fill="FFFFFF" w:themeFill="background1"/>
          </w:tcPr>
          <w:p w14:paraId="1723A13F"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Std. Err.</w:t>
            </w:r>
          </w:p>
        </w:tc>
        <w:tc>
          <w:tcPr>
            <w:tcW w:w="0" w:type="auto"/>
            <w:shd w:val="clear" w:color="auto" w:fill="FFFFFF" w:themeFill="background1"/>
          </w:tcPr>
          <w:p w14:paraId="4CEDA303"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z</w:t>
            </w:r>
          </w:p>
        </w:tc>
        <w:tc>
          <w:tcPr>
            <w:tcW w:w="0" w:type="auto"/>
            <w:shd w:val="clear" w:color="auto" w:fill="FFFFFF" w:themeFill="background1"/>
          </w:tcPr>
          <w:p w14:paraId="53937B9C"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p-value</w:t>
            </w:r>
          </w:p>
        </w:tc>
        <w:tc>
          <w:tcPr>
            <w:tcW w:w="0" w:type="auto"/>
            <w:shd w:val="clear" w:color="auto" w:fill="FFFFFF" w:themeFill="background1"/>
          </w:tcPr>
          <w:p w14:paraId="5BFA017D"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β</w:t>
            </w:r>
          </w:p>
        </w:tc>
        <w:tc>
          <w:tcPr>
            <w:tcW w:w="0" w:type="auto"/>
            <w:shd w:val="clear" w:color="auto" w:fill="FFFFFF" w:themeFill="background1"/>
          </w:tcPr>
          <w:p w14:paraId="2117EEE1"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Std. Err.</w:t>
            </w:r>
          </w:p>
        </w:tc>
        <w:tc>
          <w:tcPr>
            <w:tcW w:w="0" w:type="auto"/>
            <w:shd w:val="clear" w:color="auto" w:fill="FFFFFF" w:themeFill="background1"/>
          </w:tcPr>
          <w:p w14:paraId="2E33F8BE"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z</w:t>
            </w:r>
          </w:p>
        </w:tc>
        <w:tc>
          <w:tcPr>
            <w:tcW w:w="0" w:type="auto"/>
            <w:shd w:val="clear" w:color="auto" w:fill="FFFFFF" w:themeFill="background1"/>
          </w:tcPr>
          <w:p w14:paraId="1ADA640C"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p-value</w:t>
            </w:r>
          </w:p>
        </w:tc>
      </w:tr>
      <w:tr w:rsidR="00F7112A" w:rsidRPr="000A7B2A" w14:paraId="72CBE128" w14:textId="77777777" w:rsidTr="00F7112A">
        <w:trPr>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512F959" w14:textId="77777777" w:rsidR="00F15704" w:rsidRPr="000A7B2A" w:rsidRDefault="00F15704"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Gender</w:t>
            </w:r>
          </w:p>
        </w:tc>
        <w:tc>
          <w:tcPr>
            <w:tcW w:w="1203" w:type="dxa"/>
            <w:shd w:val="clear" w:color="auto" w:fill="FFFFFF" w:themeFill="background1"/>
            <w:hideMark/>
          </w:tcPr>
          <w:p w14:paraId="43F47777"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Female</w:t>
            </w:r>
          </w:p>
        </w:tc>
        <w:tc>
          <w:tcPr>
            <w:tcW w:w="1225" w:type="dxa"/>
            <w:shd w:val="clear" w:color="auto" w:fill="FFFFFF" w:themeFill="background1"/>
            <w:hideMark/>
          </w:tcPr>
          <w:p w14:paraId="1497E98C"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0.686*</w:t>
            </w:r>
          </w:p>
        </w:tc>
        <w:tc>
          <w:tcPr>
            <w:tcW w:w="752" w:type="dxa"/>
            <w:shd w:val="clear" w:color="auto" w:fill="FFFFFF" w:themeFill="background1"/>
            <w:hideMark/>
          </w:tcPr>
          <w:p w14:paraId="22E7671E"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0.315</w:t>
            </w:r>
          </w:p>
        </w:tc>
        <w:tc>
          <w:tcPr>
            <w:tcW w:w="0" w:type="auto"/>
            <w:shd w:val="clear" w:color="auto" w:fill="FFFFFF" w:themeFill="background1"/>
            <w:hideMark/>
          </w:tcPr>
          <w:p w14:paraId="226BB9C6"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2.17</w:t>
            </w:r>
          </w:p>
        </w:tc>
        <w:tc>
          <w:tcPr>
            <w:tcW w:w="0" w:type="auto"/>
            <w:shd w:val="clear" w:color="auto" w:fill="FFFFFF" w:themeFill="background1"/>
            <w:hideMark/>
          </w:tcPr>
          <w:p w14:paraId="19C2AC89"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0.030</w:t>
            </w:r>
          </w:p>
        </w:tc>
        <w:tc>
          <w:tcPr>
            <w:tcW w:w="0" w:type="auto"/>
            <w:shd w:val="clear" w:color="auto" w:fill="FFFFFF" w:themeFill="background1"/>
            <w:hideMark/>
          </w:tcPr>
          <w:p w14:paraId="5C61C1CF"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0.450</w:t>
            </w:r>
          </w:p>
        </w:tc>
        <w:tc>
          <w:tcPr>
            <w:tcW w:w="0" w:type="auto"/>
            <w:shd w:val="clear" w:color="auto" w:fill="FFFFFF" w:themeFill="background1"/>
            <w:hideMark/>
          </w:tcPr>
          <w:p w14:paraId="2D550B53"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0.233</w:t>
            </w:r>
          </w:p>
        </w:tc>
        <w:tc>
          <w:tcPr>
            <w:tcW w:w="0" w:type="auto"/>
            <w:shd w:val="clear" w:color="auto" w:fill="FFFFFF" w:themeFill="background1"/>
            <w:hideMark/>
          </w:tcPr>
          <w:p w14:paraId="32A042EC"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1.93</w:t>
            </w:r>
          </w:p>
        </w:tc>
        <w:tc>
          <w:tcPr>
            <w:tcW w:w="0" w:type="auto"/>
            <w:shd w:val="clear" w:color="auto" w:fill="FFFFFF" w:themeFill="background1"/>
            <w:hideMark/>
          </w:tcPr>
          <w:p w14:paraId="4934346C"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0.053</w:t>
            </w:r>
          </w:p>
        </w:tc>
      </w:tr>
      <w:tr w:rsidR="00F7112A" w:rsidRPr="000A7B2A" w14:paraId="4F0EE56C" w14:textId="77777777" w:rsidTr="00F7112A">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289B824" w14:textId="77777777" w:rsidR="00F15704" w:rsidRPr="000A7B2A" w:rsidRDefault="00F15704"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Age</w:t>
            </w:r>
          </w:p>
        </w:tc>
        <w:tc>
          <w:tcPr>
            <w:tcW w:w="1203" w:type="dxa"/>
            <w:shd w:val="clear" w:color="auto" w:fill="FFFFFF" w:themeFill="background1"/>
            <w:hideMark/>
          </w:tcPr>
          <w:p w14:paraId="4869F340"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Mature</w:t>
            </w:r>
          </w:p>
        </w:tc>
        <w:tc>
          <w:tcPr>
            <w:tcW w:w="1225" w:type="dxa"/>
            <w:shd w:val="clear" w:color="auto" w:fill="FFFFFF" w:themeFill="background1"/>
            <w:hideMark/>
          </w:tcPr>
          <w:p w14:paraId="23A5C49B"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−0.985</w:t>
            </w:r>
          </w:p>
        </w:tc>
        <w:tc>
          <w:tcPr>
            <w:tcW w:w="752" w:type="dxa"/>
            <w:shd w:val="clear" w:color="auto" w:fill="FFFFFF" w:themeFill="background1"/>
            <w:hideMark/>
          </w:tcPr>
          <w:p w14:paraId="2974266E"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0.551</w:t>
            </w:r>
          </w:p>
        </w:tc>
        <w:tc>
          <w:tcPr>
            <w:tcW w:w="0" w:type="auto"/>
            <w:shd w:val="clear" w:color="auto" w:fill="FFFFFF" w:themeFill="background1"/>
            <w:hideMark/>
          </w:tcPr>
          <w:p w14:paraId="67F325AC"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−1.79</w:t>
            </w:r>
          </w:p>
        </w:tc>
        <w:tc>
          <w:tcPr>
            <w:tcW w:w="0" w:type="auto"/>
            <w:shd w:val="clear" w:color="auto" w:fill="FFFFFF" w:themeFill="background1"/>
            <w:hideMark/>
          </w:tcPr>
          <w:p w14:paraId="75F91DE9"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0.074</w:t>
            </w:r>
          </w:p>
        </w:tc>
        <w:tc>
          <w:tcPr>
            <w:tcW w:w="0" w:type="auto"/>
            <w:shd w:val="clear" w:color="auto" w:fill="FFFFFF" w:themeFill="background1"/>
            <w:hideMark/>
          </w:tcPr>
          <w:p w14:paraId="70FD5918"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−0.782*</w:t>
            </w:r>
          </w:p>
        </w:tc>
        <w:tc>
          <w:tcPr>
            <w:tcW w:w="0" w:type="auto"/>
            <w:shd w:val="clear" w:color="auto" w:fill="FFFFFF" w:themeFill="background1"/>
            <w:hideMark/>
          </w:tcPr>
          <w:p w14:paraId="424FEBD3"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0.356</w:t>
            </w:r>
          </w:p>
        </w:tc>
        <w:tc>
          <w:tcPr>
            <w:tcW w:w="0" w:type="auto"/>
            <w:shd w:val="clear" w:color="auto" w:fill="FFFFFF" w:themeFill="background1"/>
            <w:hideMark/>
          </w:tcPr>
          <w:p w14:paraId="0F16CC1B"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−2.20</w:t>
            </w:r>
          </w:p>
        </w:tc>
        <w:tc>
          <w:tcPr>
            <w:tcW w:w="0" w:type="auto"/>
            <w:shd w:val="clear" w:color="auto" w:fill="FFFFFF" w:themeFill="background1"/>
            <w:hideMark/>
          </w:tcPr>
          <w:p w14:paraId="78A0E21A"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0.028</w:t>
            </w:r>
          </w:p>
        </w:tc>
      </w:tr>
      <w:tr w:rsidR="00F7112A" w:rsidRPr="000A7B2A" w14:paraId="01F9A096" w14:textId="77777777" w:rsidTr="00F7112A">
        <w:trPr>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9844252" w14:textId="77777777" w:rsidR="00F15704" w:rsidRPr="000A7B2A" w:rsidRDefault="00F15704" w:rsidP="00DF130D">
            <w:pPr>
              <w:spacing w:line="276" w:lineRule="auto"/>
              <w:jc w:val="both"/>
              <w:rPr>
                <w:rFonts w:ascii="Arial" w:eastAsia="Times New Roman" w:hAnsi="Arial" w:cs="Arial"/>
                <w:sz w:val="20"/>
                <w:szCs w:val="20"/>
                <w:lang w:eastAsia="en-IN"/>
              </w:rPr>
            </w:pPr>
          </w:p>
        </w:tc>
        <w:tc>
          <w:tcPr>
            <w:tcW w:w="1203" w:type="dxa"/>
            <w:shd w:val="clear" w:color="auto" w:fill="FFFFFF" w:themeFill="background1"/>
            <w:hideMark/>
          </w:tcPr>
          <w:p w14:paraId="31F0EE59"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Senior</w:t>
            </w:r>
          </w:p>
        </w:tc>
        <w:tc>
          <w:tcPr>
            <w:tcW w:w="1225" w:type="dxa"/>
            <w:shd w:val="clear" w:color="auto" w:fill="FFFFFF" w:themeFill="background1"/>
            <w:hideMark/>
          </w:tcPr>
          <w:p w14:paraId="02F4ACC5"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−0.822</w:t>
            </w:r>
          </w:p>
        </w:tc>
        <w:tc>
          <w:tcPr>
            <w:tcW w:w="752" w:type="dxa"/>
            <w:shd w:val="clear" w:color="auto" w:fill="FFFFFF" w:themeFill="background1"/>
            <w:hideMark/>
          </w:tcPr>
          <w:p w14:paraId="7F94AC46"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0.496</w:t>
            </w:r>
          </w:p>
        </w:tc>
        <w:tc>
          <w:tcPr>
            <w:tcW w:w="0" w:type="auto"/>
            <w:shd w:val="clear" w:color="auto" w:fill="FFFFFF" w:themeFill="background1"/>
            <w:hideMark/>
          </w:tcPr>
          <w:p w14:paraId="05A1E7CE"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−1.66</w:t>
            </w:r>
          </w:p>
        </w:tc>
        <w:tc>
          <w:tcPr>
            <w:tcW w:w="0" w:type="auto"/>
            <w:shd w:val="clear" w:color="auto" w:fill="FFFFFF" w:themeFill="background1"/>
            <w:hideMark/>
          </w:tcPr>
          <w:p w14:paraId="2F46834F"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0.097</w:t>
            </w:r>
          </w:p>
        </w:tc>
        <w:tc>
          <w:tcPr>
            <w:tcW w:w="0" w:type="auto"/>
            <w:shd w:val="clear" w:color="auto" w:fill="FFFFFF" w:themeFill="background1"/>
            <w:hideMark/>
          </w:tcPr>
          <w:p w14:paraId="3F282D63"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−1.211**</w:t>
            </w:r>
          </w:p>
        </w:tc>
        <w:tc>
          <w:tcPr>
            <w:tcW w:w="0" w:type="auto"/>
            <w:shd w:val="clear" w:color="auto" w:fill="FFFFFF" w:themeFill="background1"/>
            <w:hideMark/>
          </w:tcPr>
          <w:p w14:paraId="036217F2"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0.376</w:t>
            </w:r>
          </w:p>
        </w:tc>
        <w:tc>
          <w:tcPr>
            <w:tcW w:w="0" w:type="auto"/>
            <w:shd w:val="clear" w:color="auto" w:fill="FFFFFF" w:themeFill="background1"/>
            <w:hideMark/>
          </w:tcPr>
          <w:p w14:paraId="653D3E62"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−3.22</w:t>
            </w:r>
          </w:p>
        </w:tc>
        <w:tc>
          <w:tcPr>
            <w:tcW w:w="0" w:type="auto"/>
            <w:shd w:val="clear" w:color="auto" w:fill="FFFFFF" w:themeFill="background1"/>
            <w:hideMark/>
          </w:tcPr>
          <w:p w14:paraId="798F1A87"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0.001</w:t>
            </w:r>
          </w:p>
        </w:tc>
      </w:tr>
      <w:tr w:rsidR="00F7112A" w:rsidRPr="000A7B2A" w14:paraId="7CEFF1C8" w14:textId="77777777" w:rsidTr="00F7112A">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0925190" w14:textId="77777777" w:rsidR="00F15704" w:rsidRPr="000A7B2A" w:rsidRDefault="00F15704"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Education</w:t>
            </w:r>
          </w:p>
        </w:tc>
        <w:tc>
          <w:tcPr>
            <w:tcW w:w="1203" w:type="dxa"/>
            <w:shd w:val="clear" w:color="auto" w:fill="FFFFFF" w:themeFill="background1"/>
            <w:hideMark/>
          </w:tcPr>
          <w:p w14:paraId="684FEE8F"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Primary</w:t>
            </w:r>
          </w:p>
        </w:tc>
        <w:tc>
          <w:tcPr>
            <w:tcW w:w="1225" w:type="dxa"/>
            <w:shd w:val="clear" w:color="auto" w:fill="FFFFFF" w:themeFill="background1"/>
            <w:hideMark/>
          </w:tcPr>
          <w:p w14:paraId="5D7FCE59"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−0.676</w:t>
            </w:r>
          </w:p>
        </w:tc>
        <w:tc>
          <w:tcPr>
            <w:tcW w:w="752" w:type="dxa"/>
            <w:shd w:val="clear" w:color="auto" w:fill="FFFFFF" w:themeFill="background1"/>
            <w:hideMark/>
          </w:tcPr>
          <w:p w14:paraId="0B1C037A"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0.421</w:t>
            </w:r>
          </w:p>
        </w:tc>
        <w:tc>
          <w:tcPr>
            <w:tcW w:w="0" w:type="auto"/>
            <w:shd w:val="clear" w:color="auto" w:fill="FFFFFF" w:themeFill="background1"/>
            <w:hideMark/>
          </w:tcPr>
          <w:p w14:paraId="4CBE1C50"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−1.61</w:t>
            </w:r>
          </w:p>
        </w:tc>
        <w:tc>
          <w:tcPr>
            <w:tcW w:w="0" w:type="auto"/>
            <w:shd w:val="clear" w:color="auto" w:fill="FFFFFF" w:themeFill="background1"/>
            <w:hideMark/>
          </w:tcPr>
          <w:p w14:paraId="3450FD5C"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0.108</w:t>
            </w:r>
          </w:p>
        </w:tc>
        <w:tc>
          <w:tcPr>
            <w:tcW w:w="0" w:type="auto"/>
            <w:shd w:val="clear" w:color="auto" w:fill="FFFFFF" w:themeFill="background1"/>
            <w:hideMark/>
          </w:tcPr>
          <w:p w14:paraId="22147329"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0.115</w:t>
            </w:r>
          </w:p>
        </w:tc>
        <w:tc>
          <w:tcPr>
            <w:tcW w:w="0" w:type="auto"/>
            <w:shd w:val="clear" w:color="auto" w:fill="FFFFFF" w:themeFill="background1"/>
            <w:hideMark/>
          </w:tcPr>
          <w:p w14:paraId="0592C357"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0.286</w:t>
            </w:r>
          </w:p>
        </w:tc>
        <w:tc>
          <w:tcPr>
            <w:tcW w:w="0" w:type="auto"/>
            <w:shd w:val="clear" w:color="auto" w:fill="FFFFFF" w:themeFill="background1"/>
            <w:hideMark/>
          </w:tcPr>
          <w:p w14:paraId="6A5C931B"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0.40</w:t>
            </w:r>
          </w:p>
        </w:tc>
        <w:tc>
          <w:tcPr>
            <w:tcW w:w="0" w:type="auto"/>
            <w:shd w:val="clear" w:color="auto" w:fill="FFFFFF" w:themeFill="background1"/>
            <w:hideMark/>
          </w:tcPr>
          <w:p w14:paraId="7C845CFB"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0.687</w:t>
            </w:r>
          </w:p>
        </w:tc>
      </w:tr>
      <w:tr w:rsidR="00F7112A" w:rsidRPr="000A7B2A" w14:paraId="36585532" w14:textId="77777777" w:rsidTr="00F7112A">
        <w:trPr>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C1B7560" w14:textId="77777777" w:rsidR="00F15704" w:rsidRPr="000A7B2A" w:rsidRDefault="00F15704" w:rsidP="00DF130D">
            <w:pPr>
              <w:spacing w:line="276" w:lineRule="auto"/>
              <w:jc w:val="both"/>
              <w:rPr>
                <w:rFonts w:ascii="Arial" w:eastAsia="Times New Roman" w:hAnsi="Arial" w:cs="Arial"/>
                <w:sz w:val="20"/>
                <w:szCs w:val="20"/>
                <w:lang w:eastAsia="en-IN"/>
              </w:rPr>
            </w:pPr>
          </w:p>
        </w:tc>
        <w:tc>
          <w:tcPr>
            <w:tcW w:w="1203" w:type="dxa"/>
            <w:shd w:val="clear" w:color="auto" w:fill="FFFFFF" w:themeFill="background1"/>
            <w:hideMark/>
          </w:tcPr>
          <w:p w14:paraId="6472B71E"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Secondary</w:t>
            </w:r>
          </w:p>
        </w:tc>
        <w:tc>
          <w:tcPr>
            <w:tcW w:w="1225" w:type="dxa"/>
            <w:shd w:val="clear" w:color="auto" w:fill="FFFFFF" w:themeFill="background1"/>
            <w:hideMark/>
          </w:tcPr>
          <w:p w14:paraId="1FE7F289"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0.560</w:t>
            </w:r>
          </w:p>
        </w:tc>
        <w:tc>
          <w:tcPr>
            <w:tcW w:w="752" w:type="dxa"/>
            <w:shd w:val="clear" w:color="auto" w:fill="FFFFFF" w:themeFill="background1"/>
            <w:hideMark/>
          </w:tcPr>
          <w:p w14:paraId="2050362E"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0.441</w:t>
            </w:r>
          </w:p>
        </w:tc>
        <w:tc>
          <w:tcPr>
            <w:tcW w:w="0" w:type="auto"/>
            <w:shd w:val="clear" w:color="auto" w:fill="FFFFFF" w:themeFill="background1"/>
            <w:hideMark/>
          </w:tcPr>
          <w:p w14:paraId="403B5655"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1.27</w:t>
            </w:r>
          </w:p>
        </w:tc>
        <w:tc>
          <w:tcPr>
            <w:tcW w:w="0" w:type="auto"/>
            <w:shd w:val="clear" w:color="auto" w:fill="FFFFFF" w:themeFill="background1"/>
            <w:hideMark/>
          </w:tcPr>
          <w:p w14:paraId="3F6BC9A1"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0.205</w:t>
            </w:r>
          </w:p>
        </w:tc>
        <w:tc>
          <w:tcPr>
            <w:tcW w:w="0" w:type="auto"/>
            <w:shd w:val="clear" w:color="auto" w:fill="FFFFFF" w:themeFill="background1"/>
            <w:hideMark/>
          </w:tcPr>
          <w:p w14:paraId="2522FBA8"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−0.252</w:t>
            </w:r>
          </w:p>
        </w:tc>
        <w:tc>
          <w:tcPr>
            <w:tcW w:w="0" w:type="auto"/>
            <w:shd w:val="clear" w:color="auto" w:fill="FFFFFF" w:themeFill="background1"/>
            <w:hideMark/>
          </w:tcPr>
          <w:p w14:paraId="4A1D3186"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0.349</w:t>
            </w:r>
          </w:p>
        </w:tc>
        <w:tc>
          <w:tcPr>
            <w:tcW w:w="0" w:type="auto"/>
            <w:shd w:val="clear" w:color="auto" w:fill="FFFFFF" w:themeFill="background1"/>
            <w:hideMark/>
          </w:tcPr>
          <w:p w14:paraId="5D01C52F"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−0.72</w:t>
            </w:r>
          </w:p>
        </w:tc>
        <w:tc>
          <w:tcPr>
            <w:tcW w:w="0" w:type="auto"/>
            <w:shd w:val="clear" w:color="auto" w:fill="FFFFFF" w:themeFill="background1"/>
            <w:hideMark/>
          </w:tcPr>
          <w:p w14:paraId="27F67E4F"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0.469</w:t>
            </w:r>
          </w:p>
        </w:tc>
      </w:tr>
      <w:tr w:rsidR="00F7112A" w:rsidRPr="000A7B2A" w14:paraId="57EBC99F" w14:textId="77777777" w:rsidTr="00F7112A">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5C9375A" w14:textId="77777777" w:rsidR="00F15704" w:rsidRPr="000A7B2A" w:rsidRDefault="00F15704" w:rsidP="00DF130D">
            <w:pPr>
              <w:spacing w:line="276" w:lineRule="auto"/>
              <w:jc w:val="both"/>
              <w:rPr>
                <w:rFonts w:ascii="Arial" w:eastAsia="Times New Roman" w:hAnsi="Arial" w:cs="Arial"/>
                <w:sz w:val="20"/>
                <w:szCs w:val="20"/>
                <w:lang w:eastAsia="en-IN"/>
              </w:rPr>
            </w:pPr>
          </w:p>
        </w:tc>
        <w:tc>
          <w:tcPr>
            <w:tcW w:w="1203" w:type="dxa"/>
            <w:shd w:val="clear" w:color="auto" w:fill="FFFFFF" w:themeFill="background1"/>
            <w:hideMark/>
          </w:tcPr>
          <w:p w14:paraId="435D6FE1"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Higher</w:t>
            </w:r>
          </w:p>
        </w:tc>
        <w:tc>
          <w:tcPr>
            <w:tcW w:w="1225" w:type="dxa"/>
            <w:shd w:val="clear" w:color="auto" w:fill="FFFFFF" w:themeFill="background1"/>
            <w:hideMark/>
          </w:tcPr>
          <w:p w14:paraId="7299F210"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−2.294**</w:t>
            </w:r>
          </w:p>
        </w:tc>
        <w:tc>
          <w:tcPr>
            <w:tcW w:w="752" w:type="dxa"/>
            <w:shd w:val="clear" w:color="auto" w:fill="FFFFFF" w:themeFill="background1"/>
            <w:hideMark/>
          </w:tcPr>
          <w:p w14:paraId="16E83C29"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0.847</w:t>
            </w:r>
          </w:p>
        </w:tc>
        <w:tc>
          <w:tcPr>
            <w:tcW w:w="0" w:type="auto"/>
            <w:shd w:val="clear" w:color="auto" w:fill="FFFFFF" w:themeFill="background1"/>
            <w:hideMark/>
          </w:tcPr>
          <w:p w14:paraId="6658BD8B"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−2.71</w:t>
            </w:r>
          </w:p>
        </w:tc>
        <w:tc>
          <w:tcPr>
            <w:tcW w:w="0" w:type="auto"/>
            <w:shd w:val="clear" w:color="auto" w:fill="FFFFFF" w:themeFill="background1"/>
            <w:hideMark/>
          </w:tcPr>
          <w:p w14:paraId="756C76BA"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0.007</w:t>
            </w:r>
          </w:p>
        </w:tc>
        <w:tc>
          <w:tcPr>
            <w:tcW w:w="0" w:type="auto"/>
            <w:shd w:val="clear" w:color="auto" w:fill="FFFFFF" w:themeFill="background1"/>
            <w:hideMark/>
          </w:tcPr>
          <w:p w14:paraId="5D13B9BA"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−2.005***</w:t>
            </w:r>
          </w:p>
        </w:tc>
        <w:tc>
          <w:tcPr>
            <w:tcW w:w="0" w:type="auto"/>
            <w:shd w:val="clear" w:color="auto" w:fill="FFFFFF" w:themeFill="background1"/>
            <w:hideMark/>
          </w:tcPr>
          <w:p w14:paraId="58C8EDA9"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0.527</w:t>
            </w:r>
          </w:p>
        </w:tc>
        <w:tc>
          <w:tcPr>
            <w:tcW w:w="0" w:type="auto"/>
            <w:shd w:val="clear" w:color="auto" w:fill="FFFFFF" w:themeFill="background1"/>
            <w:hideMark/>
          </w:tcPr>
          <w:p w14:paraId="2F52451C"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−3.80</w:t>
            </w:r>
          </w:p>
        </w:tc>
        <w:tc>
          <w:tcPr>
            <w:tcW w:w="0" w:type="auto"/>
            <w:shd w:val="clear" w:color="auto" w:fill="FFFFFF" w:themeFill="background1"/>
            <w:hideMark/>
          </w:tcPr>
          <w:p w14:paraId="02321F6A"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&lt;0.001</w:t>
            </w:r>
          </w:p>
        </w:tc>
      </w:tr>
      <w:tr w:rsidR="00F7112A" w:rsidRPr="000A7B2A" w14:paraId="77AF453B" w14:textId="77777777" w:rsidTr="00F7112A">
        <w:trPr>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BA2C7BD" w14:textId="77777777" w:rsidR="00F15704" w:rsidRPr="000A7B2A" w:rsidRDefault="00F15704"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Employment Type</w:t>
            </w:r>
          </w:p>
        </w:tc>
        <w:tc>
          <w:tcPr>
            <w:tcW w:w="1203" w:type="dxa"/>
            <w:shd w:val="clear" w:color="auto" w:fill="FFFFFF" w:themeFill="background1"/>
            <w:hideMark/>
          </w:tcPr>
          <w:p w14:paraId="7ED54226"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Casual Labour</w:t>
            </w:r>
          </w:p>
        </w:tc>
        <w:tc>
          <w:tcPr>
            <w:tcW w:w="1225" w:type="dxa"/>
            <w:shd w:val="clear" w:color="auto" w:fill="FFFFFF" w:themeFill="background1"/>
            <w:hideMark/>
          </w:tcPr>
          <w:p w14:paraId="56579740"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4.138***</w:t>
            </w:r>
          </w:p>
        </w:tc>
        <w:tc>
          <w:tcPr>
            <w:tcW w:w="752" w:type="dxa"/>
            <w:shd w:val="clear" w:color="auto" w:fill="FFFFFF" w:themeFill="background1"/>
            <w:hideMark/>
          </w:tcPr>
          <w:p w14:paraId="79525E5E"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0.417</w:t>
            </w:r>
          </w:p>
        </w:tc>
        <w:tc>
          <w:tcPr>
            <w:tcW w:w="0" w:type="auto"/>
            <w:shd w:val="clear" w:color="auto" w:fill="FFFFFF" w:themeFill="background1"/>
            <w:hideMark/>
          </w:tcPr>
          <w:p w14:paraId="67FB4078"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9.92</w:t>
            </w:r>
          </w:p>
        </w:tc>
        <w:tc>
          <w:tcPr>
            <w:tcW w:w="0" w:type="auto"/>
            <w:shd w:val="clear" w:color="auto" w:fill="FFFFFF" w:themeFill="background1"/>
            <w:hideMark/>
          </w:tcPr>
          <w:p w14:paraId="2CE53368"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&lt;0.001</w:t>
            </w:r>
          </w:p>
        </w:tc>
        <w:tc>
          <w:tcPr>
            <w:tcW w:w="0" w:type="auto"/>
            <w:shd w:val="clear" w:color="auto" w:fill="FFFFFF" w:themeFill="background1"/>
            <w:hideMark/>
          </w:tcPr>
          <w:p w14:paraId="6FF1E143"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4.120***</w:t>
            </w:r>
          </w:p>
        </w:tc>
        <w:tc>
          <w:tcPr>
            <w:tcW w:w="0" w:type="auto"/>
            <w:shd w:val="clear" w:color="auto" w:fill="FFFFFF" w:themeFill="background1"/>
            <w:hideMark/>
          </w:tcPr>
          <w:p w14:paraId="2D5BC84B"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0.330</w:t>
            </w:r>
          </w:p>
        </w:tc>
        <w:tc>
          <w:tcPr>
            <w:tcW w:w="0" w:type="auto"/>
            <w:shd w:val="clear" w:color="auto" w:fill="FFFFFF" w:themeFill="background1"/>
            <w:hideMark/>
          </w:tcPr>
          <w:p w14:paraId="351FAFF3"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12.47</w:t>
            </w:r>
          </w:p>
        </w:tc>
        <w:tc>
          <w:tcPr>
            <w:tcW w:w="0" w:type="auto"/>
            <w:shd w:val="clear" w:color="auto" w:fill="FFFFFF" w:themeFill="background1"/>
            <w:hideMark/>
          </w:tcPr>
          <w:p w14:paraId="1BADDACA" w14:textId="77777777" w:rsidR="00F15704" w:rsidRPr="000A7B2A" w:rsidRDefault="00F15704"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&lt;0.001</w:t>
            </w:r>
          </w:p>
        </w:tc>
      </w:tr>
      <w:tr w:rsidR="00F7112A" w:rsidRPr="000A7B2A" w14:paraId="46A401DA" w14:textId="77777777" w:rsidTr="00F7112A">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9FFDE13" w14:textId="77777777" w:rsidR="00F15704" w:rsidRPr="000A7B2A" w:rsidRDefault="00F15704" w:rsidP="00DF130D">
            <w:pPr>
              <w:spacing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Constant</w:t>
            </w:r>
          </w:p>
        </w:tc>
        <w:tc>
          <w:tcPr>
            <w:tcW w:w="1203" w:type="dxa"/>
            <w:shd w:val="clear" w:color="auto" w:fill="FFFFFF" w:themeFill="background1"/>
            <w:hideMark/>
          </w:tcPr>
          <w:p w14:paraId="07F73946"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w:t>
            </w:r>
          </w:p>
        </w:tc>
        <w:tc>
          <w:tcPr>
            <w:tcW w:w="1225" w:type="dxa"/>
            <w:shd w:val="clear" w:color="auto" w:fill="FFFFFF" w:themeFill="background1"/>
            <w:hideMark/>
          </w:tcPr>
          <w:p w14:paraId="325CF903"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−2.572***</w:t>
            </w:r>
          </w:p>
        </w:tc>
        <w:tc>
          <w:tcPr>
            <w:tcW w:w="752" w:type="dxa"/>
            <w:shd w:val="clear" w:color="auto" w:fill="FFFFFF" w:themeFill="background1"/>
            <w:hideMark/>
          </w:tcPr>
          <w:p w14:paraId="33C9C5FA"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0.604</w:t>
            </w:r>
          </w:p>
        </w:tc>
        <w:tc>
          <w:tcPr>
            <w:tcW w:w="0" w:type="auto"/>
            <w:shd w:val="clear" w:color="auto" w:fill="FFFFFF" w:themeFill="background1"/>
            <w:hideMark/>
          </w:tcPr>
          <w:p w14:paraId="5EBCD226"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−4.25</w:t>
            </w:r>
          </w:p>
        </w:tc>
        <w:tc>
          <w:tcPr>
            <w:tcW w:w="0" w:type="auto"/>
            <w:shd w:val="clear" w:color="auto" w:fill="FFFFFF" w:themeFill="background1"/>
            <w:hideMark/>
          </w:tcPr>
          <w:p w14:paraId="0CD6DCD7"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&lt;0.001</w:t>
            </w:r>
          </w:p>
        </w:tc>
        <w:tc>
          <w:tcPr>
            <w:tcW w:w="0" w:type="auto"/>
            <w:shd w:val="clear" w:color="auto" w:fill="FFFFFF" w:themeFill="background1"/>
            <w:hideMark/>
          </w:tcPr>
          <w:p w14:paraId="29E2E033"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−0.943*</w:t>
            </w:r>
          </w:p>
        </w:tc>
        <w:tc>
          <w:tcPr>
            <w:tcW w:w="0" w:type="auto"/>
            <w:shd w:val="clear" w:color="auto" w:fill="FFFFFF" w:themeFill="background1"/>
            <w:hideMark/>
          </w:tcPr>
          <w:p w14:paraId="7FBFD1ED"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0.438</w:t>
            </w:r>
          </w:p>
        </w:tc>
        <w:tc>
          <w:tcPr>
            <w:tcW w:w="0" w:type="auto"/>
            <w:shd w:val="clear" w:color="auto" w:fill="FFFFFF" w:themeFill="background1"/>
            <w:hideMark/>
          </w:tcPr>
          <w:p w14:paraId="7CE56349"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−2.15</w:t>
            </w:r>
          </w:p>
        </w:tc>
        <w:tc>
          <w:tcPr>
            <w:tcW w:w="0" w:type="auto"/>
            <w:shd w:val="clear" w:color="auto" w:fill="FFFFFF" w:themeFill="background1"/>
            <w:hideMark/>
          </w:tcPr>
          <w:p w14:paraId="071EE0D5" w14:textId="77777777" w:rsidR="00F15704" w:rsidRPr="000A7B2A" w:rsidRDefault="00F15704"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IN"/>
              </w:rPr>
            </w:pPr>
            <w:r w:rsidRPr="000A7B2A">
              <w:rPr>
                <w:rFonts w:ascii="Arial" w:eastAsia="Times New Roman" w:hAnsi="Arial" w:cs="Arial"/>
                <w:sz w:val="20"/>
                <w:szCs w:val="20"/>
                <w:lang w:eastAsia="en-IN"/>
              </w:rPr>
              <w:t>0.031</w:t>
            </w:r>
          </w:p>
        </w:tc>
      </w:tr>
    </w:tbl>
    <w:p w14:paraId="1CE7E40F" w14:textId="77777777" w:rsidR="000660E0" w:rsidRPr="000A7B2A" w:rsidRDefault="00DA135F" w:rsidP="00DF130D">
      <w:pPr>
        <w:spacing w:before="100" w:beforeAutospacing="1" w:after="100" w:afterAutospacing="1" w:line="276" w:lineRule="auto"/>
        <w:jc w:val="both"/>
        <w:outlineLvl w:val="2"/>
        <w:rPr>
          <w:rFonts w:ascii="Arial" w:hAnsi="Arial" w:cs="Arial"/>
          <w:sz w:val="20"/>
          <w:szCs w:val="20"/>
        </w:rPr>
      </w:pPr>
      <w:r w:rsidRPr="000A7B2A">
        <w:rPr>
          <w:rFonts w:ascii="Arial" w:hAnsi="Arial" w:cs="Arial"/>
          <w:sz w:val="20"/>
          <w:szCs w:val="20"/>
        </w:rPr>
        <w:t>Source: MoSPI, PLFS 2023–2024</w:t>
      </w:r>
    </w:p>
    <w:p w14:paraId="0724E174" w14:textId="77777777" w:rsidR="00143C08" w:rsidRPr="000A7B2A" w:rsidRDefault="00E7426B" w:rsidP="00DF130D">
      <w:pPr>
        <w:spacing w:before="100" w:beforeAutospacing="1" w:after="100" w:afterAutospacing="1" w:line="276" w:lineRule="auto"/>
        <w:jc w:val="both"/>
        <w:rPr>
          <w:rFonts w:ascii="Arial" w:eastAsia="Times New Roman" w:hAnsi="Arial" w:cs="Arial"/>
          <w:i/>
          <w:iCs/>
          <w:sz w:val="20"/>
          <w:szCs w:val="20"/>
          <w:lang w:eastAsia="en-IN"/>
        </w:rPr>
      </w:pPr>
      <w:r w:rsidRPr="000A7B2A">
        <w:rPr>
          <w:rFonts w:ascii="Arial" w:eastAsia="Times New Roman" w:hAnsi="Arial" w:cs="Arial"/>
          <w:b/>
          <w:bCs/>
          <w:i/>
          <w:iCs/>
          <w:sz w:val="20"/>
          <w:szCs w:val="20"/>
          <w:lang w:eastAsia="en-IN"/>
        </w:rPr>
        <w:t>Note:</w:t>
      </w:r>
      <w:r w:rsidRPr="000A7B2A">
        <w:rPr>
          <w:rFonts w:ascii="Arial" w:eastAsia="Times New Roman" w:hAnsi="Arial" w:cs="Arial"/>
          <w:i/>
          <w:iCs/>
          <w:sz w:val="20"/>
          <w:szCs w:val="20"/>
          <w:lang w:eastAsia="en-IN"/>
        </w:rPr>
        <w:t xml:space="preserve"> Base outcome: </w:t>
      </w:r>
      <w:r w:rsidR="0008377F" w:rsidRPr="000A7B2A">
        <w:rPr>
          <w:rFonts w:ascii="Arial" w:eastAsia="Times New Roman" w:hAnsi="Arial" w:cs="Arial"/>
          <w:i/>
          <w:iCs/>
          <w:sz w:val="20"/>
          <w:szCs w:val="20"/>
          <w:lang w:eastAsia="en-IN"/>
        </w:rPr>
        <w:t>Zero</w:t>
      </w:r>
      <w:r w:rsidRPr="000A7B2A">
        <w:rPr>
          <w:rFonts w:ascii="Arial" w:eastAsia="Times New Roman" w:hAnsi="Arial" w:cs="Arial"/>
          <w:i/>
          <w:iCs/>
          <w:sz w:val="20"/>
          <w:szCs w:val="20"/>
          <w:lang w:eastAsia="en-IN"/>
        </w:rPr>
        <w:t xml:space="preserve"> wage | Reference categories: Male, ≤25 years, </w:t>
      </w:r>
      <w:r w:rsidR="00BE76A1" w:rsidRPr="000A7B2A">
        <w:rPr>
          <w:rFonts w:ascii="Arial" w:eastAsia="Times New Roman" w:hAnsi="Arial" w:cs="Arial"/>
          <w:i/>
          <w:iCs/>
          <w:sz w:val="20"/>
          <w:szCs w:val="20"/>
          <w:lang w:eastAsia="en-IN"/>
        </w:rPr>
        <w:t>Not</w:t>
      </w:r>
      <w:r w:rsidRPr="000A7B2A">
        <w:rPr>
          <w:rFonts w:ascii="Arial" w:eastAsia="Times New Roman" w:hAnsi="Arial" w:cs="Arial"/>
          <w:i/>
          <w:iCs/>
          <w:sz w:val="20"/>
          <w:szCs w:val="20"/>
          <w:lang w:eastAsia="en-IN"/>
        </w:rPr>
        <w:t xml:space="preserve"> literate, Self-employed.</w:t>
      </w:r>
      <w:r w:rsidRPr="000A7B2A">
        <w:rPr>
          <w:rFonts w:ascii="Arial" w:eastAsia="Times New Roman" w:hAnsi="Arial" w:cs="Arial"/>
          <w:i/>
          <w:iCs/>
          <w:sz w:val="20"/>
          <w:szCs w:val="20"/>
          <w:lang w:eastAsia="en-IN"/>
        </w:rPr>
        <w:br/>
      </w:r>
      <w:r w:rsidRPr="000A7B2A">
        <w:rPr>
          <w:rFonts w:ascii="Arial" w:eastAsia="Times New Roman" w:hAnsi="Arial" w:cs="Arial"/>
          <w:b/>
          <w:bCs/>
          <w:i/>
          <w:iCs/>
          <w:sz w:val="20"/>
          <w:szCs w:val="20"/>
          <w:lang w:eastAsia="en-IN"/>
        </w:rPr>
        <w:t>Significance levels:</w:t>
      </w:r>
      <w:r w:rsidRPr="000A7B2A">
        <w:rPr>
          <w:rFonts w:ascii="Arial" w:eastAsia="Times New Roman" w:hAnsi="Arial" w:cs="Arial"/>
          <w:i/>
          <w:iCs/>
          <w:sz w:val="20"/>
          <w:szCs w:val="20"/>
          <w:lang w:eastAsia="en-IN"/>
        </w:rPr>
        <w:t xml:space="preserve"> *p &lt; 0.05, **p &lt; 0.01, ***p &lt; 0.001</w:t>
      </w:r>
    </w:p>
    <w:p w14:paraId="2CE9D5FD" w14:textId="77777777" w:rsidR="000E6E2F" w:rsidRPr="000A7B2A" w:rsidRDefault="000E6E2F"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Multinomial Logistic Regression of Earnings Categories among Agricultural Workers in Telangana</w:t>
      </w:r>
    </w:p>
    <w:p w14:paraId="21C32341" w14:textId="77777777" w:rsidR="00005EA1" w:rsidRPr="000A7B2A" w:rsidRDefault="00005EA1" w:rsidP="00DF130D">
      <w:pPr>
        <w:pStyle w:val="pdq2pgselectionanchorcontainer"/>
        <w:spacing w:line="276" w:lineRule="auto"/>
        <w:jc w:val="both"/>
        <w:rPr>
          <w:rFonts w:ascii="Arial" w:hAnsi="Arial" w:cs="Arial"/>
          <w:sz w:val="20"/>
          <w:szCs w:val="20"/>
        </w:rPr>
      </w:pPr>
      <w:r w:rsidRPr="000A7B2A">
        <w:rPr>
          <w:rFonts w:ascii="Arial" w:hAnsi="Arial" w:cs="Arial"/>
          <w:sz w:val="20"/>
          <w:szCs w:val="20"/>
        </w:rPr>
        <w:t xml:space="preserve">Table 4.4 shows the multinomial logistic regression results for the ₹1–5,000 and </w:t>
      </w:r>
      <w:r w:rsidR="0031775C" w:rsidRPr="000A7B2A">
        <w:rPr>
          <w:rFonts w:ascii="Arial" w:hAnsi="Arial" w:cs="Arial"/>
          <w:sz w:val="20"/>
          <w:szCs w:val="20"/>
        </w:rPr>
        <w:t>above</w:t>
      </w:r>
      <w:r w:rsidRPr="000A7B2A">
        <w:rPr>
          <w:rFonts w:ascii="Arial" w:hAnsi="Arial" w:cs="Arial"/>
          <w:sz w:val="20"/>
          <w:szCs w:val="20"/>
        </w:rPr>
        <w:t xml:space="preserve"> ₹5,000 earnings categories, with Zero Earnings as the reference outcome. Female workers had significantly higher relative log-odds of being in the ₹1–5,000 category than male workers (β = 0.686, </w:t>
      </w:r>
      <w:r w:rsidRPr="000A7B2A">
        <w:rPr>
          <w:rStyle w:val="Emphasis"/>
          <w:rFonts w:ascii="Arial" w:eastAsiaTheme="majorEastAsia" w:hAnsi="Arial" w:cs="Arial"/>
          <w:sz w:val="20"/>
          <w:szCs w:val="20"/>
        </w:rPr>
        <w:t>p</w:t>
      </w:r>
      <w:r w:rsidRPr="000A7B2A">
        <w:rPr>
          <w:rFonts w:ascii="Arial" w:hAnsi="Arial" w:cs="Arial"/>
          <w:sz w:val="20"/>
          <w:szCs w:val="20"/>
        </w:rPr>
        <w:t xml:space="preserve"> = 0.030), while the association with the Above ₹5,000 category was positive but not statistically significant at the 5% level (β = 0.450, </w:t>
      </w:r>
      <w:r w:rsidRPr="000A7B2A">
        <w:rPr>
          <w:rStyle w:val="Emphasis"/>
          <w:rFonts w:ascii="Arial" w:eastAsiaTheme="majorEastAsia" w:hAnsi="Arial" w:cs="Arial"/>
          <w:sz w:val="20"/>
          <w:szCs w:val="20"/>
        </w:rPr>
        <w:t>p</w:t>
      </w:r>
      <w:r w:rsidRPr="000A7B2A">
        <w:rPr>
          <w:rFonts w:ascii="Arial" w:hAnsi="Arial" w:cs="Arial"/>
          <w:sz w:val="20"/>
          <w:szCs w:val="20"/>
        </w:rPr>
        <w:t xml:space="preserve"> = 0.053). Thus, the coefficient results provide some evidence of a gender association with lower positive earnings, but not with higher earnings. This finding is consistent with the literature </w:t>
      </w:r>
      <w:r w:rsidRPr="000A7B2A">
        <w:rPr>
          <w:rFonts w:ascii="Arial" w:hAnsi="Arial" w:cs="Arial"/>
          <w:sz w:val="20"/>
          <w:szCs w:val="20"/>
        </w:rPr>
        <w:lastRenderedPageBreak/>
        <w:t>highlighting gender differences in rural labour-market opportunities and access to productive resources (Moser, 1993; Vepa, 2005; Kundu &amp; Das, 2019).</w:t>
      </w:r>
    </w:p>
    <w:p w14:paraId="562C2E02" w14:textId="77777777" w:rsidR="00126A71" w:rsidRPr="000A7B2A" w:rsidRDefault="00005EA1" w:rsidP="00DF130D">
      <w:pPr>
        <w:pStyle w:val="NormalWeb"/>
        <w:spacing w:line="276" w:lineRule="auto"/>
        <w:jc w:val="both"/>
        <w:rPr>
          <w:rFonts w:ascii="Arial" w:hAnsi="Arial" w:cs="Arial"/>
          <w:sz w:val="20"/>
          <w:szCs w:val="20"/>
        </w:rPr>
      </w:pPr>
      <w:r w:rsidRPr="000A7B2A">
        <w:rPr>
          <w:rFonts w:ascii="Arial" w:hAnsi="Arial" w:cs="Arial"/>
          <w:sz w:val="20"/>
          <w:szCs w:val="20"/>
        </w:rPr>
        <w:t xml:space="preserve">Employment type shows the strongest association with earnings outcomes. Compared with self-employed workers, casual labourers had substantially higher relative log-odds of being in both the ₹1–5,000 category (β = 4.138, </w:t>
      </w:r>
      <w:r w:rsidRPr="000A7B2A">
        <w:rPr>
          <w:rStyle w:val="Emphasis"/>
          <w:rFonts w:ascii="Arial" w:eastAsiaTheme="majorEastAsia" w:hAnsi="Arial" w:cs="Arial"/>
          <w:sz w:val="20"/>
          <w:szCs w:val="20"/>
        </w:rPr>
        <w:t>p</w:t>
      </w:r>
      <w:r w:rsidRPr="000A7B2A">
        <w:rPr>
          <w:rFonts w:ascii="Arial" w:hAnsi="Arial" w:cs="Arial"/>
          <w:sz w:val="20"/>
          <w:szCs w:val="20"/>
        </w:rPr>
        <w:t xml:space="preserve"> &lt; 0.001) and the Above ₹5,000 category (β = 4.120, </w:t>
      </w:r>
      <w:r w:rsidRPr="000A7B2A">
        <w:rPr>
          <w:rStyle w:val="Emphasis"/>
          <w:rFonts w:ascii="Arial" w:eastAsiaTheme="majorEastAsia" w:hAnsi="Arial" w:cs="Arial"/>
          <w:sz w:val="20"/>
          <w:szCs w:val="20"/>
        </w:rPr>
        <w:t>p</w:t>
      </w:r>
      <w:r w:rsidRPr="000A7B2A">
        <w:rPr>
          <w:rFonts w:ascii="Arial" w:hAnsi="Arial" w:cs="Arial"/>
          <w:sz w:val="20"/>
          <w:szCs w:val="20"/>
        </w:rPr>
        <w:t xml:space="preserve"> &lt; 0.001), relative to Zero Earnings. This strong association may partly reflect differences in how earnings are generated and reported. Casual labourers generally receive direct monetary payments, whereas returns from agricultural self-employment may arise through household production and may not be individually reported as monetary earnings. The finding is consistent with Labour Market Segmentation Theory (Doeringer &amp; Piore, 1971</w:t>
      </w:r>
      <w:r w:rsidR="00126A71" w:rsidRPr="000A7B2A">
        <w:rPr>
          <w:rFonts w:ascii="Arial" w:hAnsi="Arial" w:cs="Arial"/>
          <w:sz w:val="20"/>
          <w:szCs w:val="20"/>
        </w:rPr>
        <w:t xml:space="preserve">). </w:t>
      </w:r>
    </w:p>
    <w:p w14:paraId="77EDE1CF" w14:textId="77777777" w:rsidR="00005EA1" w:rsidRPr="000A7B2A" w:rsidRDefault="00126A71" w:rsidP="00DF130D">
      <w:pPr>
        <w:pStyle w:val="NormalWeb"/>
        <w:spacing w:line="276" w:lineRule="auto"/>
        <w:jc w:val="both"/>
        <w:rPr>
          <w:rFonts w:ascii="Arial" w:hAnsi="Arial" w:cs="Arial"/>
          <w:sz w:val="20"/>
          <w:szCs w:val="20"/>
        </w:rPr>
      </w:pPr>
      <w:r w:rsidRPr="000A7B2A">
        <w:rPr>
          <w:rFonts w:ascii="Arial" w:hAnsi="Arial" w:cs="Arial"/>
          <w:sz w:val="20"/>
          <w:szCs w:val="20"/>
        </w:rPr>
        <w:t>Age</w:t>
      </w:r>
      <w:r w:rsidR="00005EA1" w:rsidRPr="000A7B2A">
        <w:rPr>
          <w:rFonts w:ascii="Arial" w:hAnsi="Arial" w:cs="Arial"/>
          <w:sz w:val="20"/>
          <w:szCs w:val="20"/>
        </w:rPr>
        <w:t xml:space="preserve"> is negatively associated with the higher earnings category. Compared with workers aged ≤25 years, mature workers aged 26–55 years had lower relative log-odds of being in the Above ₹5,000 category (β = −0.782, </w:t>
      </w:r>
      <w:r w:rsidR="00005EA1" w:rsidRPr="000A7B2A">
        <w:rPr>
          <w:rStyle w:val="Emphasis"/>
          <w:rFonts w:ascii="Arial" w:eastAsiaTheme="majorEastAsia" w:hAnsi="Arial" w:cs="Arial"/>
          <w:sz w:val="20"/>
          <w:szCs w:val="20"/>
        </w:rPr>
        <w:t>p</w:t>
      </w:r>
      <w:r w:rsidR="00005EA1" w:rsidRPr="000A7B2A">
        <w:rPr>
          <w:rFonts w:ascii="Arial" w:hAnsi="Arial" w:cs="Arial"/>
          <w:sz w:val="20"/>
          <w:szCs w:val="20"/>
        </w:rPr>
        <w:t xml:space="preserve"> = 0.028), while senior workers aged 56 years and above had substantially lower relative log-odds (β = −1.211, </w:t>
      </w:r>
      <w:r w:rsidR="00005EA1" w:rsidRPr="000A7B2A">
        <w:rPr>
          <w:rStyle w:val="Emphasis"/>
          <w:rFonts w:ascii="Arial" w:eastAsiaTheme="majorEastAsia" w:hAnsi="Arial" w:cs="Arial"/>
          <w:sz w:val="20"/>
          <w:szCs w:val="20"/>
        </w:rPr>
        <w:t>p</w:t>
      </w:r>
      <w:r w:rsidR="00005EA1" w:rsidRPr="000A7B2A">
        <w:rPr>
          <w:rFonts w:ascii="Arial" w:hAnsi="Arial" w:cs="Arial"/>
          <w:sz w:val="20"/>
          <w:szCs w:val="20"/>
        </w:rPr>
        <w:t xml:space="preserve"> = 0.001). However, these associations should not be interpreted as causal effects because the analysis is based on cross-sectional data. The pattern is consistent with evidence that older workers in India are disproportionately concentrated in informal, low-skilled, and relatively poorly paid employment (Reddy, 2016).</w:t>
      </w:r>
    </w:p>
    <w:p w14:paraId="7BFCAF4B" w14:textId="77777777" w:rsidR="00005EA1" w:rsidRPr="000A7B2A" w:rsidRDefault="00005EA1" w:rsidP="00DF130D">
      <w:pPr>
        <w:pStyle w:val="NormalWeb"/>
        <w:spacing w:line="276" w:lineRule="auto"/>
        <w:jc w:val="both"/>
        <w:rPr>
          <w:rFonts w:ascii="Arial" w:hAnsi="Arial" w:cs="Arial"/>
          <w:b/>
          <w:bCs/>
          <w:sz w:val="20"/>
          <w:szCs w:val="20"/>
        </w:rPr>
      </w:pPr>
      <w:r w:rsidRPr="000A7B2A">
        <w:rPr>
          <w:rFonts w:ascii="Arial" w:hAnsi="Arial" w:cs="Arial"/>
          <w:sz w:val="20"/>
          <w:szCs w:val="20"/>
        </w:rPr>
        <w:t xml:space="preserve">Education also shows a mixed pattern. Higher-educated workers had significantly lower relative log-odds of being in both the ₹1–5,000 category (β = −2.294, </w:t>
      </w:r>
      <w:r w:rsidRPr="000A7B2A">
        <w:rPr>
          <w:rStyle w:val="Emphasis"/>
          <w:rFonts w:ascii="Arial" w:eastAsiaTheme="majorEastAsia" w:hAnsi="Arial" w:cs="Arial"/>
          <w:sz w:val="20"/>
          <w:szCs w:val="20"/>
        </w:rPr>
        <w:t>p</w:t>
      </w:r>
      <w:r w:rsidRPr="000A7B2A">
        <w:rPr>
          <w:rFonts w:ascii="Arial" w:hAnsi="Arial" w:cs="Arial"/>
          <w:sz w:val="20"/>
          <w:szCs w:val="20"/>
        </w:rPr>
        <w:t xml:space="preserve"> = 0.007) and the Above ₹5,000 category (β = −2.005, </w:t>
      </w:r>
      <w:r w:rsidRPr="000A7B2A">
        <w:rPr>
          <w:rStyle w:val="Emphasis"/>
          <w:rFonts w:ascii="Arial" w:eastAsiaTheme="majorEastAsia" w:hAnsi="Arial" w:cs="Arial"/>
          <w:sz w:val="20"/>
          <w:szCs w:val="20"/>
        </w:rPr>
        <w:t>p</w:t>
      </w:r>
      <w:r w:rsidRPr="000A7B2A">
        <w:rPr>
          <w:rFonts w:ascii="Arial" w:hAnsi="Arial" w:cs="Arial"/>
          <w:sz w:val="20"/>
          <w:szCs w:val="20"/>
        </w:rPr>
        <w:t xml:space="preserve"> &lt; 0.001) compared with workers who were not literate. This negative association should not be interpreted as evidence that education reduces earning capacity. It may instead reflect occupational selection, whereby more educated individuals have greater opportunities to move into non-agricultural employment. This interpretation is consistent with Human Capital Theory (Becker, 1964) and research on rural non-farm employment and structural transformation (Mehrotra, 2014</w:t>
      </w:r>
      <w:r w:rsidR="0031775C" w:rsidRPr="000A7B2A">
        <w:rPr>
          <w:rFonts w:ascii="Arial" w:hAnsi="Arial" w:cs="Arial"/>
          <w:sz w:val="20"/>
          <w:szCs w:val="20"/>
        </w:rPr>
        <w:t>).</w:t>
      </w:r>
      <w:r w:rsidR="0031775C" w:rsidRPr="000A7B2A">
        <w:rPr>
          <w:rStyle w:val="Strong"/>
          <w:rFonts w:ascii="Arial" w:eastAsiaTheme="majorEastAsia" w:hAnsi="Arial" w:cs="Arial"/>
          <w:b w:val="0"/>
          <w:bCs w:val="0"/>
          <w:sz w:val="20"/>
          <w:szCs w:val="20"/>
        </w:rPr>
        <w:t xml:space="preserve"> The</w:t>
      </w:r>
      <w:r w:rsidR="00616293" w:rsidRPr="000A7B2A">
        <w:rPr>
          <w:rStyle w:val="Strong"/>
          <w:rFonts w:ascii="Arial" w:eastAsiaTheme="majorEastAsia" w:hAnsi="Arial" w:cs="Arial"/>
          <w:b w:val="0"/>
          <w:bCs w:val="0"/>
          <w:sz w:val="20"/>
          <w:szCs w:val="20"/>
        </w:rPr>
        <w:t xml:space="preserve"> study </w:t>
      </w:r>
      <w:r w:rsidRPr="000A7B2A">
        <w:rPr>
          <w:rFonts w:ascii="Arial" w:hAnsi="Arial" w:cs="Arial"/>
          <w:sz w:val="20"/>
          <w:szCs w:val="20"/>
        </w:rPr>
        <w:t>results indicate that employment type has the strongest statistical association with earnings categories, followed by age, education, and gender. The coefficient results should be interpreted together with the marginal effects reported in Table 6, which provide a clearer interpretation in terms of changes in predicted probabilities</w:t>
      </w:r>
      <w:r w:rsidR="00616293" w:rsidRPr="000A7B2A">
        <w:rPr>
          <w:rFonts w:ascii="Arial" w:hAnsi="Arial" w:cs="Arial"/>
          <w:sz w:val="20"/>
          <w:szCs w:val="20"/>
        </w:rPr>
        <w:t>.</w:t>
      </w:r>
    </w:p>
    <w:p w14:paraId="27DDBC12" w14:textId="77777777" w:rsidR="004306FF" w:rsidRPr="000A7B2A" w:rsidRDefault="004306FF" w:rsidP="00DF130D">
      <w:pPr>
        <w:spacing w:before="100" w:beforeAutospacing="1" w:after="100" w:afterAutospacing="1" w:line="276" w:lineRule="auto"/>
        <w:jc w:val="both"/>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 xml:space="preserve">Table </w:t>
      </w:r>
      <w:r w:rsidR="004D664F" w:rsidRPr="000A7B2A">
        <w:rPr>
          <w:rFonts w:ascii="Arial" w:eastAsia="Times New Roman" w:hAnsi="Arial" w:cs="Arial"/>
          <w:b/>
          <w:bCs/>
          <w:sz w:val="20"/>
          <w:szCs w:val="20"/>
          <w:lang w:eastAsia="en-IN"/>
        </w:rPr>
        <w:t>4.5</w:t>
      </w:r>
      <w:r w:rsidRPr="000A7B2A">
        <w:rPr>
          <w:rFonts w:ascii="Arial" w:eastAsia="Times New Roman" w:hAnsi="Arial" w:cs="Arial"/>
          <w:b/>
          <w:bCs/>
          <w:sz w:val="20"/>
          <w:szCs w:val="20"/>
          <w:lang w:eastAsia="en-IN"/>
        </w:rPr>
        <w:t>. Marginal Effects of Gender, Age, Education, and Employment Type on Earnings among Agricultural Workers in Telangana</w:t>
      </w:r>
    </w:p>
    <w:tbl>
      <w:tblPr>
        <w:tblStyle w:val="ListTable6Colorful"/>
        <w:tblW w:w="0" w:type="auto"/>
        <w:tblLook w:val="04A0" w:firstRow="1" w:lastRow="0" w:firstColumn="1" w:lastColumn="0" w:noHBand="0" w:noVBand="1"/>
      </w:tblPr>
      <w:tblGrid>
        <w:gridCol w:w="1909"/>
        <w:gridCol w:w="1359"/>
        <w:gridCol w:w="1046"/>
        <w:gridCol w:w="723"/>
        <w:gridCol w:w="1067"/>
        <w:gridCol w:w="1132"/>
        <w:gridCol w:w="723"/>
        <w:gridCol w:w="1067"/>
      </w:tblGrid>
      <w:tr w:rsidR="004306FF" w:rsidRPr="000A7B2A" w14:paraId="1AB937D6" w14:textId="77777777" w:rsidTr="00E22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84C0B4" w14:textId="77777777" w:rsidR="004306FF" w:rsidRPr="000A7B2A" w:rsidRDefault="004306FF" w:rsidP="00DF130D">
            <w:pPr>
              <w:spacing w:line="276" w:lineRule="auto"/>
              <w:jc w:val="both"/>
              <w:rPr>
                <w:rFonts w:ascii="Arial" w:hAnsi="Arial" w:cs="Arial"/>
                <w:b w:val="0"/>
                <w:bCs w:val="0"/>
                <w:sz w:val="20"/>
                <w:szCs w:val="20"/>
              </w:rPr>
            </w:pPr>
            <w:r w:rsidRPr="000A7B2A">
              <w:rPr>
                <w:rFonts w:ascii="Arial" w:hAnsi="Arial" w:cs="Arial"/>
                <w:sz w:val="20"/>
                <w:szCs w:val="20"/>
              </w:rPr>
              <w:t>Variable</w:t>
            </w:r>
          </w:p>
        </w:tc>
        <w:tc>
          <w:tcPr>
            <w:tcW w:w="0" w:type="auto"/>
            <w:hideMark/>
          </w:tcPr>
          <w:p w14:paraId="7FE17BC6"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Category</w:t>
            </w:r>
          </w:p>
        </w:tc>
        <w:tc>
          <w:tcPr>
            <w:tcW w:w="0" w:type="auto"/>
            <w:hideMark/>
          </w:tcPr>
          <w:p w14:paraId="08565897"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₹1–5,000 (dy/dx)</w:t>
            </w:r>
          </w:p>
        </w:tc>
        <w:tc>
          <w:tcPr>
            <w:tcW w:w="0" w:type="auto"/>
            <w:hideMark/>
          </w:tcPr>
          <w:p w14:paraId="73914908"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z</w:t>
            </w:r>
          </w:p>
        </w:tc>
        <w:tc>
          <w:tcPr>
            <w:tcW w:w="0" w:type="auto"/>
            <w:hideMark/>
          </w:tcPr>
          <w:p w14:paraId="27ABB03E"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p-value</w:t>
            </w:r>
          </w:p>
        </w:tc>
        <w:tc>
          <w:tcPr>
            <w:tcW w:w="0" w:type="auto"/>
            <w:hideMark/>
          </w:tcPr>
          <w:p w14:paraId="00950994"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Above ₹5,000 (dy/dx)</w:t>
            </w:r>
          </w:p>
        </w:tc>
        <w:tc>
          <w:tcPr>
            <w:tcW w:w="0" w:type="auto"/>
            <w:hideMark/>
          </w:tcPr>
          <w:p w14:paraId="709D1814"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z</w:t>
            </w:r>
          </w:p>
        </w:tc>
        <w:tc>
          <w:tcPr>
            <w:tcW w:w="0" w:type="auto"/>
            <w:hideMark/>
          </w:tcPr>
          <w:p w14:paraId="55B1A2A3" w14:textId="77777777" w:rsidR="004306FF" w:rsidRPr="000A7B2A" w:rsidRDefault="004306FF"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p-value</w:t>
            </w:r>
          </w:p>
        </w:tc>
      </w:tr>
      <w:tr w:rsidR="004306FF" w:rsidRPr="000A7B2A" w14:paraId="0F40990A" w14:textId="77777777" w:rsidTr="00E2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9FC071" w14:textId="77777777" w:rsidR="004306FF" w:rsidRPr="000A7B2A" w:rsidRDefault="004306FF" w:rsidP="00DF130D">
            <w:pPr>
              <w:spacing w:line="276" w:lineRule="auto"/>
              <w:jc w:val="both"/>
              <w:rPr>
                <w:rFonts w:ascii="Arial" w:hAnsi="Arial" w:cs="Arial"/>
                <w:b w:val="0"/>
                <w:bCs w:val="0"/>
                <w:sz w:val="20"/>
                <w:szCs w:val="20"/>
              </w:rPr>
            </w:pPr>
          </w:p>
        </w:tc>
        <w:tc>
          <w:tcPr>
            <w:tcW w:w="0" w:type="auto"/>
            <w:shd w:val="clear" w:color="auto" w:fill="auto"/>
          </w:tcPr>
          <w:p w14:paraId="61A695A0"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0" w:type="auto"/>
            <w:shd w:val="clear" w:color="auto" w:fill="auto"/>
          </w:tcPr>
          <w:p w14:paraId="4EC70E84"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0" w:type="auto"/>
            <w:shd w:val="clear" w:color="auto" w:fill="auto"/>
          </w:tcPr>
          <w:p w14:paraId="4584AD4D"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0" w:type="auto"/>
            <w:shd w:val="clear" w:color="auto" w:fill="auto"/>
          </w:tcPr>
          <w:p w14:paraId="0DF94A87"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0" w:type="auto"/>
            <w:shd w:val="clear" w:color="auto" w:fill="auto"/>
          </w:tcPr>
          <w:p w14:paraId="2FACD192"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0" w:type="auto"/>
            <w:shd w:val="clear" w:color="auto" w:fill="auto"/>
          </w:tcPr>
          <w:p w14:paraId="13F08E2E"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0" w:type="auto"/>
            <w:shd w:val="clear" w:color="auto" w:fill="auto"/>
          </w:tcPr>
          <w:p w14:paraId="0E8B40C6"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4306FF" w:rsidRPr="000A7B2A" w14:paraId="26D1E5FF" w14:textId="77777777" w:rsidTr="00E22E34">
        <w:tc>
          <w:tcPr>
            <w:cnfStyle w:val="001000000000" w:firstRow="0" w:lastRow="0" w:firstColumn="1" w:lastColumn="0" w:oddVBand="0" w:evenVBand="0" w:oddHBand="0" w:evenHBand="0" w:firstRowFirstColumn="0" w:firstRowLastColumn="0" w:lastRowFirstColumn="0" w:lastRowLastColumn="0"/>
            <w:tcW w:w="0" w:type="auto"/>
            <w:hideMark/>
          </w:tcPr>
          <w:p w14:paraId="3C3BD572" w14:textId="77777777" w:rsidR="004306FF" w:rsidRPr="000A7B2A" w:rsidRDefault="004306FF" w:rsidP="00DF130D">
            <w:pPr>
              <w:spacing w:line="276" w:lineRule="auto"/>
              <w:jc w:val="both"/>
              <w:rPr>
                <w:rFonts w:ascii="Arial" w:hAnsi="Arial" w:cs="Arial"/>
                <w:sz w:val="20"/>
                <w:szCs w:val="20"/>
              </w:rPr>
            </w:pPr>
            <w:r w:rsidRPr="000A7B2A">
              <w:rPr>
                <w:rFonts w:ascii="Arial" w:hAnsi="Arial" w:cs="Arial"/>
                <w:sz w:val="20"/>
                <w:szCs w:val="20"/>
              </w:rPr>
              <w:t>Gender (Ref: Male)</w:t>
            </w:r>
          </w:p>
        </w:tc>
        <w:tc>
          <w:tcPr>
            <w:tcW w:w="0" w:type="auto"/>
            <w:hideMark/>
          </w:tcPr>
          <w:p w14:paraId="5E7854D2"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hideMark/>
          </w:tcPr>
          <w:p w14:paraId="495AF765"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0.029</w:t>
            </w:r>
          </w:p>
        </w:tc>
        <w:tc>
          <w:tcPr>
            <w:tcW w:w="0" w:type="auto"/>
            <w:hideMark/>
          </w:tcPr>
          <w:p w14:paraId="41D1C83D"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1.39</w:t>
            </w:r>
          </w:p>
        </w:tc>
        <w:tc>
          <w:tcPr>
            <w:tcW w:w="0" w:type="auto"/>
            <w:hideMark/>
          </w:tcPr>
          <w:p w14:paraId="27FBB13D"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0.166</w:t>
            </w:r>
          </w:p>
        </w:tc>
        <w:tc>
          <w:tcPr>
            <w:tcW w:w="0" w:type="auto"/>
            <w:hideMark/>
          </w:tcPr>
          <w:p w14:paraId="7DCB4C45"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0.031</w:t>
            </w:r>
          </w:p>
        </w:tc>
        <w:tc>
          <w:tcPr>
            <w:tcW w:w="0" w:type="auto"/>
            <w:hideMark/>
          </w:tcPr>
          <w:p w14:paraId="7B39EE78"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1.05</w:t>
            </w:r>
          </w:p>
        </w:tc>
        <w:tc>
          <w:tcPr>
            <w:tcW w:w="0" w:type="auto"/>
            <w:hideMark/>
          </w:tcPr>
          <w:p w14:paraId="787E7816"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0.293</w:t>
            </w:r>
          </w:p>
        </w:tc>
      </w:tr>
      <w:tr w:rsidR="004306FF" w:rsidRPr="000A7B2A" w14:paraId="4CB6824C" w14:textId="77777777" w:rsidTr="00E2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D7120CE" w14:textId="77777777" w:rsidR="004306FF" w:rsidRPr="000A7B2A" w:rsidRDefault="004306FF" w:rsidP="00DF130D">
            <w:pPr>
              <w:spacing w:line="276" w:lineRule="auto"/>
              <w:jc w:val="both"/>
              <w:rPr>
                <w:rFonts w:ascii="Arial" w:hAnsi="Arial" w:cs="Arial"/>
                <w:sz w:val="20"/>
                <w:szCs w:val="20"/>
              </w:rPr>
            </w:pPr>
            <w:r w:rsidRPr="000A7B2A">
              <w:rPr>
                <w:rFonts w:ascii="Arial" w:hAnsi="Arial" w:cs="Arial"/>
                <w:sz w:val="20"/>
                <w:szCs w:val="20"/>
              </w:rPr>
              <w:t>Age (Ref: ≤25 years)</w:t>
            </w:r>
          </w:p>
        </w:tc>
        <w:tc>
          <w:tcPr>
            <w:tcW w:w="0" w:type="auto"/>
            <w:shd w:val="clear" w:color="auto" w:fill="auto"/>
            <w:hideMark/>
          </w:tcPr>
          <w:p w14:paraId="58046F61"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Mature (26–55 years)</w:t>
            </w:r>
          </w:p>
        </w:tc>
        <w:tc>
          <w:tcPr>
            <w:tcW w:w="0" w:type="auto"/>
            <w:shd w:val="clear" w:color="auto" w:fill="auto"/>
            <w:hideMark/>
          </w:tcPr>
          <w:p w14:paraId="3D31AF56"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−0.033</w:t>
            </w:r>
          </w:p>
        </w:tc>
        <w:tc>
          <w:tcPr>
            <w:tcW w:w="0" w:type="auto"/>
            <w:shd w:val="clear" w:color="auto" w:fill="auto"/>
            <w:hideMark/>
          </w:tcPr>
          <w:p w14:paraId="36203A94"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−0.91</w:t>
            </w:r>
          </w:p>
        </w:tc>
        <w:tc>
          <w:tcPr>
            <w:tcW w:w="0" w:type="auto"/>
            <w:shd w:val="clear" w:color="auto" w:fill="auto"/>
            <w:hideMark/>
          </w:tcPr>
          <w:p w14:paraId="0D740C6C"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0.364</w:t>
            </w:r>
          </w:p>
        </w:tc>
        <w:tc>
          <w:tcPr>
            <w:tcW w:w="0" w:type="auto"/>
            <w:shd w:val="clear" w:color="auto" w:fill="auto"/>
            <w:hideMark/>
          </w:tcPr>
          <w:p w14:paraId="380D37BE"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−0.084</w:t>
            </w:r>
          </w:p>
        </w:tc>
        <w:tc>
          <w:tcPr>
            <w:tcW w:w="0" w:type="auto"/>
            <w:shd w:val="clear" w:color="auto" w:fill="auto"/>
            <w:hideMark/>
          </w:tcPr>
          <w:p w14:paraId="6E2049D0"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−1.46</w:t>
            </w:r>
          </w:p>
        </w:tc>
        <w:tc>
          <w:tcPr>
            <w:tcW w:w="0" w:type="auto"/>
            <w:shd w:val="clear" w:color="auto" w:fill="auto"/>
            <w:hideMark/>
          </w:tcPr>
          <w:p w14:paraId="67BCAFF0"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0.143</w:t>
            </w:r>
          </w:p>
        </w:tc>
      </w:tr>
      <w:tr w:rsidR="004306FF" w:rsidRPr="000A7B2A" w14:paraId="65FD0428" w14:textId="77777777" w:rsidTr="00E22E34">
        <w:tc>
          <w:tcPr>
            <w:cnfStyle w:val="001000000000" w:firstRow="0" w:lastRow="0" w:firstColumn="1" w:lastColumn="0" w:oddVBand="0" w:evenVBand="0" w:oddHBand="0" w:evenHBand="0" w:firstRowFirstColumn="0" w:firstRowLastColumn="0" w:lastRowFirstColumn="0" w:lastRowLastColumn="0"/>
            <w:tcW w:w="0" w:type="auto"/>
            <w:hideMark/>
          </w:tcPr>
          <w:p w14:paraId="10B17DF8" w14:textId="77777777" w:rsidR="004306FF" w:rsidRPr="000A7B2A" w:rsidRDefault="004306FF" w:rsidP="00DF130D">
            <w:pPr>
              <w:spacing w:line="276" w:lineRule="auto"/>
              <w:jc w:val="both"/>
              <w:rPr>
                <w:rFonts w:ascii="Arial" w:hAnsi="Arial" w:cs="Arial"/>
                <w:sz w:val="20"/>
                <w:szCs w:val="20"/>
              </w:rPr>
            </w:pPr>
          </w:p>
        </w:tc>
        <w:tc>
          <w:tcPr>
            <w:tcW w:w="0" w:type="auto"/>
            <w:hideMark/>
          </w:tcPr>
          <w:p w14:paraId="043A5D34"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Senior (56+ years)</w:t>
            </w:r>
          </w:p>
        </w:tc>
        <w:tc>
          <w:tcPr>
            <w:tcW w:w="0" w:type="auto"/>
            <w:hideMark/>
          </w:tcPr>
          <w:p w14:paraId="4E1639A7"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−0.006</w:t>
            </w:r>
          </w:p>
        </w:tc>
        <w:tc>
          <w:tcPr>
            <w:tcW w:w="0" w:type="auto"/>
            <w:hideMark/>
          </w:tcPr>
          <w:p w14:paraId="45AEAA7D"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−0.15</w:t>
            </w:r>
          </w:p>
        </w:tc>
        <w:tc>
          <w:tcPr>
            <w:tcW w:w="0" w:type="auto"/>
            <w:hideMark/>
          </w:tcPr>
          <w:p w14:paraId="58CF49B0"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0.879</w:t>
            </w:r>
          </w:p>
        </w:tc>
        <w:tc>
          <w:tcPr>
            <w:tcW w:w="0" w:type="auto"/>
            <w:hideMark/>
          </w:tcPr>
          <w:p w14:paraId="234ABB55"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−0.147</w:t>
            </w:r>
          </w:p>
        </w:tc>
        <w:tc>
          <w:tcPr>
            <w:tcW w:w="0" w:type="auto"/>
            <w:hideMark/>
          </w:tcPr>
          <w:p w14:paraId="05016FEB"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−2.50</w:t>
            </w:r>
          </w:p>
        </w:tc>
        <w:tc>
          <w:tcPr>
            <w:tcW w:w="0" w:type="auto"/>
            <w:hideMark/>
          </w:tcPr>
          <w:p w14:paraId="232F3B27"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0.012**</w:t>
            </w:r>
          </w:p>
        </w:tc>
      </w:tr>
      <w:tr w:rsidR="004306FF" w:rsidRPr="000A7B2A" w14:paraId="049CAE3B" w14:textId="77777777" w:rsidTr="00E2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6956D31" w14:textId="77777777" w:rsidR="004306FF" w:rsidRPr="000A7B2A" w:rsidRDefault="004306FF" w:rsidP="00DF130D">
            <w:pPr>
              <w:spacing w:line="276" w:lineRule="auto"/>
              <w:jc w:val="both"/>
              <w:rPr>
                <w:rFonts w:ascii="Arial" w:hAnsi="Arial" w:cs="Arial"/>
                <w:sz w:val="20"/>
                <w:szCs w:val="20"/>
              </w:rPr>
            </w:pPr>
            <w:r w:rsidRPr="000A7B2A">
              <w:rPr>
                <w:rFonts w:ascii="Arial" w:hAnsi="Arial" w:cs="Arial"/>
                <w:sz w:val="20"/>
                <w:szCs w:val="20"/>
              </w:rPr>
              <w:t>Education (Ref: Not literate)</w:t>
            </w:r>
          </w:p>
        </w:tc>
        <w:tc>
          <w:tcPr>
            <w:tcW w:w="0" w:type="auto"/>
            <w:shd w:val="clear" w:color="auto" w:fill="auto"/>
            <w:hideMark/>
          </w:tcPr>
          <w:p w14:paraId="1D8AB18B"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Primary</w:t>
            </w:r>
          </w:p>
        </w:tc>
        <w:tc>
          <w:tcPr>
            <w:tcW w:w="0" w:type="auto"/>
            <w:shd w:val="clear" w:color="auto" w:fill="auto"/>
            <w:hideMark/>
          </w:tcPr>
          <w:p w14:paraId="6CC9D292"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−0.043</w:t>
            </w:r>
          </w:p>
        </w:tc>
        <w:tc>
          <w:tcPr>
            <w:tcW w:w="0" w:type="auto"/>
            <w:shd w:val="clear" w:color="auto" w:fill="auto"/>
            <w:hideMark/>
          </w:tcPr>
          <w:p w14:paraId="15A02A45"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−2.29</w:t>
            </w:r>
          </w:p>
        </w:tc>
        <w:tc>
          <w:tcPr>
            <w:tcW w:w="0" w:type="auto"/>
            <w:shd w:val="clear" w:color="auto" w:fill="auto"/>
            <w:hideMark/>
          </w:tcPr>
          <w:p w14:paraId="3C825D07"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0.022**</w:t>
            </w:r>
          </w:p>
        </w:tc>
        <w:tc>
          <w:tcPr>
            <w:tcW w:w="0" w:type="auto"/>
            <w:shd w:val="clear" w:color="auto" w:fill="auto"/>
            <w:hideMark/>
          </w:tcPr>
          <w:p w14:paraId="7037A5B7"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0.041</w:t>
            </w:r>
          </w:p>
        </w:tc>
        <w:tc>
          <w:tcPr>
            <w:tcW w:w="0" w:type="auto"/>
            <w:shd w:val="clear" w:color="auto" w:fill="auto"/>
            <w:hideMark/>
          </w:tcPr>
          <w:p w14:paraId="21DD44F5"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1.16</w:t>
            </w:r>
          </w:p>
        </w:tc>
        <w:tc>
          <w:tcPr>
            <w:tcW w:w="0" w:type="auto"/>
            <w:shd w:val="clear" w:color="auto" w:fill="auto"/>
            <w:hideMark/>
          </w:tcPr>
          <w:p w14:paraId="40AB3F00"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0.244</w:t>
            </w:r>
          </w:p>
        </w:tc>
      </w:tr>
      <w:tr w:rsidR="004306FF" w:rsidRPr="000A7B2A" w14:paraId="4BD670F3" w14:textId="77777777" w:rsidTr="00E22E34">
        <w:tc>
          <w:tcPr>
            <w:cnfStyle w:val="001000000000" w:firstRow="0" w:lastRow="0" w:firstColumn="1" w:lastColumn="0" w:oddVBand="0" w:evenVBand="0" w:oddHBand="0" w:evenHBand="0" w:firstRowFirstColumn="0" w:firstRowLastColumn="0" w:lastRowFirstColumn="0" w:lastRowLastColumn="0"/>
            <w:tcW w:w="0" w:type="auto"/>
            <w:hideMark/>
          </w:tcPr>
          <w:p w14:paraId="09D4CF00" w14:textId="77777777" w:rsidR="004306FF" w:rsidRPr="000A7B2A" w:rsidRDefault="004306FF" w:rsidP="00DF130D">
            <w:pPr>
              <w:spacing w:line="276" w:lineRule="auto"/>
              <w:jc w:val="both"/>
              <w:rPr>
                <w:rFonts w:ascii="Arial" w:hAnsi="Arial" w:cs="Arial"/>
                <w:sz w:val="20"/>
                <w:szCs w:val="20"/>
              </w:rPr>
            </w:pPr>
          </w:p>
        </w:tc>
        <w:tc>
          <w:tcPr>
            <w:tcW w:w="0" w:type="auto"/>
            <w:hideMark/>
          </w:tcPr>
          <w:p w14:paraId="4415E401"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Secondary</w:t>
            </w:r>
          </w:p>
        </w:tc>
        <w:tc>
          <w:tcPr>
            <w:tcW w:w="0" w:type="auto"/>
            <w:hideMark/>
          </w:tcPr>
          <w:p w14:paraId="16D8CC43"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0.065</w:t>
            </w:r>
          </w:p>
        </w:tc>
        <w:tc>
          <w:tcPr>
            <w:tcW w:w="0" w:type="auto"/>
            <w:hideMark/>
          </w:tcPr>
          <w:p w14:paraId="1620EE46"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1.53</w:t>
            </w:r>
          </w:p>
        </w:tc>
        <w:tc>
          <w:tcPr>
            <w:tcW w:w="0" w:type="auto"/>
            <w:hideMark/>
          </w:tcPr>
          <w:p w14:paraId="0861B54C"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0.126</w:t>
            </w:r>
          </w:p>
        </w:tc>
        <w:tc>
          <w:tcPr>
            <w:tcW w:w="0" w:type="auto"/>
            <w:hideMark/>
          </w:tcPr>
          <w:p w14:paraId="2774CB20"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−0.067</w:t>
            </w:r>
          </w:p>
        </w:tc>
        <w:tc>
          <w:tcPr>
            <w:tcW w:w="0" w:type="auto"/>
            <w:hideMark/>
          </w:tcPr>
          <w:p w14:paraId="46A14C0A"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−1.36</w:t>
            </w:r>
          </w:p>
        </w:tc>
        <w:tc>
          <w:tcPr>
            <w:tcW w:w="0" w:type="auto"/>
            <w:hideMark/>
          </w:tcPr>
          <w:p w14:paraId="34EEE510"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0.174</w:t>
            </w:r>
          </w:p>
        </w:tc>
      </w:tr>
      <w:tr w:rsidR="004306FF" w:rsidRPr="000A7B2A" w14:paraId="19F3C07B" w14:textId="77777777" w:rsidTr="00E2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CB807D2" w14:textId="77777777" w:rsidR="004306FF" w:rsidRPr="000A7B2A" w:rsidRDefault="004306FF" w:rsidP="00DF130D">
            <w:pPr>
              <w:spacing w:line="276" w:lineRule="auto"/>
              <w:jc w:val="both"/>
              <w:rPr>
                <w:rFonts w:ascii="Arial" w:hAnsi="Arial" w:cs="Arial"/>
                <w:sz w:val="20"/>
                <w:szCs w:val="20"/>
              </w:rPr>
            </w:pPr>
          </w:p>
        </w:tc>
        <w:tc>
          <w:tcPr>
            <w:tcW w:w="0" w:type="auto"/>
            <w:shd w:val="clear" w:color="auto" w:fill="auto"/>
            <w:hideMark/>
          </w:tcPr>
          <w:p w14:paraId="3B10F28F"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Higher</w:t>
            </w:r>
          </w:p>
        </w:tc>
        <w:tc>
          <w:tcPr>
            <w:tcW w:w="0" w:type="auto"/>
            <w:shd w:val="clear" w:color="auto" w:fill="auto"/>
            <w:hideMark/>
          </w:tcPr>
          <w:p w14:paraId="143627C0"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−0.052</w:t>
            </w:r>
          </w:p>
        </w:tc>
        <w:tc>
          <w:tcPr>
            <w:tcW w:w="0" w:type="auto"/>
            <w:shd w:val="clear" w:color="auto" w:fill="auto"/>
            <w:hideMark/>
          </w:tcPr>
          <w:p w14:paraId="7C9FB562"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−1.69</w:t>
            </w:r>
          </w:p>
        </w:tc>
        <w:tc>
          <w:tcPr>
            <w:tcW w:w="0" w:type="auto"/>
            <w:shd w:val="clear" w:color="auto" w:fill="auto"/>
            <w:hideMark/>
          </w:tcPr>
          <w:p w14:paraId="15FE5921"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0.090*</w:t>
            </w:r>
          </w:p>
        </w:tc>
        <w:tc>
          <w:tcPr>
            <w:tcW w:w="0" w:type="auto"/>
            <w:shd w:val="clear" w:color="auto" w:fill="auto"/>
            <w:hideMark/>
          </w:tcPr>
          <w:p w14:paraId="59AE0973"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−0.140</w:t>
            </w:r>
          </w:p>
        </w:tc>
        <w:tc>
          <w:tcPr>
            <w:tcW w:w="0" w:type="auto"/>
            <w:shd w:val="clear" w:color="auto" w:fill="auto"/>
            <w:hideMark/>
          </w:tcPr>
          <w:p w14:paraId="04AD5F0B"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−2.73</w:t>
            </w:r>
          </w:p>
        </w:tc>
        <w:tc>
          <w:tcPr>
            <w:tcW w:w="0" w:type="auto"/>
            <w:shd w:val="clear" w:color="auto" w:fill="auto"/>
            <w:hideMark/>
          </w:tcPr>
          <w:p w14:paraId="0A23C972" w14:textId="77777777" w:rsidR="004306FF" w:rsidRPr="000A7B2A" w:rsidRDefault="004306FF"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0.006***</w:t>
            </w:r>
          </w:p>
        </w:tc>
      </w:tr>
      <w:tr w:rsidR="004306FF" w:rsidRPr="000A7B2A" w14:paraId="118543E9" w14:textId="77777777" w:rsidTr="00E22E34">
        <w:tc>
          <w:tcPr>
            <w:cnfStyle w:val="001000000000" w:firstRow="0" w:lastRow="0" w:firstColumn="1" w:lastColumn="0" w:oddVBand="0" w:evenVBand="0" w:oddHBand="0" w:evenHBand="0" w:firstRowFirstColumn="0" w:firstRowLastColumn="0" w:lastRowFirstColumn="0" w:lastRowLastColumn="0"/>
            <w:tcW w:w="0" w:type="auto"/>
            <w:hideMark/>
          </w:tcPr>
          <w:p w14:paraId="372BECA6" w14:textId="77777777" w:rsidR="004306FF" w:rsidRPr="000A7B2A" w:rsidRDefault="004306FF" w:rsidP="00DF130D">
            <w:pPr>
              <w:spacing w:line="276" w:lineRule="auto"/>
              <w:jc w:val="both"/>
              <w:rPr>
                <w:rFonts w:ascii="Arial" w:hAnsi="Arial" w:cs="Arial"/>
                <w:sz w:val="20"/>
                <w:szCs w:val="20"/>
              </w:rPr>
            </w:pPr>
            <w:r w:rsidRPr="000A7B2A">
              <w:rPr>
                <w:rFonts w:ascii="Arial" w:hAnsi="Arial" w:cs="Arial"/>
                <w:sz w:val="20"/>
                <w:szCs w:val="20"/>
              </w:rPr>
              <w:t>Employment Type (Ref: Self-employed)</w:t>
            </w:r>
          </w:p>
        </w:tc>
        <w:tc>
          <w:tcPr>
            <w:tcW w:w="0" w:type="auto"/>
            <w:hideMark/>
          </w:tcPr>
          <w:p w14:paraId="2B227E76"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Casual Labour</w:t>
            </w:r>
          </w:p>
        </w:tc>
        <w:tc>
          <w:tcPr>
            <w:tcW w:w="0" w:type="auto"/>
            <w:hideMark/>
          </w:tcPr>
          <w:p w14:paraId="655A4CC2"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0.167</w:t>
            </w:r>
          </w:p>
        </w:tc>
        <w:tc>
          <w:tcPr>
            <w:tcW w:w="0" w:type="auto"/>
            <w:hideMark/>
          </w:tcPr>
          <w:p w14:paraId="543F8ACA"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4.65</w:t>
            </w:r>
          </w:p>
        </w:tc>
        <w:tc>
          <w:tcPr>
            <w:tcW w:w="0" w:type="auto"/>
            <w:hideMark/>
          </w:tcPr>
          <w:p w14:paraId="24BC38D5"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&lt;0.001***</w:t>
            </w:r>
          </w:p>
        </w:tc>
        <w:tc>
          <w:tcPr>
            <w:tcW w:w="0" w:type="auto"/>
            <w:hideMark/>
          </w:tcPr>
          <w:p w14:paraId="63DD07DD"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0.565</w:t>
            </w:r>
          </w:p>
        </w:tc>
        <w:tc>
          <w:tcPr>
            <w:tcW w:w="0" w:type="auto"/>
            <w:hideMark/>
          </w:tcPr>
          <w:p w14:paraId="318383E0"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13.80</w:t>
            </w:r>
          </w:p>
        </w:tc>
        <w:tc>
          <w:tcPr>
            <w:tcW w:w="0" w:type="auto"/>
            <w:hideMark/>
          </w:tcPr>
          <w:p w14:paraId="1D66F302" w14:textId="77777777" w:rsidR="004306FF" w:rsidRPr="000A7B2A" w:rsidRDefault="004306FF"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&lt;0.001***</w:t>
            </w:r>
          </w:p>
        </w:tc>
      </w:tr>
    </w:tbl>
    <w:p w14:paraId="408AED41" w14:textId="77777777" w:rsidR="004306FF" w:rsidRPr="000A7B2A" w:rsidRDefault="004306FF" w:rsidP="00DF130D">
      <w:pPr>
        <w:spacing w:before="100" w:beforeAutospacing="1" w:after="100" w:afterAutospacing="1" w:line="276" w:lineRule="auto"/>
        <w:jc w:val="both"/>
        <w:rPr>
          <w:rFonts w:ascii="Arial" w:eastAsia="Times New Roman" w:hAnsi="Arial" w:cs="Arial"/>
          <w:i/>
          <w:iCs/>
          <w:sz w:val="20"/>
          <w:szCs w:val="20"/>
          <w:lang w:eastAsia="en-IN"/>
        </w:rPr>
      </w:pPr>
      <w:r w:rsidRPr="000A7B2A">
        <w:rPr>
          <w:rFonts w:ascii="Arial" w:eastAsia="Times New Roman" w:hAnsi="Arial" w:cs="Arial"/>
          <w:b/>
          <w:bCs/>
          <w:i/>
          <w:iCs/>
          <w:sz w:val="20"/>
          <w:szCs w:val="20"/>
          <w:lang w:eastAsia="en-IN"/>
        </w:rPr>
        <w:lastRenderedPageBreak/>
        <w:t>Source:</w:t>
      </w:r>
      <w:r w:rsidRPr="000A7B2A">
        <w:rPr>
          <w:rFonts w:ascii="Arial" w:eastAsia="Times New Roman" w:hAnsi="Arial" w:cs="Arial"/>
          <w:i/>
          <w:iCs/>
          <w:sz w:val="20"/>
          <w:szCs w:val="20"/>
          <w:lang w:eastAsia="en-IN"/>
        </w:rPr>
        <w:t xml:space="preserve"> MoSPI, PLFS 2023–2024.</w:t>
      </w:r>
    </w:p>
    <w:p w14:paraId="2CBCA584" w14:textId="77777777" w:rsidR="00FB5AC2" w:rsidRPr="000A7B2A" w:rsidRDefault="00FB5AC2" w:rsidP="00DF130D">
      <w:pPr>
        <w:pStyle w:val="isselectedend"/>
        <w:spacing w:line="276" w:lineRule="auto"/>
        <w:jc w:val="both"/>
        <w:rPr>
          <w:rFonts w:ascii="Arial" w:hAnsi="Arial" w:cs="Arial"/>
          <w:sz w:val="20"/>
          <w:szCs w:val="20"/>
        </w:rPr>
      </w:pPr>
      <w:r w:rsidRPr="000A7B2A">
        <w:rPr>
          <w:rFonts w:ascii="Arial" w:hAnsi="Arial" w:cs="Arial"/>
          <w:sz w:val="20"/>
          <w:szCs w:val="20"/>
        </w:rPr>
        <w:t xml:space="preserve">Table 4.5 shows the average marginal effects of gender, age, education, and employment type on the probability of being in the ₹1–5,000 and </w:t>
      </w:r>
      <w:r w:rsidR="003B2CB1" w:rsidRPr="000A7B2A">
        <w:rPr>
          <w:rFonts w:ascii="Arial" w:hAnsi="Arial" w:cs="Arial"/>
          <w:sz w:val="20"/>
          <w:szCs w:val="20"/>
        </w:rPr>
        <w:t>above</w:t>
      </w:r>
      <w:r w:rsidRPr="000A7B2A">
        <w:rPr>
          <w:rFonts w:ascii="Arial" w:hAnsi="Arial" w:cs="Arial"/>
          <w:sz w:val="20"/>
          <w:szCs w:val="20"/>
        </w:rPr>
        <w:t xml:space="preserve"> ₹5,000 monthly earnings categories, with Zero Earnings as the reference outcome. The results indicate that employment type has the strongest association with earnings probabilities, while age and education are significantly associated with selected earnings categories. Gender, however, does not show a statistically significant association with either positive-earnings category in the average marginal-effects estimates.</w:t>
      </w:r>
    </w:p>
    <w:p w14:paraId="5C2676B1" w14:textId="77777777" w:rsidR="004D664F" w:rsidRPr="000A7B2A" w:rsidRDefault="004D664F" w:rsidP="00DF130D">
      <w:pPr>
        <w:pStyle w:val="isselectedend"/>
        <w:spacing w:line="276" w:lineRule="auto"/>
        <w:jc w:val="both"/>
        <w:rPr>
          <w:rFonts w:ascii="Arial" w:hAnsi="Arial" w:cs="Arial"/>
          <w:sz w:val="20"/>
          <w:szCs w:val="20"/>
        </w:rPr>
      </w:pPr>
    </w:p>
    <w:p w14:paraId="4AA457EA" w14:textId="77777777" w:rsidR="00FB5AC2" w:rsidRPr="000A7B2A" w:rsidRDefault="00FB5AC2" w:rsidP="00DF130D">
      <w:pPr>
        <w:pStyle w:val="isselectedend"/>
        <w:spacing w:line="276" w:lineRule="auto"/>
        <w:jc w:val="both"/>
        <w:rPr>
          <w:rFonts w:ascii="Arial" w:hAnsi="Arial" w:cs="Arial"/>
          <w:sz w:val="20"/>
          <w:szCs w:val="20"/>
        </w:rPr>
      </w:pPr>
      <w:r w:rsidRPr="000A7B2A">
        <w:rPr>
          <w:rFonts w:ascii="Arial" w:hAnsi="Arial" w:cs="Arial"/>
          <w:sz w:val="20"/>
          <w:szCs w:val="20"/>
        </w:rPr>
        <w:t>Female workers have predicted probabilities of being in the ₹1–5,000 and above ₹5,000 categories that are 2.9 and 3.1 percentage points higher, respectively. However, neither association is statistically significant (</w:t>
      </w:r>
      <w:r w:rsidRPr="000A7B2A">
        <w:rPr>
          <w:rStyle w:val="Emphasis"/>
          <w:rFonts w:ascii="Arial" w:eastAsiaTheme="majorEastAsia" w:hAnsi="Arial" w:cs="Arial"/>
          <w:sz w:val="20"/>
          <w:szCs w:val="20"/>
        </w:rPr>
        <w:t>p</w:t>
      </w:r>
      <w:r w:rsidRPr="000A7B2A">
        <w:rPr>
          <w:rFonts w:ascii="Arial" w:hAnsi="Arial" w:cs="Arial"/>
          <w:sz w:val="20"/>
          <w:szCs w:val="20"/>
        </w:rPr>
        <w:t xml:space="preserve"> = 0.166 and </w:t>
      </w:r>
      <w:r w:rsidRPr="000A7B2A">
        <w:rPr>
          <w:rStyle w:val="Emphasis"/>
          <w:rFonts w:ascii="Arial" w:eastAsiaTheme="majorEastAsia" w:hAnsi="Arial" w:cs="Arial"/>
          <w:sz w:val="20"/>
          <w:szCs w:val="20"/>
        </w:rPr>
        <w:t>p</w:t>
      </w:r>
      <w:r w:rsidRPr="000A7B2A">
        <w:rPr>
          <w:rFonts w:ascii="Arial" w:hAnsi="Arial" w:cs="Arial"/>
          <w:sz w:val="20"/>
          <w:szCs w:val="20"/>
        </w:rPr>
        <w:t xml:space="preserve"> = 0.293). Therefore, </w:t>
      </w:r>
      <w:r w:rsidRPr="000A7B2A">
        <w:rPr>
          <w:rStyle w:val="Strong"/>
          <w:rFonts w:ascii="Arial" w:eastAsiaTheme="majorEastAsia" w:hAnsi="Arial" w:cs="Arial"/>
          <w:b w:val="0"/>
          <w:bCs w:val="0"/>
          <w:sz w:val="20"/>
          <w:szCs w:val="20"/>
        </w:rPr>
        <w:t>H1 is not supported</w:t>
      </w:r>
      <w:r w:rsidRPr="000A7B2A">
        <w:rPr>
          <w:rFonts w:ascii="Arial" w:hAnsi="Arial" w:cs="Arial"/>
          <w:sz w:val="20"/>
          <w:szCs w:val="20"/>
        </w:rPr>
        <w:t xml:space="preserve"> based on the marginal-effects results.</w:t>
      </w:r>
    </w:p>
    <w:p w14:paraId="1DCD9044" w14:textId="77777777" w:rsidR="00FB5AC2" w:rsidRPr="000A7B2A" w:rsidRDefault="00FB5AC2" w:rsidP="00DF130D">
      <w:pPr>
        <w:pStyle w:val="isselectedend"/>
        <w:spacing w:line="276" w:lineRule="auto"/>
        <w:jc w:val="both"/>
        <w:rPr>
          <w:rFonts w:ascii="Arial" w:hAnsi="Arial" w:cs="Arial"/>
          <w:sz w:val="20"/>
          <w:szCs w:val="20"/>
        </w:rPr>
      </w:pPr>
      <w:r w:rsidRPr="000A7B2A">
        <w:rPr>
          <w:rFonts w:ascii="Arial" w:hAnsi="Arial" w:cs="Arial"/>
          <w:sz w:val="20"/>
          <w:szCs w:val="20"/>
        </w:rPr>
        <w:t xml:space="preserve">Age shows a significant association only for the higher earnings category. Compared with workers aged 25 years or below, senior workers aged 56 years and above have a 14.7 percentage-point lower probability of being in the Above ₹5,000 category (dy/dx = −0.147, </w:t>
      </w:r>
      <w:r w:rsidRPr="000A7B2A">
        <w:rPr>
          <w:rStyle w:val="Emphasis"/>
          <w:rFonts w:ascii="Arial" w:eastAsiaTheme="majorEastAsia" w:hAnsi="Arial" w:cs="Arial"/>
          <w:sz w:val="20"/>
          <w:szCs w:val="20"/>
        </w:rPr>
        <w:t>p</w:t>
      </w:r>
      <w:r w:rsidRPr="000A7B2A">
        <w:rPr>
          <w:rFonts w:ascii="Arial" w:hAnsi="Arial" w:cs="Arial"/>
          <w:sz w:val="20"/>
          <w:szCs w:val="20"/>
        </w:rPr>
        <w:t xml:space="preserve"> = 0.012), while the marginal effect for the ₹1–5,000 category is not statistically significant. Thus, </w:t>
      </w:r>
      <w:r w:rsidRPr="000A7B2A">
        <w:rPr>
          <w:rStyle w:val="Strong"/>
          <w:rFonts w:ascii="Arial" w:eastAsiaTheme="majorEastAsia" w:hAnsi="Arial" w:cs="Arial"/>
          <w:b w:val="0"/>
          <w:bCs w:val="0"/>
          <w:sz w:val="20"/>
          <w:szCs w:val="20"/>
        </w:rPr>
        <w:t>H3 is partially supported</w:t>
      </w:r>
      <w:r w:rsidRPr="000A7B2A">
        <w:rPr>
          <w:rFonts w:ascii="Arial" w:hAnsi="Arial" w:cs="Arial"/>
          <w:b/>
          <w:bCs/>
          <w:sz w:val="20"/>
          <w:szCs w:val="20"/>
        </w:rPr>
        <w:t>,</w:t>
      </w:r>
      <w:r w:rsidRPr="000A7B2A">
        <w:rPr>
          <w:rFonts w:ascii="Arial" w:hAnsi="Arial" w:cs="Arial"/>
          <w:sz w:val="20"/>
          <w:szCs w:val="20"/>
        </w:rPr>
        <w:t xml:space="preserve"> as age is significantly associated with one of the two positive-earnings categories.</w:t>
      </w:r>
    </w:p>
    <w:p w14:paraId="72243586" w14:textId="77777777" w:rsidR="00FB5AC2" w:rsidRPr="000A7B2A" w:rsidRDefault="00FB5AC2" w:rsidP="00DF130D">
      <w:pPr>
        <w:pStyle w:val="isselectedend"/>
        <w:spacing w:line="276" w:lineRule="auto"/>
        <w:jc w:val="both"/>
        <w:rPr>
          <w:rFonts w:ascii="Arial" w:hAnsi="Arial" w:cs="Arial"/>
          <w:sz w:val="20"/>
          <w:szCs w:val="20"/>
        </w:rPr>
      </w:pPr>
      <w:r w:rsidRPr="000A7B2A">
        <w:rPr>
          <w:rFonts w:ascii="Arial" w:hAnsi="Arial" w:cs="Arial"/>
          <w:sz w:val="20"/>
          <w:szCs w:val="20"/>
        </w:rPr>
        <w:t xml:space="preserve">Education also shows category-specific associations. Primary education is negatively associated with the probability of being in the ₹1–5,000 category (dy/dx = −0.043, </w:t>
      </w:r>
      <w:r w:rsidRPr="000A7B2A">
        <w:rPr>
          <w:rStyle w:val="Emphasis"/>
          <w:rFonts w:ascii="Arial" w:eastAsiaTheme="majorEastAsia" w:hAnsi="Arial" w:cs="Arial"/>
          <w:sz w:val="20"/>
          <w:szCs w:val="20"/>
        </w:rPr>
        <w:t>p</w:t>
      </w:r>
      <w:r w:rsidRPr="000A7B2A">
        <w:rPr>
          <w:rFonts w:ascii="Arial" w:hAnsi="Arial" w:cs="Arial"/>
          <w:sz w:val="20"/>
          <w:szCs w:val="20"/>
        </w:rPr>
        <w:t xml:space="preserve"> = 0.022), while higher education is negatively associated with the probability of being in the Above ₹5,000 category (dy/dx = −0.140, </w:t>
      </w:r>
      <w:r w:rsidRPr="000A7B2A">
        <w:rPr>
          <w:rStyle w:val="Emphasis"/>
          <w:rFonts w:ascii="Arial" w:eastAsiaTheme="majorEastAsia" w:hAnsi="Arial" w:cs="Arial"/>
          <w:sz w:val="20"/>
          <w:szCs w:val="20"/>
        </w:rPr>
        <w:t>p</w:t>
      </w:r>
      <w:r w:rsidRPr="000A7B2A">
        <w:rPr>
          <w:rFonts w:ascii="Arial" w:hAnsi="Arial" w:cs="Arial"/>
          <w:sz w:val="20"/>
          <w:szCs w:val="20"/>
        </w:rPr>
        <w:t xml:space="preserve"> = 0.006). The mixed pattern suggests that the association between educational attainment and earnings differs across earnings categories. Therefore</w:t>
      </w:r>
      <w:r w:rsidRPr="000A7B2A">
        <w:rPr>
          <w:rFonts w:ascii="Arial" w:hAnsi="Arial" w:cs="Arial"/>
          <w:b/>
          <w:bCs/>
          <w:sz w:val="20"/>
          <w:szCs w:val="20"/>
        </w:rPr>
        <w:t xml:space="preserve">, </w:t>
      </w:r>
      <w:r w:rsidRPr="000A7B2A">
        <w:rPr>
          <w:rStyle w:val="Strong"/>
          <w:rFonts w:ascii="Arial" w:eastAsiaTheme="majorEastAsia" w:hAnsi="Arial" w:cs="Arial"/>
          <w:b w:val="0"/>
          <w:bCs w:val="0"/>
          <w:sz w:val="20"/>
          <w:szCs w:val="20"/>
        </w:rPr>
        <w:t>H2 is supported</w:t>
      </w:r>
      <w:r w:rsidRPr="000A7B2A">
        <w:rPr>
          <w:rFonts w:ascii="Arial" w:hAnsi="Arial" w:cs="Arial"/>
          <w:b/>
          <w:bCs/>
          <w:sz w:val="20"/>
          <w:szCs w:val="20"/>
        </w:rPr>
        <w:t>,</w:t>
      </w:r>
      <w:r w:rsidRPr="000A7B2A">
        <w:rPr>
          <w:rFonts w:ascii="Arial" w:hAnsi="Arial" w:cs="Arial"/>
          <w:sz w:val="20"/>
          <w:szCs w:val="20"/>
        </w:rPr>
        <w:t xml:space="preserve"> as educational attainment is statistically associated with earnings outcomes in the marginal-effects analysis.</w:t>
      </w:r>
    </w:p>
    <w:p w14:paraId="7226580D" w14:textId="77777777" w:rsidR="00A82392" w:rsidRPr="000A7B2A" w:rsidRDefault="00FB5AC2" w:rsidP="00E6600E">
      <w:pPr>
        <w:pStyle w:val="isselectedend"/>
        <w:spacing w:line="276" w:lineRule="auto"/>
        <w:jc w:val="both"/>
        <w:rPr>
          <w:rFonts w:ascii="Arial" w:hAnsi="Arial" w:cs="Arial"/>
          <w:sz w:val="20"/>
          <w:szCs w:val="20"/>
        </w:rPr>
      </w:pPr>
      <w:r w:rsidRPr="000A7B2A">
        <w:rPr>
          <w:rFonts w:ascii="Arial" w:hAnsi="Arial" w:cs="Arial"/>
          <w:sz w:val="20"/>
          <w:szCs w:val="20"/>
        </w:rPr>
        <w:t xml:space="preserve">Employment type exhibits the strongest and most consistent association with earnings probabilities. Compared with self-employed workers, casual labourers have a 16.7 percentage-point higher probability of being in the ₹1–5,000 category (dy/dx = 0.167, </w:t>
      </w:r>
      <w:r w:rsidRPr="000A7B2A">
        <w:rPr>
          <w:rStyle w:val="Emphasis"/>
          <w:rFonts w:ascii="Arial" w:eastAsiaTheme="majorEastAsia" w:hAnsi="Arial" w:cs="Arial"/>
          <w:sz w:val="20"/>
          <w:szCs w:val="20"/>
        </w:rPr>
        <w:t>p</w:t>
      </w:r>
      <w:r w:rsidRPr="000A7B2A">
        <w:rPr>
          <w:rFonts w:ascii="Arial" w:hAnsi="Arial" w:cs="Arial"/>
          <w:sz w:val="20"/>
          <w:szCs w:val="20"/>
        </w:rPr>
        <w:t xml:space="preserve"> &lt; 0.001) and a 56.5 percentage-point higher probability of being in the Above ₹5,000 category (dy/dx = 0.565, </w:t>
      </w:r>
      <w:r w:rsidRPr="000A7B2A">
        <w:rPr>
          <w:rStyle w:val="Emphasis"/>
          <w:rFonts w:ascii="Arial" w:eastAsiaTheme="majorEastAsia" w:hAnsi="Arial" w:cs="Arial"/>
          <w:sz w:val="20"/>
          <w:szCs w:val="20"/>
        </w:rPr>
        <w:t>p</w:t>
      </w:r>
      <w:r w:rsidRPr="000A7B2A">
        <w:rPr>
          <w:rFonts w:ascii="Arial" w:hAnsi="Arial" w:cs="Arial"/>
          <w:sz w:val="20"/>
          <w:szCs w:val="20"/>
        </w:rPr>
        <w:t xml:space="preserve"> &lt; 0.001). Hence, </w:t>
      </w:r>
      <w:r w:rsidRPr="000A7B2A">
        <w:rPr>
          <w:rStyle w:val="Strong"/>
          <w:rFonts w:ascii="Arial" w:eastAsiaTheme="majorEastAsia" w:hAnsi="Arial" w:cs="Arial"/>
          <w:b w:val="0"/>
          <w:bCs w:val="0"/>
          <w:sz w:val="20"/>
          <w:szCs w:val="20"/>
        </w:rPr>
        <w:t>H4 is supported</w:t>
      </w:r>
      <w:r w:rsidRPr="000A7B2A">
        <w:rPr>
          <w:rFonts w:ascii="Arial" w:hAnsi="Arial" w:cs="Arial"/>
          <w:sz w:val="20"/>
          <w:szCs w:val="20"/>
        </w:rPr>
        <w:t xml:space="preserve">. These large differences may partly reflect the distinct mechanisms through which earnings are generated and recorded for self-employed workers and casual </w:t>
      </w:r>
      <w:r w:rsidR="00E6600E" w:rsidRPr="000A7B2A">
        <w:rPr>
          <w:rFonts w:ascii="Arial" w:hAnsi="Arial" w:cs="Arial"/>
          <w:sz w:val="20"/>
          <w:szCs w:val="20"/>
        </w:rPr>
        <w:t>labourers. The</w:t>
      </w:r>
      <w:r w:rsidRPr="000A7B2A">
        <w:rPr>
          <w:rFonts w:ascii="Arial" w:hAnsi="Arial" w:cs="Arial"/>
          <w:sz w:val="20"/>
          <w:szCs w:val="20"/>
        </w:rPr>
        <w:t xml:space="preserve"> marginal-effects results indicate that </w:t>
      </w:r>
      <w:r w:rsidRPr="000A7B2A">
        <w:rPr>
          <w:rStyle w:val="Strong"/>
          <w:rFonts w:ascii="Arial" w:eastAsiaTheme="majorEastAsia" w:hAnsi="Arial" w:cs="Arial"/>
          <w:b w:val="0"/>
          <w:bCs w:val="0"/>
          <w:sz w:val="20"/>
          <w:szCs w:val="20"/>
        </w:rPr>
        <w:t>employment type has the strongest statistical association with earnings probabilities, followed by selected associations involving age and education</w:t>
      </w:r>
      <w:r w:rsidRPr="000A7B2A">
        <w:rPr>
          <w:rFonts w:ascii="Arial" w:hAnsi="Arial" w:cs="Arial"/>
          <w:sz w:val="20"/>
          <w:szCs w:val="20"/>
        </w:rPr>
        <w:t xml:space="preserve">, whereas gender differences are not statistically significant in the average marginal-effects estimates. The findings should be interpreted as </w:t>
      </w:r>
      <w:r w:rsidRPr="000A7B2A">
        <w:rPr>
          <w:rStyle w:val="Strong"/>
          <w:rFonts w:ascii="Arial" w:eastAsiaTheme="majorEastAsia" w:hAnsi="Arial" w:cs="Arial"/>
          <w:b w:val="0"/>
          <w:bCs w:val="0"/>
          <w:sz w:val="20"/>
          <w:szCs w:val="20"/>
        </w:rPr>
        <w:t>statistical associations rather than causal effects</w:t>
      </w:r>
      <w:r w:rsidRPr="000A7B2A">
        <w:rPr>
          <w:rFonts w:ascii="Arial" w:hAnsi="Arial" w:cs="Arial"/>
          <w:sz w:val="20"/>
          <w:szCs w:val="20"/>
        </w:rPr>
        <w:t>, given the cross-sectional nature of the data.</w:t>
      </w:r>
    </w:p>
    <w:p w14:paraId="440CED06" w14:textId="77777777" w:rsidR="003C086C" w:rsidRPr="000A7B2A" w:rsidRDefault="007250DE" w:rsidP="00DF130D">
      <w:pPr>
        <w:pStyle w:val="NormalWeb"/>
        <w:spacing w:line="276" w:lineRule="auto"/>
        <w:jc w:val="both"/>
        <w:rPr>
          <w:rFonts w:ascii="Arial" w:hAnsi="Arial" w:cs="Arial"/>
          <w:b/>
          <w:bCs/>
          <w:sz w:val="20"/>
          <w:szCs w:val="20"/>
        </w:rPr>
      </w:pPr>
      <w:r w:rsidRPr="000A7B2A">
        <w:rPr>
          <w:rFonts w:ascii="Arial" w:hAnsi="Arial" w:cs="Arial"/>
          <w:b/>
          <w:bCs/>
          <w:sz w:val="20"/>
          <w:szCs w:val="20"/>
        </w:rPr>
        <w:t xml:space="preserve">Table </w:t>
      </w:r>
      <w:r w:rsidR="00E6600E" w:rsidRPr="000A7B2A">
        <w:rPr>
          <w:rFonts w:ascii="Arial" w:hAnsi="Arial" w:cs="Arial"/>
          <w:b/>
          <w:bCs/>
          <w:sz w:val="20"/>
          <w:szCs w:val="20"/>
        </w:rPr>
        <w:t>4.6</w:t>
      </w:r>
      <w:r w:rsidR="00E46B49" w:rsidRPr="000A7B2A">
        <w:rPr>
          <w:rFonts w:ascii="Arial" w:hAnsi="Arial" w:cs="Arial"/>
          <w:b/>
          <w:bCs/>
          <w:sz w:val="20"/>
          <w:szCs w:val="20"/>
        </w:rPr>
        <w:t>.</w:t>
      </w:r>
      <w:r w:rsidRPr="000A7B2A">
        <w:rPr>
          <w:rFonts w:ascii="Arial" w:hAnsi="Arial" w:cs="Arial"/>
          <w:b/>
          <w:bCs/>
          <w:sz w:val="20"/>
          <w:szCs w:val="20"/>
        </w:rPr>
        <w:t xml:space="preserve"> </w:t>
      </w:r>
      <w:r w:rsidR="003C086C" w:rsidRPr="000A7B2A">
        <w:rPr>
          <w:rFonts w:ascii="Arial" w:hAnsi="Arial" w:cs="Arial"/>
          <w:b/>
          <w:bCs/>
          <w:sz w:val="20"/>
          <w:szCs w:val="20"/>
        </w:rPr>
        <w:t>Predicted Probability of Earning Above ₹5,000 by Employment Type and Gender</w:t>
      </w:r>
    </w:p>
    <w:tbl>
      <w:tblPr>
        <w:tblStyle w:val="ListTable6Colorful"/>
        <w:tblpPr w:leftFromText="180" w:rightFromText="180" w:vertAnchor="text" w:horzAnchor="margin" w:tblpXSpec="center" w:tblpY="82"/>
        <w:tblW w:w="0" w:type="auto"/>
        <w:shd w:val="clear" w:color="auto" w:fill="FFFFFF" w:themeFill="background1"/>
        <w:tblLook w:val="04A0" w:firstRow="1" w:lastRow="0" w:firstColumn="1" w:lastColumn="0" w:noHBand="0" w:noVBand="1"/>
      </w:tblPr>
      <w:tblGrid>
        <w:gridCol w:w="1939"/>
        <w:gridCol w:w="917"/>
        <w:gridCol w:w="950"/>
        <w:gridCol w:w="994"/>
        <w:gridCol w:w="717"/>
        <w:gridCol w:w="717"/>
        <w:gridCol w:w="1440"/>
      </w:tblGrid>
      <w:tr w:rsidR="004C5569" w:rsidRPr="000A7B2A" w14:paraId="75004ACF" w14:textId="77777777" w:rsidTr="004C55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EEDD439" w14:textId="77777777" w:rsidR="004C5569" w:rsidRPr="000A7B2A" w:rsidRDefault="004C5569" w:rsidP="00DF130D">
            <w:pPr>
              <w:spacing w:line="276" w:lineRule="auto"/>
              <w:jc w:val="both"/>
              <w:rPr>
                <w:rFonts w:ascii="Arial" w:hAnsi="Arial" w:cs="Arial"/>
                <w:b w:val="0"/>
                <w:bCs w:val="0"/>
                <w:sz w:val="20"/>
                <w:szCs w:val="20"/>
              </w:rPr>
            </w:pPr>
            <w:r w:rsidRPr="000A7B2A">
              <w:rPr>
                <w:rFonts w:ascii="Arial" w:hAnsi="Arial" w:cs="Arial"/>
                <w:sz w:val="20"/>
                <w:szCs w:val="20"/>
              </w:rPr>
              <w:t>Employment Type</w:t>
            </w:r>
          </w:p>
        </w:tc>
        <w:tc>
          <w:tcPr>
            <w:tcW w:w="0" w:type="auto"/>
            <w:shd w:val="clear" w:color="auto" w:fill="FFFFFF" w:themeFill="background1"/>
            <w:hideMark/>
          </w:tcPr>
          <w:p w14:paraId="44F36EC4" w14:textId="77777777" w:rsidR="004C5569" w:rsidRPr="000A7B2A" w:rsidRDefault="004C5569"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Gender</w:t>
            </w:r>
          </w:p>
        </w:tc>
        <w:tc>
          <w:tcPr>
            <w:tcW w:w="0" w:type="auto"/>
            <w:shd w:val="clear" w:color="auto" w:fill="FFFFFF" w:themeFill="background1"/>
            <w:hideMark/>
          </w:tcPr>
          <w:p w14:paraId="49ED29CC" w14:textId="77777777" w:rsidR="004C5569" w:rsidRPr="000A7B2A" w:rsidRDefault="004C5569"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Margin</w:t>
            </w:r>
          </w:p>
        </w:tc>
        <w:tc>
          <w:tcPr>
            <w:tcW w:w="0" w:type="auto"/>
            <w:shd w:val="clear" w:color="auto" w:fill="FFFFFF" w:themeFill="background1"/>
            <w:hideMark/>
          </w:tcPr>
          <w:p w14:paraId="2A6953B9" w14:textId="77777777" w:rsidR="004C5569" w:rsidRPr="000A7B2A" w:rsidRDefault="004C5569"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Std. Err.</w:t>
            </w:r>
          </w:p>
        </w:tc>
        <w:tc>
          <w:tcPr>
            <w:tcW w:w="0" w:type="auto"/>
            <w:shd w:val="clear" w:color="auto" w:fill="FFFFFF" w:themeFill="background1"/>
            <w:hideMark/>
          </w:tcPr>
          <w:p w14:paraId="25BDA72B" w14:textId="77777777" w:rsidR="004C5569" w:rsidRPr="000A7B2A" w:rsidRDefault="004C5569"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z</w:t>
            </w:r>
          </w:p>
        </w:tc>
        <w:tc>
          <w:tcPr>
            <w:tcW w:w="0" w:type="auto"/>
            <w:shd w:val="clear" w:color="auto" w:fill="FFFFFF" w:themeFill="background1"/>
            <w:hideMark/>
          </w:tcPr>
          <w:p w14:paraId="77C2D09E" w14:textId="77777777" w:rsidR="004C5569" w:rsidRPr="000A7B2A" w:rsidRDefault="004C5569"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P&gt;|z|</w:t>
            </w:r>
          </w:p>
        </w:tc>
        <w:tc>
          <w:tcPr>
            <w:tcW w:w="0" w:type="auto"/>
            <w:shd w:val="clear" w:color="auto" w:fill="FFFFFF" w:themeFill="background1"/>
            <w:hideMark/>
          </w:tcPr>
          <w:p w14:paraId="07CA3FDA" w14:textId="77777777" w:rsidR="004C5569" w:rsidRPr="000A7B2A" w:rsidRDefault="004C5569"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95% CI</w:t>
            </w:r>
          </w:p>
        </w:tc>
      </w:tr>
      <w:tr w:rsidR="004C5569" w:rsidRPr="000A7B2A" w14:paraId="7FAEB4ED" w14:textId="77777777" w:rsidTr="004C5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2742E561" w14:textId="77777777" w:rsidR="004C5569" w:rsidRPr="000A7B2A" w:rsidRDefault="004C5569" w:rsidP="00DF130D">
            <w:pPr>
              <w:spacing w:line="276" w:lineRule="auto"/>
              <w:jc w:val="both"/>
              <w:rPr>
                <w:rFonts w:ascii="Arial" w:hAnsi="Arial" w:cs="Arial"/>
                <w:sz w:val="20"/>
                <w:szCs w:val="20"/>
              </w:rPr>
            </w:pPr>
            <w:r w:rsidRPr="000A7B2A">
              <w:rPr>
                <w:rFonts w:ascii="Arial" w:hAnsi="Arial" w:cs="Arial"/>
                <w:sz w:val="20"/>
                <w:szCs w:val="20"/>
              </w:rPr>
              <w:t>Self-Employed</w:t>
            </w:r>
          </w:p>
        </w:tc>
        <w:tc>
          <w:tcPr>
            <w:tcW w:w="0" w:type="auto"/>
            <w:shd w:val="clear" w:color="auto" w:fill="FFFFFF" w:themeFill="background1"/>
            <w:hideMark/>
          </w:tcPr>
          <w:p w14:paraId="4C668F95"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159F1CB3"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0.115***</w:t>
            </w:r>
          </w:p>
        </w:tc>
        <w:tc>
          <w:tcPr>
            <w:tcW w:w="0" w:type="auto"/>
            <w:shd w:val="clear" w:color="auto" w:fill="FFFFFF" w:themeFill="background1"/>
            <w:hideMark/>
          </w:tcPr>
          <w:p w14:paraId="141CC324"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0.017</w:t>
            </w:r>
          </w:p>
        </w:tc>
        <w:tc>
          <w:tcPr>
            <w:tcW w:w="0" w:type="auto"/>
            <w:shd w:val="clear" w:color="auto" w:fill="FFFFFF" w:themeFill="background1"/>
            <w:hideMark/>
          </w:tcPr>
          <w:p w14:paraId="2E76F3D4"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6.84</w:t>
            </w:r>
          </w:p>
        </w:tc>
        <w:tc>
          <w:tcPr>
            <w:tcW w:w="0" w:type="auto"/>
            <w:shd w:val="clear" w:color="auto" w:fill="FFFFFF" w:themeFill="background1"/>
            <w:hideMark/>
          </w:tcPr>
          <w:p w14:paraId="2474C4E3"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0" w:type="auto"/>
            <w:shd w:val="clear" w:color="auto" w:fill="FFFFFF" w:themeFill="background1"/>
            <w:hideMark/>
          </w:tcPr>
          <w:p w14:paraId="2EB20D23"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[0.082, 0.148]</w:t>
            </w:r>
          </w:p>
        </w:tc>
      </w:tr>
      <w:tr w:rsidR="004C5569" w:rsidRPr="000A7B2A" w14:paraId="35F1BADE" w14:textId="77777777" w:rsidTr="004C5569">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6C5FF7A8" w14:textId="77777777" w:rsidR="004C5569" w:rsidRPr="000A7B2A" w:rsidRDefault="004C5569" w:rsidP="00DF130D">
            <w:pPr>
              <w:spacing w:line="276" w:lineRule="auto"/>
              <w:jc w:val="both"/>
              <w:rPr>
                <w:rFonts w:ascii="Arial" w:hAnsi="Arial" w:cs="Arial"/>
                <w:sz w:val="20"/>
                <w:szCs w:val="20"/>
              </w:rPr>
            </w:pPr>
          </w:p>
        </w:tc>
        <w:tc>
          <w:tcPr>
            <w:tcW w:w="0" w:type="auto"/>
            <w:shd w:val="clear" w:color="auto" w:fill="FFFFFF" w:themeFill="background1"/>
            <w:hideMark/>
          </w:tcPr>
          <w:p w14:paraId="38ACE922"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5C7895FE"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0.163***</w:t>
            </w:r>
          </w:p>
        </w:tc>
        <w:tc>
          <w:tcPr>
            <w:tcW w:w="0" w:type="auto"/>
            <w:shd w:val="clear" w:color="auto" w:fill="FFFFFF" w:themeFill="background1"/>
            <w:hideMark/>
          </w:tcPr>
          <w:p w14:paraId="191F068B"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0.022</w:t>
            </w:r>
          </w:p>
        </w:tc>
        <w:tc>
          <w:tcPr>
            <w:tcW w:w="0" w:type="auto"/>
            <w:shd w:val="clear" w:color="auto" w:fill="FFFFFF" w:themeFill="background1"/>
            <w:hideMark/>
          </w:tcPr>
          <w:p w14:paraId="564AD118"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7.31</w:t>
            </w:r>
          </w:p>
        </w:tc>
        <w:tc>
          <w:tcPr>
            <w:tcW w:w="0" w:type="auto"/>
            <w:shd w:val="clear" w:color="auto" w:fill="FFFFFF" w:themeFill="background1"/>
            <w:hideMark/>
          </w:tcPr>
          <w:p w14:paraId="0F447451"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0" w:type="auto"/>
            <w:shd w:val="clear" w:color="auto" w:fill="FFFFFF" w:themeFill="background1"/>
            <w:hideMark/>
          </w:tcPr>
          <w:p w14:paraId="502EFECC"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[0.119, 0.207]</w:t>
            </w:r>
          </w:p>
        </w:tc>
      </w:tr>
      <w:tr w:rsidR="004C5569" w:rsidRPr="000A7B2A" w14:paraId="5520F214" w14:textId="77777777" w:rsidTr="004C5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159A9990" w14:textId="77777777" w:rsidR="004C5569" w:rsidRPr="000A7B2A" w:rsidRDefault="004C5569" w:rsidP="00DF130D">
            <w:pPr>
              <w:spacing w:line="276" w:lineRule="auto"/>
              <w:jc w:val="both"/>
              <w:rPr>
                <w:rFonts w:ascii="Arial" w:hAnsi="Arial" w:cs="Arial"/>
                <w:sz w:val="20"/>
                <w:szCs w:val="20"/>
              </w:rPr>
            </w:pPr>
            <w:r w:rsidRPr="000A7B2A">
              <w:rPr>
                <w:rFonts w:ascii="Arial" w:hAnsi="Arial" w:cs="Arial"/>
                <w:sz w:val="20"/>
                <w:szCs w:val="20"/>
              </w:rPr>
              <w:t>Casual Labour</w:t>
            </w:r>
          </w:p>
        </w:tc>
        <w:tc>
          <w:tcPr>
            <w:tcW w:w="0" w:type="auto"/>
            <w:shd w:val="clear" w:color="auto" w:fill="FFFFFF" w:themeFill="background1"/>
            <w:hideMark/>
          </w:tcPr>
          <w:p w14:paraId="6701E4A7"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4EADD57A"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0.708***</w:t>
            </w:r>
          </w:p>
        </w:tc>
        <w:tc>
          <w:tcPr>
            <w:tcW w:w="0" w:type="auto"/>
            <w:shd w:val="clear" w:color="auto" w:fill="FFFFFF" w:themeFill="background1"/>
            <w:hideMark/>
          </w:tcPr>
          <w:p w14:paraId="7DE377FE"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0.049</w:t>
            </w:r>
          </w:p>
        </w:tc>
        <w:tc>
          <w:tcPr>
            <w:tcW w:w="0" w:type="auto"/>
            <w:shd w:val="clear" w:color="auto" w:fill="FFFFFF" w:themeFill="background1"/>
            <w:hideMark/>
          </w:tcPr>
          <w:p w14:paraId="1A7F40D7"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14.43</w:t>
            </w:r>
          </w:p>
        </w:tc>
        <w:tc>
          <w:tcPr>
            <w:tcW w:w="0" w:type="auto"/>
            <w:shd w:val="clear" w:color="auto" w:fill="FFFFFF" w:themeFill="background1"/>
            <w:hideMark/>
          </w:tcPr>
          <w:p w14:paraId="1EE72B6F"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0" w:type="auto"/>
            <w:shd w:val="clear" w:color="auto" w:fill="FFFFFF" w:themeFill="background1"/>
            <w:hideMark/>
          </w:tcPr>
          <w:p w14:paraId="257A0510" w14:textId="77777777" w:rsidR="004C5569" w:rsidRPr="000A7B2A" w:rsidRDefault="004C5569"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[0.612, 0.804]</w:t>
            </w:r>
          </w:p>
        </w:tc>
      </w:tr>
      <w:tr w:rsidR="004C5569" w:rsidRPr="000A7B2A" w14:paraId="439094E2" w14:textId="77777777" w:rsidTr="004C5569">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6BF3DD1A" w14:textId="77777777" w:rsidR="004C5569" w:rsidRPr="000A7B2A" w:rsidRDefault="004C5569" w:rsidP="00DF130D">
            <w:pPr>
              <w:spacing w:line="276" w:lineRule="auto"/>
              <w:jc w:val="both"/>
              <w:rPr>
                <w:rFonts w:ascii="Arial" w:hAnsi="Arial" w:cs="Arial"/>
                <w:sz w:val="20"/>
                <w:szCs w:val="20"/>
              </w:rPr>
            </w:pPr>
          </w:p>
        </w:tc>
        <w:tc>
          <w:tcPr>
            <w:tcW w:w="0" w:type="auto"/>
            <w:shd w:val="clear" w:color="auto" w:fill="FFFFFF" w:themeFill="background1"/>
            <w:hideMark/>
          </w:tcPr>
          <w:p w14:paraId="0576279C"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20DA3436"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0.701***</w:t>
            </w:r>
          </w:p>
        </w:tc>
        <w:tc>
          <w:tcPr>
            <w:tcW w:w="0" w:type="auto"/>
            <w:shd w:val="clear" w:color="auto" w:fill="FFFFFF" w:themeFill="background1"/>
            <w:hideMark/>
          </w:tcPr>
          <w:p w14:paraId="6E11B95B"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0.041</w:t>
            </w:r>
          </w:p>
        </w:tc>
        <w:tc>
          <w:tcPr>
            <w:tcW w:w="0" w:type="auto"/>
            <w:shd w:val="clear" w:color="auto" w:fill="FFFFFF" w:themeFill="background1"/>
            <w:hideMark/>
          </w:tcPr>
          <w:p w14:paraId="3900CBAC"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17.28</w:t>
            </w:r>
          </w:p>
        </w:tc>
        <w:tc>
          <w:tcPr>
            <w:tcW w:w="0" w:type="auto"/>
            <w:shd w:val="clear" w:color="auto" w:fill="FFFFFF" w:themeFill="background1"/>
            <w:hideMark/>
          </w:tcPr>
          <w:p w14:paraId="6E9269D0"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0" w:type="auto"/>
            <w:shd w:val="clear" w:color="auto" w:fill="FFFFFF" w:themeFill="background1"/>
            <w:hideMark/>
          </w:tcPr>
          <w:p w14:paraId="01F232B9" w14:textId="77777777" w:rsidR="004C5569" w:rsidRPr="000A7B2A" w:rsidRDefault="004C5569"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[0.621, 0.780]</w:t>
            </w:r>
          </w:p>
        </w:tc>
      </w:tr>
    </w:tbl>
    <w:p w14:paraId="1CAC8C5B" w14:textId="77777777" w:rsidR="00BF4C5B" w:rsidRPr="000A7B2A" w:rsidRDefault="00BF4C5B" w:rsidP="00DF130D">
      <w:pPr>
        <w:spacing w:before="100" w:beforeAutospacing="1" w:after="100" w:afterAutospacing="1" w:line="276" w:lineRule="auto"/>
        <w:jc w:val="both"/>
        <w:outlineLvl w:val="2"/>
        <w:rPr>
          <w:rFonts w:ascii="Arial" w:eastAsia="Times New Roman" w:hAnsi="Arial" w:cs="Arial"/>
          <w:i/>
          <w:iCs/>
          <w:sz w:val="20"/>
          <w:szCs w:val="20"/>
          <w:lang w:eastAsia="en-IN"/>
        </w:rPr>
      </w:pPr>
      <w:r w:rsidRPr="000A7B2A">
        <w:rPr>
          <w:rFonts w:ascii="Arial" w:hAnsi="Arial" w:cs="Arial"/>
          <w:sz w:val="20"/>
          <w:szCs w:val="20"/>
        </w:rPr>
        <w:t>Source: MoSPI, PLFS 2023–2024</w:t>
      </w:r>
    </w:p>
    <w:p w14:paraId="229138E8" w14:textId="77777777" w:rsidR="00771CD5" w:rsidRPr="000A7B2A" w:rsidRDefault="00771CD5" w:rsidP="00DF130D">
      <w:pPr>
        <w:pStyle w:val="isselectedend"/>
        <w:spacing w:line="276" w:lineRule="auto"/>
        <w:jc w:val="both"/>
        <w:rPr>
          <w:rFonts w:ascii="Arial" w:hAnsi="Arial" w:cs="Arial"/>
          <w:sz w:val="20"/>
          <w:szCs w:val="20"/>
        </w:rPr>
      </w:pPr>
      <w:r w:rsidRPr="000A7B2A">
        <w:rPr>
          <w:rFonts w:ascii="Arial" w:hAnsi="Arial" w:cs="Arial"/>
          <w:sz w:val="20"/>
          <w:szCs w:val="20"/>
        </w:rPr>
        <w:lastRenderedPageBreak/>
        <w:t>Table 4.6 shows the predicted probabilities of earning above ₹5,000 per month by employment type and gender. The results show substantial differences across employment types. Among self-employed workers, the predicted probability of earning above ₹5,000 is 11.5% for men and 16.3% for women. In contrast, the corresponding probabilities among casual labourers are considerably higher, at 70.8% for men and 70.1% for women.</w:t>
      </w:r>
    </w:p>
    <w:p w14:paraId="3840D873" w14:textId="77777777" w:rsidR="00771CD5" w:rsidRPr="000A7B2A" w:rsidRDefault="00771CD5" w:rsidP="00DF130D">
      <w:pPr>
        <w:pStyle w:val="isselectedend"/>
        <w:spacing w:line="276" w:lineRule="auto"/>
        <w:jc w:val="both"/>
        <w:rPr>
          <w:rFonts w:ascii="Arial" w:hAnsi="Arial" w:cs="Arial"/>
          <w:sz w:val="20"/>
          <w:szCs w:val="20"/>
        </w:rPr>
      </w:pPr>
      <w:r w:rsidRPr="000A7B2A">
        <w:rPr>
          <w:rFonts w:ascii="Arial" w:hAnsi="Arial" w:cs="Arial"/>
          <w:sz w:val="20"/>
          <w:szCs w:val="20"/>
        </w:rPr>
        <w:t>The large difference across employment types indicates that employment type is more prominent than gender in differentiating the probability of earning above ₹5,000. This pattern may reflect differences in the mechanisms through which earnings are generated. Casual labourers generally receive direct monetary payments for their labour, whereas returns from agricultural self-employment may accrue at the household level and may not be separately allocated to individual workers (Ministry of Statistics and Programme Implementation, 2024).</w:t>
      </w:r>
    </w:p>
    <w:p w14:paraId="2ABC8826" w14:textId="77777777" w:rsidR="0084272D" w:rsidRPr="000A7B2A" w:rsidRDefault="00771CD5" w:rsidP="00DF130D">
      <w:pPr>
        <w:pStyle w:val="NormalWeb"/>
        <w:spacing w:line="276" w:lineRule="auto"/>
        <w:jc w:val="both"/>
        <w:rPr>
          <w:rFonts w:ascii="Arial" w:hAnsi="Arial" w:cs="Arial"/>
          <w:sz w:val="20"/>
          <w:szCs w:val="20"/>
        </w:rPr>
      </w:pPr>
      <w:r w:rsidRPr="000A7B2A">
        <w:rPr>
          <w:rFonts w:ascii="Arial" w:hAnsi="Arial" w:cs="Arial"/>
          <w:sz w:val="20"/>
          <w:szCs w:val="20"/>
        </w:rPr>
        <w:t>Within casual employment, the predicted probabilities are very similar for men and women, at 70.8% and 70.1%, respectively. This small gender difference suggests that employment type is more prominent than gender in differentiating the probability of earning above ₹5,000 within the agricultural workforce. However, gender differences in agricultural labour-market outcomes may still exist in other dimensions, including access to employment opportunities, working conditions, and remuneration (Klasen &amp; Pieters, 2015; Jose, 2017).</w:t>
      </w:r>
    </w:p>
    <w:p w14:paraId="1DBFE183" w14:textId="77777777" w:rsidR="00D442E5" w:rsidRPr="000A7B2A" w:rsidRDefault="003C16AC" w:rsidP="00DF130D">
      <w:pPr>
        <w:pStyle w:val="NormalWeb"/>
        <w:spacing w:line="276" w:lineRule="auto"/>
        <w:jc w:val="both"/>
        <w:rPr>
          <w:rFonts w:ascii="Arial" w:hAnsi="Arial" w:cs="Arial"/>
          <w:sz w:val="20"/>
          <w:szCs w:val="20"/>
        </w:rPr>
      </w:pPr>
      <w:r w:rsidRPr="000A7B2A">
        <w:rPr>
          <w:rFonts w:ascii="Arial" w:hAnsi="Arial" w:cs="Arial"/>
          <w:b/>
          <w:bCs/>
          <w:sz w:val="20"/>
          <w:szCs w:val="20"/>
        </w:rPr>
        <w:t xml:space="preserve">Table </w:t>
      </w:r>
      <w:r w:rsidR="00F65942" w:rsidRPr="000A7B2A">
        <w:rPr>
          <w:rFonts w:ascii="Arial" w:hAnsi="Arial" w:cs="Arial"/>
          <w:b/>
          <w:bCs/>
          <w:sz w:val="20"/>
          <w:szCs w:val="20"/>
        </w:rPr>
        <w:t xml:space="preserve">4.7 </w:t>
      </w:r>
      <w:r w:rsidRPr="000A7B2A">
        <w:rPr>
          <w:rFonts w:ascii="Arial" w:hAnsi="Arial" w:cs="Arial"/>
          <w:b/>
          <w:bCs/>
          <w:sz w:val="20"/>
          <w:szCs w:val="20"/>
        </w:rPr>
        <w:t xml:space="preserve">Predicted Probability of Earning Above ₹5,000 by Employment Type, Gender, and Education </w:t>
      </w:r>
      <w:r w:rsidR="001C17D7" w:rsidRPr="000A7B2A">
        <w:rPr>
          <w:rFonts w:ascii="Arial" w:hAnsi="Arial" w:cs="Arial"/>
          <w:b/>
          <w:bCs/>
          <w:sz w:val="20"/>
          <w:szCs w:val="20"/>
        </w:rPr>
        <w:t xml:space="preserve">category </w:t>
      </w:r>
    </w:p>
    <w:tbl>
      <w:tblPr>
        <w:tblStyle w:val="ListTable6Colorful"/>
        <w:tblpPr w:leftFromText="180" w:rightFromText="180" w:vertAnchor="text" w:horzAnchor="margin" w:tblpY="8"/>
        <w:tblW w:w="9634" w:type="dxa"/>
        <w:shd w:val="clear" w:color="auto" w:fill="FFFFFF" w:themeFill="background1"/>
        <w:tblLook w:val="04A0" w:firstRow="1" w:lastRow="0" w:firstColumn="1" w:lastColumn="0" w:noHBand="0" w:noVBand="1"/>
      </w:tblPr>
      <w:tblGrid>
        <w:gridCol w:w="1882"/>
        <w:gridCol w:w="917"/>
        <w:gridCol w:w="1688"/>
        <w:gridCol w:w="950"/>
        <w:gridCol w:w="964"/>
        <w:gridCol w:w="717"/>
        <w:gridCol w:w="717"/>
        <w:gridCol w:w="1799"/>
      </w:tblGrid>
      <w:tr w:rsidR="00D9198D" w:rsidRPr="000A7B2A" w14:paraId="26D86316" w14:textId="77777777" w:rsidTr="008D6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53B31E8" w14:textId="77777777" w:rsidR="008D61B7" w:rsidRPr="000A7B2A" w:rsidRDefault="008D61B7" w:rsidP="00DF130D">
            <w:pPr>
              <w:spacing w:line="276" w:lineRule="auto"/>
              <w:jc w:val="both"/>
              <w:rPr>
                <w:rFonts w:ascii="Arial" w:hAnsi="Arial" w:cs="Arial"/>
                <w:b w:val="0"/>
                <w:bCs w:val="0"/>
                <w:sz w:val="20"/>
                <w:szCs w:val="20"/>
              </w:rPr>
            </w:pPr>
            <w:r w:rsidRPr="000A7B2A">
              <w:rPr>
                <w:rFonts w:ascii="Arial" w:hAnsi="Arial" w:cs="Arial"/>
                <w:sz w:val="20"/>
                <w:szCs w:val="20"/>
              </w:rPr>
              <w:t>Employment Type</w:t>
            </w:r>
          </w:p>
        </w:tc>
        <w:tc>
          <w:tcPr>
            <w:tcW w:w="0" w:type="auto"/>
            <w:shd w:val="clear" w:color="auto" w:fill="FFFFFF" w:themeFill="background1"/>
            <w:hideMark/>
          </w:tcPr>
          <w:p w14:paraId="2AF690E3"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Gender</w:t>
            </w:r>
          </w:p>
        </w:tc>
        <w:tc>
          <w:tcPr>
            <w:tcW w:w="0" w:type="auto"/>
            <w:shd w:val="clear" w:color="auto" w:fill="FFFFFF" w:themeFill="background1"/>
            <w:hideMark/>
          </w:tcPr>
          <w:p w14:paraId="502114C1"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Education Level</w:t>
            </w:r>
          </w:p>
        </w:tc>
        <w:tc>
          <w:tcPr>
            <w:tcW w:w="0" w:type="auto"/>
            <w:shd w:val="clear" w:color="auto" w:fill="FFFFFF" w:themeFill="background1"/>
            <w:hideMark/>
          </w:tcPr>
          <w:p w14:paraId="2026041C"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Margin</w:t>
            </w:r>
          </w:p>
        </w:tc>
        <w:tc>
          <w:tcPr>
            <w:tcW w:w="0" w:type="auto"/>
            <w:shd w:val="clear" w:color="auto" w:fill="FFFFFF" w:themeFill="background1"/>
            <w:hideMark/>
          </w:tcPr>
          <w:p w14:paraId="6D787166"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Std. Err.</w:t>
            </w:r>
          </w:p>
        </w:tc>
        <w:tc>
          <w:tcPr>
            <w:tcW w:w="0" w:type="auto"/>
            <w:shd w:val="clear" w:color="auto" w:fill="FFFFFF" w:themeFill="background1"/>
            <w:hideMark/>
          </w:tcPr>
          <w:p w14:paraId="40A33DFB"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z</w:t>
            </w:r>
          </w:p>
        </w:tc>
        <w:tc>
          <w:tcPr>
            <w:tcW w:w="0" w:type="auto"/>
            <w:shd w:val="clear" w:color="auto" w:fill="FFFFFF" w:themeFill="background1"/>
            <w:hideMark/>
          </w:tcPr>
          <w:p w14:paraId="518D9DA0"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P&gt;|z|</w:t>
            </w:r>
          </w:p>
        </w:tc>
        <w:tc>
          <w:tcPr>
            <w:tcW w:w="1799" w:type="dxa"/>
            <w:shd w:val="clear" w:color="auto" w:fill="FFFFFF" w:themeFill="background1"/>
            <w:hideMark/>
          </w:tcPr>
          <w:p w14:paraId="40E4DBFD" w14:textId="77777777" w:rsidR="008D61B7" w:rsidRPr="000A7B2A" w:rsidRDefault="008D61B7"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95% CI</w:t>
            </w:r>
          </w:p>
        </w:tc>
      </w:tr>
      <w:tr w:rsidR="00D9198D" w:rsidRPr="000A7B2A" w14:paraId="0F1961E2"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65E053A" w14:textId="77777777" w:rsidR="008D61B7" w:rsidRPr="000A7B2A" w:rsidRDefault="008D61B7" w:rsidP="00DF130D">
            <w:pPr>
              <w:spacing w:line="276" w:lineRule="auto"/>
              <w:jc w:val="both"/>
              <w:rPr>
                <w:rFonts w:ascii="Arial" w:hAnsi="Arial" w:cs="Arial"/>
                <w:sz w:val="20"/>
                <w:szCs w:val="20"/>
              </w:rPr>
            </w:pPr>
            <w:r w:rsidRPr="000A7B2A">
              <w:rPr>
                <w:rFonts w:ascii="Arial" w:hAnsi="Arial" w:cs="Arial"/>
                <w:sz w:val="20"/>
                <w:szCs w:val="20"/>
              </w:rPr>
              <w:t>Self-Employed</w:t>
            </w:r>
          </w:p>
        </w:tc>
        <w:tc>
          <w:tcPr>
            <w:tcW w:w="0" w:type="auto"/>
            <w:shd w:val="clear" w:color="auto" w:fill="FFFFFF" w:themeFill="background1"/>
            <w:hideMark/>
          </w:tcPr>
          <w:p w14:paraId="6FFB71C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1C49258E"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Not Literate</w:t>
            </w:r>
          </w:p>
        </w:tc>
        <w:tc>
          <w:tcPr>
            <w:tcW w:w="0" w:type="auto"/>
            <w:shd w:val="clear" w:color="auto" w:fill="FFFFFF" w:themeFill="background1"/>
            <w:hideMark/>
          </w:tcPr>
          <w:p w14:paraId="3D32840A"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0.127***</w:t>
            </w:r>
          </w:p>
        </w:tc>
        <w:tc>
          <w:tcPr>
            <w:tcW w:w="0" w:type="auto"/>
            <w:shd w:val="clear" w:color="auto" w:fill="FFFFFF" w:themeFill="background1"/>
            <w:hideMark/>
          </w:tcPr>
          <w:p w14:paraId="56004A1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0.027</w:t>
            </w:r>
          </w:p>
        </w:tc>
        <w:tc>
          <w:tcPr>
            <w:tcW w:w="0" w:type="auto"/>
            <w:shd w:val="clear" w:color="auto" w:fill="FFFFFF" w:themeFill="background1"/>
            <w:hideMark/>
          </w:tcPr>
          <w:p w14:paraId="64279272"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4.66</w:t>
            </w:r>
          </w:p>
        </w:tc>
        <w:tc>
          <w:tcPr>
            <w:tcW w:w="0" w:type="auto"/>
            <w:shd w:val="clear" w:color="auto" w:fill="FFFFFF" w:themeFill="background1"/>
            <w:hideMark/>
          </w:tcPr>
          <w:p w14:paraId="5D2A18CC"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33062DD7"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[0.074, 0.180]</w:t>
            </w:r>
          </w:p>
        </w:tc>
      </w:tr>
      <w:tr w:rsidR="00D9198D" w:rsidRPr="000A7B2A" w14:paraId="4BD819D6"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BCCC73C"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5A04221C"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6B9D79CA"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Primary</w:t>
            </w:r>
          </w:p>
        </w:tc>
        <w:tc>
          <w:tcPr>
            <w:tcW w:w="0" w:type="auto"/>
            <w:shd w:val="clear" w:color="auto" w:fill="FFFFFF" w:themeFill="background1"/>
            <w:hideMark/>
          </w:tcPr>
          <w:p w14:paraId="1356309F"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0.142***</w:t>
            </w:r>
          </w:p>
        </w:tc>
        <w:tc>
          <w:tcPr>
            <w:tcW w:w="0" w:type="auto"/>
            <w:shd w:val="clear" w:color="auto" w:fill="FFFFFF" w:themeFill="background1"/>
            <w:hideMark/>
          </w:tcPr>
          <w:p w14:paraId="6C940F83"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0.025</w:t>
            </w:r>
          </w:p>
        </w:tc>
        <w:tc>
          <w:tcPr>
            <w:tcW w:w="0" w:type="auto"/>
            <w:shd w:val="clear" w:color="auto" w:fill="FFFFFF" w:themeFill="background1"/>
            <w:hideMark/>
          </w:tcPr>
          <w:p w14:paraId="072406EF"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5.58</w:t>
            </w:r>
          </w:p>
        </w:tc>
        <w:tc>
          <w:tcPr>
            <w:tcW w:w="0" w:type="auto"/>
            <w:shd w:val="clear" w:color="auto" w:fill="FFFFFF" w:themeFill="background1"/>
            <w:hideMark/>
          </w:tcPr>
          <w:p w14:paraId="0C2AB97F"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5E1AF93A"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[0.092, 0.192]</w:t>
            </w:r>
          </w:p>
        </w:tc>
      </w:tr>
      <w:tr w:rsidR="00D9198D" w:rsidRPr="000A7B2A" w14:paraId="3C5DFE03"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C63F292"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615D9DFC"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5F82A94E"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Secondary</w:t>
            </w:r>
          </w:p>
        </w:tc>
        <w:tc>
          <w:tcPr>
            <w:tcW w:w="0" w:type="auto"/>
            <w:shd w:val="clear" w:color="auto" w:fill="FFFFFF" w:themeFill="background1"/>
            <w:hideMark/>
          </w:tcPr>
          <w:p w14:paraId="32A61098"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0.099***</w:t>
            </w:r>
          </w:p>
        </w:tc>
        <w:tc>
          <w:tcPr>
            <w:tcW w:w="0" w:type="auto"/>
            <w:shd w:val="clear" w:color="auto" w:fill="FFFFFF" w:themeFill="background1"/>
            <w:hideMark/>
          </w:tcPr>
          <w:p w14:paraId="27D76958"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0.024</w:t>
            </w:r>
          </w:p>
        </w:tc>
        <w:tc>
          <w:tcPr>
            <w:tcW w:w="0" w:type="auto"/>
            <w:shd w:val="clear" w:color="auto" w:fill="FFFFFF" w:themeFill="background1"/>
            <w:hideMark/>
          </w:tcPr>
          <w:p w14:paraId="0DF10B72"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4.20</w:t>
            </w:r>
          </w:p>
        </w:tc>
        <w:tc>
          <w:tcPr>
            <w:tcW w:w="0" w:type="auto"/>
            <w:shd w:val="clear" w:color="auto" w:fill="FFFFFF" w:themeFill="background1"/>
            <w:hideMark/>
          </w:tcPr>
          <w:p w14:paraId="7350C9E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7D5EE401"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[0.053, 0.146]</w:t>
            </w:r>
          </w:p>
        </w:tc>
      </w:tr>
      <w:tr w:rsidR="00D9198D" w:rsidRPr="000A7B2A" w14:paraId="789E6924"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CE69878"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35743C90"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47443BA6"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Higher</w:t>
            </w:r>
          </w:p>
        </w:tc>
        <w:tc>
          <w:tcPr>
            <w:tcW w:w="0" w:type="auto"/>
            <w:shd w:val="clear" w:color="auto" w:fill="FFFFFF" w:themeFill="background1"/>
            <w:hideMark/>
          </w:tcPr>
          <w:p w14:paraId="1FB13941"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0.020**</w:t>
            </w:r>
          </w:p>
        </w:tc>
        <w:tc>
          <w:tcPr>
            <w:tcW w:w="0" w:type="auto"/>
            <w:shd w:val="clear" w:color="auto" w:fill="FFFFFF" w:themeFill="background1"/>
            <w:hideMark/>
          </w:tcPr>
          <w:p w14:paraId="6CEE464E"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0.009</w:t>
            </w:r>
          </w:p>
        </w:tc>
        <w:tc>
          <w:tcPr>
            <w:tcW w:w="0" w:type="auto"/>
            <w:shd w:val="clear" w:color="auto" w:fill="FFFFFF" w:themeFill="background1"/>
            <w:hideMark/>
          </w:tcPr>
          <w:p w14:paraId="0C0C1A6C"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2.26</w:t>
            </w:r>
          </w:p>
        </w:tc>
        <w:tc>
          <w:tcPr>
            <w:tcW w:w="0" w:type="auto"/>
            <w:shd w:val="clear" w:color="auto" w:fill="FFFFFF" w:themeFill="background1"/>
            <w:hideMark/>
          </w:tcPr>
          <w:p w14:paraId="475E4CEB"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0.024</w:t>
            </w:r>
          </w:p>
        </w:tc>
        <w:tc>
          <w:tcPr>
            <w:tcW w:w="1799" w:type="dxa"/>
            <w:shd w:val="clear" w:color="auto" w:fill="FFFFFF" w:themeFill="background1"/>
            <w:hideMark/>
          </w:tcPr>
          <w:p w14:paraId="07B9A93E"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[0.003, 0.038]</w:t>
            </w:r>
          </w:p>
        </w:tc>
      </w:tr>
      <w:tr w:rsidR="00D9198D" w:rsidRPr="000A7B2A" w14:paraId="16B901D2"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0347E11"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28D532E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160EDB4E"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Not Literate</w:t>
            </w:r>
          </w:p>
        </w:tc>
        <w:tc>
          <w:tcPr>
            <w:tcW w:w="0" w:type="auto"/>
            <w:shd w:val="clear" w:color="auto" w:fill="FFFFFF" w:themeFill="background1"/>
            <w:hideMark/>
          </w:tcPr>
          <w:p w14:paraId="52FFFDD3"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0.179***</w:t>
            </w:r>
          </w:p>
        </w:tc>
        <w:tc>
          <w:tcPr>
            <w:tcW w:w="0" w:type="auto"/>
            <w:shd w:val="clear" w:color="auto" w:fill="FFFFFF" w:themeFill="background1"/>
            <w:hideMark/>
          </w:tcPr>
          <w:p w14:paraId="41B9743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0.029</w:t>
            </w:r>
          </w:p>
        </w:tc>
        <w:tc>
          <w:tcPr>
            <w:tcW w:w="0" w:type="auto"/>
            <w:shd w:val="clear" w:color="auto" w:fill="FFFFFF" w:themeFill="background1"/>
            <w:hideMark/>
          </w:tcPr>
          <w:p w14:paraId="02AC901E"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6.22</w:t>
            </w:r>
          </w:p>
        </w:tc>
        <w:tc>
          <w:tcPr>
            <w:tcW w:w="0" w:type="auto"/>
            <w:shd w:val="clear" w:color="auto" w:fill="FFFFFF" w:themeFill="background1"/>
            <w:hideMark/>
          </w:tcPr>
          <w:p w14:paraId="31218778"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6E56E5C1"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[0.122, 0.235]</w:t>
            </w:r>
          </w:p>
        </w:tc>
      </w:tr>
      <w:tr w:rsidR="00D9198D" w:rsidRPr="000A7B2A" w14:paraId="100A9AC1"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2878D8F"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354E9099"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220E1BC5"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Primary</w:t>
            </w:r>
          </w:p>
        </w:tc>
        <w:tc>
          <w:tcPr>
            <w:tcW w:w="0" w:type="auto"/>
            <w:shd w:val="clear" w:color="auto" w:fill="FFFFFF" w:themeFill="background1"/>
            <w:hideMark/>
          </w:tcPr>
          <w:p w14:paraId="124C1469"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0.201***</w:t>
            </w:r>
          </w:p>
        </w:tc>
        <w:tc>
          <w:tcPr>
            <w:tcW w:w="0" w:type="auto"/>
            <w:shd w:val="clear" w:color="auto" w:fill="FFFFFF" w:themeFill="background1"/>
            <w:hideMark/>
          </w:tcPr>
          <w:p w14:paraId="0BB7AA55"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0.038</w:t>
            </w:r>
          </w:p>
        </w:tc>
        <w:tc>
          <w:tcPr>
            <w:tcW w:w="0" w:type="auto"/>
            <w:shd w:val="clear" w:color="auto" w:fill="FFFFFF" w:themeFill="background1"/>
            <w:hideMark/>
          </w:tcPr>
          <w:p w14:paraId="200E3C79"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5.29</w:t>
            </w:r>
          </w:p>
        </w:tc>
        <w:tc>
          <w:tcPr>
            <w:tcW w:w="0" w:type="auto"/>
            <w:shd w:val="clear" w:color="auto" w:fill="FFFFFF" w:themeFill="background1"/>
            <w:hideMark/>
          </w:tcPr>
          <w:p w14:paraId="5D32AD45"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7C2E1C8F"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[0.127, 0.276]</w:t>
            </w:r>
          </w:p>
        </w:tc>
      </w:tr>
      <w:tr w:rsidR="00D9198D" w:rsidRPr="000A7B2A" w14:paraId="32E3B17D"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1DF9AE2"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7A458F7D"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599EA1E0"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Secondary</w:t>
            </w:r>
          </w:p>
        </w:tc>
        <w:tc>
          <w:tcPr>
            <w:tcW w:w="0" w:type="auto"/>
            <w:shd w:val="clear" w:color="auto" w:fill="FFFFFF" w:themeFill="background1"/>
            <w:hideMark/>
          </w:tcPr>
          <w:p w14:paraId="35B4FBB2"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0.139***</w:t>
            </w:r>
          </w:p>
        </w:tc>
        <w:tc>
          <w:tcPr>
            <w:tcW w:w="0" w:type="auto"/>
            <w:shd w:val="clear" w:color="auto" w:fill="FFFFFF" w:themeFill="background1"/>
            <w:hideMark/>
          </w:tcPr>
          <w:p w14:paraId="7B28B606"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0.035</w:t>
            </w:r>
          </w:p>
        </w:tc>
        <w:tc>
          <w:tcPr>
            <w:tcW w:w="0" w:type="auto"/>
            <w:shd w:val="clear" w:color="auto" w:fill="FFFFFF" w:themeFill="background1"/>
            <w:hideMark/>
          </w:tcPr>
          <w:p w14:paraId="63DC06A1"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3.94</w:t>
            </w:r>
          </w:p>
        </w:tc>
        <w:tc>
          <w:tcPr>
            <w:tcW w:w="0" w:type="auto"/>
            <w:shd w:val="clear" w:color="auto" w:fill="FFFFFF" w:themeFill="background1"/>
            <w:hideMark/>
          </w:tcPr>
          <w:p w14:paraId="0AF7317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4831A06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[0.070, 0.208]</w:t>
            </w:r>
          </w:p>
        </w:tc>
      </w:tr>
      <w:tr w:rsidR="00D9198D" w:rsidRPr="000A7B2A" w14:paraId="3EABE433"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41CDDFA"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427CAA4B"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439DDD5B"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Higher</w:t>
            </w:r>
          </w:p>
        </w:tc>
        <w:tc>
          <w:tcPr>
            <w:tcW w:w="0" w:type="auto"/>
            <w:shd w:val="clear" w:color="auto" w:fill="FFFFFF" w:themeFill="background1"/>
            <w:hideMark/>
          </w:tcPr>
          <w:p w14:paraId="1A41CB4C"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0.031*</w:t>
            </w:r>
          </w:p>
        </w:tc>
        <w:tc>
          <w:tcPr>
            <w:tcW w:w="0" w:type="auto"/>
            <w:shd w:val="clear" w:color="auto" w:fill="FFFFFF" w:themeFill="background1"/>
            <w:hideMark/>
          </w:tcPr>
          <w:p w14:paraId="6920D0EA"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0.015</w:t>
            </w:r>
          </w:p>
        </w:tc>
        <w:tc>
          <w:tcPr>
            <w:tcW w:w="0" w:type="auto"/>
            <w:shd w:val="clear" w:color="auto" w:fill="FFFFFF" w:themeFill="background1"/>
            <w:hideMark/>
          </w:tcPr>
          <w:p w14:paraId="2AFB8497"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2.11</w:t>
            </w:r>
          </w:p>
        </w:tc>
        <w:tc>
          <w:tcPr>
            <w:tcW w:w="0" w:type="auto"/>
            <w:shd w:val="clear" w:color="auto" w:fill="FFFFFF" w:themeFill="background1"/>
            <w:hideMark/>
          </w:tcPr>
          <w:p w14:paraId="0E1A57B2"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0.035</w:t>
            </w:r>
          </w:p>
        </w:tc>
        <w:tc>
          <w:tcPr>
            <w:tcW w:w="1799" w:type="dxa"/>
            <w:shd w:val="clear" w:color="auto" w:fill="FFFFFF" w:themeFill="background1"/>
            <w:hideMark/>
          </w:tcPr>
          <w:p w14:paraId="23A2FC0A"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[0.002, 0.061]</w:t>
            </w:r>
          </w:p>
        </w:tc>
      </w:tr>
      <w:tr w:rsidR="00D9198D" w:rsidRPr="000A7B2A" w14:paraId="6DA6DF5E"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35E46D3" w14:textId="77777777" w:rsidR="008D61B7" w:rsidRPr="000A7B2A" w:rsidRDefault="008D61B7" w:rsidP="00DF130D">
            <w:pPr>
              <w:spacing w:line="276" w:lineRule="auto"/>
              <w:jc w:val="both"/>
              <w:rPr>
                <w:rFonts w:ascii="Arial" w:hAnsi="Arial" w:cs="Arial"/>
                <w:sz w:val="20"/>
                <w:szCs w:val="20"/>
              </w:rPr>
            </w:pPr>
            <w:r w:rsidRPr="000A7B2A">
              <w:rPr>
                <w:rFonts w:ascii="Arial" w:hAnsi="Arial" w:cs="Arial"/>
                <w:sz w:val="20"/>
                <w:szCs w:val="20"/>
              </w:rPr>
              <w:t>Casual Labour</w:t>
            </w:r>
          </w:p>
        </w:tc>
        <w:tc>
          <w:tcPr>
            <w:tcW w:w="0" w:type="auto"/>
            <w:shd w:val="clear" w:color="auto" w:fill="FFFFFF" w:themeFill="background1"/>
            <w:hideMark/>
          </w:tcPr>
          <w:p w14:paraId="32D005BD"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7178EB84"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Not Literate</w:t>
            </w:r>
          </w:p>
        </w:tc>
        <w:tc>
          <w:tcPr>
            <w:tcW w:w="0" w:type="auto"/>
            <w:shd w:val="clear" w:color="auto" w:fill="FFFFFF" w:themeFill="background1"/>
            <w:hideMark/>
          </w:tcPr>
          <w:p w14:paraId="46F00836"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0.729***</w:t>
            </w:r>
          </w:p>
        </w:tc>
        <w:tc>
          <w:tcPr>
            <w:tcW w:w="0" w:type="auto"/>
            <w:shd w:val="clear" w:color="auto" w:fill="FFFFFF" w:themeFill="background1"/>
            <w:hideMark/>
          </w:tcPr>
          <w:p w14:paraId="0177D0C5"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0.053</w:t>
            </w:r>
          </w:p>
        </w:tc>
        <w:tc>
          <w:tcPr>
            <w:tcW w:w="0" w:type="auto"/>
            <w:shd w:val="clear" w:color="auto" w:fill="FFFFFF" w:themeFill="background1"/>
            <w:hideMark/>
          </w:tcPr>
          <w:p w14:paraId="6C90BE2D"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13.75</w:t>
            </w:r>
          </w:p>
        </w:tc>
        <w:tc>
          <w:tcPr>
            <w:tcW w:w="0" w:type="auto"/>
            <w:shd w:val="clear" w:color="auto" w:fill="FFFFFF" w:themeFill="background1"/>
            <w:hideMark/>
          </w:tcPr>
          <w:p w14:paraId="07DCAF6D"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384296FB"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[0.625, 0.833]</w:t>
            </w:r>
          </w:p>
        </w:tc>
      </w:tr>
      <w:tr w:rsidR="00D9198D" w:rsidRPr="000A7B2A" w14:paraId="55BC87B5"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5D3FE3A"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20CCD243"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6CAB09FC"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Primary</w:t>
            </w:r>
          </w:p>
        </w:tc>
        <w:tc>
          <w:tcPr>
            <w:tcW w:w="0" w:type="auto"/>
            <w:shd w:val="clear" w:color="auto" w:fill="FFFFFF" w:themeFill="background1"/>
            <w:hideMark/>
          </w:tcPr>
          <w:p w14:paraId="78AB0AD8"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0.819***</w:t>
            </w:r>
          </w:p>
        </w:tc>
        <w:tc>
          <w:tcPr>
            <w:tcW w:w="0" w:type="auto"/>
            <w:shd w:val="clear" w:color="auto" w:fill="FFFFFF" w:themeFill="background1"/>
            <w:hideMark/>
          </w:tcPr>
          <w:p w14:paraId="54CBFBE0"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0.041</w:t>
            </w:r>
          </w:p>
        </w:tc>
        <w:tc>
          <w:tcPr>
            <w:tcW w:w="0" w:type="auto"/>
            <w:shd w:val="clear" w:color="auto" w:fill="FFFFFF" w:themeFill="background1"/>
            <w:hideMark/>
          </w:tcPr>
          <w:p w14:paraId="308AA082"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19.83</w:t>
            </w:r>
          </w:p>
        </w:tc>
        <w:tc>
          <w:tcPr>
            <w:tcW w:w="0" w:type="auto"/>
            <w:shd w:val="clear" w:color="auto" w:fill="FFFFFF" w:themeFill="background1"/>
            <w:hideMark/>
          </w:tcPr>
          <w:p w14:paraId="513C76CA"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17A5FBE0"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[0.738, 0.899]</w:t>
            </w:r>
          </w:p>
        </w:tc>
      </w:tr>
      <w:tr w:rsidR="00D9198D" w:rsidRPr="000A7B2A" w14:paraId="7653DFF9"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CAF0199"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20DD1211"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5C0AD497"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Secondary</w:t>
            </w:r>
          </w:p>
        </w:tc>
        <w:tc>
          <w:tcPr>
            <w:tcW w:w="0" w:type="auto"/>
            <w:shd w:val="clear" w:color="auto" w:fill="FFFFFF" w:themeFill="background1"/>
            <w:hideMark/>
          </w:tcPr>
          <w:p w14:paraId="268A8A76"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0.582***</w:t>
            </w:r>
          </w:p>
        </w:tc>
        <w:tc>
          <w:tcPr>
            <w:tcW w:w="0" w:type="auto"/>
            <w:shd w:val="clear" w:color="auto" w:fill="FFFFFF" w:themeFill="background1"/>
            <w:hideMark/>
          </w:tcPr>
          <w:p w14:paraId="2BEE900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0.105</w:t>
            </w:r>
          </w:p>
        </w:tc>
        <w:tc>
          <w:tcPr>
            <w:tcW w:w="0" w:type="auto"/>
            <w:shd w:val="clear" w:color="auto" w:fill="FFFFFF" w:themeFill="background1"/>
            <w:hideMark/>
          </w:tcPr>
          <w:p w14:paraId="7A186176"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5.51</w:t>
            </w:r>
          </w:p>
        </w:tc>
        <w:tc>
          <w:tcPr>
            <w:tcW w:w="0" w:type="auto"/>
            <w:shd w:val="clear" w:color="auto" w:fill="FFFFFF" w:themeFill="background1"/>
            <w:hideMark/>
          </w:tcPr>
          <w:p w14:paraId="145FF4EA"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40437107"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[0.375, 0.789]</w:t>
            </w:r>
          </w:p>
        </w:tc>
      </w:tr>
      <w:tr w:rsidR="00D9198D" w:rsidRPr="000A7B2A" w14:paraId="2209E910"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AC449C6"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274EDD37"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178947DF"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Higher</w:t>
            </w:r>
          </w:p>
        </w:tc>
        <w:tc>
          <w:tcPr>
            <w:tcW w:w="0" w:type="auto"/>
            <w:shd w:val="clear" w:color="auto" w:fill="FFFFFF" w:themeFill="background1"/>
            <w:hideMark/>
          </w:tcPr>
          <w:p w14:paraId="0896F508"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0.490***</w:t>
            </w:r>
          </w:p>
        </w:tc>
        <w:tc>
          <w:tcPr>
            <w:tcW w:w="0" w:type="auto"/>
            <w:shd w:val="clear" w:color="auto" w:fill="FFFFFF" w:themeFill="background1"/>
            <w:hideMark/>
          </w:tcPr>
          <w:p w14:paraId="2242DE2B"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0.131</w:t>
            </w:r>
          </w:p>
        </w:tc>
        <w:tc>
          <w:tcPr>
            <w:tcW w:w="0" w:type="auto"/>
            <w:shd w:val="clear" w:color="auto" w:fill="FFFFFF" w:themeFill="background1"/>
            <w:hideMark/>
          </w:tcPr>
          <w:p w14:paraId="7A51DC2D"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3.75</w:t>
            </w:r>
          </w:p>
        </w:tc>
        <w:tc>
          <w:tcPr>
            <w:tcW w:w="0" w:type="auto"/>
            <w:shd w:val="clear" w:color="auto" w:fill="FFFFFF" w:themeFill="background1"/>
            <w:hideMark/>
          </w:tcPr>
          <w:p w14:paraId="3178B245"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7E5BC7B8"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[0.234, 0.746]</w:t>
            </w:r>
          </w:p>
        </w:tc>
      </w:tr>
      <w:tr w:rsidR="00D9198D" w:rsidRPr="000A7B2A" w14:paraId="26649654"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13ED12B"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11EB4DF8"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0B1AD393"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Not Literate</w:t>
            </w:r>
          </w:p>
        </w:tc>
        <w:tc>
          <w:tcPr>
            <w:tcW w:w="0" w:type="auto"/>
            <w:shd w:val="clear" w:color="auto" w:fill="FFFFFF" w:themeFill="background1"/>
            <w:hideMark/>
          </w:tcPr>
          <w:p w14:paraId="1F3375E3"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0.716***</w:t>
            </w:r>
          </w:p>
        </w:tc>
        <w:tc>
          <w:tcPr>
            <w:tcW w:w="0" w:type="auto"/>
            <w:shd w:val="clear" w:color="auto" w:fill="FFFFFF" w:themeFill="background1"/>
            <w:hideMark/>
          </w:tcPr>
          <w:p w14:paraId="143E43E2"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0.041</w:t>
            </w:r>
          </w:p>
        </w:tc>
        <w:tc>
          <w:tcPr>
            <w:tcW w:w="0" w:type="auto"/>
            <w:shd w:val="clear" w:color="auto" w:fill="FFFFFF" w:themeFill="background1"/>
            <w:hideMark/>
          </w:tcPr>
          <w:p w14:paraId="33BEF458"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17.47</w:t>
            </w:r>
          </w:p>
        </w:tc>
        <w:tc>
          <w:tcPr>
            <w:tcW w:w="0" w:type="auto"/>
            <w:shd w:val="clear" w:color="auto" w:fill="FFFFFF" w:themeFill="background1"/>
            <w:hideMark/>
          </w:tcPr>
          <w:p w14:paraId="3FB09322"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74095DE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[0.635, 0.796]</w:t>
            </w:r>
          </w:p>
        </w:tc>
      </w:tr>
      <w:tr w:rsidR="00D9198D" w:rsidRPr="000A7B2A" w14:paraId="0E3D0FFE"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BE7D088"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0737DE35"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055440D8"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Primary</w:t>
            </w:r>
          </w:p>
        </w:tc>
        <w:tc>
          <w:tcPr>
            <w:tcW w:w="0" w:type="auto"/>
            <w:shd w:val="clear" w:color="auto" w:fill="FFFFFF" w:themeFill="background1"/>
            <w:hideMark/>
          </w:tcPr>
          <w:p w14:paraId="0C484AAE"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0.824***</w:t>
            </w:r>
          </w:p>
        </w:tc>
        <w:tc>
          <w:tcPr>
            <w:tcW w:w="0" w:type="auto"/>
            <w:shd w:val="clear" w:color="auto" w:fill="FFFFFF" w:themeFill="background1"/>
            <w:hideMark/>
          </w:tcPr>
          <w:p w14:paraId="4C65AF21"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0.043</w:t>
            </w:r>
          </w:p>
        </w:tc>
        <w:tc>
          <w:tcPr>
            <w:tcW w:w="0" w:type="auto"/>
            <w:shd w:val="clear" w:color="auto" w:fill="FFFFFF" w:themeFill="background1"/>
            <w:hideMark/>
          </w:tcPr>
          <w:p w14:paraId="73FC6E7C"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19.34</w:t>
            </w:r>
          </w:p>
        </w:tc>
        <w:tc>
          <w:tcPr>
            <w:tcW w:w="0" w:type="auto"/>
            <w:shd w:val="clear" w:color="auto" w:fill="FFFFFF" w:themeFill="background1"/>
            <w:hideMark/>
          </w:tcPr>
          <w:p w14:paraId="362781A9"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24A5F88D"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[0.740, 0.907]</w:t>
            </w:r>
          </w:p>
        </w:tc>
      </w:tr>
      <w:tr w:rsidR="00D9198D" w:rsidRPr="000A7B2A" w14:paraId="1D24A6FB" w14:textId="77777777" w:rsidTr="008D6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79B43C9"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7A845EEA"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433A4299"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Secondary</w:t>
            </w:r>
          </w:p>
        </w:tc>
        <w:tc>
          <w:tcPr>
            <w:tcW w:w="0" w:type="auto"/>
            <w:shd w:val="clear" w:color="auto" w:fill="FFFFFF" w:themeFill="background1"/>
            <w:hideMark/>
          </w:tcPr>
          <w:p w14:paraId="2D19D0B5"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0.551***</w:t>
            </w:r>
          </w:p>
        </w:tc>
        <w:tc>
          <w:tcPr>
            <w:tcW w:w="0" w:type="auto"/>
            <w:shd w:val="clear" w:color="auto" w:fill="FFFFFF" w:themeFill="background1"/>
            <w:hideMark/>
          </w:tcPr>
          <w:p w14:paraId="52688386"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0.104</w:t>
            </w:r>
          </w:p>
        </w:tc>
        <w:tc>
          <w:tcPr>
            <w:tcW w:w="0" w:type="auto"/>
            <w:shd w:val="clear" w:color="auto" w:fill="FFFFFF" w:themeFill="background1"/>
            <w:hideMark/>
          </w:tcPr>
          <w:p w14:paraId="0E8A885F"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5.28</w:t>
            </w:r>
          </w:p>
        </w:tc>
        <w:tc>
          <w:tcPr>
            <w:tcW w:w="0" w:type="auto"/>
            <w:shd w:val="clear" w:color="auto" w:fill="FFFFFF" w:themeFill="background1"/>
            <w:hideMark/>
          </w:tcPr>
          <w:p w14:paraId="739E4C12"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1AD94B26" w14:textId="77777777" w:rsidR="008D61B7" w:rsidRPr="000A7B2A" w:rsidRDefault="008D61B7"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[0.347, 0.756]</w:t>
            </w:r>
          </w:p>
        </w:tc>
      </w:tr>
      <w:tr w:rsidR="00D9198D" w:rsidRPr="000A7B2A" w14:paraId="028E0CF3" w14:textId="77777777" w:rsidTr="008D61B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226AB2D" w14:textId="77777777" w:rsidR="008D61B7" w:rsidRPr="000A7B2A" w:rsidRDefault="008D61B7" w:rsidP="00DF130D">
            <w:pPr>
              <w:spacing w:line="276" w:lineRule="auto"/>
              <w:jc w:val="both"/>
              <w:rPr>
                <w:rFonts w:ascii="Arial" w:hAnsi="Arial" w:cs="Arial"/>
                <w:sz w:val="20"/>
                <w:szCs w:val="20"/>
              </w:rPr>
            </w:pPr>
          </w:p>
        </w:tc>
        <w:tc>
          <w:tcPr>
            <w:tcW w:w="0" w:type="auto"/>
            <w:shd w:val="clear" w:color="auto" w:fill="FFFFFF" w:themeFill="background1"/>
            <w:hideMark/>
          </w:tcPr>
          <w:p w14:paraId="40819578"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464FF84E"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Higher</w:t>
            </w:r>
          </w:p>
        </w:tc>
        <w:tc>
          <w:tcPr>
            <w:tcW w:w="0" w:type="auto"/>
            <w:shd w:val="clear" w:color="auto" w:fill="FFFFFF" w:themeFill="background1"/>
            <w:hideMark/>
          </w:tcPr>
          <w:p w14:paraId="04F5AEC4"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0.559***</w:t>
            </w:r>
          </w:p>
        </w:tc>
        <w:tc>
          <w:tcPr>
            <w:tcW w:w="0" w:type="auto"/>
            <w:shd w:val="clear" w:color="auto" w:fill="FFFFFF" w:themeFill="background1"/>
            <w:hideMark/>
          </w:tcPr>
          <w:p w14:paraId="603E544B"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0.139</w:t>
            </w:r>
          </w:p>
        </w:tc>
        <w:tc>
          <w:tcPr>
            <w:tcW w:w="0" w:type="auto"/>
            <w:shd w:val="clear" w:color="auto" w:fill="FFFFFF" w:themeFill="background1"/>
            <w:hideMark/>
          </w:tcPr>
          <w:p w14:paraId="523498D6"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4.02</w:t>
            </w:r>
          </w:p>
        </w:tc>
        <w:tc>
          <w:tcPr>
            <w:tcW w:w="0" w:type="auto"/>
            <w:shd w:val="clear" w:color="auto" w:fill="FFFFFF" w:themeFill="background1"/>
            <w:hideMark/>
          </w:tcPr>
          <w:p w14:paraId="46D8308B"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1799" w:type="dxa"/>
            <w:shd w:val="clear" w:color="auto" w:fill="FFFFFF" w:themeFill="background1"/>
            <w:hideMark/>
          </w:tcPr>
          <w:p w14:paraId="6ECB266D" w14:textId="77777777" w:rsidR="008D61B7" w:rsidRPr="000A7B2A" w:rsidRDefault="008D61B7"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[0.287, 0.832]</w:t>
            </w:r>
          </w:p>
        </w:tc>
      </w:tr>
    </w:tbl>
    <w:p w14:paraId="1E9388BE" w14:textId="77777777" w:rsidR="008C30CF" w:rsidRPr="000A7B2A" w:rsidRDefault="00BF4C5B" w:rsidP="00DF130D">
      <w:pPr>
        <w:spacing w:before="100" w:beforeAutospacing="1" w:after="100" w:afterAutospacing="1" w:line="276" w:lineRule="auto"/>
        <w:jc w:val="both"/>
        <w:outlineLvl w:val="2"/>
        <w:rPr>
          <w:rFonts w:ascii="Arial" w:eastAsia="Times New Roman" w:hAnsi="Arial" w:cs="Arial"/>
          <w:i/>
          <w:iCs/>
          <w:sz w:val="20"/>
          <w:szCs w:val="20"/>
          <w:lang w:eastAsia="en-IN"/>
        </w:rPr>
      </w:pPr>
      <w:r w:rsidRPr="000A7B2A">
        <w:rPr>
          <w:rFonts w:ascii="Arial" w:hAnsi="Arial" w:cs="Arial"/>
          <w:sz w:val="20"/>
          <w:szCs w:val="20"/>
        </w:rPr>
        <w:t>Source: MoSPI, PLFS 2023–</w:t>
      </w:r>
      <w:r w:rsidR="00D9198D" w:rsidRPr="000A7B2A">
        <w:rPr>
          <w:rFonts w:ascii="Arial" w:hAnsi="Arial" w:cs="Arial"/>
          <w:sz w:val="20"/>
          <w:szCs w:val="20"/>
        </w:rPr>
        <w:t>2024,</w:t>
      </w:r>
      <w:r w:rsidR="00D9198D" w:rsidRPr="000A7B2A">
        <w:rPr>
          <w:rFonts w:ascii="Arial" w:eastAsia="Times New Roman" w:hAnsi="Arial" w:cs="Arial"/>
          <w:b/>
          <w:bCs/>
          <w:i/>
          <w:iCs/>
          <w:sz w:val="20"/>
          <w:szCs w:val="20"/>
          <w:lang w:eastAsia="en-IN"/>
        </w:rPr>
        <w:t xml:space="preserve"> Notes</w:t>
      </w:r>
      <w:r w:rsidR="006F288F" w:rsidRPr="000A7B2A">
        <w:rPr>
          <w:rFonts w:ascii="Arial" w:eastAsia="Times New Roman" w:hAnsi="Arial" w:cs="Arial"/>
          <w:b/>
          <w:bCs/>
          <w:i/>
          <w:iCs/>
          <w:sz w:val="20"/>
          <w:szCs w:val="20"/>
          <w:lang w:eastAsia="en-IN"/>
        </w:rPr>
        <w:t>:</w:t>
      </w:r>
      <w:r w:rsidR="006F288F" w:rsidRPr="000A7B2A">
        <w:rPr>
          <w:rFonts w:ascii="Arial" w:eastAsia="Times New Roman" w:hAnsi="Arial" w:cs="Arial"/>
          <w:i/>
          <w:iCs/>
          <w:sz w:val="20"/>
          <w:szCs w:val="20"/>
          <w:lang w:eastAsia="en-IN"/>
        </w:rPr>
        <w:t xml:space="preserve"> ***p&lt;0.01, **p&lt;0.05, *p&lt;0.1. Pr(wag = "Above ₹5,000"). Robust SEs </w:t>
      </w:r>
    </w:p>
    <w:p w14:paraId="1CF198ED" w14:textId="77777777" w:rsidR="00AF03C4" w:rsidRPr="000A7B2A" w:rsidRDefault="00AF03C4" w:rsidP="00DF130D">
      <w:pPr>
        <w:pStyle w:val="isselectedend"/>
        <w:spacing w:line="276" w:lineRule="auto"/>
        <w:jc w:val="both"/>
        <w:rPr>
          <w:rFonts w:ascii="Arial" w:hAnsi="Arial" w:cs="Arial"/>
          <w:sz w:val="20"/>
          <w:szCs w:val="20"/>
        </w:rPr>
      </w:pPr>
      <w:r w:rsidRPr="000A7B2A">
        <w:rPr>
          <w:rFonts w:ascii="Arial" w:hAnsi="Arial" w:cs="Arial"/>
          <w:sz w:val="20"/>
          <w:szCs w:val="20"/>
        </w:rPr>
        <w:t xml:space="preserve">Table 4.7 shows the predicted probability of earning above ₹5,000 per month by employment type, gender, and education level. The results show clear differences across employment types and education categories. Among self-employed workers, the predicted probabilities are relatively low for both men and women across education levels. For men, the probability ranges from 2.0% among those with higher education to 14.2% among those with primary education. For women, it ranges from 3.1% among those with higher education to 20.1% among those with primary education. The relatively lower probabilities among workers with higher education may reflect occupational selection, whereby </w:t>
      </w:r>
      <w:r w:rsidRPr="000A7B2A">
        <w:rPr>
          <w:rFonts w:ascii="Arial" w:hAnsi="Arial" w:cs="Arial"/>
          <w:sz w:val="20"/>
          <w:szCs w:val="20"/>
        </w:rPr>
        <w:lastRenderedPageBreak/>
        <w:t>individuals with higher educational attainment have greater opportunities to move into non-agricultural employment.</w:t>
      </w:r>
    </w:p>
    <w:p w14:paraId="7B84738B" w14:textId="77777777" w:rsidR="00AF03C4" w:rsidRPr="000A7B2A" w:rsidRDefault="00AF03C4" w:rsidP="00DF130D">
      <w:pPr>
        <w:pStyle w:val="isselectedend"/>
        <w:spacing w:line="276" w:lineRule="auto"/>
        <w:jc w:val="both"/>
        <w:rPr>
          <w:rFonts w:ascii="Arial" w:hAnsi="Arial" w:cs="Arial"/>
          <w:sz w:val="20"/>
          <w:szCs w:val="20"/>
        </w:rPr>
      </w:pPr>
      <w:r w:rsidRPr="000A7B2A">
        <w:rPr>
          <w:rFonts w:ascii="Arial" w:hAnsi="Arial" w:cs="Arial"/>
          <w:sz w:val="20"/>
          <w:szCs w:val="20"/>
        </w:rPr>
        <w:t>Among casual labourers, the predicted probabilities of earning above ₹5,000 are substantially higher across all education levels. For male casual labourers, the probability is highest among those with primary education (81.9%), followed by those who are not literate (72.9%), those with secondary education (58.2%), and those with higher education (49.0%). A similar pattern is observed among female casual labourers, with probabilities of 82.4%, 71.6%, 55.1%, and 55.9%, respectively. These results indicate substantial variation in the probability of earning above ₹5,000 across education levels within casual agricultural employment. The relatively high probabilities among casual workers may be associated with direct monetary payments for agricultural labour and the nature of wage-based employment (Imbert &amp; Papp, 2015).</w:t>
      </w:r>
    </w:p>
    <w:p w14:paraId="23518539" w14:textId="77777777" w:rsidR="00AF03C4" w:rsidRPr="000A7B2A" w:rsidRDefault="00AF03C4" w:rsidP="00DF130D">
      <w:pPr>
        <w:pStyle w:val="isselectedend"/>
        <w:spacing w:line="276" w:lineRule="auto"/>
        <w:jc w:val="both"/>
        <w:rPr>
          <w:rFonts w:ascii="Arial" w:hAnsi="Arial" w:cs="Arial"/>
          <w:sz w:val="20"/>
          <w:szCs w:val="20"/>
        </w:rPr>
      </w:pPr>
      <w:r w:rsidRPr="000A7B2A">
        <w:rPr>
          <w:rFonts w:ascii="Arial" w:hAnsi="Arial" w:cs="Arial"/>
          <w:sz w:val="20"/>
          <w:szCs w:val="20"/>
        </w:rPr>
        <w:t>Gender differences within the casual labour category are relatively small at comparable education levels. Among workers with primary education, the predicted probabilities are 81.9% for men and 82.4% for women. Among those who are not literate, the corresponding probabilities are 72.9% and 71.6%. Similarly, among secondary-educated workers, the probabilities are 58.2% for men and 55.1% for women. These results suggest that, within casual agricultural employment, the predicted probability of earning above ₹5,000 is broadly similar for men and women with comparable levels of education.</w:t>
      </w:r>
    </w:p>
    <w:p w14:paraId="09709A93" w14:textId="77777777" w:rsidR="00AF03C4" w:rsidRPr="000A7B2A" w:rsidRDefault="00AF03C4" w:rsidP="00DF130D">
      <w:pPr>
        <w:pStyle w:val="NormalWeb"/>
        <w:spacing w:line="276" w:lineRule="auto"/>
        <w:jc w:val="both"/>
        <w:rPr>
          <w:rFonts w:ascii="Arial" w:hAnsi="Arial" w:cs="Arial"/>
          <w:sz w:val="20"/>
          <w:szCs w:val="20"/>
        </w:rPr>
      </w:pPr>
      <w:r w:rsidRPr="000A7B2A">
        <w:rPr>
          <w:rFonts w:ascii="Arial" w:hAnsi="Arial" w:cs="Arial"/>
          <w:sz w:val="20"/>
          <w:szCs w:val="20"/>
        </w:rPr>
        <w:t>Table</w:t>
      </w:r>
      <w:r w:rsidR="00340190" w:rsidRPr="000A7B2A">
        <w:rPr>
          <w:rFonts w:ascii="Arial" w:hAnsi="Arial" w:cs="Arial"/>
          <w:sz w:val="20"/>
          <w:szCs w:val="20"/>
        </w:rPr>
        <w:t xml:space="preserve"> 4.7</w:t>
      </w:r>
      <w:r w:rsidRPr="000A7B2A">
        <w:rPr>
          <w:rFonts w:ascii="Arial" w:hAnsi="Arial" w:cs="Arial"/>
          <w:sz w:val="20"/>
          <w:szCs w:val="20"/>
        </w:rPr>
        <w:t xml:space="preserve"> indicates that employment type is associated with substantial differences in the predicted probability of earning above ₹5,000, while the pattern across education levels varies within each employment category. The results also show that gender differences are comparatively small within the same employment and education groups.</w:t>
      </w:r>
    </w:p>
    <w:p w14:paraId="3FE6BC17" w14:textId="77777777" w:rsidR="00FC5E6A" w:rsidRPr="000A7B2A" w:rsidRDefault="00FC5E6A" w:rsidP="00DF130D">
      <w:pPr>
        <w:tabs>
          <w:tab w:val="left" w:pos="2740"/>
        </w:tabs>
        <w:spacing w:line="276" w:lineRule="auto"/>
        <w:jc w:val="both"/>
        <w:rPr>
          <w:rFonts w:ascii="Arial" w:eastAsia="Times New Roman" w:hAnsi="Arial" w:cs="Arial"/>
          <w:b/>
          <w:bCs/>
          <w:sz w:val="20"/>
          <w:szCs w:val="20"/>
          <w:lang w:eastAsia="en-IN"/>
        </w:rPr>
      </w:pPr>
      <w:r w:rsidRPr="000A7B2A">
        <w:rPr>
          <w:rFonts w:ascii="Arial" w:hAnsi="Arial" w:cs="Arial"/>
          <w:b/>
          <w:bCs/>
          <w:sz w:val="20"/>
          <w:szCs w:val="20"/>
        </w:rPr>
        <w:t>Table</w:t>
      </w:r>
      <w:r w:rsidR="00340190" w:rsidRPr="000A7B2A">
        <w:rPr>
          <w:rFonts w:ascii="Arial" w:hAnsi="Arial" w:cs="Arial"/>
          <w:b/>
          <w:bCs/>
          <w:sz w:val="20"/>
          <w:szCs w:val="20"/>
        </w:rPr>
        <w:t xml:space="preserve"> 4.7 </w:t>
      </w:r>
      <w:r w:rsidRPr="000A7B2A">
        <w:rPr>
          <w:rFonts w:ascii="Arial" w:hAnsi="Arial" w:cs="Arial"/>
          <w:b/>
          <w:bCs/>
          <w:sz w:val="20"/>
          <w:szCs w:val="20"/>
        </w:rPr>
        <w:t>Predicted Probability of Earning Above ₹5,000 by Employment Type, Gender, and Age Group (Agriculture Sector, PLFS 2023–24)</w:t>
      </w:r>
    </w:p>
    <w:tbl>
      <w:tblPr>
        <w:tblStyle w:val="ListTable6Colorful"/>
        <w:tblpPr w:leftFromText="180" w:rightFromText="180" w:vertAnchor="text" w:horzAnchor="margin" w:tblpY="-18"/>
        <w:tblW w:w="5421" w:type="pct"/>
        <w:shd w:val="clear" w:color="auto" w:fill="FFFFFF" w:themeFill="background1"/>
        <w:tblLook w:val="04A0" w:firstRow="1" w:lastRow="0" w:firstColumn="1" w:lastColumn="0" w:noHBand="0" w:noVBand="1"/>
      </w:tblPr>
      <w:tblGrid>
        <w:gridCol w:w="2046"/>
        <w:gridCol w:w="967"/>
        <w:gridCol w:w="1378"/>
        <w:gridCol w:w="1002"/>
        <w:gridCol w:w="1049"/>
        <w:gridCol w:w="756"/>
        <w:gridCol w:w="756"/>
        <w:gridCol w:w="1832"/>
      </w:tblGrid>
      <w:tr w:rsidR="00FC5E6A" w:rsidRPr="000A7B2A" w14:paraId="5AB9DCF2" w14:textId="77777777" w:rsidTr="00725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1CA8B29" w14:textId="77777777" w:rsidR="00FC5E6A" w:rsidRPr="000A7B2A" w:rsidRDefault="00FC5E6A" w:rsidP="00DF130D">
            <w:pPr>
              <w:spacing w:line="276" w:lineRule="auto"/>
              <w:jc w:val="both"/>
              <w:rPr>
                <w:rFonts w:ascii="Arial" w:hAnsi="Arial" w:cs="Arial"/>
                <w:b w:val="0"/>
                <w:bCs w:val="0"/>
                <w:sz w:val="20"/>
                <w:szCs w:val="20"/>
              </w:rPr>
            </w:pPr>
            <w:r w:rsidRPr="000A7B2A">
              <w:rPr>
                <w:rFonts w:ascii="Arial" w:hAnsi="Arial" w:cs="Arial"/>
                <w:sz w:val="20"/>
                <w:szCs w:val="20"/>
              </w:rPr>
              <w:t>Employment Type</w:t>
            </w:r>
          </w:p>
        </w:tc>
        <w:tc>
          <w:tcPr>
            <w:tcW w:w="0" w:type="auto"/>
            <w:shd w:val="clear" w:color="auto" w:fill="FFFFFF" w:themeFill="background1"/>
            <w:hideMark/>
          </w:tcPr>
          <w:p w14:paraId="22495E57"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Gender</w:t>
            </w:r>
          </w:p>
        </w:tc>
        <w:tc>
          <w:tcPr>
            <w:tcW w:w="0" w:type="auto"/>
            <w:shd w:val="clear" w:color="auto" w:fill="FFFFFF" w:themeFill="background1"/>
            <w:hideMark/>
          </w:tcPr>
          <w:p w14:paraId="73B4FD27"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Age Group</w:t>
            </w:r>
          </w:p>
        </w:tc>
        <w:tc>
          <w:tcPr>
            <w:tcW w:w="0" w:type="auto"/>
            <w:shd w:val="clear" w:color="auto" w:fill="FFFFFF" w:themeFill="background1"/>
            <w:hideMark/>
          </w:tcPr>
          <w:p w14:paraId="0160C14D"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Margin</w:t>
            </w:r>
          </w:p>
        </w:tc>
        <w:tc>
          <w:tcPr>
            <w:tcW w:w="0" w:type="auto"/>
            <w:shd w:val="clear" w:color="auto" w:fill="FFFFFF" w:themeFill="background1"/>
            <w:hideMark/>
          </w:tcPr>
          <w:p w14:paraId="77E44B76"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Std. Err.</w:t>
            </w:r>
          </w:p>
        </w:tc>
        <w:tc>
          <w:tcPr>
            <w:tcW w:w="0" w:type="auto"/>
            <w:shd w:val="clear" w:color="auto" w:fill="FFFFFF" w:themeFill="background1"/>
            <w:hideMark/>
          </w:tcPr>
          <w:p w14:paraId="0C2FD952"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z</w:t>
            </w:r>
          </w:p>
        </w:tc>
        <w:tc>
          <w:tcPr>
            <w:tcW w:w="0" w:type="auto"/>
            <w:shd w:val="clear" w:color="auto" w:fill="FFFFFF" w:themeFill="background1"/>
            <w:hideMark/>
          </w:tcPr>
          <w:p w14:paraId="22B0C993"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P&gt;|z|</w:t>
            </w:r>
          </w:p>
        </w:tc>
        <w:tc>
          <w:tcPr>
            <w:tcW w:w="936" w:type="pct"/>
            <w:shd w:val="clear" w:color="auto" w:fill="FFFFFF" w:themeFill="background1"/>
            <w:hideMark/>
          </w:tcPr>
          <w:p w14:paraId="7331DB60" w14:textId="77777777" w:rsidR="00FC5E6A" w:rsidRPr="000A7B2A" w:rsidRDefault="00FC5E6A" w:rsidP="00DF130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A7B2A">
              <w:rPr>
                <w:rFonts w:ascii="Arial" w:hAnsi="Arial" w:cs="Arial"/>
                <w:sz w:val="20"/>
                <w:szCs w:val="20"/>
              </w:rPr>
              <w:t>95% CI</w:t>
            </w:r>
          </w:p>
        </w:tc>
      </w:tr>
      <w:tr w:rsidR="00FC5E6A" w:rsidRPr="000A7B2A" w14:paraId="64BF102C"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75E1F7C" w14:textId="77777777" w:rsidR="00FC5E6A" w:rsidRPr="000A7B2A" w:rsidRDefault="00FC5E6A" w:rsidP="00DF130D">
            <w:pPr>
              <w:spacing w:line="276" w:lineRule="auto"/>
              <w:jc w:val="both"/>
              <w:rPr>
                <w:rFonts w:ascii="Arial" w:hAnsi="Arial" w:cs="Arial"/>
                <w:sz w:val="20"/>
                <w:szCs w:val="20"/>
              </w:rPr>
            </w:pPr>
            <w:r w:rsidRPr="000A7B2A">
              <w:rPr>
                <w:rFonts w:ascii="Arial" w:hAnsi="Arial" w:cs="Arial"/>
                <w:sz w:val="20"/>
                <w:szCs w:val="20"/>
              </w:rPr>
              <w:t>Self-Employed</w:t>
            </w:r>
          </w:p>
        </w:tc>
        <w:tc>
          <w:tcPr>
            <w:tcW w:w="0" w:type="auto"/>
            <w:shd w:val="clear" w:color="auto" w:fill="FFFFFF" w:themeFill="background1"/>
            <w:hideMark/>
          </w:tcPr>
          <w:p w14:paraId="60EA9D47"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23A0A6B4"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Young/Early</w:t>
            </w:r>
          </w:p>
        </w:tc>
        <w:tc>
          <w:tcPr>
            <w:tcW w:w="0" w:type="auto"/>
            <w:shd w:val="clear" w:color="auto" w:fill="FFFFFF" w:themeFill="background1"/>
            <w:hideMark/>
          </w:tcPr>
          <w:p w14:paraId="65280F2C"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0.248***</w:t>
            </w:r>
          </w:p>
        </w:tc>
        <w:tc>
          <w:tcPr>
            <w:tcW w:w="0" w:type="auto"/>
            <w:shd w:val="clear" w:color="auto" w:fill="FFFFFF" w:themeFill="background1"/>
            <w:hideMark/>
          </w:tcPr>
          <w:p w14:paraId="4CDAE546"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0.064</w:t>
            </w:r>
          </w:p>
        </w:tc>
        <w:tc>
          <w:tcPr>
            <w:tcW w:w="0" w:type="auto"/>
            <w:shd w:val="clear" w:color="auto" w:fill="FFFFFF" w:themeFill="background1"/>
            <w:hideMark/>
          </w:tcPr>
          <w:p w14:paraId="049A838D"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3.88</w:t>
            </w:r>
          </w:p>
        </w:tc>
        <w:tc>
          <w:tcPr>
            <w:tcW w:w="0" w:type="auto"/>
            <w:shd w:val="clear" w:color="auto" w:fill="FFFFFF" w:themeFill="background1"/>
            <w:hideMark/>
          </w:tcPr>
          <w:p w14:paraId="36B578E3"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6AEB6CEF"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[0.123, 0.373]</w:t>
            </w:r>
          </w:p>
        </w:tc>
      </w:tr>
      <w:tr w:rsidR="00FC5E6A" w:rsidRPr="000A7B2A" w14:paraId="63CCD786"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0DC51DC"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6F3D31A5"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19A68725"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Mature</w:t>
            </w:r>
          </w:p>
        </w:tc>
        <w:tc>
          <w:tcPr>
            <w:tcW w:w="0" w:type="auto"/>
            <w:shd w:val="clear" w:color="auto" w:fill="FFFFFF" w:themeFill="background1"/>
            <w:hideMark/>
          </w:tcPr>
          <w:p w14:paraId="249B6831"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0.137***</w:t>
            </w:r>
          </w:p>
        </w:tc>
        <w:tc>
          <w:tcPr>
            <w:tcW w:w="0" w:type="auto"/>
            <w:shd w:val="clear" w:color="auto" w:fill="FFFFFF" w:themeFill="background1"/>
            <w:hideMark/>
          </w:tcPr>
          <w:p w14:paraId="78F8D9CB"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0.030</w:t>
            </w:r>
          </w:p>
        </w:tc>
        <w:tc>
          <w:tcPr>
            <w:tcW w:w="0" w:type="auto"/>
            <w:shd w:val="clear" w:color="auto" w:fill="FFFFFF" w:themeFill="background1"/>
            <w:hideMark/>
          </w:tcPr>
          <w:p w14:paraId="7DC83136"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4.65</w:t>
            </w:r>
          </w:p>
        </w:tc>
        <w:tc>
          <w:tcPr>
            <w:tcW w:w="0" w:type="auto"/>
            <w:shd w:val="clear" w:color="auto" w:fill="FFFFFF" w:themeFill="background1"/>
            <w:hideMark/>
          </w:tcPr>
          <w:p w14:paraId="0414D730"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2E8FF593"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[0.079, 0.195]</w:t>
            </w:r>
          </w:p>
        </w:tc>
      </w:tr>
      <w:tr w:rsidR="00FC5E6A" w:rsidRPr="000A7B2A" w14:paraId="3CE064F7"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47528B0"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5DA6CF30"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636749D0"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Senior</w:t>
            </w:r>
          </w:p>
        </w:tc>
        <w:tc>
          <w:tcPr>
            <w:tcW w:w="0" w:type="auto"/>
            <w:shd w:val="clear" w:color="auto" w:fill="FFFFFF" w:themeFill="background1"/>
            <w:hideMark/>
          </w:tcPr>
          <w:p w14:paraId="0C87A78D"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0.094***</w:t>
            </w:r>
          </w:p>
        </w:tc>
        <w:tc>
          <w:tcPr>
            <w:tcW w:w="0" w:type="auto"/>
            <w:shd w:val="clear" w:color="auto" w:fill="FFFFFF" w:themeFill="background1"/>
            <w:hideMark/>
          </w:tcPr>
          <w:p w14:paraId="4B3390C8"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0.017</w:t>
            </w:r>
          </w:p>
        </w:tc>
        <w:tc>
          <w:tcPr>
            <w:tcW w:w="0" w:type="auto"/>
            <w:shd w:val="clear" w:color="auto" w:fill="FFFFFF" w:themeFill="background1"/>
            <w:hideMark/>
          </w:tcPr>
          <w:p w14:paraId="14462A37"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5.66</w:t>
            </w:r>
          </w:p>
        </w:tc>
        <w:tc>
          <w:tcPr>
            <w:tcW w:w="0" w:type="auto"/>
            <w:shd w:val="clear" w:color="auto" w:fill="FFFFFF" w:themeFill="background1"/>
            <w:hideMark/>
          </w:tcPr>
          <w:p w14:paraId="62CE467C"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1E730054"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[0.061, 0.126]</w:t>
            </w:r>
          </w:p>
        </w:tc>
      </w:tr>
      <w:tr w:rsidR="00FC5E6A" w:rsidRPr="000A7B2A" w14:paraId="41AB7141"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78E3864"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761613F0"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4807E68F"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Young/Early</w:t>
            </w:r>
          </w:p>
        </w:tc>
        <w:tc>
          <w:tcPr>
            <w:tcW w:w="0" w:type="auto"/>
            <w:shd w:val="clear" w:color="auto" w:fill="FFFFFF" w:themeFill="background1"/>
            <w:hideMark/>
          </w:tcPr>
          <w:p w14:paraId="7224C5E7"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0.324***</w:t>
            </w:r>
          </w:p>
        </w:tc>
        <w:tc>
          <w:tcPr>
            <w:tcW w:w="0" w:type="auto"/>
            <w:shd w:val="clear" w:color="auto" w:fill="FFFFFF" w:themeFill="background1"/>
            <w:hideMark/>
          </w:tcPr>
          <w:p w14:paraId="07C9137A"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0.069</w:t>
            </w:r>
          </w:p>
        </w:tc>
        <w:tc>
          <w:tcPr>
            <w:tcW w:w="0" w:type="auto"/>
            <w:shd w:val="clear" w:color="auto" w:fill="FFFFFF" w:themeFill="background1"/>
            <w:hideMark/>
          </w:tcPr>
          <w:p w14:paraId="47FCD9CE"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4.68</w:t>
            </w:r>
          </w:p>
        </w:tc>
        <w:tc>
          <w:tcPr>
            <w:tcW w:w="0" w:type="auto"/>
            <w:shd w:val="clear" w:color="auto" w:fill="FFFFFF" w:themeFill="background1"/>
            <w:hideMark/>
          </w:tcPr>
          <w:p w14:paraId="4A3C8D4D"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1005982B"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[0.188, 0.460]</w:t>
            </w:r>
          </w:p>
        </w:tc>
      </w:tr>
      <w:tr w:rsidR="00FC5E6A" w:rsidRPr="000A7B2A" w14:paraId="0FDD5DA4"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92496F7"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3BC05F17"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5E0CDBA2"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Mature</w:t>
            </w:r>
          </w:p>
        </w:tc>
        <w:tc>
          <w:tcPr>
            <w:tcW w:w="0" w:type="auto"/>
            <w:shd w:val="clear" w:color="auto" w:fill="FFFFFF" w:themeFill="background1"/>
            <w:hideMark/>
          </w:tcPr>
          <w:p w14:paraId="2E52AD5F"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0.195***</w:t>
            </w:r>
          </w:p>
        </w:tc>
        <w:tc>
          <w:tcPr>
            <w:tcW w:w="0" w:type="auto"/>
            <w:shd w:val="clear" w:color="auto" w:fill="FFFFFF" w:themeFill="background1"/>
            <w:hideMark/>
          </w:tcPr>
          <w:p w14:paraId="34D1CEFC"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0.036</w:t>
            </w:r>
          </w:p>
        </w:tc>
        <w:tc>
          <w:tcPr>
            <w:tcW w:w="0" w:type="auto"/>
            <w:shd w:val="clear" w:color="auto" w:fill="FFFFFF" w:themeFill="background1"/>
            <w:hideMark/>
          </w:tcPr>
          <w:p w14:paraId="6FFE593C"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5.43</w:t>
            </w:r>
          </w:p>
        </w:tc>
        <w:tc>
          <w:tcPr>
            <w:tcW w:w="0" w:type="auto"/>
            <w:shd w:val="clear" w:color="auto" w:fill="FFFFFF" w:themeFill="background1"/>
            <w:hideMark/>
          </w:tcPr>
          <w:p w14:paraId="0BB23BC6"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4FABE0D6"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[0.124, 0.265]</w:t>
            </w:r>
          </w:p>
        </w:tc>
      </w:tr>
      <w:tr w:rsidR="00FC5E6A" w:rsidRPr="000A7B2A" w14:paraId="0CAC06CA"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A5E25A2"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48D69583"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6B329E60"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Senior</w:t>
            </w:r>
          </w:p>
        </w:tc>
        <w:tc>
          <w:tcPr>
            <w:tcW w:w="0" w:type="auto"/>
            <w:shd w:val="clear" w:color="auto" w:fill="FFFFFF" w:themeFill="background1"/>
            <w:hideMark/>
          </w:tcPr>
          <w:p w14:paraId="0FF2B646"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0.136***</w:t>
            </w:r>
          </w:p>
        </w:tc>
        <w:tc>
          <w:tcPr>
            <w:tcW w:w="0" w:type="auto"/>
            <w:shd w:val="clear" w:color="auto" w:fill="FFFFFF" w:themeFill="background1"/>
            <w:hideMark/>
          </w:tcPr>
          <w:p w14:paraId="6D475665"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0.023</w:t>
            </w:r>
          </w:p>
        </w:tc>
        <w:tc>
          <w:tcPr>
            <w:tcW w:w="0" w:type="auto"/>
            <w:shd w:val="clear" w:color="auto" w:fill="FFFFFF" w:themeFill="background1"/>
            <w:hideMark/>
          </w:tcPr>
          <w:p w14:paraId="64CA5F05"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5.82</w:t>
            </w:r>
          </w:p>
        </w:tc>
        <w:tc>
          <w:tcPr>
            <w:tcW w:w="0" w:type="auto"/>
            <w:shd w:val="clear" w:color="auto" w:fill="FFFFFF" w:themeFill="background1"/>
            <w:hideMark/>
          </w:tcPr>
          <w:p w14:paraId="42AC263F"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61441A26"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[0.090, 0.181]</w:t>
            </w:r>
          </w:p>
        </w:tc>
      </w:tr>
      <w:tr w:rsidR="00FC5E6A" w:rsidRPr="000A7B2A" w14:paraId="72499851"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E8D24D6" w14:textId="77777777" w:rsidR="00FC5E6A" w:rsidRPr="000A7B2A" w:rsidRDefault="00FC5E6A" w:rsidP="00DF130D">
            <w:pPr>
              <w:spacing w:line="276" w:lineRule="auto"/>
              <w:jc w:val="both"/>
              <w:rPr>
                <w:rFonts w:ascii="Arial" w:hAnsi="Arial" w:cs="Arial"/>
                <w:sz w:val="20"/>
                <w:szCs w:val="20"/>
              </w:rPr>
            </w:pPr>
            <w:r w:rsidRPr="000A7B2A">
              <w:rPr>
                <w:rFonts w:ascii="Arial" w:hAnsi="Arial" w:cs="Arial"/>
                <w:sz w:val="20"/>
                <w:szCs w:val="20"/>
              </w:rPr>
              <w:t>Casual Labour</w:t>
            </w:r>
          </w:p>
        </w:tc>
        <w:tc>
          <w:tcPr>
            <w:tcW w:w="0" w:type="auto"/>
            <w:shd w:val="clear" w:color="auto" w:fill="FFFFFF" w:themeFill="background1"/>
            <w:hideMark/>
          </w:tcPr>
          <w:p w14:paraId="47CAFB16"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510F508F"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Young/Early</w:t>
            </w:r>
          </w:p>
        </w:tc>
        <w:tc>
          <w:tcPr>
            <w:tcW w:w="0" w:type="auto"/>
            <w:shd w:val="clear" w:color="auto" w:fill="FFFFFF" w:themeFill="background1"/>
            <w:hideMark/>
          </w:tcPr>
          <w:p w14:paraId="5392686C"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0.789***</w:t>
            </w:r>
          </w:p>
        </w:tc>
        <w:tc>
          <w:tcPr>
            <w:tcW w:w="0" w:type="auto"/>
            <w:shd w:val="clear" w:color="auto" w:fill="FFFFFF" w:themeFill="background1"/>
            <w:hideMark/>
          </w:tcPr>
          <w:p w14:paraId="32BCD558"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0.066</w:t>
            </w:r>
          </w:p>
        </w:tc>
        <w:tc>
          <w:tcPr>
            <w:tcW w:w="0" w:type="auto"/>
            <w:shd w:val="clear" w:color="auto" w:fill="FFFFFF" w:themeFill="background1"/>
            <w:hideMark/>
          </w:tcPr>
          <w:p w14:paraId="11517035"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11.96</w:t>
            </w:r>
          </w:p>
        </w:tc>
        <w:tc>
          <w:tcPr>
            <w:tcW w:w="0" w:type="auto"/>
            <w:shd w:val="clear" w:color="auto" w:fill="FFFFFF" w:themeFill="background1"/>
            <w:hideMark/>
          </w:tcPr>
          <w:p w14:paraId="7C4A4F8E"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49DB0487"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[0.660, 0.918]</w:t>
            </w:r>
          </w:p>
        </w:tc>
      </w:tr>
      <w:tr w:rsidR="00FC5E6A" w:rsidRPr="000A7B2A" w14:paraId="5D60E509"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C653D23"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22E715CC"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163C01C9"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Mature</w:t>
            </w:r>
          </w:p>
        </w:tc>
        <w:tc>
          <w:tcPr>
            <w:tcW w:w="0" w:type="auto"/>
            <w:shd w:val="clear" w:color="auto" w:fill="FFFFFF" w:themeFill="background1"/>
            <w:hideMark/>
          </w:tcPr>
          <w:p w14:paraId="171D4B39"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0.773***</w:t>
            </w:r>
          </w:p>
        </w:tc>
        <w:tc>
          <w:tcPr>
            <w:tcW w:w="0" w:type="auto"/>
            <w:shd w:val="clear" w:color="auto" w:fill="FFFFFF" w:themeFill="background1"/>
            <w:hideMark/>
          </w:tcPr>
          <w:p w14:paraId="59DB7CF5"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0.053</w:t>
            </w:r>
          </w:p>
        </w:tc>
        <w:tc>
          <w:tcPr>
            <w:tcW w:w="0" w:type="auto"/>
            <w:shd w:val="clear" w:color="auto" w:fill="FFFFFF" w:themeFill="background1"/>
            <w:hideMark/>
          </w:tcPr>
          <w:p w14:paraId="5455A622"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14.49</w:t>
            </w:r>
          </w:p>
        </w:tc>
        <w:tc>
          <w:tcPr>
            <w:tcW w:w="0" w:type="auto"/>
            <w:shd w:val="clear" w:color="auto" w:fill="FFFFFF" w:themeFill="background1"/>
            <w:hideMark/>
          </w:tcPr>
          <w:p w14:paraId="74D34C1A"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691B74E8"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[0.668, 0.878]</w:t>
            </w:r>
          </w:p>
        </w:tc>
      </w:tr>
      <w:tr w:rsidR="00FC5E6A" w:rsidRPr="000A7B2A" w14:paraId="43953C3D"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93F74AA"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426B9B43"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Male</w:t>
            </w:r>
          </w:p>
        </w:tc>
        <w:tc>
          <w:tcPr>
            <w:tcW w:w="0" w:type="auto"/>
            <w:shd w:val="clear" w:color="auto" w:fill="FFFFFF" w:themeFill="background1"/>
            <w:hideMark/>
          </w:tcPr>
          <w:p w14:paraId="35303CB2"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Senior</w:t>
            </w:r>
          </w:p>
        </w:tc>
        <w:tc>
          <w:tcPr>
            <w:tcW w:w="0" w:type="auto"/>
            <w:shd w:val="clear" w:color="auto" w:fill="FFFFFF" w:themeFill="background1"/>
            <w:hideMark/>
          </w:tcPr>
          <w:p w14:paraId="16954CF6"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0.673***</w:t>
            </w:r>
          </w:p>
        </w:tc>
        <w:tc>
          <w:tcPr>
            <w:tcW w:w="0" w:type="auto"/>
            <w:shd w:val="clear" w:color="auto" w:fill="FFFFFF" w:themeFill="background1"/>
            <w:hideMark/>
          </w:tcPr>
          <w:p w14:paraId="78B63A1A"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0.057</w:t>
            </w:r>
          </w:p>
        </w:tc>
        <w:tc>
          <w:tcPr>
            <w:tcW w:w="0" w:type="auto"/>
            <w:shd w:val="clear" w:color="auto" w:fill="FFFFFF" w:themeFill="background1"/>
            <w:hideMark/>
          </w:tcPr>
          <w:p w14:paraId="01DFF541"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11.81</w:t>
            </w:r>
          </w:p>
        </w:tc>
        <w:tc>
          <w:tcPr>
            <w:tcW w:w="0" w:type="auto"/>
            <w:shd w:val="clear" w:color="auto" w:fill="FFFFFF" w:themeFill="background1"/>
            <w:hideMark/>
          </w:tcPr>
          <w:p w14:paraId="07D07132"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62932F94"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[0.561, 0.784]</w:t>
            </w:r>
          </w:p>
        </w:tc>
      </w:tr>
      <w:tr w:rsidR="00FC5E6A" w:rsidRPr="000A7B2A" w14:paraId="5884AC15"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F34C7E7"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36E5B74B"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25B591F0"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Young/Early</w:t>
            </w:r>
          </w:p>
        </w:tc>
        <w:tc>
          <w:tcPr>
            <w:tcW w:w="0" w:type="auto"/>
            <w:shd w:val="clear" w:color="auto" w:fill="FFFFFF" w:themeFill="background1"/>
            <w:hideMark/>
          </w:tcPr>
          <w:p w14:paraId="41AC67EC"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0.769***</w:t>
            </w:r>
          </w:p>
        </w:tc>
        <w:tc>
          <w:tcPr>
            <w:tcW w:w="0" w:type="auto"/>
            <w:shd w:val="clear" w:color="auto" w:fill="FFFFFF" w:themeFill="background1"/>
            <w:hideMark/>
          </w:tcPr>
          <w:p w14:paraId="0E1BAA5F"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0.065</w:t>
            </w:r>
          </w:p>
        </w:tc>
        <w:tc>
          <w:tcPr>
            <w:tcW w:w="0" w:type="auto"/>
            <w:shd w:val="clear" w:color="auto" w:fill="FFFFFF" w:themeFill="background1"/>
            <w:hideMark/>
          </w:tcPr>
          <w:p w14:paraId="5663A5A0"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11.87</w:t>
            </w:r>
          </w:p>
        </w:tc>
        <w:tc>
          <w:tcPr>
            <w:tcW w:w="0" w:type="auto"/>
            <w:shd w:val="clear" w:color="auto" w:fill="FFFFFF" w:themeFill="background1"/>
            <w:hideMark/>
          </w:tcPr>
          <w:p w14:paraId="47D5BDEC"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6DE3D58E"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[0.642, 0.896]</w:t>
            </w:r>
          </w:p>
        </w:tc>
      </w:tr>
      <w:tr w:rsidR="00FC5E6A" w:rsidRPr="000A7B2A" w14:paraId="35983A56"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4CA9970"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1B6D488A"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4A848A82"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Mature</w:t>
            </w:r>
          </w:p>
        </w:tc>
        <w:tc>
          <w:tcPr>
            <w:tcW w:w="0" w:type="auto"/>
            <w:shd w:val="clear" w:color="auto" w:fill="FFFFFF" w:themeFill="background1"/>
            <w:hideMark/>
          </w:tcPr>
          <w:p w14:paraId="59C275CA"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0.772***</w:t>
            </w:r>
          </w:p>
        </w:tc>
        <w:tc>
          <w:tcPr>
            <w:tcW w:w="0" w:type="auto"/>
            <w:shd w:val="clear" w:color="auto" w:fill="FFFFFF" w:themeFill="background1"/>
            <w:hideMark/>
          </w:tcPr>
          <w:p w14:paraId="142DBB0D"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0.055</w:t>
            </w:r>
          </w:p>
        </w:tc>
        <w:tc>
          <w:tcPr>
            <w:tcW w:w="0" w:type="auto"/>
            <w:shd w:val="clear" w:color="auto" w:fill="FFFFFF" w:themeFill="background1"/>
            <w:hideMark/>
          </w:tcPr>
          <w:p w14:paraId="396D8E15"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14.05</w:t>
            </w:r>
          </w:p>
        </w:tc>
        <w:tc>
          <w:tcPr>
            <w:tcW w:w="0" w:type="auto"/>
            <w:shd w:val="clear" w:color="auto" w:fill="FFFFFF" w:themeFill="background1"/>
            <w:hideMark/>
          </w:tcPr>
          <w:p w14:paraId="3AF0837C"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37F10D4E" w14:textId="77777777" w:rsidR="00FC5E6A" w:rsidRPr="000A7B2A" w:rsidRDefault="00FC5E6A" w:rsidP="00DF130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A7B2A">
              <w:rPr>
                <w:rFonts w:ascii="Arial" w:hAnsi="Arial" w:cs="Arial"/>
                <w:sz w:val="20"/>
                <w:szCs w:val="20"/>
              </w:rPr>
              <w:t>[0.664, 0.879]</w:t>
            </w:r>
          </w:p>
        </w:tc>
      </w:tr>
      <w:tr w:rsidR="00FC5E6A" w:rsidRPr="000A7B2A" w14:paraId="17F75E44"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C02B648" w14:textId="77777777" w:rsidR="00FC5E6A" w:rsidRPr="000A7B2A" w:rsidRDefault="00FC5E6A" w:rsidP="00DF130D">
            <w:pPr>
              <w:spacing w:line="276" w:lineRule="auto"/>
              <w:jc w:val="both"/>
              <w:rPr>
                <w:rFonts w:ascii="Arial" w:hAnsi="Arial" w:cs="Arial"/>
                <w:sz w:val="20"/>
                <w:szCs w:val="20"/>
              </w:rPr>
            </w:pPr>
          </w:p>
        </w:tc>
        <w:tc>
          <w:tcPr>
            <w:tcW w:w="0" w:type="auto"/>
            <w:shd w:val="clear" w:color="auto" w:fill="FFFFFF" w:themeFill="background1"/>
            <w:hideMark/>
          </w:tcPr>
          <w:p w14:paraId="7F17B51B"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Female</w:t>
            </w:r>
          </w:p>
        </w:tc>
        <w:tc>
          <w:tcPr>
            <w:tcW w:w="0" w:type="auto"/>
            <w:shd w:val="clear" w:color="auto" w:fill="FFFFFF" w:themeFill="background1"/>
            <w:hideMark/>
          </w:tcPr>
          <w:p w14:paraId="4B8BBB8D"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Senior</w:t>
            </w:r>
          </w:p>
        </w:tc>
        <w:tc>
          <w:tcPr>
            <w:tcW w:w="0" w:type="auto"/>
            <w:shd w:val="clear" w:color="auto" w:fill="FFFFFF" w:themeFill="background1"/>
            <w:hideMark/>
          </w:tcPr>
          <w:p w14:paraId="4AA6FC0B"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0.666***</w:t>
            </w:r>
          </w:p>
        </w:tc>
        <w:tc>
          <w:tcPr>
            <w:tcW w:w="0" w:type="auto"/>
            <w:shd w:val="clear" w:color="auto" w:fill="FFFFFF" w:themeFill="background1"/>
            <w:hideMark/>
          </w:tcPr>
          <w:p w14:paraId="03201A73"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0.050</w:t>
            </w:r>
          </w:p>
        </w:tc>
        <w:tc>
          <w:tcPr>
            <w:tcW w:w="0" w:type="auto"/>
            <w:shd w:val="clear" w:color="auto" w:fill="FFFFFF" w:themeFill="background1"/>
            <w:hideMark/>
          </w:tcPr>
          <w:p w14:paraId="01A36933"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13.39</w:t>
            </w:r>
          </w:p>
        </w:tc>
        <w:tc>
          <w:tcPr>
            <w:tcW w:w="0" w:type="auto"/>
            <w:shd w:val="clear" w:color="auto" w:fill="FFFFFF" w:themeFill="background1"/>
            <w:hideMark/>
          </w:tcPr>
          <w:p w14:paraId="75077E93"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0.000</w:t>
            </w:r>
          </w:p>
        </w:tc>
        <w:tc>
          <w:tcPr>
            <w:tcW w:w="936" w:type="pct"/>
            <w:shd w:val="clear" w:color="auto" w:fill="FFFFFF" w:themeFill="background1"/>
            <w:hideMark/>
          </w:tcPr>
          <w:p w14:paraId="3B8FD551" w14:textId="77777777" w:rsidR="00FC5E6A" w:rsidRPr="000A7B2A" w:rsidRDefault="00FC5E6A" w:rsidP="00DF130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7B2A">
              <w:rPr>
                <w:rFonts w:ascii="Arial" w:hAnsi="Arial" w:cs="Arial"/>
                <w:sz w:val="20"/>
                <w:szCs w:val="20"/>
              </w:rPr>
              <w:t>[0.569, 0.764]</w:t>
            </w:r>
          </w:p>
        </w:tc>
      </w:tr>
    </w:tbl>
    <w:p w14:paraId="07E82861" w14:textId="77777777" w:rsidR="00FC5E6A" w:rsidRPr="000A7B2A" w:rsidRDefault="00BF4C5B" w:rsidP="00DF130D">
      <w:pPr>
        <w:spacing w:before="100" w:beforeAutospacing="1" w:after="100" w:afterAutospacing="1" w:line="276" w:lineRule="auto"/>
        <w:jc w:val="both"/>
        <w:outlineLvl w:val="2"/>
        <w:rPr>
          <w:rFonts w:ascii="Arial" w:eastAsia="Times New Roman" w:hAnsi="Arial" w:cs="Arial"/>
          <w:i/>
          <w:iCs/>
          <w:sz w:val="20"/>
          <w:szCs w:val="20"/>
          <w:lang w:eastAsia="en-IN"/>
        </w:rPr>
      </w:pPr>
      <w:r w:rsidRPr="000A7B2A">
        <w:rPr>
          <w:rFonts w:ascii="Arial" w:hAnsi="Arial" w:cs="Arial"/>
          <w:sz w:val="20"/>
          <w:szCs w:val="20"/>
        </w:rPr>
        <w:t>Source: MoSPI, PLFS 2023–</w:t>
      </w:r>
      <w:r w:rsidR="007D4ECB" w:rsidRPr="000A7B2A">
        <w:rPr>
          <w:rFonts w:ascii="Arial" w:hAnsi="Arial" w:cs="Arial"/>
          <w:sz w:val="20"/>
          <w:szCs w:val="20"/>
        </w:rPr>
        <w:t>2024,</w:t>
      </w:r>
      <w:r w:rsidR="007D4ECB" w:rsidRPr="000A7B2A">
        <w:rPr>
          <w:rFonts w:ascii="Arial" w:eastAsia="Times New Roman" w:hAnsi="Arial" w:cs="Arial"/>
          <w:b/>
          <w:bCs/>
          <w:i/>
          <w:iCs/>
          <w:sz w:val="20"/>
          <w:szCs w:val="20"/>
          <w:lang w:eastAsia="en-IN"/>
        </w:rPr>
        <w:t xml:space="preserve"> Notes</w:t>
      </w:r>
      <w:r w:rsidR="00FC5E6A" w:rsidRPr="000A7B2A">
        <w:rPr>
          <w:rFonts w:ascii="Arial" w:eastAsia="Times New Roman" w:hAnsi="Arial" w:cs="Arial"/>
          <w:b/>
          <w:bCs/>
          <w:i/>
          <w:iCs/>
          <w:sz w:val="20"/>
          <w:szCs w:val="20"/>
          <w:lang w:eastAsia="en-IN"/>
        </w:rPr>
        <w:t>:</w:t>
      </w:r>
      <w:r w:rsidR="00FC5E6A" w:rsidRPr="000A7B2A">
        <w:rPr>
          <w:rFonts w:ascii="Arial" w:eastAsia="Times New Roman" w:hAnsi="Arial" w:cs="Arial"/>
          <w:i/>
          <w:iCs/>
          <w:sz w:val="20"/>
          <w:szCs w:val="20"/>
          <w:lang w:eastAsia="en-IN"/>
        </w:rPr>
        <w:t xml:space="preserve"> ***p&lt;0.01, **p&lt;0.05, *p&lt;0.1. Pr(wag = "Above ₹5,000"). Robust SEs </w:t>
      </w:r>
    </w:p>
    <w:p w14:paraId="7061C443" w14:textId="77777777" w:rsidR="00CA7403" w:rsidRPr="000A7B2A" w:rsidRDefault="00CA7403" w:rsidP="00DF130D">
      <w:pPr>
        <w:pStyle w:val="isselectedend"/>
        <w:spacing w:line="276" w:lineRule="auto"/>
        <w:jc w:val="both"/>
        <w:rPr>
          <w:rFonts w:ascii="Arial" w:hAnsi="Arial" w:cs="Arial"/>
          <w:sz w:val="20"/>
          <w:szCs w:val="20"/>
        </w:rPr>
      </w:pPr>
      <w:r w:rsidRPr="000A7B2A">
        <w:rPr>
          <w:rFonts w:ascii="Arial" w:hAnsi="Arial" w:cs="Arial"/>
          <w:sz w:val="20"/>
          <w:szCs w:val="20"/>
        </w:rPr>
        <w:t>Table 9 shows the predicted probability of earning above ₹5,000 per month by employment type, gender, and age group among agricultural workers in Telangana. The results show substantial differences across employment types. Casual labourers have considerably higher predicted probabilities of earning above ₹5,000 than self-employed workers across all age and gender groups. Among self-employed workers, the probability is 24.8% for young/early men, 13.7% for mature men, and 9.4% for senior men. The corresponding probabilities for women are 32.4%, 19.5%, and 13.6%, respectively. In comparison, the predicted probability among casual labourers ranges from 66.6% to 78.9%.</w:t>
      </w:r>
    </w:p>
    <w:p w14:paraId="71B332ED" w14:textId="77777777" w:rsidR="00CA7403" w:rsidRPr="000A7B2A" w:rsidRDefault="00CA7403" w:rsidP="00DF130D">
      <w:pPr>
        <w:pStyle w:val="isselectedend"/>
        <w:spacing w:line="276" w:lineRule="auto"/>
        <w:jc w:val="both"/>
        <w:rPr>
          <w:rFonts w:ascii="Arial" w:hAnsi="Arial" w:cs="Arial"/>
          <w:sz w:val="20"/>
          <w:szCs w:val="20"/>
        </w:rPr>
      </w:pPr>
      <w:r w:rsidRPr="000A7B2A">
        <w:rPr>
          <w:rFonts w:ascii="Arial" w:hAnsi="Arial" w:cs="Arial"/>
          <w:sz w:val="20"/>
          <w:szCs w:val="20"/>
        </w:rPr>
        <w:lastRenderedPageBreak/>
        <w:t>The higher predicted probabilities among casual labourers may reflect differences in the way earnings are generated. Casual workers generally receive direct monetary payments for their labour, whereas returns from agricultural self-employment may arise through household production and may not be separately allocated to individual workers. Therefore, the differences should be interpreted in the context of the distinct employment and earnings arrangements of these groups (Ministry of Statistics and Programme Implementation, 2024).</w:t>
      </w:r>
    </w:p>
    <w:p w14:paraId="02B5A038" w14:textId="77777777" w:rsidR="00DC07D7" w:rsidRPr="000A7B2A" w:rsidRDefault="00DC07D7" w:rsidP="00DF130D">
      <w:pPr>
        <w:pStyle w:val="isselectedend"/>
        <w:spacing w:line="276" w:lineRule="auto"/>
        <w:jc w:val="both"/>
        <w:rPr>
          <w:rFonts w:ascii="Arial" w:hAnsi="Arial" w:cs="Arial"/>
          <w:sz w:val="20"/>
          <w:szCs w:val="20"/>
        </w:rPr>
      </w:pPr>
    </w:p>
    <w:p w14:paraId="0CD02A09" w14:textId="77777777" w:rsidR="00DC07D7" w:rsidRPr="000A7B2A" w:rsidRDefault="00DC07D7" w:rsidP="00DF130D">
      <w:pPr>
        <w:pStyle w:val="isselectedend"/>
        <w:spacing w:line="276" w:lineRule="auto"/>
        <w:jc w:val="both"/>
        <w:rPr>
          <w:rFonts w:ascii="Arial" w:hAnsi="Arial" w:cs="Arial"/>
          <w:sz w:val="20"/>
          <w:szCs w:val="20"/>
        </w:rPr>
      </w:pPr>
    </w:p>
    <w:p w14:paraId="28E95CC3" w14:textId="77777777" w:rsidR="00CA7403" w:rsidRPr="000A7B2A" w:rsidRDefault="00CA7403" w:rsidP="00DF130D">
      <w:pPr>
        <w:pStyle w:val="isselectedend"/>
        <w:spacing w:line="276" w:lineRule="auto"/>
        <w:jc w:val="both"/>
        <w:rPr>
          <w:rFonts w:ascii="Arial" w:hAnsi="Arial" w:cs="Arial"/>
          <w:sz w:val="20"/>
          <w:szCs w:val="20"/>
        </w:rPr>
      </w:pPr>
      <w:r w:rsidRPr="000A7B2A">
        <w:rPr>
          <w:rFonts w:ascii="Arial" w:hAnsi="Arial" w:cs="Arial"/>
          <w:sz w:val="20"/>
          <w:szCs w:val="20"/>
        </w:rPr>
        <w:t>Age also shows a clear pattern in the predicted probability of earning above ₹5,000. Among both self-employed and casual workers, the probability generally declines among senior workers. The decline is particularly evident among self-employed workers, where the probability falls from 24.8% to 9.4% for men and from 32.4% to 13.6% for women. Age-related differences should also be interpreted in the wider context of labour-force participation and employment insecurity, particularly for older workers in informal and low-skilled employment (International Labour Organization, 2022; Reddy, 2016).</w:t>
      </w:r>
    </w:p>
    <w:p w14:paraId="1B9865DF" w14:textId="77777777" w:rsidR="00CA7403" w:rsidRPr="000A7B2A" w:rsidRDefault="00CA7403" w:rsidP="00DF130D">
      <w:pPr>
        <w:pStyle w:val="NormalWeb"/>
        <w:spacing w:line="276" w:lineRule="auto"/>
        <w:jc w:val="both"/>
        <w:rPr>
          <w:rFonts w:ascii="Arial" w:hAnsi="Arial" w:cs="Arial"/>
          <w:sz w:val="20"/>
          <w:szCs w:val="20"/>
        </w:rPr>
      </w:pPr>
      <w:r w:rsidRPr="000A7B2A">
        <w:rPr>
          <w:rFonts w:ascii="Arial" w:hAnsi="Arial" w:cs="Arial"/>
          <w:sz w:val="20"/>
          <w:szCs w:val="20"/>
        </w:rPr>
        <w:t>Gender differences are relatively small compared with the differences across employment types. Among casual labourers, male and female probabilities are particularly similar among mature and senior workers, at 77.3% and 77.2%, respectively, for mature workers and 67.3% and 66.6%, respectively, for senior workers. This suggests that employment type and age show more pronounced differences in predicted probabilities than gender within casual agricultural employment.</w:t>
      </w:r>
    </w:p>
    <w:p w14:paraId="4088D9B7" w14:textId="77777777" w:rsidR="00C0561F" w:rsidRPr="000A7B2A" w:rsidRDefault="00C0561F" w:rsidP="00DF130D">
      <w:pPr>
        <w:spacing w:before="100" w:beforeAutospacing="1" w:after="100" w:afterAutospacing="1" w:line="276" w:lineRule="auto"/>
        <w:outlineLvl w:val="1"/>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5. FINDINGS</w:t>
      </w:r>
    </w:p>
    <w:p w14:paraId="5D151E6D" w14:textId="77777777" w:rsidR="00C0561F" w:rsidRPr="000A7B2A" w:rsidRDefault="00C0561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study finds that employment type has the strongest statistical association with earnings outcomes among rural agricultural workers in Telangana. Compared with self-employed workers, casual labourers have a 16.7 percentage-point higher probability of being in the ₹1–5,000 earnings category and a 56.5 percentage-point higher probability of being in the Above ₹5,000 category. Both effects are statistically significant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&lt; 0.001). These results indicate that employment arrangement is strongly associated with reported earnings outcomes. The substantial difference may reflect the distinct mechanisms through which earnings are generated and recorded across employment types. Casual labourers generally receive direct monetary payments for their labour, whereas returns from self-employment may arise from household-based agricultural activities and may not be fully captured as individual monetary earnings in the PLFS. These findings should, however, be interpreted as statistical associations rather than causal effects.</w:t>
      </w:r>
    </w:p>
    <w:p w14:paraId="0E3D3522" w14:textId="77777777" w:rsidR="00C0561F" w:rsidRPr="000A7B2A" w:rsidRDefault="00C0561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Age is also associated with higher earnings. Senior workers aged 56 years and above have a 14.7 percentage-point lower probability of being in the Above ₹5,000 earnings category compared with workers aged 25 years or below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0.012). The corresponding marginal effect for the ₹1–5,000 category is not statistically significant. This suggests that older agricultural workers are less likely to be represented in the higher reported earnings category. The result may reflect differences in labour-market participation, work intensity, occupational opportunities, or the nature of agricultural employment among older workers. However, the cross-sectional nature of the analysis does not permit a causal interpretation.</w:t>
      </w:r>
    </w:p>
    <w:p w14:paraId="5D2C24A7" w14:textId="77777777" w:rsidR="00C0561F" w:rsidRPr="000A7B2A" w:rsidRDefault="00C0561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Education shows a mixed association with earnings outcomes. Primary education is associated with a 4.3 percentage-point lower probability of being in the ₹1–5,000 category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0.022), while higher education is associated with a 14.0 percentage-point lower probability of being in the Above ₹5,000 category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0.006), relative to workers who are not literate. The marginal effect of higher education on the ₹1–5,000 category is negative but only weakly significant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0.090). This unexpected negative </w:t>
      </w:r>
      <w:r w:rsidRPr="000A7B2A">
        <w:rPr>
          <w:rFonts w:ascii="Arial" w:eastAsia="Times New Roman" w:hAnsi="Arial" w:cs="Arial"/>
          <w:sz w:val="20"/>
          <w:szCs w:val="20"/>
          <w:lang w:eastAsia="en-IN"/>
        </w:rPr>
        <w:lastRenderedPageBreak/>
        <w:t>association should not be interpreted as evidence that education reduces earnings. Rather, it may reflect occupational selection and labour-market mobility, whereby more educated individuals have greater opportunities to move away from agricultural employment towards non-farm activities. Consequently, among workers who remain in agricultural employment, the relationship between education and reported agricultural earnings may differ from the overall return to education.</w:t>
      </w:r>
    </w:p>
    <w:p w14:paraId="01870991" w14:textId="77777777" w:rsidR="00C0561F" w:rsidRPr="000A7B2A" w:rsidRDefault="00C0561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Gender does not show a statistically significant association with either positive-earnings category in the marginal-effects estimates. Female workers have a 2.9 percentage-point higher probability of being in the ₹1–5,000 category and a 3.1 percentage-point higher probability of being in the Above ₹5,000 category compared with male workers. However, neither effect is statistically significant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0.166 and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0.293, respectively). Thus, the observed gender differences are not sufficiently strong to conclude that gender is statistically associated with the probability of belonging to either positive-earnings category after accounting for the other variables in the model.</w:t>
      </w:r>
    </w:p>
    <w:p w14:paraId="3486AC8F" w14:textId="77777777" w:rsidR="00C0561F" w:rsidRPr="000A7B2A" w:rsidRDefault="00C0561F" w:rsidP="00BF7C1A">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 </w:t>
      </w:r>
      <w:r w:rsidR="00B464A5" w:rsidRPr="000A7B2A">
        <w:rPr>
          <w:rFonts w:ascii="Arial" w:eastAsia="Times New Roman" w:hAnsi="Arial" w:cs="Arial"/>
          <w:sz w:val="20"/>
          <w:szCs w:val="20"/>
          <w:lang w:eastAsia="en-IN"/>
        </w:rPr>
        <w:t>T</w:t>
      </w:r>
      <w:r w:rsidRPr="000A7B2A">
        <w:rPr>
          <w:rFonts w:ascii="Arial" w:eastAsia="Times New Roman" w:hAnsi="Arial" w:cs="Arial"/>
          <w:sz w:val="20"/>
          <w:szCs w:val="20"/>
          <w:lang w:eastAsia="en-IN"/>
        </w:rPr>
        <w:t>he study indicates that employment type has the strongest statistical association with earnings probabilities, followed by selected differences associated with age and education, while gender is not statistically significant in the marginal-effects estimates. The findings are broadly consistent with the Labour Market Segmentation Theory, which emphasises the role of employment arrangements and labour-market structures in shaping workers' economic outcomes. They also broadly relate to the arguments concerning employment structure, occupational mobility, and labour-market segmentation discussed by Kannan and Raveendran (2019), Himanshu (2017), and Klasen and Pieters (2015). Nevertheless, these results should be understood as associations identified in the data and not as causal effects.</w:t>
      </w:r>
    </w:p>
    <w:p w14:paraId="2D96BC39" w14:textId="77777777" w:rsidR="00C0561F" w:rsidRPr="000A7B2A" w:rsidRDefault="00C0561F" w:rsidP="00DF130D">
      <w:pPr>
        <w:spacing w:before="100" w:beforeAutospacing="1" w:after="100" w:afterAutospacing="1" w:line="276" w:lineRule="auto"/>
        <w:outlineLvl w:val="0"/>
        <w:rPr>
          <w:rFonts w:ascii="Arial" w:eastAsia="Times New Roman" w:hAnsi="Arial" w:cs="Arial"/>
          <w:b/>
          <w:bCs/>
          <w:kern w:val="36"/>
          <w:sz w:val="20"/>
          <w:szCs w:val="20"/>
          <w:lang w:eastAsia="en-IN"/>
        </w:rPr>
      </w:pPr>
      <w:r w:rsidRPr="000A7B2A">
        <w:rPr>
          <w:rFonts w:ascii="Arial" w:eastAsia="Times New Roman" w:hAnsi="Arial" w:cs="Arial"/>
          <w:b/>
          <w:bCs/>
          <w:kern w:val="36"/>
          <w:sz w:val="20"/>
          <w:szCs w:val="20"/>
          <w:lang w:eastAsia="en-IN"/>
        </w:rPr>
        <w:t>5.1 Evaluation of Research Hypotheses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5"/>
        <w:gridCol w:w="2258"/>
        <w:gridCol w:w="4465"/>
        <w:gridCol w:w="1148"/>
      </w:tblGrid>
      <w:tr w:rsidR="00C0561F" w:rsidRPr="000A7B2A" w14:paraId="10209C69" w14:textId="77777777" w:rsidTr="00B464A5">
        <w:trPr>
          <w:tblHeader/>
          <w:tblCellSpacing w:w="15" w:type="dxa"/>
        </w:trPr>
        <w:tc>
          <w:tcPr>
            <w:tcW w:w="0" w:type="auto"/>
            <w:vAlign w:val="center"/>
            <w:hideMark/>
          </w:tcPr>
          <w:p w14:paraId="0ABFA69F" w14:textId="77777777" w:rsidR="00C0561F" w:rsidRPr="000A7B2A" w:rsidRDefault="00C0561F" w:rsidP="00DF130D">
            <w:pPr>
              <w:spacing w:after="0" w:line="276" w:lineRule="auto"/>
              <w:jc w:val="center"/>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Hypothesis</w:t>
            </w:r>
          </w:p>
        </w:tc>
        <w:tc>
          <w:tcPr>
            <w:tcW w:w="0" w:type="auto"/>
            <w:vAlign w:val="center"/>
            <w:hideMark/>
          </w:tcPr>
          <w:p w14:paraId="7567DDAA" w14:textId="77777777" w:rsidR="00C0561F" w:rsidRPr="000A7B2A" w:rsidRDefault="00C0561F" w:rsidP="00DF130D">
            <w:pPr>
              <w:spacing w:after="0" w:line="276" w:lineRule="auto"/>
              <w:jc w:val="center"/>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Statement</w:t>
            </w:r>
          </w:p>
        </w:tc>
        <w:tc>
          <w:tcPr>
            <w:tcW w:w="0" w:type="auto"/>
            <w:vAlign w:val="center"/>
            <w:hideMark/>
          </w:tcPr>
          <w:p w14:paraId="2CAFB849" w14:textId="77777777" w:rsidR="00C0561F" w:rsidRPr="000A7B2A" w:rsidRDefault="00C0561F" w:rsidP="00DF130D">
            <w:pPr>
              <w:spacing w:after="0" w:line="276" w:lineRule="auto"/>
              <w:jc w:val="center"/>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Evidence</w:t>
            </w:r>
          </w:p>
        </w:tc>
        <w:tc>
          <w:tcPr>
            <w:tcW w:w="0" w:type="auto"/>
            <w:vAlign w:val="center"/>
            <w:hideMark/>
          </w:tcPr>
          <w:p w14:paraId="6C3D8B94" w14:textId="77777777" w:rsidR="00C0561F" w:rsidRPr="000A7B2A" w:rsidRDefault="00C0561F" w:rsidP="00DF130D">
            <w:pPr>
              <w:spacing w:after="0" w:line="276" w:lineRule="auto"/>
              <w:jc w:val="center"/>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Decision</w:t>
            </w:r>
          </w:p>
        </w:tc>
      </w:tr>
      <w:tr w:rsidR="00C0561F" w:rsidRPr="000A7B2A" w14:paraId="602C2303" w14:textId="77777777" w:rsidTr="00B464A5">
        <w:trPr>
          <w:tblCellSpacing w:w="15" w:type="dxa"/>
        </w:trPr>
        <w:tc>
          <w:tcPr>
            <w:tcW w:w="0" w:type="auto"/>
            <w:vAlign w:val="center"/>
            <w:hideMark/>
          </w:tcPr>
          <w:p w14:paraId="4E1D347F"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H1</w:t>
            </w:r>
          </w:p>
        </w:tc>
        <w:tc>
          <w:tcPr>
            <w:tcW w:w="0" w:type="auto"/>
            <w:vAlign w:val="center"/>
            <w:hideMark/>
          </w:tcPr>
          <w:p w14:paraId="5173C97F"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Gender is significantly associated with earnings outcomes.</w:t>
            </w:r>
          </w:p>
        </w:tc>
        <w:tc>
          <w:tcPr>
            <w:tcW w:w="0" w:type="auto"/>
            <w:vAlign w:val="center"/>
            <w:hideMark/>
          </w:tcPr>
          <w:p w14:paraId="6205F369"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Female workers have slightly higher predicted probabilities of being in both positive-earnings categories. However, neither AME is statistically significant (₹1–5,000: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0.166; Above ₹5,000: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0.293).</w:t>
            </w:r>
          </w:p>
        </w:tc>
        <w:tc>
          <w:tcPr>
            <w:tcW w:w="0" w:type="auto"/>
            <w:vAlign w:val="center"/>
            <w:hideMark/>
          </w:tcPr>
          <w:p w14:paraId="19580107"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Not supported</w:t>
            </w:r>
          </w:p>
        </w:tc>
      </w:tr>
      <w:tr w:rsidR="00C0561F" w:rsidRPr="000A7B2A" w14:paraId="69DD6726" w14:textId="77777777" w:rsidTr="00B464A5">
        <w:trPr>
          <w:tblCellSpacing w:w="15" w:type="dxa"/>
        </w:trPr>
        <w:tc>
          <w:tcPr>
            <w:tcW w:w="0" w:type="auto"/>
            <w:vAlign w:val="center"/>
            <w:hideMark/>
          </w:tcPr>
          <w:p w14:paraId="18481025"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H2</w:t>
            </w:r>
          </w:p>
        </w:tc>
        <w:tc>
          <w:tcPr>
            <w:tcW w:w="0" w:type="auto"/>
            <w:vAlign w:val="center"/>
            <w:hideMark/>
          </w:tcPr>
          <w:p w14:paraId="1FA01E0E"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Educational attainment is significantly associated with earnings outcomes.</w:t>
            </w:r>
          </w:p>
        </w:tc>
        <w:tc>
          <w:tcPr>
            <w:tcW w:w="0" w:type="auto"/>
            <w:vAlign w:val="center"/>
            <w:hideMark/>
          </w:tcPr>
          <w:p w14:paraId="5CADC4EB"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Primary education is significantly associated with the ₹1–5,000 category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0.022), while higher education is significantly associated with the Above ₹5,000 category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0.006).</w:t>
            </w:r>
          </w:p>
        </w:tc>
        <w:tc>
          <w:tcPr>
            <w:tcW w:w="0" w:type="auto"/>
            <w:vAlign w:val="center"/>
            <w:hideMark/>
          </w:tcPr>
          <w:p w14:paraId="1168504D"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Supported</w:t>
            </w:r>
          </w:p>
        </w:tc>
      </w:tr>
      <w:tr w:rsidR="00C0561F" w:rsidRPr="000A7B2A" w14:paraId="3C4AC187" w14:textId="77777777" w:rsidTr="00B464A5">
        <w:trPr>
          <w:tblCellSpacing w:w="15" w:type="dxa"/>
        </w:trPr>
        <w:tc>
          <w:tcPr>
            <w:tcW w:w="0" w:type="auto"/>
            <w:vAlign w:val="center"/>
            <w:hideMark/>
          </w:tcPr>
          <w:p w14:paraId="6DCAFA17"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H3</w:t>
            </w:r>
          </w:p>
        </w:tc>
        <w:tc>
          <w:tcPr>
            <w:tcW w:w="0" w:type="auto"/>
            <w:vAlign w:val="center"/>
            <w:hideMark/>
          </w:tcPr>
          <w:p w14:paraId="1EE923AB"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Age group is significantly associated with earnings outcomes.</w:t>
            </w:r>
          </w:p>
        </w:tc>
        <w:tc>
          <w:tcPr>
            <w:tcW w:w="0" w:type="auto"/>
            <w:vAlign w:val="center"/>
            <w:hideMark/>
          </w:tcPr>
          <w:p w14:paraId="710A0C64"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Senior workers aged 56+ have a significantly lower probability of being in the Above ₹5,000 category (dy/dx = −0.147,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 0.012).</w:t>
            </w:r>
          </w:p>
        </w:tc>
        <w:tc>
          <w:tcPr>
            <w:tcW w:w="0" w:type="auto"/>
            <w:vAlign w:val="center"/>
            <w:hideMark/>
          </w:tcPr>
          <w:p w14:paraId="298A5E27"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Supported</w:t>
            </w:r>
          </w:p>
        </w:tc>
      </w:tr>
      <w:tr w:rsidR="00C0561F" w:rsidRPr="000A7B2A" w14:paraId="20CCFEED" w14:textId="77777777" w:rsidTr="00B464A5">
        <w:trPr>
          <w:tblCellSpacing w:w="15" w:type="dxa"/>
        </w:trPr>
        <w:tc>
          <w:tcPr>
            <w:tcW w:w="0" w:type="auto"/>
            <w:vAlign w:val="center"/>
            <w:hideMark/>
          </w:tcPr>
          <w:p w14:paraId="1AEF3D33"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H4</w:t>
            </w:r>
          </w:p>
        </w:tc>
        <w:tc>
          <w:tcPr>
            <w:tcW w:w="0" w:type="auto"/>
            <w:vAlign w:val="center"/>
            <w:hideMark/>
          </w:tcPr>
          <w:p w14:paraId="670B893E"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Employment type is significantly associated with earnings outcomes.</w:t>
            </w:r>
          </w:p>
        </w:tc>
        <w:tc>
          <w:tcPr>
            <w:tcW w:w="0" w:type="auto"/>
            <w:vAlign w:val="center"/>
            <w:hideMark/>
          </w:tcPr>
          <w:p w14:paraId="409D06CF"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Casual labourers have significantly higher probabilities of being in both positive-earnings categories than self-employed workers (dy/dx = 0.167 and 0.565; </w:t>
            </w:r>
            <w:r w:rsidRPr="000A7B2A">
              <w:rPr>
                <w:rFonts w:ascii="Arial" w:eastAsia="Times New Roman" w:hAnsi="Arial" w:cs="Arial"/>
                <w:i/>
                <w:iCs/>
                <w:sz w:val="20"/>
                <w:szCs w:val="20"/>
                <w:lang w:eastAsia="en-IN"/>
              </w:rPr>
              <w:t>p</w:t>
            </w:r>
            <w:r w:rsidRPr="000A7B2A">
              <w:rPr>
                <w:rFonts w:ascii="Arial" w:eastAsia="Times New Roman" w:hAnsi="Arial" w:cs="Arial"/>
                <w:sz w:val="20"/>
                <w:szCs w:val="20"/>
                <w:lang w:eastAsia="en-IN"/>
              </w:rPr>
              <w:t xml:space="preserve"> &lt; 0.001).</w:t>
            </w:r>
          </w:p>
        </w:tc>
        <w:tc>
          <w:tcPr>
            <w:tcW w:w="0" w:type="auto"/>
            <w:vAlign w:val="center"/>
            <w:hideMark/>
          </w:tcPr>
          <w:p w14:paraId="631B13A1" w14:textId="77777777" w:rsidR="00C0561F" w:rsidRPr="000A7B2A" w:rsidRDefault="00C0561F" w:rsidP="00DF130D">
            <w:pPr>
              <w:spacing w:after="0" w:line="276" w:lineRule="auto"/>
              <w:rPr>
                <w:rFonts w:ascii="Arial" w:eastAsia="Times New Roman" w:hAnsi="Arial" w:cs="Arial"/>
                <w:sz w:val="20"/>
                <w:szCs w:val="20"/>
                <w:lang w:eastAsia="en-IN"/>
              </w:rPr>
            </w:pPr>
            <w:r w:rsidRPr="000A7B2A">
              <w:rPr>
                <w:rFonts w:ascii="Arial" w:eastAsia="Times New Roman" w:hAnsi="Arial" w:cs="Arial"/>
                <w:b/>
                <w:bCs/>
                <w:sz w:val="20"/>
                <w:szCs w:val="20"/>
                <w:lang w:eastAsia="en-IN"/>
              </w:rPr>
              <w:t>Supported</w:t>
            </w:r>
          </w:p>
        </w:tc>
      </w:tr>
    </w:tbl>
    <w:p w14:paraId="735C921A" w14:textId="77777777" w:rsidR="00C0561F" w:rsidRPr="000A7B2A" w:rsidRDefault="00C0561F" w:rsidP="00DF130D">
      <w:pPr>
        <w:spacing w:before="100" w:beforeAutospacing="1" w:after="100" w:afterAutospacing="1" w:line="276" w:lineRule="auto"/>
        <w:outlineLvl w:val="2"/>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Hypothesis interpretation</w:t>
      </w:r>
    </w:p>
    <w:p w14:paraId="415DDEA4" w14:textId="77777777" w:rsidR="00C0561F" w:rsidRPr="000A7B2A" w:rsidRDefault="00C0561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Based on the average marginal effects, H1 is not supported, whereas H2, H3, and H4 are supported. The evidence for H1 does not meet the conventional 5% significance level because the marginal effects of being female are statistically insignificant for both the ₹1–5,000 and </w:t>
      </w:r>
      <w:r w:rsidR="000A7442" w:rsidRPr="000A7B2A">
        <w:rPr>
          <w:rFonts w:ascii="Arial" w:eastAsia="Times New Roman" w:hAnsi="Arial" w:cs="Arial"/>
          <w:sz w:val="20"/>
          <w:szCs w:val="20"/>
          <w:lang w:eastAsia="en-IN"/>
        </w:rPr>
        <w:t>above</w:t>
      </w:r>
      <w:r w:rsidRPr="000A7B2A">
        <w:rPr>
          <w:rFonts w:ascii="Arial" w:eastAsia="Times New Roman" w:hAnsi="Arial" w:cs="Arial"/>
          <w:sz w:val="20"/>
          <w:szCs w:val="20"/>
          <w:lang w:eastAsia="en-IN"/>
        </w:rPr>
        <w:t xml:space="preserve"> ₹5,000 categories.</w:t>
      </w:r>
    </w:p>
    <w:p w14:paraId="49330255" w14:textId="77777777" w:rsidR="000A7442" w:rsidRPr="000A7B2A" w:rsidRDefault="00C0561F"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lastRenderedPageBreak/>
        <w:t xml:space="preserve">The apparent difference between the multinomial-logit coefficients and the marginal-effects results should be clearly distinguished. A multinomial-logit coefficient represents the change in the relative log-odds of an outcome relative to the reference category, whereas an average marginal effect measures the change in the predicted probability of an outcome, taking account of the probabilities of all outcome categories. Therefore, for substantive interpretation of how gender, age, education, and employment type are associated with the probability of different earnings outcomes, the AME estimates are the more appropriate basis for </w:t>
      </w:r>
      <w:r w:rsidR="000A7442" w:rsidRPr="000A7B2A">
        <w:rPr>
          <w:rFonts w:ascii="Arial" w:eastAsia="Times New Roman" w:hAnsi="Arial" w:cs="Arial"/>
          <w:sz w:val="20"/>
          <w:szCs w:val="20"/>
          <w:lang w:eastAsia="en-IN"/>
        </w:rPr>
        <w:t>interpretation. The</w:t>
      </w:r>
      <w:r w:rsidRPr="000A7B2A">
        <w:rPr>
          <w:rFonts w:ascii="Arial" w:eastAsia="Times New Roman" w:hAnsi="Arial" w:cs="Arial"/>
          <w:sz w:val="20"/>
          <w:szCs w:val="20"/>
          <w:lang w:eastAsia="en-IN"/>
        </w:rPr>
        <w:t xml:space="preserve"> study concludes that employment type exhibits the strongest statistical association with earnings outcomes, while age and education are significantly associated with selected earnings categories. Gender, in contrast, does not show a statistically significant association with positive earnings probabilities in the AME results. </w:t>
      </w:r>
    </w:p>
    <w:p w14:paraId="44ED5F07" w14:textId="77777777" w:rsidR="00E22E34" w:rsidRPr="000A7B2A" w:rsidRDefault="00E22E34" w:rsidP="00DF130D">
      <w:pPr>
        <w:spacing w:before="100" w:beforeAutospacing="1" w:after="100" w:afterAutospacing="1" w:line="276" w:lineRule="auto"/>
        <w:jc w:val="both"/>
        <w:outlineLvl w:val="1"/>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5.2 Limitations of the Study</w:t>
      </w:r>
    </w:p>
    <w:p w14:paraId="61637BD0" w14:textId="77777777" w:rsidR="00E22E34" w:rsidRPr="000A7B2A" w:rsidRDefault="00E22E34"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 xml:space="preserve">This study has several limitations that should be considered when interpreting the findings. First, the analysis is based on </w:t>
      </w:r>
      <w:r w:rsidRPr="000A7B2A">
        <w:rPr>
          <w:rFonts w:ascii="Arial" w:eastAsia="Times New Roman" w:hAnsi="Arial" w:cs="Arial"/>
          <w:i/>
          <w:iCs/>
          <w:sz w:val="20"/>
          <w:szCs w:val="20"/>
          <w:lang w:eastAsia="en-IN"/>
        </w:rPr>
        <w:t>cross-sectional PLFS 2023–24</w:t>
      </w:r>
      <w:r w:rsidRPr="000A7B2A">
        <w:rPr>
          <w:rFonts w:ascii="Arial" w:eastAsia="Times New Roman" w:hAnsi="Arial" w:cs="Arial"/>
          <w:sz w:val="20"/>
          <w:szCs w:val="20"/>
          <w:lang w:eastAsia="en-IN"/>
        </w:rPr>
        <w:t xml:space="preserve"> data; therefore, the estimated relationships represent statistical associations and cannot establish causal effects. Second, the analysis is limited to the explanatory variables available and consistently measurable in the analytical sample. Factors such as landholding size, farm productivity, irrigation access, crop choice, household assets, caste, local labour-market conditions, and access to non-farm employment may also influence agricultural earnings but are not included in the present model. Their omission may result in residual confounding.</w:t>
      </w:r>
    </w:p>
    <w:p w14:paraId="4091C676" w14:textId="77777777" w:rsidR="00E22E34" w:rsidRPr="000A7B2A" w:rsidRDefault="00E22E34"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Third, the measurement of earnings differs across employment types. Casual labour earnings are based primarily on payments received for labour services, whereas self-employed agricultural workers may derive returns from household production or own-account agricultural activities. Individual earnings among self-employed and unpaid family workers may therefore not be directly comparable with cash wages received by casual labourers. The Zero Earnings category should consequently be interpreted as zero reported individual monetary earnings rather than an absence of productive activity or household income.</w:t>
      </w:r>
      <w:r w:rsidR="005E2EAB" w:rsidRPr="000A7B2A">
        <w:rPr>
          <w:rFonts w:ascii="Arial" w:eastAsia="Times New Roman" w:hAnsi="Arial" w:cs="Arial"/>
          <w:sz w:val="20"/>
          <w:szCs w:val="20"/>
          <w:lang w:eastAsia="en-IN"/>
        </w:rPr>
        <w:t xml:space="preserve"> </w:t>
      </w:r>
      <w:r w:rsidRPr="000A7B2A">
        <w:rPr>
          <w:rFonts w:ascii="Arial" w:eastAsia="Times New Roman" w:hAnsi="Arial" w:cs="Arial"/>
          <w:sz w:val="20"/>
          <w:szCs w:val="20"/>
          <w:lang w:eastAsia="en-IN"/>
        </w:rPr>
        <w:t>The association between employment type and reported earnings may partly reflect these differences in earnings generation and measurement. The findings should therefore be interpreted as evidence of differences in reported individual monetary earnings across employment arrangements rather than as evidence that one employment type necessarily provides greater overall economic welfare than another.</w:t>
      </w:r>
    </w:p>
    <w:p w14:paraId="337765EC" w14:textId="77777777" w:rsidR="00D15D52" w:rsidRPr="000A7B2A" w:rsidRDefault="00D94CF8" w:rsidP="00DF130D">
      <w:pPr>
        <w:spacing w:before="100" w:beforeAutospacing="1" w:after="100" w:afterAutospacing="1" w:line="276" w:lineRule="auto"/>
        <w:jc w:val="both"/>
        <w:outlineLvl w:val="1"/>
        <w:rPr>
          <w:rFonts w:ascii="Arial" w:eastAsia="Times New Roman" w:hAnsi="Arial" w:cs="Arial"/>
          <w:b/>
          <w:bCs/>
          <w:lang w:eastAsia="en-IN"/>
        </w:rPr>
      </w:pPr>
      <w:r w:rsidRPr="000A7B2A">
        <w:rPr>
          <w:rFonts w:ascii="Arial" w:eastAsia="Times New Roman" w:hAnsi="Arial" w:cs="Arial"/>
          <w:b/>
          <w:bCs/>
          <w:lang w:eastAsia="en-IN"/>
        </w:rPr>
        <w:t>6</w:t>
      </w:r>
      <w:r w:rsidR="00D15D52" w:rsidRPr="000A7B2A">
        <w:rPr>
          <w:rFonts w:ascii="Arial" w:eastAsia="Times New Roman" w:hAnsi="Arial" w:cs="Arial"/>
          <w:b/>
          <w:bCs/>
          <w:lang w:eastAsia="en-IN"/>
        </w:rPr>
        <w:t xml:space="preserve">. </w:t>
      </w:r>
      <w:r w:rsidR="0084325B" w:rsidRPr="000A7B2A">
        <w:rPr>
          <w:rFonts w:ascii="Arial" w:eastAsia="Times New Roman" w:hAnsi="Arial" w:cs="Arial"/>
          <w:b/>
          <w:bCs/>
          <w:lang w:eastAsia="en-IN"/>
        </w:rPr>
        <w:t>CONCLUSION</w:t>
      </w:r>
    </w:p>
    <w:p w14:paraId="068DEC66" w14:textId="7D4AD5FB" w:rsidR="00B91C7A" w:rsidRPr="000A7B2A" w:rsidRDefault="00F60340" w:rsidP="00DF130D">
      <w:pPr>
        <w:pStyle w:val="isselectedend"/>
        <w:spacing w:line="276" w:lineRule="auto"/>
        <w:jc w:val="both"/>
        <w:rPr>
          <w:rFonts w:ascii="Arial" w:hAnsi="Arial" w:cs="Arial"/>
          <w:sz w:val="20"/>
          <w:szCs w:val="20"/>
        </w:rPr>
      </w:pPr>
      <w:r w:rsidRPr="000A7B2A">
        <w:rPr>
          <w:rFonts w:ascii="Arial" w:hAnsi="Arial" w:cs="Arial"/>
          <w:sz w:val="20"/>
          <w:szCs w:val="20"/>
        </w:rPr>
        <w:t>This study examined earnings inequality among rural agricultural workers in Telangana using PLFS 2023–24 data. Employment type showed the strongest statistical association with earnings outcomes. Casual labourers had substantially higher predicted probabilities of positive reported monthly earnings than self-employed workers, although this difference should be interpreted in light of the distinct ways in which earnings are generated and recorded across employment arrangements. Age and education were also associated with selected earnings categories. Senior workers were less likely to be represented in the higher earnings category, while the associations with educational attainment varied across earnings categories. Gender did not show a statistically significant association with either positive-earnings category in the average marginal-effects estimates. These results indicate that employment arrangements are central to understanding reported individual earnings differences within the rural agricultural workforce. Policy attention may therefore be directed towards strengthening income security for self-employed and unpaid family workers, expanding productive and non-farm employment opportunities, and improving access to social protection. The cross-sectional findings describe associations and do not establish causal effects.</w:t>
      </w:r>
    </w:p>
    <w:p w14:paraId="0DB2BA7B" w14:textId="77777777" w:rsidR="00C02136" w:rsidRPr="000A7B2A" w:rsidRDefault="00C02136" w:rsidP="00DF130D">
      <w:pPr>
        <w:spacing w:before="100" w:beforeAutospacing="1" w:after="100" w:afterAutospacing="1" w:line="276" w:lineRule="auto"/>
        <w:jc w:val="both"/>
        <w:outlineLvl w:val="1"/>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Acknowledgement</w:t>
      </w:r>
    </w:p>
    <w:p w14:paraId="1CA8C7B8" w14:textId="77777777" w:rsidR="00D15D52" w:rsidRPr="000A7B2A" w:rsidRDefault="00C02136"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lastRenderedPageBreak/>
        <w:t xml:space="preserve">The author gratefully acknowledges the </w:t>
      </w:r>
      <w:r w:rsidRPr="000A7B2A">
        <w:rPr>
          <w:rFonts w:ascii="Arial" w:eastAsia="Times New Roman" w:hAnsi="Arial" w:cs="Arial"/>
          <w:i/>
          <w:iCs/>
          <w:sz w:val="20"/>
          <w:szCs w:val="20"/>
          <w:lang w:eastAsia="en-IN"/>
        </w:rPr>
        <w:t xml:space="preserve">Periodic Labour Force Survey (PLFS) 2023–24 </w:t>
      </w:r>
      <w:r w:rsidRPr="000A7B2A">
        <w:rPr>
          <w:rFonts w:ascii="Arial" w:eastAsia="Times New Roman" w:hAnsi="Arial" w:cs="Arial"/>
          <w:sz w:val="20"/>
          <w:szCs w:val="20"/>
          <w:lang w:eastAsia="en-IN"/>
        </w:rPr>
        <w:t>data provided by the Ministry of Statistics and Programme Implementation (MoSPI), Government of India, which made this study possible. The author also expresses sincere gratitude to the research supervisor, faculty members, and colleagues for their valuable guidance and support throughout the study.</w:t>
      </w:r>
    </w:p>
    <w:p w14:paraId="120298D1" w14:textId="77777777" w:rsidR="004D5B2D" w:rsidRPr="000A7B2A" w:rsidRDefault="004D5B2D" w:rsidP="00DF130D">
      <w:pPr>
        <w:spacing w:before="100" w:beforeAutospacing="1" w:after="100" w:afterAutospacing="1" w:line="276" w:lineRule="auto"/>
        <w:jc w:val="both"/>
        <w:outlineLvl w:val="1"/>
        <w:rPr>
          <w:rFonts w:ascii="Arial" w:eastAsia="Times New Roman" w:hAnsi="Arial" w:cs="Arial"/>
          <w:b/>
          <w:bCs/>
          <w:sz w:val="20"/>
          <w:szCs w:val="20"/>
          <w:lang w:eastAsia="en-IN"/>
        </w:rPr>
      </w:pPr>
      <w:r w:rsidRPr="000A7B2A">
        <w:rPr>
          <w:rFonts w:ascii="Arial" w:eastAsia="Times New Roman" w:hAnsi="Arial" w:cs="Arial"/>
          <w:b/>
          <w:bCs/>
          <w:sz w:val="20"/>
          <w:szCs w:val="20"/>
          <w:lang w:eastAsia="en-IN"/>
        </w:rPr>
        <w:t>Competing Interests</w:t>
      </w:r>
    </w:p>
    <w:p w14:paraId="08AD3B88" w14:textId="77777777" w:rsidR="004D5B2D" w:rsidRPr="000A7B2A" w:rsidRDefault="004D5B2D" w:rsidP="00DF130D">
      <w:pPr>
        <w:spacing w:before="100" w:beforeAutospacing="1" w:after="100" w:afterAutospacing="1" w:line="276" w:lineRule="auto"/>
        <w:jc w:val="both"/>
        <w:rPr>
          <w:rFonts w:ascii="Arial" w:eastAsia="Times New Roman" w:hAnsi="Arial" w:cs="Arial"/>
          <w:sz w:val="20"/>
          <w:szCs w:val="20"/>
          <w:lang w:eastAsia="en-IN"/>
        </w:rPr>
      </w:pPr>
      <w:r w:rsidRPr="000A7B2A">
        <w:rPr>
          <w:rFonts w:ascii="Arial" w:eastAsia="Times New Roman" w:hAnsi="Arial" w:cs="Arial"/>
          <w:sz w:val="20"/>
          <w:szCs w:val="20"/>
          <w:lang w:eastAsia="en-IN"/>
        </w:rPr>
        <w:t>The authors declare that they have no competing interests.</w:t>
      </w:r>
    </w:p>
    <w:p w14:paraId="409DF0B5" w14:textId="170C0C96" w:rsidR="00D90F98" w:rsidRPr="00D55BF3" w:rsidRDefault="004D5B2D" w:rsidP="00D55BF3">
      <w:pPr>
        <w:spacing w:before="100" w:beforeAutospacing="1" w:after="100" w:afterAutospacing="1" w:line="276" w:lineRule="auto"/>
        <w:jc w:val="both"/>
        <w:outlineLvl w:val="1"/>
        <w:rPr>
          <w:rFonts w:ascii="Arial" w:eastAsia="Times New Roman" w:hAnsi="Arial" w:cs="Arial"/>
          <w:b/>
          <w:bCs/>
          <w:lang w:eastAsia="en-IN"/>
        </w:rPr>
      </w:pPr>
      <w:r w:rsidRPr="000A7B2A">
        <w:rPr>
          <w:rFonts w:ascii="Arial" w:eastAsia="Times New Roman" w:hAnsi="Arial" w:cs="Arial"/>
          <w:b/>
          <w:bCs/>
          <w:lang w:eastAsia="en-IN"/>
        </w:rPr>
        <w:t xml:space="preserve"> </w:t>
      </w:r>
      <w:r w:rsidR="00D90F98" w:rsidRPr="000A7B2A">
        <w:rPr>
          <w:rFonts w:ascii="Arial" w:eastAsia="Calibri" w:hAnsi="Arial" w:cs="Arial"/>
          <w:b/>
          <w:bCs/>
          <w:kern w:val="2"/>
          <w:sz w:val="20"/>
          <w:szCs w:val="20"/>
          <w:lang w:val="en-US" w:bidi="ar-SA"/>
          <w14:ligatures w14:val="standardContextual"/>
        </w:rPr>
        <w:t>Declaration of AI Use</w:t>
      </w:r>
    </w:p>
    <w:p w14:paraId="06283968" w14:textId="77777777" w:rsidR="00D90F98" w:rsidRPr="000A7B2A" w:rsidRDefault="00D90F98" w:rsidP="00DF130D">
      <w:pPr>
        <w:spacing w:line="276" w:lineRule="auto"/>
        <w:jc w:val="both"/>
        <w:rPr>
          <w:rFonts w:ascii="Arial" w:eastAsia="Calibri" w:hAnsi="Arial" w:cs="Arial"/>
          <w:kern w:val="2"/>
          <w:sz w:val="20"/>
          <w:szCs w:val="20"/>
          <w:lang w:val="en-US" w:bidi="ar-SA"/>
          <w14:ligatures w14:val="standardContextual"/>
        </w:rPr>
      </w:pPr>
      <w:r w:rsidRPr="000A7B2A">
        <w:rPr>
          <w:rFonts w:ascii="Arial" w:eastAsia="Calibri" w:hAnsi="Arial" w:cs="Arial"/>
          <w:kern w:val="2"/>
          <w:sz w:val="20"/>
          <w:szCs w:val="20"/>
          <w:lang w:val="en-US" w:bidi="ar-SA"/>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5A2B86D" w14:textId="77777777" w:rsidR="00B30A4C" w:rsidRPr="000A7B2A" w:rsidRDefault="00B30A4C" w:rsidP="00DF130D">
      <w:pPr>
        <w:spacing w:before="100" w:beforeAutospacing="1" w:after="100" w:afterAutospacing="1" w:line="276" w:lineRule="auto"/>
        <w:jc w:val="both"/>
        <w:rPr>
          <w:rFonts w:ascii="Arial" w:eastAsia="Times New Roman" w:hAnsi="Arial" w:cs="Arial"/>
          <w:sz w:val="20"/>
          <w:szCs w:val="20"/>
          <w:lang w:eastAsia="en-IN"/>
        </w:rPr>
      </w:pPr>
    </w:p>
    <w:p w14:paraId="1E89D96F" w14:textId="77777777" w:rsidR="00970995" w:rsidRPr="000A7B2A" w:rsidRDefault="00970995" w:rsidP="00DF130D">
      <w:pPr>
        <w:spacing w:before="100" w:beforeAutospacing="1" w:after="100" w:afterAutospacing="1" w:line="276" w:lineRule="auto"/>
        <w:jc w:val="both"/>
        <w:rPr>
          <w:rFonts w:ascii="Arial" w:eastAsia="Times New Roman" w:hAnsi="Arial" w:cs="Arial"/>
          <w:sz w:val="20"/>
          <w:szCs w:val="20"/>
          <w:lang w:eastAsia="en-IN"/>
        </w:rPr>
      </w:pPr>
    </w:p>
    <w:p w14:paraId="296734C4"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77601AF1"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3CF6844A"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583DE4B8"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597C5EE1"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1350B721"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1A8E3B37"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5D8278BB"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715E9045"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53D1AE50" w14:textId="77777777" w:rsidR="007E7E65" w:rsidRPr="000A7B2A" w:rsidRDefault="007E7E65" w:rsidP="00DF130D">
      <w:pPr>
        <w:spacing w:before="100" w:beforeAutospacing="1" w:after="100" w:afterAutospacing="1" w:line="276" w:lineRule="auto"/>
        <w:jc w:val="both"/>
        <w:rPr>
          <w:rFonts w:ascii="Arial" w:eastAsia="Times New Roman" w:hAnsi="Arial" w:cs="Arial"/>
          <w:sz w:val="20"/>
          <w:szCs w:val="20"/>
          <w:lang w:eastAsia="en-IN"/>
        </w:rPr>
      </w:pPr>
    </w:p>
    <w:p w14:paraId="2E1907A8" w14:textId="77777777" w:rsidR="007E7E65" w:rsidRPr="000A7B2A" w:rsidRDefault="007E7E65" w:rsidP="007E7E65">
      <w:pPr>
        <w:spacing w:before="100" w:beforeAutospacing="1" w:after="100" w:afterAutospacing="1" w:line="240" w:lineRule="auto"/>
        <w:outlineLvl w:val="1"/>
        <w:rPr>
          <w:rFonts w:ascii="Times New Roman" w:eastAsia="Times New Roman" w:hAnsi="Times New Roman" w:cs="Times New Roman"/>
          <w:b/>
          <w:bCs/>
          <w:sz w:val="20"/>
          <w:szCs w:val="20"/>
          <w:lang w:eastAsia="en-IN"/>
        </w:rPr>
      </w:pPr>
      <w:r w:rsidRPr="000A7B2A">
        <w:rPr>
          <w:rFonts w:ascii="Times New Roman" w:eastAsia="Times New Roman" w:hAnsi="Times New Roman" w:cs="Times New Roman"/>
          <w:b/>
          <w:bCs/>
          <w:sz w:val="20"/>
          <w:szCs w:val="20"/>
          <w:lang w:eastAsia="en-IN"/>
        </w:rPr>
        <w:t>6. REFERENCES</w:t>
      </w:r>
    </w:p>
    <w:p w14:paraId="114794A5"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Abraham, V. (2017). Stagnant employment growth: Last three years may have been the worst. </w:t>
      </w:r>
      <w:r>
        <w:rPr>
          <w:rFonts w:ascii="Arial" w:eastAsia="Arial" w:hAnsi="Arial" w:cs="Arial"/>
          <w:i/>
          <w:sz w:val="20"/>
        </w:rPr>
        <w:t>Economic &amp; Political Weekly, 52</w:t>
      </w:r>
      <w:r>
        <w:rPr>
          <w:rFonts w:ascii="Arial" w:eastAsia="Arial" w:hAnsi="Arial" w:cs="Arial"/>
          <w:sz w:val="20"/>
        </w:rPr>
        <w:t xml:space="preserve">(38), 13–17. </w:t>
      </w:r>
      <w:hyperlink r:id="rId7">
        <w:r>
          <w:rPr>
            <w:rFonts w:ascii="Arial" w:eastAsia="Arial" w:hAnsi="Arial" w:cs="Arial"/>
            <w:color w:val="0563C1"/>
            <w:sz w:val="20"/>
            <w:szCs w:val="20"/>
            <w:u w:val="single"/>
          </w:rPr>
          <w:t>https://www.epw.in/journal/2017/38/commentary/stagnant-employment-growth.html</w:t>
        </w:r>
      </w:hyperlink>
    </w:p>
    <w:p w14:paraId="021E44E7"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lastRenderedPageBreak/>
        <w:t xml:space="preserve">Ahmed, S., &amp; Maitra, P. (2010). Gender wage discrimination in rural and urban labour markets of Bangladesh. </w:t>
      </w:r>
      <w:r>
        <w:rPr>
          <w:rFonts w:ascii="Arial" w:eastAsia="Arial" w:hAnsi="Arial" w:cs="Arial"/>
          <w:i/>
          <w:sz w:val="20"/>
        </w:rPr>
        <w:t>Oxford Development Studies, 38</w:t>
      </w:r>
      <w:r>
        <w:rPr>
          <w:rFonts w:ascii="Arial" w:eastAsia="Arial" w:hAnsi="Arial" w:cs="Arial"/>
          <w:sz w:val="20"/>
        </w:rPr>
        <w:t xml:space="preserve">(1), 83–112. </w:t>
      </w:r>
      <w:hyperlink r:id="rId8">
        <w:r>
          <w:rPr>
            <w:rFonts w:ascii="Arial" w:eastAsia="Arial" w:hAnsi="Arial" w:cs="Arial"/>
            <w:color w:val="0563C1"/>
            <w:sz w:val="20"/>
            <w:szCs w:val="20"/>
            <w:u w:val="single"/>
          </w:rPr>
          <w:t>https://doi.org/10.1080/13600810903551611</w:t>
        </w:r>
      </w:hyperlink>
    </w:p>
    <w:p w14:paraId="5E4605EB"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Ahmed, S., &amp; Maitra, P. (2015). A distributional analysis of the gender wage gap in Bangladesh. </w:t>
      </w:r>
      <w:r>
        <w:rPr>
          <w:rFonts w:ascii="Arial" w:eastAsia="Arial" w:hAnsi="Arial" w:cs="Arial"/>
          <w:i/>
          <w:sz w:val="20"/>
        </w:rPr>
        <w:t>The Journal of Development Studies, 51</w:t>
      </w:r>
      <w:r>
        <w:rPr>
          <w:rFonts w:ascii="Arial" w:eastAsia="Arial" w:hAnsi="Arial" w:cs="Arial"/>
          <w:sz w:val="20"/>
        </w:rPr>
        <w:t xml:space="preserve">(11), 1444–1458. </w:t>
      </w:r>
      <w:hyperlink r:id="rId9">
        <w:r>
          <w:rPr>
            <w:rFonts w:ascii="Arial" w:eastAsia="Arial" w:hAnsi="Arial" w:cs="Arial"/>
            <w:color w:val="0563C1"/>
            <w:sz w:val="20"/>
            <w:szCs w:val="20"/>
            <w:u w:val="single"/>
          </w:rPr>
          <w:t>https://doi.org/10.1080/00220388.2015.1046444</w:t>
        </w:r>
      </w:hyperlink>
    </w:p>
    <w:p w14:paraId="3F5DE476"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Becker, G. S. (1964). </w:t>
      </w:r>
      <w:r>
        <w:rPr>
          <w:rFonts w:ascii="Arial" w:eastAsia="Arial" w:hAnsi="Arial" w:cs="Arial"/>
          <w:i/>
          <w:sz w:val="20"/>
        </w:rPr>
        <w:t>Human capital: A theoretical and empirical analysis, with special reference to education</w:t>
      </w:r>
      <w:r>
        <w:rPr>
          <w:rFonts w:ascii="Arial" w:eastAsia="Arial" w:hAnsi="Arial" w:cs="Arial"/>
          <w:sz w:val="20"/>
        </w:rPr>
        <w:t xml:space="preserve">. National Bureau of Economic Research. </w:t>
      </w:r>
      <w:r>
        <w:rPr>
          <w:rFonts w:ascii="Arial" w:eastAsia="Arial" w:hAnsi="Arial" w:cs="Arial"/>
          <w:b/>
          <w:sz w:val="20"/>
        </w:rPr>
        <w:t>ONLINE version not available</w:t>
      </w:r>
    </w:p>
    <w:p w14:paraId="1012566A"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Benali, M., Slavchevska, V., Piedrahita, N., Davis, B., Sitko, N., Nico, G., &amp; Azzarri, C. (2024). </w:t>
      </w:r>
      <w:r>
        <w:rPr>
          <w:rFonts w:ascii="Arial" w:eastAsia="Arial" w:hAnsi="Arial" w:cs="Arial"/>
          <w:i/>
          <w:sz w:val="20"/>
        </w:rPr>
        <w:t>Gender pay gaps among agricultural and non-agricultural wage workers: A cross-country examination—Background paper for The status of women in agrifood systems</w:t>
      </w:r>
      <w:r>
        <w:rPr>
          <w:rFonts w:ascii="Arial" w:eastAsia="Arial" w:hAnsi="Arial" w:cs="Arial"/>
          <w:sz w:val="20"/>
        </w:rPr>
        <w:t xml:space="preserve">. Food and Agriculture Organization of the United Nations. </w:t>
      </w:r>
      <w:hyperlink r:id="rId10">
        <w:r>
          <w:rPr>
            <w:rFonts w:ascii="Arial" w:eastAsia="Arial" w:hAnsi="Arial" w:cs="Arial"/>
            <w:color w:val="0563C1"/>
            <w:sz w:val="20"/>
            <w:szCs w:val="20"/>
            <w:u w:val="single"/>
          </w:rPr>
          <w:t>https://doi.org/10.4060/cc9143en</w:t>
        </w:r>
      </w:hyperlink>
    </w:p>
    <w:p w14:paraId="2A89E84A"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Binswanger, H. P., &amp; Rosenzweig, M. R. (1986). Behavioural and material determinants of production relations in agriculture. </w:t>
      </w:r>
      <w:r>
        <w:rPr>
          <w:rFonts w:ascii="Arial" w:eastAsia="Arial" w:hAnsi="Arial" w:cs="Arial"/>
          <w:i/>
          <w:sz w:val="20"/>
        </w:rPr>
        <w:t>The Journal of Development Studies, 22</w:t>
      </w:r>
      <w:r>
        <w:rPr>
          <w:rFonts w:ascii="Arial" w:eastAsia="Arial" w:hAnsi="Arial" w:cs="Arial"/>
          <w:sz w:val="20"/>
        </w:rPr>
        <w:t xml:space="preserve">(3), 503–539. </w:t>
      </w:r>
      <w:hyperlink r:id="rId11">
        <w:r>
          <w:rPr>
            <w:rFonts w:ascii="Arial" w:eastAsia="Arial" w:hAnsi="Arial" w:cs="Arial"/>
            <w:color w:val="0563C1"/>
            <w:sz w:val="20"/>
            <w:szCs w:val="20"/>
            <w:u w:val="single"/>
          </w:rPr>
          <w:t>https://doi.org/10.1080/00220388608421994</w:t>
        </w:r>
      </w:hyperlink>
    </w:p>
    <w:p w14:paraId="07A1392D"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Binswanger-Mkhize, H. P. (2013). The stunted structural transformation of the Indian economy: Agriculture, manufacturing and the rural non-farm sector. </w:t>
      </w:r>
      <w:r>
        <w:rPr>
          <w:rFonts w:ascii="Arial" w:eastAsia="Arial" w:hAnsi="Arial" w:cs="Arial"/>
          <w:i/>
          <w:sz w:val="20"/>
        </w:rPr>
        <w:t>Economic &amp; Political Weekly, 48</w:t>
      </w:r>
      <w:r>
        <w:rPr>
          <w:rFonts w:ascii="Arial" w:eastAsia="Arial" w:hAnsi="Arial" w:cs="Arial"/>
          <w:sz w:val="20"/>
        </w:rPr>
        <w:t xml:space="preserve">(26–27), 5–13. </w:t>
      </w:r>
      <w:hyperlink r:id="rId12">
        <w:r>
          <w:rPr>
            <w:rFonts w:ascii="Arial" w:eastAsia="Arial" w:hAnsi="Arial" w:cs="Arial"/>
            <w:color w:val="0563C1"/>
            <w:sz w:val="20"/>
            <w:szCs w:val="20"/>
            <w:u w:val="single"/>
          </w:rPr>
          <w:t>https://www.epw.in/journal/2013/26-27/review-rural-affairs-review-issues/stunted-structural-transformation-indian</w:t>
        </w:r>
      </w:hyperlink>
    </w:p>
    <w:p w14:paraId="4F1B221A"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Chand, R., Srivastava, S. K., &amp; Singh, J. (2017). </w:t>
      </w:r>
      <w:r>
        <w:rPr>
          <w:rFonts w:ascii="Arial" w:eastAsia="Arial" w:hAnsi="Arial" w:cs="Arial"/>
          <w:i/>
          <w:sz w:val="20"/>
        </w:rPr>
        <w:t>Changing structure of rural economy of India: Implications for employment and growth</w:t>
      </w:r>
      <w:r>
        <w:rPr>
          <w:rFonts w:ascii="Arial" w:eastAsia="Arial" w:hAnsi="Arial" w:cs="Arial"/>
          <w:sz w:val="20"/>
        </w:rPr>
        <w:t xml:space="preserve">. NITI Aayog. </w:t>
      </w:r>
      <w:hyperlink r:id="rId13">
        <w:r>
          <w:rPr>
            <w:rFonts w:ascii="Arial" w:eastAsia="Arial" w:hAnsi="Arial" w:cs="Arial"/>
            <w:color w:val="0563C1"/>
            <w:sz w:val="20"/>
            <w:szCs w:val="20"/>
            <w:u w:val="single"/>
          </w:rPr>
          <w:t>https://www.niti.gov.in/index.php/node/481</w:t>
        </w:r>
      </w:hyperlink>
    </w:p>
    <w:p w14:paraId="5EF82678"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Deshpande, A., &amp; Kabeer, N. (2024). Norms that matter: Exploring the distribution of women’s work between income generation, expenditure-saving and unpaid domestic responsibilities in India. </w:t>
      </w:r>
      <w:r>
        <w:rPr>
          <w:rFonts w:ascii="Arial" w:eastAsia="Arial" w:hAnsi="Arial" w:cs="Arial"/>
          <w:i/>
          <w:sz w:val="20"/>
        </w:rPr>
        <w:t>World Development, 174</w:t>
      </w:r>
      <w:r>
        <w:rPr>
          <w:rFonts w:ascii="Arial" w:eastAsia="Arial" w:hAnsi="Arial" w:cs="Arial"/>
          <w:sz w:val="20"/>
        </w:rPr>
        <w:t xml:space="preserve">, 106435. </w:t>
      </w:r>
      <w:hyperlink r:id="rId14">
        <w:r>
          <w:rPr>
            <w:rFonts w:ascii="Arial" w:eastAsia="Arial" w:hAnsi="Arial" w:cs="Arial"/>
            <w:color w:val="0563C1"/>
            <w:sz w:val="20"/>
            <w:szCs w:val="20"/>
            <w:u w:val="single"/>
          </w:rPr>
          <w:t>https://doi.org/10.1016/j.worlddev.2023.106435</w:t>
        </w:r>
      </w:hyperlink>
    </w:p>
    <w:p w14:paraId="70E8C06D"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Doeringer, P. B., &amp; Piore, M. J. (1971). </w:t>
      </w:r>
      <w:r>
        <w:rPr>
          <w:rFonts w:ascii="Arial" w:eastAsia="Arial" w:hAnsi="Arial" w:cs="Arial"/>
          <w:i/>
          <w:sz w:val="20"/>
        </w:rPr>
        <w:t>Internal labor markets and manpower analysis</w:t>
      </w:r>
      <w:r>
        <w:rPr>
          <w:rFonts w:ascii="Arial" w:eastAsia="Arial" w:hAnsi="Arial" w:cs="Arial"/>
          <w:sz w:val="20"/>
        </w:rPr>
        <w:t xml:space="preserve">. D. C. Heath. </w:t>
      </w:r>
      <w:r>
        <w:rPr>
          <w:rFonts w:ascii="Arial" w:eastAsia="Arial" w:hAnsi="Arial" w:cs="Arial"/>
          <w:b/>
          <w:sz w:val="20"/>
        </w:rPr>
        <w:t>ONLINE version not available</w:t>
      </w:r>
    </w:p>
    <w:p w14:paraId="2C2B18F3"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Ministry of Finance, Government of India. (2024). </w:t>
      </w:r>
      <w:r>
        <w:rPr>
          <w:rFonts w:ascii="Arial" w:eastAsia="Arial" w:hAnsi="Arial" w:cs="Arial"/>
          <w:i/>
          <w:sz w:val="20"/>
        </w:rPr>
        <w:t>Economic Survey 2023–24</w:t>
      </w:r>
      <w:r>
        <w:rPr>
          <w:rFonts w:ascii="Arial" w:eastAsia="Arial" w:hAnsi="Arial" w:cs="Arial"/>
          <w:sz w:val="20"/>
        </w:rPr>
        <w:t xml:space="preserve">. </w:t>
      </w:r>
      <w:hyperlink r:id="rId15">
        <w:r>
          <w:rPr>
            <w:rFonts w:ascii="Arial" w:eastAsia="Arial" w:hAnsi="Arial" w:cs="Arial"/>
            <w:color w:val="0563C1"/>
            <w:sz w:val="20"/>
            <w:szCs w:val="20"/>
            <w:u w:val="single"/>
          </w:rPr>
          <w:t>https://www.indiabudget.gov.in/budget2024-25/economicsurvey/index.php</w:t>
        </w:r>
      </w:hyperlink>
    </w:p>
    <w:p w14:paraId="0C68E5CB"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Ellis, F. (2000). </w:t>
      </w:r>
      <w:r>
        <w:rPr>
          <w:rFonts w:ascii="Arial" w:eastAsia="Arial" w:hAnsi="Arial" w:cs="Arial"/>
          <w:i/>
          <w:sz w:val="20"/>
        </w:rPr>
        <w:t>Rural livelihoods and diversity in developing countries</w:t>
      </w:r>
      <w:r>
        <w:rPr>
          <w:rFonts w:ascii="Arial" w:eastAsia="Arial" w:hAnsi="Arial" w:cs="Arial"/>
          <w:sz w:val="20"/>
        </w:rPr>
        <w:t xml:space="preserve">. Oxford University Press. </w:t>
      </w:r>
      <w:hyperlink r:id="rId16">
        <w:r>
          <w:rPr>
            <w:rFonts w:ascii="Arial" w:eastAsia="Arial" w:hAnsi="Arial" w:cs="Arial"/>
            <w:color w:val="0563C1"/>
            <w:sz w:val="20"/>
            <w:szCs w:val="20"/>
            <w:u w:val="single"/>
          </w:rPr>
          <w:t>https://doi.org/10.1093/oso/9780198296959.001.0001</w:t>
        </w:r>
      </w:hyperlink>
    </w:p>
    <w:p w14:paraId="2F44431C"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Food and Agriculture Organization. (2021). </w:t>
      </w:r>
      <w:r>
        <w:rPr>
          <w:rFonts w:ascii="Arial" w:eastAsia="Arial" w:hAnsi="Arial" w:cs="Arial"/>
          <w:i/>
          <w:sz w:val="20"/>
        </w:rPr>
        <w:t>The state of food and agriculture 2021: Making agrifood systems more resilient to shocks and stresses</w:t>
      </w:r>
      <w:r>
        <w:rPr>
          <w:rFonts w:ascii="Arial" w:eastAsia="Arial" w:hAnsi="Arial" w:cs="Arial"/>
          <w:sz w:val="20"/>
        </w:rPr>
        <w:t xml:space="preserve">. </w:t>
      </w:r>
      <w:hyperlink r:id="rId17">
        <w:r>
          <w:rPr>
            <w:rFonts w:ascii="Arial" w:eastAsia="Arial" w:hAnsi="Arial" w:cs="Arial"/>
            <w:color w:val="0563C1"/>
            <w:sz w:val="20"/>
            <w:szCs w:val="20"/>
            <w:u w:val="single"/>
          </w:rPr>
          <w:t>https://doi.org/10.4060/cb4476en</w:t>
        </w:r>
      </w:hyperlink>
    </w:p>
    <w:p w14:paraId="68CF6302"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lastRenderedPageBreak/>
        <w:t xml:space="preserve">Greene, W. H. (2018). </w:t>
      </w:r>
      <w:r>
        <w:rPr>
          <w:rFonts w:ascii="Arial" w:eastAsia="Arial" w:hAnsi="Arial" w:cs="Arial"/>
          <w:i/>
          <w:sz w:val="20"/>
        </w:rPr>
        <w:t>Econometric analysis</w:t>
      </w:r>
      <w:r>
        <w:rPr>
          <w:rFonts w:ascii="Arial" w:eastAsia="Arial" w:hAnsi="Arial" w:cs="Arial"/>
          <w:sz w:val="20"/>
        </w:rPr>
        <w:t xml:space="preserve"> (8th ed.). Pearson. </w:t>
      </w:r>
      <w:r>
        <w:rPr>
          <w:rFonts w:ascii="Arial" w:eastAsia="Arial" w:hAnsi="Arial" w:cs="Arial"/>
          <w:b/>
          <w:sz w:val="20"/>
        </w:rPr>
        <w:t>ONLINE version not available</w:t>
      </w:r>
    </w:p>
    <w:p w14:paraId="77163BC2" w14:textId="77777777" w:rsidR="006B4B64" w:rsidRPr="000A7B2A" w:rsidRDefault="00000000">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Gulati, K., Saha, K., &amp; Lybbert, T. J. (2025). Women’s work and agricultural productivity gaps in India. </w:t>
      </w:r>
      <w:r>
        <w:rPr>
          <w:rFonts w:ascii="Arial" w:eastAsia="Arial" w:hAnsi="Arial" w:cs="Arial"/>
          <w:i/>
          <w:sz w:val="20"/>
        </w:rPr>
        <w:t>American Journal of Agricultural Economics, 107</w:t>
      </w:r>
      <w:r>
        <w:rPr>
          <w:rFonts w:ascii="Arial" w:eastAsia="Arial" w:hAnsi="Arial" w:cs="Arial"/>
          <w:sz w:val="20"/>
        </w:rPr>
        <w:t xml:space="preserve">(5), 1261–1289. </w:t>
      </w:r>
      <w:hyperlink r:id="rId18">
        <w:r w:rsidR="006B4B64">
          <w:rPr>
            <w:rFonts w:ascii="Arial" w:eastAsia="Arial" w:hAnsi="Arial" w:cs="Arial"/>
            <w:color w:val="0563C1"/>
            <w:sz w:val="20"/>
            <w:szCs w:val="20"/>
            <w:u w:val="single"/>
          </w:rPr>
          <w:t>https://doi.org/10.1111/ajae.12536</w:t>
        </w:r>
      </w:hyperlink>
    </w:p>
    <w:p w14:paraId="2AFF813B"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Gujarati, D. N., Porter, D. C., &amp; Pal, M. (2021). </w:t>
      </w:r>
      <w:r>
        <w:rPr>
          <w:rFonts w:ascii="Arial" w:eastAsia="Arial" w:hAnsi="Arial" w:cs="Arial"/>
          <w:i/>
          <w:sz w:val="20"/>
        </w:rPr>
        <w:t>Basic econometrics</w:t>
      </w:r>
      <w:r>
        <w:rPr>
          <w:rFonts w:ascii="Arial" w:eastAsia="Arial" w:hAnsi="Arial" w:cs="Arial"/>
          <w:sz w:val="20"/>
        </w:rPr>
        <w:t xml:space="preserve"> (6th ed.). McGraw Hill Education (India). </w:t>
      </w:r>
      <w:hyperlink r:id="rId19">
        <w:r>
          <w:rPr>
            <w:rFonts w:ascii="Arial" w:eastAsia="Arial" w:hAnsi="Arial" w:cs="Arial"/>
            <w:color w:val="0563C1"/>
            <w:sz w:val="20"/>
            <w:szCs w:val="20"/>
            <w:u w:val="single"/>
          </w:rPr>
          <w:t>https://opac.cottonuniversity.ac.in/cgi-bin/koha/opac-detail.pl?biblionumber=65819</w:t>
        </w:r>
      </w:hyperlink>
    </w:p>
    <w:p w14:paraId="270D82BC"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Himanshu. (2017). Growth, structural change and wages in India: Recent trends. </w:t>
      </w:r>
      <w:r>
        <w:rPr>
          <w:rFonts w:ascii="Arial" w:eastAsia="Arial" w:hAnsi="Arial" w:cs="Arial"/>
          <w:i/>
          <w:sz w:val="20"/>
        </w:rPr>
        <w:t>The Indian Journal of Labour Economics, 60</w:t>
      </w:r>
      <w:r>
        <w:rPr>
          <w:rFonts w:ascii="Arial" w:eastAsia="Arial" w:hAnsi="Arial" w:cs="Arial"/>
          <w:sz w:val="20"/>
        </w:rPr>
        <w:t xml:space="preserve">, 309–331. </w:t>
      </w:r>
      <w:hyperlink r:id="rId20">
        <w:r>
          <w:rPr>
            <w:rFonts w:ascii="Arial" w:eastAsia="Arial" w:hAnsi="Arial" w:cs="Arial"/>
            <w:color w:val="0563C1"/>
            <w:sz w:val="20"/>
            <w:szCs w:val="20"/>
            <w:u w:val="single"/>
          </w:rPr>
          <w:t>https://doi.org/10.1007/s41027-018-0114-7</w:t>
        </w:r>
      </w:hyperlink>
    </w:p>
    <w:p w14:paraId="4C5D3904"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Imbert, C., &amp; Papp, J. (2015). Labor market effects of social programs: Evidence from India’s employment guarantee. </w:t>
      </w:r>
      <w:r>
        <w:rPr>
          <w:rFonts w:ascii="Arial" w:eastAsia="Arial" w:hAnsi="Arial" w:cs="Arial"/>
          <w:i/>
          <w:sz w:val="20"/>
        </w:rPr>
        <w:t>American Economic Journal: Applied Economics, 7</w:t>
      </w:r>
      <w:r>
        <w:rPr>
          <w:rFonts w:ascii="Arial" w:eastAsia="Arial" w:hAnsi="Arial" w:cs="Arial"/>
          <w:sz w:val="20"/>
        </w:rPr>
        <w:t xml:space="preserve">(2), 233–263. </w:t>
      </w:r>
      <w:hyperlink r:id="rId21">
        <w:r>
          <w:rPr>
            <w:rFonts w:ascii="Arial" w:eastAsia="Arial" w:hAnsi="Arial" w:cs="Arial"/>
            <w:color w:val="0563C1"/>
            <w:sz w:val="20"/>
            <w:szCs w:val="20"/>
            <w:u w:val="single"/>
          </w:rPr>
          <w:t>https://doi.org/10.1257/app.20130401</w:t>
        </w:r>
      </w:hyperlink>
    </w:p>
    <w:p w14:paraId="2F613CAD"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International Labour Organization. (2022). </w:t>
      </w:r>
      <w:r>
        <w:rPr>
          <w:rFonts w:ascii="Arial" w:eastAsia="Arial" w:hAnsi="Arial" w:cs="Arial"/>
          <w:i/>
          <w:sz w:val="20"/>
        </w:rPr>
        <w:t>World employment and social outlook: Trends 2022</w:t>
      </w:r>
      <w:r>
        <w:rPr>
          <w:rFonts w:ascii="Arial" w:eastAsia="Arial" w:hAnsi="Arial" w:cs="Arial"/>
          <w:sz w:val="20"/>
        </w:rPr>
        <w:t xml:space="preserve">. </w:t>
      </w:r>
      <w:hyperlink r:id="rId22">
        <w:r>
          <w:rPr>
            <w:rFonts w:ascii="Arial" w:eastAsia="Arial" w:hAnsi="Arial" w:cs="Arial"/>
            <w:color w:val="0563C1"/>
            <w:sz w:val="20"/>
            <w:szCs w:val="20"/>
            <w:u w:val="single"/>
          </w:rPr>
          <w:t>https://doi.org/10.54394/DSPL5113</w:t>
        </w:r>
      </w:hyperlink>
    </w:p>
    <w:p w14:paraId="406173BE"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International Labour Organization. (2024). </w:t>
      </w:r>
      <w:r>
        <w:rPr>
          <w:rFonts w:ascii="Arial" w:eastAsia="Arial" w:hAnsi="Arial" w:cs="Arial"/>
          <w:i/>
          <w:sz w:val="20"/>
        </w:rPr>
        <w:t>World employment and social outlook: Trends 2024</w:t>
      </w:r>
      <w:r>
        <w:rPr>
          <w:rFonts w:ascii="Arial" w:eastAsia="Arial" w:hAnsi="Arial" w:cs="Arial"/>
          <w:sz w:val="20"/>
        </w:rPr>
        <w:t xml:space="preserve">. </w:t>
      </w:r>
      <w:hyperlink r:id="rId23">
        <w:r>
          <w:rPr>
            <w:rFonts w:ascii="Arial" w:eastAsia="Arial" w:hAnsi="Arial" w:cs="Arial"/>
            <w:color w:val="0563C1"/>
            <w:sz w:val="20"/>
            <w:szCs w:val="20"/>
            <w:u w:val="single"/>
          </w:rPr>
          <w:t>https://doi.org/10.54394/HQAE1085</w:t>
        </w:r>
      </w:hyperlink>
    </w:p>
    <w:p w14:paraId="75A21105"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Jose, A. V. (2017). Agricultural wages in Indian states. </w:t>
      </w:r>
      <w:r>
        <w:rPr>
          <w:rFonts w:ascii="Arial" w:eastAsia="Arial" w:hAnsi="Arial" w:cs="Arial"/>
          <w:i/>
          <w:sz w:val="20"/>
        </w:rPr>
        <w:t>The Indian Journal of Labour Economics, 60</w:t>
      </w:r>
      <w:r>
        <w:rPr>
          <w:rFonts w:ascii="Arial" w:eastAsia="Arial" w:hAnsi="Arial" w:cs="Arial"/>
          <w:sz w:val="20"/>
        </w:rPr>
        <w:t xml:space="preserve">(3), 333–345. </w:t>
      </w:r>
      <w:hyperlink r:id="rId24">
        <w:r>
          <w:rPr>
            <w:rFonts w:ascii="Arial" w:eastAsia="Arial" w:hAnsi="Arial" w:cs="Arial"/>
            <w:color w:val="0563C1"/>
            <w:sz w:val="20"/>
            <w:szCs w:val="20"/>
            <w:u w:val="single"/>
          </w:rPr>
          <w:t>https://doi.org/10.1007/s41027-018-0111-x</w:t>
        </w:r>
      </w:hyperlink>
    </w:p>
    <w:p w14:paraId="6573D437"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Kannan, K. P. (2014). </w:t>
      </w:r>
      <w:r>
        <w:rPr>
          <w:rFonts w:ascii="Arial" w:eastAsia="Arial" w:hAnsi="Arial" w:cs="Arial"/>
          <w:i/>
          <w:sz w:val="20"/>
        </w:rPr>
        <w:t>Interrogating inclusive growth: Poverty and inequality in India</w:t>
      </w:r>
      <w:r>
        <w:rPr>
          <w:rFonts w:ascii="Arial" w:eastAsia="Arial" w:hAnsi="Arial" w:cs="Arial"/>
          <w:sz w:val="20"/>
        </w:rPr>
        <w:t xml:space="preserve">. Routledge. </w:t>
      </w:r>
      <w:hyperlink r:id="rId25">
        <w:r>
          <w:rPr>
            <w:rFonts w:ascii="Arial" w:eastAsia="Arial" w:hAnsi="Arial" w:cs="Arial"/>
            <w:color w:val="0563C1"/>
            <w:sz w:val="20"/>
            <w:szCs w:val="20"/>
            <w:u w:val="single"/>
          </w:rPr>
          <w:t>https://doi.org/10.4324/9781315661896</w:t>
        </w:r>
      </w:hyperlink>
    </w:p>
    <w:p w14:paraId="27A1354C"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Kannan, K. P., &amp; Raveendran, G. (2019). From jobless to job-loss growth: Gainers and losers during 2012–18. </w:t>
      </w:r>
      <w:r>
        <w:rPr>
          <w:rFonts w:ascii="Arial" w:eastAsia="Arial" w:hAnsi="Arial" w:cs="Arial"/>
          <w:i/>
          <w:sz w:val="20"/>
        </w:rPr>
        <w:t>Economic &amp; Political Weekly, 54</w:t>
      </w:r>
      <w:r>
        <w:rPr>
          <w:rFonts w:ascii="Arial" w:eastAsia="Arial" w:hAnsi="Arial" w:cs="Arial"/>
          <w:sz w:val="20"/>
        </w:rPr>
        <w:t xml:space="preserve">(44), 38–44. </w:t>
      </w:r>
      <w:hyperlink r:id="rId26">
        <w:r>
          <w:rPr>
            <w:rFonts w:ascii="Arial" w:eastAsia="Arial" w:hAnsi="Arial" w:cs="Arial"/>
            <w:color w:val="0563C1"/>
            <w:sz w:val="20"/>
            <w:szCs w:val="20"/>
            <w:u w:val="single"/>
          </w:rPr>
          <w:t>https://www.epw.in/journal/2019/44/insight/jobless-job-loss-growth.html</w:t>
        </w:r>
      </w:hyperlink>
    </w:p>
    <w:p w14:paraId="6E866CFD"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Klasen, S., &amp; Pieters, J. (2015). What explains the stagnation of female labour force participation in urban India? </w:t>
      </w:r>
      <w:r>
        <w:rPr>
          <w:rFonts w:ascii="Arial" w:eastAsia="Arial" w:hAnsi="Arial" w:cs="Arial"/>
          <w:i/>
          <w:sz w:val="20"/>
        </w:rPr>
        <w:t>The World Bank Economic Review, 29</w:t>
      </w:r>
      <w:r>
        <w:rPr>
          <w:rFonts w:ascii="Arial" w:eastAsia="Arial" w:hAnsi="Arial" w:cs="Arial"/>
          <w:sz w:val="20"/>
        </w:rPr>
        <w:t xml:space="preserve">(3), 449–478. </w:t>
      </w:r>
      <w:hyperlink r:id="rId27">
        <w:r>
          <w:rPr>
            <w:rFonts w:ascii="Arial" w:eastAsia="Arial" w:hAnsi="Arial" w:cs="Arial"/>
            <w:color w:val="0563C1"/>
            <w:sz w:val="20"/>
            <w:szCs w:val="20"/>
            <w:u w:val="single"/>
          </w:rPr>
          <w:t>https://doi.org/10.1093/wber/lhv003</w:t>
        </w:r>
      </w:hyperlink>
    </w:p>
    <w:p w14:paraId="36101195"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Kundu, A., &amp; Das, S. (2019). Gender wage gap in the agricultural labor market of India: An empirical analysis. </w:t>
      </w:r>
      <w:r>
        <w:rPr>
          <w:rFonts w:ascii="Arial" w:eastAsia="Arial" w:hAnsi="Arial" w:cs="Arial"/>
          <w:i/>
          <w:sz w:val="20"/>
        </w:rPr>
        <w:t>Journal of Economics and Political Economy, 6</w:t>
      </w:r>
      <w:r>
        <w:rPr>
          <w:rFonts w:ascii="Arial" w:eastAsia="Arial" w:hAnsi="Arial" w:cs="Arial"/>
          <w:sz w:val="20"/>
        </w:rPr>
        <w:t xml:space="preserve">(2), 122–142. </w:t>
      </w:r>
      <w:hyperlink r:id="rId28">
        <w:r>
          <w:rPr>
            <w:rFonts w:ascii="Arial" w:eastAsia="Arial" w:hAnsi="Arial" w:cs="Arial"/>
            <w:color w:val="0563C1"/>
            <w:sz w:val="20"/>
            <w:szCs w:val="20"/>
            <w:u w:val="single"/>
          </w:rPr>
          <w:t>https://doi.org/10.1453/jepe.v6i2.1872</w:t>
        </w:r>
      </w:hyperlink>
    </w:p>
    <w:p w14:paraId="217F5BB8"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Mahajan, K. (2017). Rainfall shocks and the gender wage gap: Evidence from Indian agriculture. </w:t>
      </w:r>
      <w:r>
        <w:rPr>
          <w:rFonts w:ascii="Arial" w:eastAsia="Arial" w:hAnsi="Arial" w:cs="Arial"/>
          <w:i/>
          <w:sz w:val="20"/>
        </w:rPr>
        <w:t>World Development, 91</w:t>
      </w:r>
      <w:r>
        <w:rPr>
          <w:rFonts w:ascii="Arial" w:eastAsia="Arial" w:hAnsi="Arial" w:cs="Arial"/>
          <w:sz w:val="20"/>
        </w:rPr>
        <w:t xml:space="preserve">, 156–172. </w:t>
      </w:r>
      <w:hyperlink r:id="rId29">
        <w:r>
          <w:rPr>
            <w:rFonts w:ascii="Arial" w:eastAsia="Arial" w:hAnsi="Arial" w:cs="Arial"/>
            <w:color w:val="0563C1"/>
            <w:sz w:val="20"/>
            <w:szCs w:val="20"/>
            <w:u w:val="single"/>
          </w:rPr>
          <w:t>https://doi.org/10.1016/j.worlddev.2016.11.004</w:t>
        </w:r>
      </w:hyperlink>
    </w:p>
    <w:p w14:paraId="2DEE6C79"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Mehrotra, S. (Ed.). (2014). </w:t>
      </w:r>
      <w:r>
        <w:rPr>
          <w:rFonts w:ascii="Arial" w:eastAsia="Arial" w:hAnsi="Arial" w:cs="Arial"/>
          <w:i/>
          <w:sz w:val="20"/>
        </w:rPr>
        <w:t>India’s skills challenge: Reforming vocational education and training to harness the demographic dividend</w:t>
      </w:r>
      <w:r>
        <w:rPr>
          <w:rFonts w:ascii="Arial" w:eastAsia="Arial" w:hAnsi="Arial" w:cs="Arial"/>
          <w:sz w:val="20"/>
        </w:rPr>
        <w:t xml:space="preserve">. Oxford University Press. </w:t>
      </w:r>
      <w:hyperlink r:id="rId30">
        <w:r>
          <w:rPr>
            <w:rFonts w:ascii="Arial" w:eastAsia="Arial" w:hAnsi="Arial" w:cs="Arial"/>
            <w:color w:val="0563C1"/>
            <w:sz w:val="20"/>
            <w:szCs w:val="20"/>
            <w:u w:val="single"/>
          </w:rPr>
          <w:t>https://doi.org/10.1093/acprof:oso/9780199452774.001.0001</w:t>
        </w:r>
      </w:hyperlink>
    </w:p>
    <w:p w14:paraId="2EC43480"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Mehrotra, S., &amp; Parida, J. K. (2017). Why is the labour force participation of women declining in India? </w:t>
      </w:r>
      <w:r>
        <w:rPr>
          <w:rFonts w:ascii="Arial" w:eastAsia="Arial" w:hAnsi="Arial" w:cs="Arial"/>
          <w:i/>
          <w:sz w:val="20"/>
        </w:rPr>
        <w:t>World Development, 98</w:t>
      </w:r>
      <w:r>
        <w:rPr>
          <w:rFonts w:ascii="Arial" w:eastAsia="Arial" w:hAnsi="Arial" w:cs="Arial"/>
          <w:sz w:val="20"/>
        </w:rPr>
        <w:t xml:space="preserve">, 360–380. </w:t>
      </w:r>
      <w:hyperlink r:id="rId31">
        <w:r>
          <w:rPr>
            <w:rFonts w:ascii="Arial" w:eastAsia="Arial" w:hAnsi="Arial" w:cs="Arial"/>
            <w:color w:val="0563C1"/>
            <w:sz w:val="20"/>
            <w:szCs w:val="20"/>
            <w:u w:val="single"/>
          </w:rPr>
          <w:t>https://doi.org/10.1016/j.worlddev.2017.05.003</w:t>
        </w:r>
      </w:hyperlink>
    </w:p>
    <w:p w14:paraId="381EE479"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lastRenderedPageBreak/>
        <w:t xml:space="preserve">Ministry of Statistics and Programme Implementation. (2024). </w:t>
      </w:r>
      <w:r>
        <w:rPr>
          <w:rFonts w:ascii="Arial" w:eastAsia="Arial" w:hAnsi="Arial" w:cs="Arial"/>
          <w:i/>
          <w:sz w:val="20"/>
        </w:rPr>
        <w:t>Periodic Labour Force Survey (PLFS): Annual report, July 2023–June 2024</w:t>
      </w:r>
      <w:r>
        <w:rPr>
          <w:rFonts w:ascii="Arial" w:eastAsia="Arial" w:hAnsi="Arial" w:cs="Arial"/>
          <w:sz w:val="20"/>
        </w:rPr>
        <w:t xml:space="preserve">. Government of India. </w:t>
      </w:r>
      <w:hyperlink r:id="rId32">
        <w:r>
          <w:rPr>
            <w:rFonts w:ascii="Arial" w:eastAsia="Arial" w:hAnsi="Arial" w:cs="Arial"/>
            <w:color w:val="0563C1"/>
            <w:sz w:val="20"/>
            <w:szCs w:val="20"/>
            <w:u w:val="single"/>
          </w:rPr>
          <w:t>https://mospi.gov.in/annual-report-periodic-labour-force-survey-plfs-2023-24</w:t>
        </w:r>
      </w:hyperlink>
    </w:p>
    <w:p w14:paraId="142FC4DC"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Moser, C. O. N. (1993). </w:t>
      </w:r>
      <w:r>
        <w:rPr>
          <w:rFonts w:ascii="Arial" w:eastAsia="Arial" w:hAnsi="Arial" w:cs="Arial"/>
          <w:i/>
          <w:sz w:val="20"/>
        </w:rPr>
        <w:t>Gender planning and development: Theory, practice and training</w:t>
      </w:r>
      <w:r>
        <w:rPr>
          <w:rFonts w:ascii="Arial" w:eastAsia="Arial" w:hAnsi="Arial" w:cs="Arial"/>
          <w:sz w:val="20"/>
        </w:rPr>
        <w:t xml:space="preserve">. Routledge. </w:t>
      </w:r>
      <w:hyperlink r:id="rId33">
        <w:r>
          <w:rPr>
            <w:rFonts w:ascii="Arial" w:eastAsia="Arial" w:hAnsi="Arial" w:cs="Arial"/>
            <w:color w:val="0563C1"/>
            <w:sz w:val="20"/>
            <w:szCs w:val="20"/>
            <w:u w:val="single"/>
          </w:rPr>
          <w:t>https://doi.org/10.4324/9780203411940</w:t>
        </w:r>
      </w:hyperlink>
    </w:p>
    <w:p w14:paraId="079FE9AB"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National Commission for Enterprises in the Unorganised Sector. (2007). </w:t>
      </w:r>
      <w:r>
        <w:rPr>
          <w:rFonts w:ascii="Arial" w:eastAsia="Arial" w:hAnsi="Arial" w:cs="Arial"/>
          <w:i/>
          <w:sz w:val="20"/>
        </w:rPr>
        <w:t>Report on conditions of work and promotion of livelihoods in the unorganised sector</w:t>
      </w:r>
      <w:r>
        <w:rPr>
          <w:rFonts w:ascii="Arial" w:eastAsia="Arial" w:hAnsi="Arial" w:cs="Arial"/>
          <w:sz w:val="20"/>
        </w:rPr>
        <w:t xml:space="preserve">. Government of India. </w:t>
      </w:r>
      <w:hyperlink r:id="rId34">
        <w:r>
          <w:rPr>
            <w:rFonts w:ascii="Arial" w:eastAsia="Arial" w:hAnsi="Arial" w:cs="Arial"/>
            <w:color w:val="0563C1"/>
            <w:sz w:val="20"/>
            <w:szCs w:val="20"/>
            <w:u w:val="single"/>
          </w:rPr>
          <w:t>https://dcmsme.gov.in/Condition_of_workers_sep_2007.pdf</w:t>
        </w:r>
      </w:hyperlink>
    </w:p>
    <w:p w14:paraId="1CD3EC03" w14:textId="77777777" w:rsidR="006B4B64" w:rsidRPr="000A7B2A" w:rsidRDefault="00000000">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Patil, S. K. (2025). Gender disparities in labour force participation in India: A state-wise analysis of rural and urban trends. </w:t>
      </w:r>
      <w:r>
        <w:rPr>
          <w:rFonts w:ascii="Arial" w:eastAsia="Arial" w:hAnsi="Arial" w:cs="Arial"/>
          <w:i/>
          <w:sz w:val="20"/>
        </w:rPr>
        <w:t>Journal of Economics and Trade, 10</w:t>
      </w:r>
      <w:r>
        <w:rPr>
          <w:rFonts w:ascii="Arial" w:eastAsia="Arial" w:hAnsi="Arial" w:cs="Arial"/>
          <w:sz w:val="20"/>
        </w:rPr>
        <w:t xml:space="preserve">(1), 17–24. </w:t>
      </w:r>
      <w:hyperlink r:id="rId35">
        <w:r w:rsidR="006B4B64">
          <w:rPr>
            <w:rFonts w:ascii="Arial" w:eastAsia="Arial" w:hAnsi="Arial" w:cs="Arial"/>
            <w:color w:val="0563C1"/>
            <w:sz w:val="20"/>
            <w:szCs w:val="20"/>
            <w:u w:val="single"/>
          </w:rPr>
          <w:t>https://doi.org/10.56557/jet/2025/v10i19124</w:t>
        </w:r>
      </w:hyperlink>
    </w:p>
    <w:p w14:paraId="0911ECFC"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Reddy, A. A. (2015). Growth, structural change and wage rates in rural India. </w:t>
      </w:r>
      <w:r>
        <w:rPr>
          <w:rFonts w:ascii="Arial" w:eastAsia="Arial" w:hAnsi="Arial" w:cs="Arial"/>
          <w:i/>
          <w:sz w:val="20"/>
        </w:rPr>
        <w:t>Economic &amp; Political Weekly, 50</w:t>
      </w:r>
      <w:r>
        <w:rPr>
          <w:rFonts w:ascii="Arial" w:eastAsia="Arial" w:hAnsi="Arial" w:cs="Arial"/>
          <w:sz w:val="20"/>
        </w:rPr>
        <w:t xml:space="preserve">(2), 56–65. </w:t>
      </w:r>
      <w:hyperlink r:id="rId36">
        <w:r>
          <w:rPr>
            <w:rFonts w:ascii="Arial" w:eastAsia="Arial" w:hAnsi="Arial" w:cs="Arial"/>
            <w:color w:val="0563C1"/>
            <w:sz w:val="20"/>
            <w:szCs w:val="20"/>
            <w:u w:val="single"/>
          </w:rPr>
          <w:t>https://www.epw.in/journal/2015/2/special-articles/growth-structural-change-and-wage-rates-rural-india.html</w:t>
        </w:r>
      </w:hyperlink>
    </w:p>
    <w:p w14:paraId="0FBD3460"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Reddy, A. B. (2016). Labour force participation of elderly in India: Patterns and determinants. </w:t>
      </w:r>
      <w:r>
        <w:rPr>
          <w:rFonts w:ascii="Arial" w:eastAsia="Arial" w:hAnsi="Arial" w:cs="Arial"/>
          <w:i/>
          <w:sz w:val="20"/>
        </w:rPr>
        <w:t>International Journal of Social Economics, 43</w:t>
      </w:r>
      <w:r>
        <w:rPr>
          <w:rFonts w:ascii="Arial" w:eastAsia="Arial" w:hAnsi="Arial" w:cs="Arial"/>
          <w:sz w:val="20"/>
        </w:rPr>
        <w:t xml:space="preserve">(5), 502–516. </w:t>
      </w:r>
      <w:hyperlink r:id="rId37">
        <w:r>
          <w:rPr>
            <w:rFonts w:ascii="Arial" w:eastAsia="Arial" w:hAnsi="Arial" w:cs="Arial"/>
            <w:color w:val="0563C1"/>
            <w:sz w:val="20"/>
            <w:szCs w:val="20"/>
            <w:u w:val="single"/>
          </w:rPr>
          <w:t>https://doi.org/10.1108/IJSE-11-2014-0221</w:t>
        </w:r>
      </w:hyperlink>
    </w:p>
    <w:p w14:paraId="688EFC86" w14:textId="77777777" w:rsidR="006B4B64" w:rsidRPr="000A7B2A" w:rsidRDefault="00000000">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Roy, R., &amp; Terway, P. (2024). Rising wage income and the role of MGNREGA among agricultural households in India: Evidence from the Situation Assessment Survey, 2018–19. </w:t>
      </w:r>
      <w:r>
        <w:rPr>
          <w:rFonts w:ascii="Arial" w:eastAsia="Arial" w:hAnsi="Arial" w:cs="Arial"/>
          <w:i/>
          <w:sz w:val="20"/>
        </w:rPr>
        <w:t>The Indian Journal of Labour Economics, 67</w:t>
      </w:r>
      <w:r>
        <w:rPr>
          <w:rFonts w:ascii="Arial" w:eastAsia="Arial" w:hAnsi="Arial" w:cs="Arial"/>
          <w:sz w:val="20"/>
        </w:rPr>
        <w:t xml:space="preserve">(3), 865–881. </w:t>
      </w:r>
      <w:hyperlink r:id="rId38">
        <w:r w:rsidR="006B4B64">
          <w:rPr>
            <w:rFonts w:ascii="Arial" w:eastAsia="Arial" w:hAnsi="Arial" w:cs="Arial"/>
            <w:color w:val="0563C1"/>
            <w:sz w:val="20"/>
            <w:szCs w:val="20"/>
            <w:u w:val="single"/>
          </w:rPr>
          <w:t>https://doi.org/10.1007/s41027-024-00518-0</w:t>
        </w:r>
      </w:hyperlink>
    </w:p>
    <w:p w14:paraId="507A7C9E" w14:textId="77777777" w:rsidR="006B4B64" w:rsidRPr="000A7B2A" w:rsidRDefault="00000000">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Singh, A. (2024). Social and economic consequences of agriculture crises: A study of farm labour in Punjab, India. </w:t>
      </w:r>
      <w:r>
        <w:rPr>
          <w:rFonts w:ascii="Arial" w:eastAsia="Arial" w:hAnsi="Arial" w:cs="Arial"/>
          <w:i/>
          <w:sz w:val="20"/>
        </w:rPr>
        <w:t>Asian Journal of Agricultural Extension, Economics &amp; Sociology, 42</w:t>
      </w:r>
      <w:r>
        <w:rPr>
          <w:rFonts w:ascii="Arial" w:eastAsia="Arial" w:hAnsi="Arial" w:cs="Arial"/>
          <w:sz w:val="20"/>
        </w:rPr>
        <w:t xml:space="preserve">(7), 21–32. </w:t>
      </w:r>
      <w:hyperlink r:id="rId39">
        <w:r w:rsidR="006B4B64">
          <w:rPr>
            <w:rFonts w:ascii="Arial" w:eastAsia="Arial" w:hAnsi="Arial" w:cs="Arial"/>
            <w:color w:val="0563C1"/>
            <w:sz w:val="20"/>
            <w:szCs w:val="20"/>
            <w:u w:val="single"/>
          </w:rPr>
          <w:t>https://doi.org/10.9734/ajaees/2024/v42i72513</w:t>
        </w:r>
      </w:hyperlink>
    </w:p>
    <w:p w14:paraId="060B8E5F" w14:textId="77777777" w:rsidR="006B4B64" w:rsidRPr="000A7B2A" w:rsidRDefault="00000000">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Sinha, S. (2024). Shifting agrarian labour regimes, ecology, and the crisis for Dalit women’s work in India. </w:t>
      </w:r>
      <w:r>
        <w:rPr>
          <w:rFonts w:ascii="Arial" w:eastAsia="Arial" w:hAnsi="Arial" w:cs="Arial"/>
          <w:i/>
          <w:sz w:val="20"/>
        </w:rPr>
        <w:t>Journal of Economic Geography</w:t>
      </w:r>
      <w:r>
        <w:rPr>
          <w:rFonts w:ascii="Arial" w:eastAsia="Arial" w:hAnsi="Arial" w:cs="Arial"/>
          <w:sz w:val="20"/>
        </w:rPr>
        <w:t xml:space="preserve">, lbae047. </w:t>
      </w:r>
      <w:hyperlink r:id="rId40">
        <w:r w:rsidR="006B4B64">
          <w:rPr>
            <w:rFonts w:ascii="Arial" w:eastAsia="Arial" w:hAnsi="Arial" w:cs="Arial"/>
            <w:color w:val="0563C1"/>
            <w:sz w:val="20"/>
            <w:szCs w:val="20"/>
            <w:u w:val="single"/>
          </w:rPr>
          <w:t>https://doi.org/10.1093/jeg/lbae047</w:t>
        </w:r>
      </w:hyperlink>
    </w:p>
    <w:p w14:paraId="0461853E"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Srivastava, R. (2019). Emerging dynamics of labour market inequality in India: Migration, informality, segmentation and social discrimination. </w:t>
      </w:r>
      <w:r>
        <w:rPr>
          <w:rFonts w:ascii="Arial" w:eastAsia="Arial" w:hAnsi="Arial" w:cs="Arial"/>
          <w:i/>
          <w:sz w:val="20"/>
        </w:rPr>
        <w:t>The Indian Journal of Labour Economics, 62</w:t>
      </w:r>
      <w:r>
        <w:rPr>
          <w:rFonts w:ascii="Arial" w:eastAsia="Arial" w:hAnsi="Arial" w:cs="Arial"/>
          <w:sz w:val="20"/>
        </w:rPr>
        <w:t xml:space="preserve">(2), 147–171. </w:t>
      </w:r>
      <w:hyperlink r:id="rId41">
        <w:r>
          <w:rPr>
            <w:rFonts w:ascii="Arial" w:eastAsia="Arial" w:hAnsi="Arial" w:cs="Arial"/>
            <w:color w:val="0563C1"/>
            <w:sz w:val="20"/>
            <w:szCs w:val="20"/>
            <w:u w:val="single"/>
          </w:rPr>
          <w:t>https://doi.org/10.1007/s41027-019-00178-5</w:t>
        </w:r>
      </w:hyperlink>
    </w:p>
    <w:p w14:paraId="2C414DE0"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Unni, J., &amp; Rani, U. (2004). Technical change and workforce in India: Skill biased growth? </w:t>
      </w:r>
      <w:r>
        <w:rPr>
          <w:rFonts w:ascii="Arial" w:eastAsia="Arial" w:hAnsi="Arial" w:cs="Arial"/>
          <w:i/>
          <w:sz w:val="20"/>
        </w:rPr>
        <w:t>The Indian Journal of Labour Economics, 47</w:t>
      </w:r>
      <w:r>
        <w:rPr>
          <w:rFonts w:ascii="Arial" w:eastAsia="Arial" w:hAnsi="Arial" w:cs="Arial"/>
          <w:sz w:val="20"/>
        </w:rPr>
        <w:t xml:space="preserve">, 683–692. </w:t>
      </w:r>
      <w:hyperlink r:id="rId42">
        <w:r>
          <w:rPr>
            <w:rFonts w:ascii="Arial" w:eastAsia="Arial" w:hAnsi="Arial" w:cs="Arial"/>
            <w:color w:val="0563C1"/>
            <w:sz w:val="20"/>
            <w:szCs w:val="20"/>
            <w:u w:val="single"/>
          </w:rPr>
          <w:t>https://researchrepository.ilo.org/esploro/outputs/journalArticle/Technical-change-and-workforce-in-India/995268284202676</w:t>
        </w:r>
      </w:hyperlink>
    </w:p>
    <w:p w14:paraId="6055669C"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Valientes, R. M. (2015). Male-female wage-gap decomposition in agriculture-based employment in the Philippines. </w:t>
      </w:r>
      <w:r>
        <w:rPr>
          <w:rFonts w:ascii="Arial" w:eastAsia="Arial" w:hAnsi="Arial" w:cs="Arial"/>
          <w:i/>
          <w:sz w:val="20"/>
        </w:rPr>
        <w:t>Journal of Economics, Management &amp; Agricultural Development, 1</w:t>
      </w:r>
      <w:r>
        <w:rPr>
          <w:rFonts w:ascii="Arial" w:eastAsia="Arial" w:hAnsi="Arial" w:cs="Arial"/>
          <w:sz w:val="20"/>
        </w:rPr>
        <w:t xml:space="preserve">(1), 45–62. </w:t>
      </w:r>
      <w:hyperlink r:id="rId43">
        <w:r>
          <w:rPr>
            <w:rFonts w:ascii="Arial" w:eastAsia="Arial" w:hAnsi="Arial" w:cs="Arial"/>
            <w:color w:val="0563C1"/>
            <w:sz w:val="20"/>
            <w:szCs w:val="20"/>
            <w:u w:val="single"/>
          </w:rPr>
          <w:t>https://doi.org/10.22004/ag.econ.309259</w:t>
        </w:r>
      </w:hyperlink>
    </w:p>
    <w:p w14:paraId="474E5F84"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Vepa, S. S. (2005). Feminisation of agriculture and marginalisation of their economic stake. </w:t>
      </w:r>
      <w:r>
        <w:rPr>
          <w:rFonts w:ascii="Arial" w:eastAsia="Arial" w:hAnsi="Arial" w:cs="Arial"/>
          <w:i/>
          <w:sz w:val="20"/>
        </w:rPr>
        <w:t>Economic &amp; Political Weekly, 40</w:t>
      </w:r>
      <w:r>
        <w:rPr>
          <w:rFonts w:ascii="Arial" w:eastAsia="Arial" w:hAnsi="Arial" w:cs="Arial"/>
          <w:sz w:val="20"/>
        </w:rPr>
        <w:t xml:space="preserve">(25), 2563–2568. </w:t>
      </w:r>
      <w:hyperlink r:id="rId44">
        <w:r>
          <w:rPr>
            <w:rFonts w:ascii="Arial" w:eastAsia="Arial" w:hAnsi="Arial" w:cs="Arial"/>
            <w:color w:val="0563C1"/>
            <w:sz w:val="20"/>
            <w:szCs w:val="20"/>
            <w:u w:val="single"/>
          </w:rPr>
          <w:t>https://www.epw.in/journal/2005/25/gender-and-food-security-special-issues-specials/feminisation-agriculture-and</w:t>
        </w:r>
      </w:hyperlink>
    </w:p>
    <w:p w14:paraId="24B31390" w14:textId="77777777" w:rsidR="007E7E65" w:rsidRPr="000A7B2A"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lastRenderedPageBreak/>
        <w:t xml:space="preserve">World Bank. (2024). </w:t>
      </w:r>
      <w:r>
        <w:rPr>
          <w:rFonts w:ascii="Arial" w:eastAsia="Arial" w:hAnsi="Arial" w:cs="Arial"/>
          <w:i/>
          <w:sz w:val="20"/>
        </w:rPr>
        <w:t>Agriculture, forestry, and fishing, value added (% of GDP)</w:t>
      </w:r>
      <w:r>
        <w:rPr>
          <w:rFonts w:ascii="Arial" w:eastAsia="Arial" w:hAnsi="Arial" w:cs="Arial"/>
          <w:sz w:val="20"/>
        </w:rPr>
        <w:t xml:space="preserve">. World Development Indicators. </w:t>
      </w:r>
      <w:hyperlink r:id="rId45">
        <w:r>
          <w:rPr>
            <w:rFonts w:ascii="Arial" w:eastAsia="Arial" w:hAnsi="Arial" w:cs="Arial"/>
            <w:color w:val="0563C1"/>
            <w:sz w:val="20"/>
            <w:szCs w:val="20"/>
            <w:u w:val="single"/>
          </w:rPr>
          <w:t>https://data.worldbank.org/indicator/NV.AGR.TOTL.ZS</w:t>
        </w:r>
      </w:hyperlink>
    </w:p>
    <w:p w14:paraId="05022F2B" w14:textId="77777777" w:rsidR="007E7E65" w:rsidRPr="007E7E65" w:rsidRDefault="007E7E65" w:rsidP="007E7E65">
      <w:pPr>
        <w:spacing w:before="100" w:beforeAutospacing="1" w:after="100" w:afterAutospacing="1" w:line="276" w:lineRule="auto"/>
        <w:ind w:left="720" w:hanging="720"/>
        <w:rPr>
          <w:rFonts w:ascii="Arial" w:eastAsia="Times New Roman" w:hAnsi="Arial" w:cs="Arial"/>
          <w:sz w:val="20"/>
          <w:szCs w:val="20"/>
          <w:lang w:eastAsia="en-IN"/>
        </w:rPr>
      </w:pPr>
      <w:r>
        <w:rPr>
          <w:rFonts w:ascii="Arial" w:eastAsia="Arial" w:hAnsi="Arial" w:cs="Arial"/>
          <w:sz w:val="20"/>
        </w:rPr>
        <w:t xml:space="preserve">Yemelina, N., Kemelbayeva, S., &amp; Roshchin, S. (2024). Dynamics of gender wage gap in Kazakhstan for 2011–2019. </w:t>
      </w:r>
      <w:r>
        <w:rPr>
          <w:rFonts w:ascii="Arial" w:eastAsia="Arial" w:hAnsi="Arial" w:cs="Arial"/>
          <w:i/>
          <w:sz w:val="20"/>
        </w:rPr>
        <w:t>The Indian Journal of Labour Economics, 67</w:t>
      </w:r>
      <w:r>
        <w:rPr>
          <w:rFonts w:ascii="Arial" w:eastAsia="Arial" w:hAnsi="Arial" w:cs="Arial"/>
          <w:sz w:val="20"/>
        </w:rPr>
        <w:t xml:space="preserve">(1), 47–71. </w:t>
      </w:r>
      <w:hyperlink r:id="rId46">
        <w:r>
          <w:rPr>
            <w:rFonts w:ascii="Arial" w:eastAsia="Arial" w:hAnsi="Arial" w:cs="Arial"/>
            <w:color w:val="0563C1"/>
            <w:sz w:val="20"/>
            <w:szCs w:val="20"/>
            <w:u w:val="single"/>
          </w:rPr>
          <w:t>https://doi.org/10.1007/s41027-024-00483-8</w:t>
        </w:r>
      </w:hyperlink>
    </w:p>
    <w:sectPr w:rsidR="007E7E65" w:rsidRPr="007E7E65">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55CA8" w14:textId="77777777" w:rsidR="00213ED9" w:rsidRDefault="00213ED9" w:rsidP="008D42E7">
      <w:pPr>
        <w:spacing w:after="0" w:line="240" w:lineRule="auto"/>
      </w:pPr>
      <w:r>
        <w:separator/>
      </w:r>
    </w:p>
  </w:endnote>
  <w:endnote w:type="continuationSeparator" w:id="0">
    <w:p w14:paraId="6B50287F" w14:textId="77777777" w:rsidR="00213ED9" w:rsidRDefault="00213ED9" w:rsidP="008D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0F431" w14:textId="77777777" w:rsidR="008D42E7" w:rsidRDefault="008D4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2BF1" w14:textId="77777777" w:rsidR="008D42E7" w:rsidRDefault="008D4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9F77" w14:textId="77777777" w:rsidR="008D42E7" w:rsidRDefault="008D4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F48FB" w14:textId="77777777" w:rsidR="00213ED9" w:rsidRDefault="00213ED9" w:rsidP="008D42E7">
      <w:pPr>
        <w:spacing w:after="0" w:line="240" w:lineRule="auto"/>
      </w:pPr>
      <w:r>
        <w:separator/>
      </w:r>
    </w:p>
  </w:footnote>
  <w:footnote w:type="continuationSeparator" w:id="0">
    <w:p w14:paraId="17B11874" w14:textId="77777777" w:rsidR="00213ED9" w:rsidRDefault="00213ED9" w:rsidP="008D4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8CFD" w14:textId="77777777" w:rsidR="008D42E7" w:rsidRDefault="00000000">
    <w:pPr>
      <w:pStyle w:val="Header"/>
    </w:pPr>
    <w:r>
      <w:rPr>
        <w:noProof/>
      </w:rPr>
      <w:pict w14:anchorId="78783E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679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C72B" w14:textId="77777777" w:rsidR="008D42E7" w:rsidRDefault="00000000">
    <w:pPr>
      <w:pStyle w:val="Header"/>
    </w:pPr>
    <w:r>
      <w:rPr>
        <w:noProof/>
      </w:rPr>
      <w:pict w14:anchorId="3038D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679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E685" w14:textId="77777777" w:rsidR="008D42E7" w:rsidRDefault="00000000">
    <w:pPr>
      <w:pStyle w:val="Header"/>
    </w:pPr>
    <w:r>
      <w:rPr>
        <w:noProof/>
      </w:rPr>
      <w:pict w14:anchorId="0A7F8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679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90B"/>
    <w:multiLevelType w:val="multilevel"/>
    <w:tmpl w:val="E792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96BBF"/>
    <w:multiLevelType w:val="multilevel"/>
    <w:tmpl w:val="C01A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46447"/>
    <w:multiLevelType w:val="multilevel"/>
    <w:tmpl w:val="A53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F73EA"/>
    <w:multiLevelType w:val="multilevel"/>
    <w:tmpl w:val="4202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E31F1"/>
    <w:multiLevelType w:val="multilevel"/>
    <w:tmpl w:val="3F9A4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1056D9"/>
    <w:multiLevelType w:val="multilevel"/>
    <w:tmpl w:val="0D92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E2916"/>
    <w:multiLevelType w:val="multilevel"/>
    <w:tmpl w:val="C4BC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1733CA"/>
    <w:multiLevelType w:val="hybridMultilevel"/>
    <w:tmpl w:val="30C2CA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39C1F02"/>
    <w:multiLevelType w:val="multilevel"/>
    <w:tmpl w:val="6C16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363C8"/>
    <w:multiLevelType w:val="multilevel"/>
    <w:tmpl w:val="82542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B878D1"/>
    <w:multiLevelType w:val="multilevel"/>
    <w:tmpl w:val="64CC5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20743B"/>
    <w:multiLevelType w:val="multilevel"/>
    <w:tmpl w:val="8FBC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937241"/>
    <w:multiLevelType w:val="multilevel"/>
    <w:tmpl w:val="072A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A4619C"/>
    <w:multiLevelType w:val="multilevel"/>
    <w:tmpl w:val="BD56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D55A8"/>
    <w:multiLevelType w:val="multilevel"/>
    <w:tmpl w:val="C6A0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663C9"/>
    <w:multiLevelType w:val="multilevel"/>
    <w:tmpl w:val="DC089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4A487E"/>
    <w:multiLevelType w:val="multilevel"/>
    <w:tmpl w:val="A12C7BA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C774D"/>
    <w:multiLevelType w:val="multilevel"/>
    <w:tmpl w:val="32DA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58774D"/>
    <w:multiLevelType w:val="multilevel"/>
    <w:tmpl w:val="5332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293CFE"/>
    <w:multiLevelType w:val="multilevel"/>
    <w:tmpl w:val="5DB2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7F286C"/>
    <w:multiLevelType w:val="multilevel"/>
    <w:tmpl w:val="C786E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5C37BC"/>
    <w:multiLevelType w:val="multilevel"/>
    <w:tmpl w:val="DBE6B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C46088"/>
    <w:multiLevelType w:val="multilevel"/>
    <w:tmpl w:val="24CC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394C3C"/>
    <w:multiLevelType w:val="multilevel"/>
    <w:tmpl w:val="A54C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AA60A6"/>
    <w:multiLevelType w:val="multilevel"/>
    <w:tmpl w:val="126C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14DDF"/>
    <w:multiLevelType w:val="multilevel"/>
    <w:tmpl w:val="348A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797301"/>
    <w:multiLevelType w:val="multilevel"/>
    <w:tmpl w:val="88A6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F24AC4"/>
    <w:multiLevelType w:val="multilevel"/>
    <w:tmpl w:val="0340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2819636">
    <w:abstractNumId w:val="15"/>
  </w:num>
  <w:num w:numId="2" w16cid:durableId="78063095">
    <w:abstractNumId w:val="19"/>
  </w:num>
  <w:num w:numId="3" w16cid:durableId="633483547">
    <w:abstractNumId w:val="9"/>
  </w:num>
  <w:num w:numId="4" w16cid:durableId="931739576">
    <w:abstractNumId w:val="4"/>
  </w:num>
  <w:num w:numId="5" w16cid:durableId="1578057980">
    <w:abstractNumId w:val="16"/>
  </w:num>
  <w:num w:numId="6" w16cid:durableId="1367370457">
    <w:abstractNumId w:val="1"/>
  </w:num>
  <w:num w:numId="7" w16cid:durableId="1251811641">
    <w:abstractNumId w:val="13"/>
  </w:num>
  <w:num w:numId="8" w16cid:durableId="1412968656">
    <w:abstractNumId w:val="20"/>
  </w:num>
  <w:num w:numId="9" w16cid:durableId="1426150870">
    <w:abstractNumId w:val="27"/>
  </w:num>
  <w:num w:numId="10" w16cid:durableId="1335644676">
    <w:abstractNumId w:val="10"/>
  </w:num>
  <w:num w:numId="11" w16cid:durableId="159123214">
    <w:abstractNumId w:val="3"/>
  </w:num>
  <w:num w:numId="12" w16cid:durableId="172964847">
    <w:abstractNumId w:val="12"/>
  </w:num>
  <w:num w:numId="13" w16cid:durableId="953824101">
    <w:abstractNumId w:val="5"/>
  </w:num>
  <w:num w:numId="14" w16cid:durableId="2011397868">
    <w:abstractNumId w:val="26"/>
  </w:num>
  <w:num w:numId="15" w16cid:durableId="2067607260">
    <w:abstractNumId w:val="22"/>
  </w:num>
  <w:num w:numId="16" w16cid:durableId="499126942">
    <w:abstractNumId w:val="23"/>
  </w:num>
  <w:num w:numId="17" w16cid:durableId="1371951148">
    <w:abstractNumId w:val="25"/>
  </w:num>
  <w:num w:numId="18" w16cid:durableId="231700309">
    <w:abstractNumId w:val="24"/>
  </w:num>
  <w:num w:numId="19" w16cid:durableId="161431187">
    <w:abstractNumId w:val="11"/>
  </w:num>
  <w:num w:numId="20" w16cid:durableId="1235896704">
    <w:abstractNumId w:val="14"/>
  </w:num>
  <w:num w:numId="21" w16cid:durableId="1956403819">
    <w:abstractNumId w:val="21"/>
  </w:num>
  <w:num w:numId="22" w16cid:durableId="514465733">
    <w:abstractNumId w:val="6"/>
  </w:num>
  <w:num w:numId="23" w16cid:durableId="523443928">
    <w:abstractNumId w:val="2"/>
  </w:num>
  <w:num w:numId="24" w16cid:durableId="588850880">
    <w:abstractNumId w:val="8"/>
  </w:num>
  <w:num w:numId="25" w16cid:durableId="557522340">
    <w:abstractNumId w:val="17"/>
  </w:num>
  <w:num w:numId="26" w16cid:durableId="1738088890">
    <w:abstractNumId w:val="18"/>
  </w:num>
  <w:num w:numId="27" w16cid:durableId="530269188">
    <w:abstractNumId w:val="7"/>
  </w:num>
  <w:num w:numId="28" w16cid:durableId="154497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SwNDEzNjE3NzYxMjJT0lEKTi0uzszPAykwrAUAGWrtUywAAAA="/>
  </w:docVars>
  <w:rsids>
    <w:rsidRoot w:val="001B52E2"/>
    <w:rsid w:val="00005EA1"/>
    <w:rsid w:val="0002135A"/>
    <w:rsid w:val="00023239"/>
    <w:rsid w:val="000253AD"/>
    <w:rsid w:val="000345BF"/>
    <w:rsid w:val="00035F55"/>
    <w:rsid w:val="00047511"/>
    <w:rsid w:val="0004756E"/>
    <w:rsid w:val="00047AC0"/>
    <w:rsid w:val="00061D51"/>
    <w:rsid w:val="0006405D"/>
    <w:rsid w:val="000660E0"/>
    <w:rsid w:val="00073160"/>
    <w:rsid w:val="0008377F"/>
    <w:rsid w:val="000860ED"/>
    <w:rsid w:val="000902AD"/>
    <w:rsid w:val="000A2891"/>
    <w:rsid w:val="000A7442"/>
    <w:rsid w:val="000A7B2A"/>
    <w:rsid w:val="000A7B6C"/>
    <w:rsid w:val="000B0DF5"/>
    <w:rsid w:val="000B73C3"/>
    <w:rsid w:val="000D4E18"/>
    <w:rsid w:val="000E488A"/>
    <w:rsid w:val="000E6E2F"/>
    <w:rsid w:val="00106025"/>
    <w:rsid w:val="00111CB1"/>
    <w:rsid w:val="00117A70"/>
    <w:rsid w:val="001228AD"/>
    <w:rsid w:val="00122F70"/>
    <w:rsid w:val="00126A71"/>
    <w:rsid w:val="00133661"/>
    <w:rsid w:val="00143C08"/>
    <w:rsid w:val="0016626A"/>
    <w:rsid w:val="0018268A"/>
    <w:rsid w:val="001A39C7"/>
    <w:rsid w:val="001A6AAE"/>
    <w:rsid w:val="001B4CE4"/>
    <w:rsid w:val="001B52E2"/>
    <w:rsid w:val="001C17D7"/>
    <w:rsid w:val="001F78EC"/>
    <w:rsid w:val="0020494E"/>
    <w:rsid w:val="00207AB7"/>
    <w:rsid w:val="00211178"/>
    <w:rsid w:val="00211882"/>
    <w:rsid w:val="00213842"/>
    <w:rsid w:val="00213ED9"/>
    <w:rsid w:val="00220A45"/>
    <w:rsid w:val="00220CE3"/>
    <w:rsid w:val="00245464"/>
    <w:rsid w:val="0025762F"/>
    <w:rsid w:val="00290F22"/>
    <w:rsid w:val="00295E23"/>
    <w:rsid w:val="00297BA3"/>
    <w:rsid w:val="002C6454"/>
    <w:rsid w:val="002E094C"/>
    <w:rsid w:val="002E3EC0"/>
    <w:rsid w:val="002E5A1A"/>
    <w:rsid w:val="002E6A97"/>
    <w:rsid w:val="00304512"/>
    <w:rsid w:val="00312DD2"/>
    <w:rsid w:val="0031302C"/>
    <w:rsid w:val="0031775C"/>
    <w:rsid w:val="00324982"/>
    <w:rsid w:val="00330AE0"/>
    <w:rsid w:val="00340190"/>
    <w:rsid w:val="003444C2"/>
    <w:rsid w:val="00354ECD"/>
    <w:rsid w:val="003557EA"/>
    <w:rsid w:val="0036430F"/>
    <w:rsid w:val="003846D9"/>
    <w:rsid w:val="00394006"/>
    <w:rsid w:val="003A5332"/>
    <w:rsid w:val="003A5366"/>
    <w:rsid w:val="003A5DB2"/>
    <w:rsid w:val="003B2CB1"/>
    <w:rsid w:val="003B322B"/>
    <w:rsid w:val="003C086C"/>
    <w:rsid w:val="003C0D87"/>
    <w:rsid w:val="003C16AC"/>
    <w:rsid w:val="003D44A4"/>
    <w:rsid w:val="003E433F"/>
    <w:rsid w:val="003E4FC9"/>
    <w:rsid w:val="00400B27"/>
    <w:rsid w:val="00422E31"/>
    <w:rsid w:val="00423C12"/>
    <w:rsid w:val="004301C0"/>
    <w:rsid w:val="004306FF"/>
    <w:rsid w:val="0043088C"/>
    <w:rsid w:val="00450C19"/>
    <w:rsid w:val="0045347C"/>
    <w:rsid w:val="004748FA"/>
    <w:rsid w:val="00480A36"/>
    <w:rsid w:val="004B3C64"/>
    <w:rsid w:val="004C5569"/>
    <w:rsid w:val="004D5B2D"/>
    <w:rsid w:val="004D664F"/>
    <w:rsid w:val="004E5D2A"/>
    <w:rsid w:val="004F2D20"/>
    <w:rsid w:val="004F3EA0"/>
    <w:rsid w:val="004F463F"/>
    <w:rsid w:val="004F4ED0"/>
    <w:rsid w:val="005046A6"/>
    <w:rsid w:val="005060D5"/>
    <w:rsid w:val="0051036F"/>
    <w:rsid w:val="00510512"/>
    <w:rsid w:val="00520083"/>
    <w:rsid w:val="00523F1A"/>
    <w:rsid w:val="00526268"/>
    <w:rsid w:val="00536F63"/>
    <w:rsid w:val="005474A9"/>
    <w:rsid w:val="00560C37"/>
    <w:rsid w:val="00562B8D"/>
    <w:rsid w:val="00562FCE"/>
    <w:rsid w:val="00572235"/>
    <w:rsid w:val="005820C8"/>
    <w:rsid w:val="0058411C"/>
    <w:rsid w:val="0058422A"/>
    <w:rsid w:val="0058496E"/>
    <w:rsid w:val="00591008"/>
    <w:rsid w:val="005A028E"/>
    <w:rsid w:val="005A6E0A"/>
    <w:rsid w:val="005A7E46"/>
    <w:rsid w:val="005C779A"/>
    <w:rsid w:val="005D3655"/>
    <w:rsid w:val="005E2EAB"/>
    <w:rsid w:val="005E5E33"/>
    <w:rsid w:val="005F0363"/>
    <w:rsid w:val="005F1629"/>
    <w:rsid w:val="005F485A"/>
    <w:rsid w:val="005F5D2C"/>
    <w:rsid w:val="005F740B"/>
    <w:rsid w:val="00600F8D"/>
    <w:rsid w:val="006154B2"/>
    <w:rsid w:val="00616293"/>
    <w:rsid w:val="00632574"/>
    <w:rsid w:val="006345BD"/>
    <w:rsid w:val="00643BCE"/>
    <w:rsid w:val="00650F3A"/>
    <w:rsid w:val="006612F8"/>
    <w:rsid w:val="00666956"/>
    <w:rsid w:val="0067351F"/>
    <w:rsid w:val="00683259"/>
    <w:rsid w:val="006931BA"/>
    <w:rsid w:val="00693C11"/>
    <w:rsid w:val="00695A5A"/>
    <w:rsid w:val="006A7774"/>
    <w:rsid w:val="006B2F47"/>
    <w:rsid w:val="006B4B64"/>
    <w:rsid w:val="006C31DF"/>
    <w:rsid w:val="006D1D08"/>
    <w:rsid w:val="006D4D56"/>
    <w:rsid w:val="006D5895"/>
    <w:rsid w:val="006D7FB7"/>
    <w:rsid w:val="006E4BD4"/>
    <w:rsid w:val="006F288F"/>
    <w:rsid w:val="006F61C2"/>
    <w:rsid w:val="00713972"/>
    <w:rsid w:val="00723874"/>
    <w:rsid w:val="0072389F"/>
    <w:rsid w:val="007250DE"/>
    <w:rsid w:val="00732412"/>
    <w:rsid w:val="007353B6"/>
    <w:rsid w:val="00735BBD"/>
    <w:rsid w:val="007428D6"/>
    <w:rsid w:val="00746F94"/>
    <w:rsid w:val="007573CB"/>
    <w:rsid w:val="00771CD5"/>
    <w:rsid w:val="00774A91"/>
    <w:rsid w:val="00797029"/>
    <w:rsid w:val="007A6862"/>
    <w:rsid w:val="007B634A"/>
    <w:rsid w:val="007C1E4A"/>
    <w:rsid w:val="007D4ECB"/>
    <w:rsid w:val="007E2425"/>
    <w:rsid w:val="007E7E65"/>
    <w:rsid w:val="007F3837"/>
    <w:rsid w:val="007F3D16"/>
    <w:rsid w:val="007F3E45"/>
    <w:rsid w:val="007F5AFE"/>
    <w:rsid w:val="007F6CDD"/>
    <w:rsid w:val="00817B4F"/>
    <w:rsid w:val="00833126"/>
    <w:rsid w:val="00834A25"/>
    <w:rsid w:val="0084272D"/>
    <w:rsid w:val="0084325B"/>
    <w:rsid w:val="00843C13"/>
    <w:rsid w:val="008673F6"/>
    <w:rsid w:val="00873106"/>
    <w:rsid w:val="008744F2"/>
    <w:rsid w:val="008867B7"/>
    <w:rsid w:val="00893BF3"/>
    <w:rsid w:val="008968AE"/>
    <w:rsid w:val="008A116E"/>
    <w:rsid w:val="008B48CF"/>
    <w:rsid w:val="008B5630"/>
    <w:rsid w:val="008B7947"/>
    <w:rsid w:val="008C30CF"/>
    <w:rsid w:val="008D42E7"/>
    <w:rsid w:val="008D61B7"/>
    <w:rsid w:val="008E2FA9"/>
    <w:rsid w:val="008E3081"/>
    <w:rsid w:val="008F3B7D"/>
    <w:rsid w:val="009112E3"/>
    <w:rsid w:val="009236E2"/>
    <w:rsid w:val="00927162"/>
    <w:rsid w:val="00944935"/>
    <w:rsid w:val="00946DF6"/>
    <w:rsid w:val="00951C79"/>
    <w:rsid w:val="0095697A"/>
    <w:rsid w:val="0096527B"/>
    <w:rsid w:val="00966B47"/>
    <w:rsid w:val="00970995"/>
    <w:rsid w:val="009742AE"/>
    <w:rsid w:val="009750F5"/>
    <w:rsid w:val="009764D7"/>
    <w:rsid w:val="0099389F"/>
    <w:rsid w:val="00996715"/>
    <w:rsid w:val="009A01F6"/>
    <w:rsid w:val="009A293F"/>
    <w:rsid w:val="009B5149"/>
    <w:rsid w:val="009B5650"/>
    <w:rsid w:val="009C3961"/>
    <w:rsid w:val="009D4307"/>
    <w:rsid w:val="009E13FA"/>
    <w:rsid w:val="00A00E49"/>
    <w:rsid w:val="00A02A0E"/>
    <w:rsid w:val="00A10E91"/>
    <w:rsid w:val="00A26A0D"/>
    <w:rsid w:val="00A26AF8"/>
    <w:rsid w:val="00A65733"/>
    <w:rsid w:val="00A65DFD"/>
    <w:rsid w:val="00A71498"/>
    <w:rsid w:val="00A76399"/>
    <w:rsid w:val="00A76E52"/>
    <w:rsid w:val="00A778B9"/>
    <w:rsid w:val="00A81290"/>
    <w:rsid w:val="00A82392"/>
    <w:rsid w:val="00A866F6"/>
    <w:rsid w:val="00A87BE7"/>
    <w:rsid w:val="00AB630E"/>
    <w:rsid w:val="00AC7BD5"/>
    <w:rsid w:val="00AD5AEF"/>
    <w:rsid w:val="00AF0256"/>
    <w:rsid w:val="00AF03C4"/>
    <w:rsid w:val="00AF0A1D"/>
    <w:rsid w:val="00B01C79"/>
    <w:rsid w:val="00B30A4C"/>
    <w:rsid w:val="00B37513"/>
    <w:rsid w:val="00B3792C"/>
    <w:rsid w:val="00B464A5"/>
    <w:rsid w:val="00B47763"/>
    <w:rsid w:val="00B72B95"/>
    <w:rsid w:val="00B81F1F"/>
    <w:rsid w:val="00B86C9C"/>
    <w:rsid w:val="00B91C7A"/>
    <w:rsid w:val="00B92A88"/>
    <w:rsid w:val="00B97B0F"/>
    <w:rsid w:val="00BA69D3"/>
    <w:rsid w:val="00BA74B6"/>
    <w:rsid w:val="00BC4CD5"/>
    <w:rsid w:val="00BC75F9"/>
    <w:rsid w:val="00BD2182"/>
    <w:rsid w:val="00BE70BE"/>
    <w:rsid w:val="00BE76A1"/>
    <w:rsid w:val="00BF423D"/>
    <w:rsid w:val="00BF4C5B"/>
    <w:rsid w:val="00BF7C1A"/>
    <w:rsid w:val="00C01EBF"/>
    <w:rsid w:val="00C02136"/>
    <w:rsid w:val="00C0525D"/>
    <w:rsid w:val="00C0561F"/>
    <w:rsid w:val="00C1341A"/>
    <w:rsid w:val="00C155EF"/>
    <w:rsid w:val="00C17BF1"/>
    <w:rsid w:val="00C44C69"/>
    <w:rsid w:val="00C51CDA"/>
    <w:rsid w:val="00C53471"/>
    <w:rsid w:val="00C57FBA"/>
    <w:rsid w:val="00C61289"/>
    <w:rsid w:val="00C745C9"/>
    <w:rsid w:val="00C90874"/>
    <w:rsid w:val="00C924D7"/>
    <w:rsid w:val="00C92E95"/>
    <w:rsid w:val="00CA67A1"/>
    <w:rsid w:val="00CA7403"/>
    <w:rsid w:val="00CC09FA"/>
    <w:rsid w:val="00CD41BB"/>
    <w:rsid w:val="00CE049C"/>
    <w:rsid w:val="00CE57C6"/>
    <w:rsid w:val="00CF6F75"/>
    <w:rsid w:val="00D056AC"/>
    <w:rsid w:val="00D15D52"/>
    <w:rsid w:val="00D27A3C"/>
    <w:rsid w:val="00D442E5"/>
    <w:rsid w:val="00D55BF3"/>
    <w:rsid w:val="00D63EAE"/>
    <w:rsid w:val="00D764F7"/>
    <w:rsid w:val="00D82B16"/>
    <w:rsid w:val="00D90F98"/>
    <w:rsid w:val="00D9198D"/>
    <w:rsid w:val="00D94CF8"/>
    <w:rsid w:val="00DA135F"/>
    <w:rsid w:val="00DA15A6"/>
    <w:rsid w:val="00DA7D5B"/>
    <w:rsid w:val="00DB4062"/>
    <w:rsid w:val="00DC07D7"/>
    <w:rsid w:val="00DC30A5"/>
    <w:rsid w:val="00DC7FD0"/>
    <w:rsid w:val="00DD2763"/>
    <w:rsid w:val="00DE0831"/>
    <w:rsid w:val="00DF130D"/>
    <w:rsid w:val="00DF3CFB"/>
    <w:rsid w:val="00E02228"/>
    <w:rsid w:val="00E16CA2"/>
    <w:rsid w:val="00E17062"/>
    <w:rsid w:val="00E22E34"/>
    <w:rsid w:val="00E26FE0"/>
    <w:rsid w:val="00E46B49"/>
    <w:rsid w:val="00E57A15"/>
    <w:rsid w:val="00E6600E"/>
    <w:rsid w:val="00E7426B"/>
    <w:rsid w:val="00E774BB"/>
    <w:rsid w:val="00E85A3D"/>
    <w:rsid w:val="00E86A81"/>
    <w:rsid w:val="00EB0CA2"/>
    <w:rsid w:val="00EB100E"/>
    <w:rsid w:val="00EB1BE0"/>
    <w:rsid w:val="00EB3E62"/>
    <w:rsid w:val="00EB6516"/>
    <w:rsid w:val="00EB6EA7"/>
    <w:rsid w:val="00EE2080"/>
    <w:rsid w:val="00EF5AE3"/>
    <w:rsid w:val="00EF7162"/>
    <w:rsid w:val="00EF7589"/>
    <w:rsid w:val="00EF7A15"/>
    <w:rsid w:val="00EF7BD9"/>
    <w:rsid w:val="00F00C5C"/>
    <w:rsid w:val="00F04AE6"/>
    <w:rsid w:val="00F15704"/>
    <w:rsid w:val="00F17313"/>
    <w:rsid w:val="00F304A1"/>
    <w:rsid w:val="00F31758"/>
    <w:rsid w:val="00F33D61"/>
    <w:rsid w:val="00F54155"/>
    <w:rsid w:val="00F60340"/>
    <w:rsid w:val="00F65942"/>
    <w:rsid w:val="00F708A6"/>
    <w:rsid w:val="00F7112A"/>
    <w:rsid w:val="00F76352"/>
    <w:rsid w:val="00FA3A38"/>
    <w:rsid w:val="00FA7DA2"/>
    <w:rsid w:val="00FB5AC2"/>
    <w:rsid w:val="00FC5E6A"/>
    <w:rsid w:val="00FD3478"/>
    <w:rsid w:val="00FD4B58"/>
    <w:rsid w:val="00FD7A83"/>
    <w:rsid w:val="00FF635A"/>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B8BAF"/>
  <w15:chartTrackingRefBased/>
  <w15:docId w15:val="{8516D040-63D3-4AE0-BEC9-782F7149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629"/>
    <w:rPr>
      <w:rFonts w:cs="Gautami"/>
    </w:rPr>
  </w:style>
  <w:style w:type="paragraph" w:styleId="Heading1">
    <w:name w:val="heading 1"/>
    <w:basedOn w:val="Normal"/>
    <w:next w:val="Normal"/>
    <w:link w:val="Heading1Char"/>
    <w:uiPriority w:val="9"/>
    <w:qFormat/>
    <w:rsid w:val="001B52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52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52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52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52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52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2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2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2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2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52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2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52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52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52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2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2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2E2"/>
    <w:rPr>
      <w:rFonts w:eastAsiaTheme="majorEastAsia" w:cstheme="majorBidi"/>
      <w:color w:val="272727" w:themeColor="text1" w:themeTint="D8"/>
    </w:rPr>
  </w:style>
  <w:style w:type="paragraph" w:styleId="Title">
    <w:name w:val="Title"/>
    <w:basedOn w:val="Normal"/>
    <w:next w:val="Normal"/>
    <w:link w:val="TitleChar"/>
    <w:uiPriority w:val="10"/>
    <w:qFormat/>
    <w:rsid w:val="001B5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2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2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2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2E2"/>
    <w:pPr>
      <w:spacing w:before="160"/>
      <w:jc w:val="center"/>
    </w:pPr>
    <w:rPr>
      <w:i/>
      <w:iCs/>
      <w:color w:val="404040" w:themeColor="text1" w:themeTint="BF"/>
    </w:rPr>
  </w:style>
  <w:style w:type="character" w:customStyle="1" w:styleId="QuoteChar">
    <w:name w:val="Quote Char"/>
    <w:basedOn w:val="DefaultParagraphFont"/>
    <w:link w:val="Quote"/>
    <w:uiPriority w:val="29"/>
    <w:rsid w:val="001B52E2"/>
    <w:rPr>
      <w:rFonts w:cs="Gautami"/>
      <w:i/>
      <w:iCs/>
      <w:color w:val="404040" w:themeColor="text1" w:themeTint="BF"/>
    </w:rPr>
  </w:style>
  <w:style w:type="paragraph" w:styleId="ListParagraph">
    <w:name w:val="List Paragraph"/>
    <w:basedOn w:val="Normal"/>
    <w:uiPriority w:val="34"/>
    <w:qFormat/>
    <w:rsid w:val="001B52E2"/>
    <w:pPr>
      <w:ind w:left="720"/>
      <w:contextualSpacing/>
    </w:pPr>
  </w:style>
  <w:style w:type="character" w:styleId="IntenseEmphasis">
    <w:name w:val="Intense Emphasis"/>
    <w:basedOn w:val="DefaultParagraphFont"/>
    <w:uiPriority w:val="21"/>
    <w:qFormat/>
    <w:rsid w:val="001B52E2"/>
    <w:rPr>
      <w:i/>
      <w:iCs/>
      <w:color w:val="2F5496" w:themeColor="accent1" w:themeShade="BF"/>
    </w:rPr>
  </w:style>
  <w:style w:type="paragraph" w:styleId="IntenseQuote">
    <w:name w:val="Intense Quote"/>
    <w:basedOn w:val="Normal"/>
    <w:next w:val="Normal"/>
    <w:link w:val="IntenseQuoteChar"/>
    <w:uiPriority w:val="30"/>
    <w:qFormat/>
    <w:rsid w:val="001B52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52E2"/>
    <w:rPr>
      <w:rFonts w:cs="Gautami"/>
      <w:i/>
      <w:iCs/>
      <w:color w:val="2F5496" w:themeColor="accent1" w:themeShade="BF"/>
    </w:rPr>
  </w:style>
  <w:style w:type="character" w:styleId="IntenseReference">
    <w:name w:val="Intense Reference"/>
    <w:basedOn w:val="DefaultParagraphFont"/>
    <w:uiPriority w:val="32"/>
    <w:qFormat/>
    <w:rsid w:val="001B52E2"/>
    <w:rPr>
      <w:b/>
      <w:bCs/>
      <w:smallCaps/>
      <w:color w:val="2F5496" w:themeColor="accent1" w:themeShade="BF"/>
      <w:spacing w:val="5"/>
    </w:rPr>
  </w:style>
  <w:style w:type="table" w:styleId="TableGrid">
    <w:name w:val="Table Grid"/>
    <w:basedOn w:val="TableNormal"/>
    <w:uiPriority w:val="39"/>
    <w:rsid w:val="00A26AF8"/>
    <w:pPr>
      <w:spacing w:after="0" w:line="240" w:lineRule="auto"/>
    </w:pPr>
    <w:rPr>
      <w:rFonts w:ascii="Calibri" w:eastAsia="Times New Roman" w:hAnsi="Calibri" w:cs="Gautami"/>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6F61C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dq2pgselectionanchorcontainer">
    <w:name w:val="pdq2pg_selectionanchorcontainer"/>
    <w:basedOn w:val="Normal"/>
    <w:rsid w:val="00111CB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11CB1"/>
    <w:rPr>
      <w:b/>
      <w:bCs/>
    </w:rPr>
  </w:style>
  <w:style w:type="paragraph" w:styleId="NormalWeb">
    <w:name w:val="Normal (Web)"/>
    <w:basedOn w:val="Normal"/>
    <w:uiPriority w:val="99"/>
    <w:unhideWhenUsed/>
    <w:rsid w:val="00111CB1"/>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1Light-Accent6">
    <w:name w:val="Grid Table 1 Light Accent 6"/>
    <w:basedOn w:val="TableNormal"/>
    <w:uiPriority w:val="46"/>
    <w:rsid w:val="00111CB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9A01F6"/>
    <w:rPr>
      <w:i/>
      <w:iCs/>
    </w:rPr>
  </w:style>
  <w:style w:type="character" w:styleId="Hyperlink">
    <w:name w:val="Hyperlink"/>
    <w:basedOn w:val="DefaultParagraphFont"/>
    <w:uiPriority w:val="99"/>
    <w:semiHidden/>
    <w:unhideWhenUsed/>
    <w:rsid w:val="009764D7"/>
    <w:rPr>
      <w:color w:val="0000FF"/>
      <w:u w:val="single"/>
    </w:rPr>
  </w:style>
  <w:style w:type="paragraph" w:styleId="NoSpacing">
    <w:name w:val="No Spacing"/>
    <w:uiPriority w:val="1"/>
    <w:qFormat/>
    <w:rsid w:val="00946DF6"/>
    <w:pPr>
      <w:spacing w:after="0" w:line="240" w:lineRule="auto"/>
    </w:pPr>
    <w:rPr>
      <w:rFonts w:cs="Gautami"/>
    </w:rPr>
  </w:style>
  <w:style w:type="paragraph" w:styleId="Header">
    <w:name w:val="header"/>
    <w:basedOn w:val="Normal"/>
    <w:link w:val="HeaderChar"/>
    <w:uiPriority w:val="99"/>
    <w:unhideWhenUsed/>
    <w:rsid w:val="008D4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2E7"/>
    <w:rPr>
      <w:rFonts w:cs="Gautami"/>
    </w:rPr>
  </w:style>
  <w:style w:type="paragraph" w:styleId="Footer">
    <w:name w:val="footer"/>
    <w:basedOn w:val="Normal"/>
    <w:link w:val="FooterChar"/>
    <w:uiPriority w:val="99"/>
    <w:unhideWhenUsed/>
    <w:rsid w:val="008D4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2E7"/>
    <w:rPr>
      <w:rFonts w:cs="Gautami"/>
    </w:rPr>
  </w:style>
  <w:style w:type="paragraph" w:customStyle="1" w:styleId="isselectedend">
    <w:name w:val="isselectedend"/>
    <w:basedOn w:val="Normal"/>
    <w:rsid w:val="00817B4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TMLCode">
    <w:name w:val="HTML Code"/>
    <w:basedOn w:val="DefaultParagraphFont"/>
    <w:uiPriority w:val="99"/>
    <w:semiHidden/>
    <w:unhideWhenUsed/>
    <w:rsid w:val="00D764F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ti.gov.in/index.php/node/481" TargetMode="External"/><Relationship Id="rId18" Type="http://schemas.openxmlformats.org/officeDocument/2006/relationships/hyperlink" Target="https://doi.org/10.1111/ajae.12536" TargetMode="External"/><Relationship Id="rId26" Type="http://schemas.openxmlformats.org/officeDocument/2006/relationships/hyperlink" Target="https://www.epw.in/journal/2019/44/insight/jobless-job-loss-growth.html" TargetMode="External"/><Relationship Id="rId39" Type="http://schemas.openxmlformats.org/officeDocument/2006/relationships/hyperlink" Target="https://doi.org/10.9734/ajaees/2024/v42i72513" TargetMode="External"/><Relationship Id="rId21" Type="http://schemas.openxmlformats.org/officeDocument/2006/relationships/hyperlink" Target="https://doi.org/10.1257/app.20130401" TargetMode="External"/><Relationship Id="rId34" Type="http://schemas.openxmlformats.org/officeDocument/2006/relationships/hyperlink" Target="https://dcmsme.gov.in/Condition_of_workers_sep_2007.pdf" TargetMode="External"/><Relationship Id="rId42" Type="http://schemas.openxmlformats.org/officeDocument/2006/relationships/hyperlink" Target="https://researchrepository.ilo.org/esploro/outputs/journalArticle/Technical-change-and-workforce-in-India/995268284202676"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s://www.epw.in/journal/2017/38/commentary/stagnant-employment-growth.html" TargetMode="External"/><Relationship Id="rId2" Type="http://schemas.openxmlformats.org/officeDocument/2006/relationships/styles" Target="styles.xml"/><Relationship Id="rId16" Type="http://schemas.openxmlformats.org/officeDocument/2006/relationships/hyperlink" Target="https://doi.org/10.1093/oso/9780198296959.001.0001" TargetMode="External"/><Relationship Id="rId29" Type="http://schemas.openxmlformats.org/officeDocument/2006/relationships/hyperlink" Target="https://doi.org/10.1016/j.worlddev.2016.11.004" TargetMode="External"/><Relationship Id="rId11" Type="http://schemas.openxmlformats.org/officeDocument/2006/relationships/hyperlink" Target="https://doi.org/10.1080/00220388608421994" TargetMode="External"/><Relationship Id="rId24" Type="http://schemas.openxmlformats.org/officeDocument/2006/relationships/hyperlink" Target="https://doi.org/10.1007/s41027-018-0111-x" TargetMode="External"/><Relationship Id="rId32" Type="http://schemas.openxmlformats.org/officeDocument/2006/relationships/hyperlink" Target="https://mospi.gov.in/annual-report-periodic-labour-force-survey-plfs-2023-24" TargetMode="External"/><Relationship Id="rId37" Type="http://schemas.openxmlformats.org/officeDocument/2006/relationships/hyperlink" Target="https://doi.org/10.1108/IJSE-11-2014-0221" TargetMode="External"/><Relationship Id="rId40" Type="http://schemas.openxmlformats.org/officeDocument/2006/relationships/hyperlink" Target="https://doi.org/10.1093/jeg/lbae047" TargetMode="External"/><Relationship Id="rId45" Type="http://schemas.openxmlformats.org/officeDocument/2006/relationships/hyperlink" Target="https://data.worldbank.org/indicator/NV.AGR.TOTL.ZS"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4060/cc9143en" TargetMode="External"/><Relationship Id="rId19" Type="http://schemas.openxmlformats.org/officeDocument/2006/relationships/hyperlink" Target="https://opac.cottonuniversity.ac.in/cgi-bin/koha/opac-detail.pl?biblionumber=65819" TargetMode="External"/><Relationship Id="rId31" Type="http://schemas.openxmlformats.org/officeDocument/2006/relationships/hyperlink" Target="https://doi.org/10.1016/j.worlddev.2017.05.003" TargetMode="External"/><Relationship Id="rId44" Type="http://schemas.openxmlformats.org/officeDocument/2006/relationships/hyperlink" Target="https://www.epw.in/journal/2005/25/gender-and-food-security-special-issues-specials/feminisation-agriculture-and"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80/00220388.2015.1046444" TargetMode="External"/><Relationship Id="rId14" Type="http://schemas.openxmlformats.org/officeDocument/2006/relationships/hyperlink" Target="https://doi.org/10.1016/j.worlddev.2023.106435" TargetMode="External"/><Relationship Id="rId22" Type="http://schemas.openxmlformats.org/officeDocument/2006/relationships/hyperlink" Target="https://doi.org/10.54394/DSPL5113" TargetMode="External"/><Relationship Id="rId27" Type="http://schemas.openxmlformats.org/officeDocument/2006/relationships/hyperlink" Target="https://doi.org/10.1093/wber/lhv003" TargetMode="External"/><Relationship Id="rId30" Type="http://schemas.openxmlformats.org/officeDocument/2006/relationships/hyperlink" Target="https://doi.org/10.1093/acprof:oso/9780199452774.001.0001" TargetMode="External"/><Relationship Id="rId35" Type="http://schemas.openxmlformats.org/officeDocument/2006/relationships/hyperlink" Target="https://doi.org/10.56557/jet/2025/v10i19124" TargetMode="External"/><Relationship Id="rId43" Type="http://schemas.openxmlformats.org/officeDocument/2006/relationships/hyperlink" Target="https://doi.org/10.22004/ag.econ.309259" TargetMode="External"/><Relationship Id="rId48" Type="http://schemas.openxmlformats.org/officeDocument/2006/relationships/header" Target="header2.xml"/><Relationship Id="rId8" Type="http://schemas.openxmlformats.org/officeDocument/2006/relationships/hyperlink" Target="https://doi.org/10.1080/13600810903551611" TargetMode="External"/><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www.epw.in/journal/2013/26-27/review-rural-affairs-review-issues/stunted-structural-transformation-indian" TargetMode="External"/><Relationship Id="rId17" Type="http://schemas.openxmlformats.org/officeDocument/2006/relationships/hyperlink" Target="https://doi.org/10.4060/cb4476en" TargetMode="External"/><Relationship Id="rId25" Type="http://schemas.openxmlformats.org/officeDocument/2006/relationships/hyperlink" Target="https://doi.org/10.4324/9781315661896" TargetMode="External"/><Relationship Id="rId33" Type="http://schemas.openxmlformats.org/officeDocument/2006/relationships/hyperlink" Target="https://doi.org/10.4324/9780203411940" TargetMode="External"/><Relationship Id="rId38" Type="http://schemas.openxmlformats.org/officeDocument/2006/relationships/hyperlink" Target="https://doi.org/10.1007/s41027-024-00518-0" TargetMode="External"/><Relationship Id="rId46" Type="http://schemas.openxmlformats.org/officeDocument/2006/relationships/hyperlink" Target="https://doi.org/10.1007/s41027-024-00483-8" TargetMode="External"/><Relationship Id="rId20" Type="http://schemas.openxmlformats.org/officeDocument/2006/relationships/hyperlink" Target="https://doi.org/10.1007/s41027-018-0114-7" TargetMode="External"/><Relationship Id="rId41" Type="http://schemas.openxmlformats.org/officeDocument/2006/relationships/hyperlink" Target="https://doi.org/10.1007/s41027-019-00178-5"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diabudget.gov.in/budget2024-25/economicsurvey/index.php" TargetMode="External"/><Relationship Id="rId23" Type="http://schemas.openxmlformats.org/officeDocument/2006/relationships/hyperlink" Target="https://doi.org/10.54394/HQAE1085" TargetMode="External"/><Relationship Id="rId28" Type="http://schemas.openxmlformats.org/officeDocument/2006/relationships/hyperlink" Target="https://doi.org/10.1453/jepe.v6i2.1872" TargetMode="External"/><Relationship Id="rId36" Type="http://schemas.openxmlformats.org/officeDocument/2006/relationships/hyperlink" Target="https://www.epw.in/journal/2015/2/special-articles/growth-structural-change-and-wage-rates-rural-india.html"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22</Pages>
  <Words>10184</Words>
  <Characters>58052</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Ramavath Kavitha</dc:creator>
  <cp:keywords/>
  <dc:description/>
  <cp:lastModifiedBy>SDI 1158</cp:lastModifiedBy>
  <cp:revision>11</cp:revision>
  <dcterms:created xsi:type="dcterms:W3CDTF">2026-08-13T06:16:00Z</dcterms:created>
  <dcterms:modified xsi:type="dcterms:W3CDTF">2026-08-14T06:22:00Z</dcterms:modified>
</cp:coreProperties>
</file>