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9D7F4" w14:textId="77777777" w:rsidR="00235BC0" w:rsidRPr="00A46D13" w:rsidRDefault="00000000">
      <w:pPr>
        <w:pStyle w:val="Title"/>
        <w:keepNext/>
        <w:spacing w:after="160"/>
        <w:jc w:val="center"/>
      </w:pPr>
      <w:bookmarkStart w:id="0" w:name="X48682071c0b895b1cdf355b702696fe4ada0556"/>
      <w:r w:rsidRPr="00A46D13">
        <w:rPr>
          <w:bCs/>
          <w:sz w:val="32"/>
        </w:rPr>
        <w:t xml:space="preserve">The Coordination Compression Trap: A Dynamic Model of AI-Enabled Productivity, Verification Debt, and </w:t>
      </w:r>
      <w:proofErr w:type="spellStart"/>
      <w:r w:rsidRPr="00A46D13">
        <w:rPr>
          <w:bCs/>
          <w:sz w:val="32"/>
        </w:rPr>
        <w:t>Organisational</w:t>
      </w:r>
      <w:proofErr w:type="spellEnd"/>
      <w:r w:rsidRPr="00A46D13">
        <w:rPr>
          <w:bCs/>
          <w:sz w:val="32"/>
        </w:rPr>
        <w:t xml:space="preserve"> Resilience in Global Knowledge Firms</w:t>
      </w:r>
    </w:p>
    <w:p w14:paraId="198E583A" w14:textId="77777777" w:rsidR="00235BC0" w:rsidRPr="00A46D13" w:rsidRDefault="00000000">
      <w:pPr>
        <w:pStyle w:val="Heading1"/>
      </w:pPr>
      <w:bookmarkStart w:id="1" w:name="abstract"/>
      <w:bookmarkEnd w:id="0"/>
      <w:r w:rsidRPr="00A46D13">
        <w:rPr>
          <w:bCs/>
        </w:rPr>
        <w:t>ABSTRACT</w:t>
      </w:r>
    </w:p>
    <w:p w14:paraId="04DB5F79" w14:textId="77777777" w:rsidR="00235BC0" w:rsidRPr="00A46D13" w:rsidRDefault="00000000">
      <w:r w:rsidRPr="00A46D13">
        <w:rPr>
          <w:b/>
          <w:bCs/>
        </w:rPr>
        <w:t>Aims:</w:t>
      </w:r>
      <w:r w:rsidRPr="00A46D13">
        <w:t xml:space="preserve"> This study develops a dynamic explanation for the gap between task-level artificial intelligence productivity and durable enterprise value. It introduces </w:t>
      </w:r>
      <w:r w:rsidRPr="00A46D13">
        <w:rPr>
          <w:i/>
          <w:iCs/>
        </w:rPr>
        <w:t>verification debt</w:t>
      </w:r>
      <w:r w:rsidRPr="00A46D13">
        <w:t>, the accumulated stock of unverified assumptions, weak review, concealed dependencies, deferred validation, and capability loss.</w:t>
      </w:r>
    </w:p>
    <w:p w14:paraId="6EEA537C" w14:textId="77777777" w:rsidR="00235BC0" w:rsidRPr="00A46D13" w:rsidRDefault="00000000">
      <w:r w:rsidRPr="00A46D13">
        <w:rPr>
          <w:b/>
          <w:bCs/>
        </w:rPr>
        <w:t>Study design:</w:t>
      </w:r>
      <w:r w:rsidRPr="00A46D13">
        <w:t xml:space="preserve"> Analytical model development with longitudinal Monte Carlo simulation, policy-space search, and structural-heterogeneity robustness analysis.</w:t>
      </w:r>
    </w:p>
    <w:p w14:paraId="2E91B488" w14:textId="77777777" w:rsidR="00235BC0" w:rsidRPr="00A46D13" w:rsidRDefault="00000000">
      <w:r w:rsidRPr="00A46D13">
        <w:rPr>
          <w:b/>
          <w:bCs/>
        </w:rPr>
        <w:t>Place and Duration of Study:</w:t>
      </w:r>
      <w:r w:rsidRPr="00A46D13">
        <w:t xml:space="preserve"> Singapore; model development, simulation, and revision were conducted in July 2026.</w:t>
      </w:r>
    </w:p>
    <w:p w14:paraId="26C7A23F" w14:textId="77777777" w:rsidR="00235BC0" w:rsidRPr="00A46D13" w:rsidRDefault="00000000">
      <w:r w:rsidRPr="00A46D13">
        <w:rPr>
          <w:b/>
          <w:bCs/>
        </w:rPr>
        <w:t>Methodology:</w:t>
      </w:r>
      <w:r w:rsidRPr="00A46D13">
        <w:t xml:space="preserve"> The model links automation, governance, verification, task fit, uncertainty, expertise, resilience, and shocks. Five </w:t>
      </w:r>
      <w:proofErr w:type="spellStart"/>
      <w:r w:rsidRPr="00A46D13">
        <w:t>stylised</w:t>
      </w:r>
      <w:proofErr w:type="spellEnd"/>
      <w:r w:rsidRPr="00A46D13">
        <w:t xml:space="preserve"> regimes were simulated for 5,000 firms over 60 periods. A three-dimensional search evaluated 3,375 fixed policies before boundary refinement. The analysis also incorporated moderate firm-specific heterogeneity and paired comparisons using common random numbers.</w:t>
      </w:r>
    </w:p>
    <w:p w14:paraId="53A80062" w14:textId="77777777" w:rsidR="00235BC0" w:rsidRPr="00A46D13" w:rsidRDefault="00000000">
      <w:r w:rsidRPr="00A46D13">
        <w:rPr>
          <w:b/>
          <w:bCs/>
        </w:rPr>
        <w:t>Results:</w:t>
      </w:r>
      <w:r w:rsidRPr="00A46D13">
        <w:t xml:space="preserve"> Verified autonomy produced the highest mean cumulative value among the five named regimes at 454.93 units, compared with 419.97 for debt-responsive governance and 3.77 for acceleration-first adoption. Acceleration-first peaked in period 23, generated fragility in 82.94% of base trajectories, and ended with negative values in 41.40%. The full search did not confirm verified autonomy as optimal over the expanded grid. The highest evaluated fixed policy was </w:t>
      </w:r>
      <m:oMath>
        <m:d>
          <m:dPr>
            <m:ctrlPr>
              <w:rPr>
                <w:rFonts w:ascii="Cambria Math" w:hAnsi="Cambria Math"/>
              </w:rPr>
            </m:ctrlPr>
          </m:dPr>
          <m:e>
            <m:r>
              <w:rPr>
                <w:rFonts w:ascii="Cambria Math" w:hAnsi="Cambria Math"/>
              </w:rPr>
              <m:t>a</m:t>
            </m:r>
            <m:r>
              <m:rPr>
                <m:sty m:val="p"/>
              </m:rPr>
              <w:rPr>
                <w:rFonts w:ascii="Cambria Math" w:hAnsi="Cambria Math"/>
              </w:rPr>
              <m:t>,</m:t>
            </m:r>
            <m:r>
              <w:rPr>
                <w:rFonts w:ascii="Cambria Math" w:hAnsi="Cambria Math"/>
              </w:rPr>
              <m:t>g</m:t>
            </m:r>
            <m:r>
              <m:rPr>
                <m:sty m:val="p"/>
              </m:rPr>
              <w:rPr>
                <w:rFonts w:ascii="Cambria Math" w:hAnsi="Cambria Math"/>
              </w:rPr>
              <m:t>,</m:t>
            </m:r>
            <m:r>
              <w:rPr>
                <w:rFonts w:ascii="Cambria Math" w:hAnsi="Cambria Math"/>
              </w:rPr>
              <m:t>v</m:t>
            </m:r>
          </m:e>
        </m:d>
        <m:r>
          <m:rPr>
            <m:sty m:val="p"/>
          </m:rPr>
          <w:rPr>
            <w:rFonts w:ascii="Cambria Math" w:hAnsi="Cambria Math"/>
          </w:rPr>
          <m:t>=</m:t>
        </m:r>
        <m:d>
          <m:dPr>
            <m:ctrlPr>
              <w:rPr>
                <w:rFonts w:ascii="Cambria Math" w:hAnsi="Cambria Math"/>
              </w:rPr>
            </m:ctrlPr>
          </m:dPr>
          <m:e>
            <m:r>
              <w:rPr>
                <w:rFonts w:ascii="Cambria Math" w:hAnsi="Cambria Math"/>
              </w:rPr>
              <m:t>1.00</m:t>
            </m:r>
            <m:r>
              <m:rPr>
                <m:sty m:val="p"/>
              </m:rPr>
              <w:rPr>
                <w:rFonts w:ascii="Cambria Math" w:hAnsi="Cambria Math"/>
              </w:rPr>
              <m:t>,</m:t>
            </m:r>
            <m:r>
              <w:rPr>
                <w:rFonts w:ascii="Cambria Math" w:hAnsi="Cambria Math"/>
              </w:rPr>
              <m:t>0.30</m:t>
            </m:r>
            <m:r>
              <m:rPr>
                <m:sty m:val="p"/>
              </m:rPr>
              <w:rPr>
                <w:rFonts w:ascii="Cambria Math" w:hAnsi="Cambria Math"/>
              </w:rPr>
              <m:t>,</m:t>
            </m:r>
            <m:r>
              <w:rPr>
                <w:rFonts w:ascii="Cambria Math" w:hAnsi="Cambria Math"/>
              </w:rPr>
              <m:t>0.7625</m:t>
            </m:r>
          </m:e>
        </m:d>
      </m:oMath>
      <w:r w:rsidRPr="00A46D13">
        <w:t>, with a mean value of 608.92 and no fragile trajectories under the base model. Under synthetic cross-firm heterogeneity, the five-regime ranking persisted and paired comparisons remained strongly favourable to verified autonomy over the other named regimes.</w:t>
      </w:r>
    </w:p>
    <w:p w14:paraId="6F23A3F6" w14:textId="77777777" w:rsidR="00235BC0" w:rsidRPr="00A46D13" w:rsidRDefault="00000000">
      <w:r w:rsidRPr="00A46D13">
        <w:rPr>
          <w:b/>
          <w:bCs/>
        </w:rPr>
        <w:t>Conclusion:</w:t>
      </w:r>
      <w:r w:rsidRPr="00A46D13">
        <w:t xml:space="preserve"> The coordination compression trap is conditional on inadequate assurance, not automation alone. Extensive automation can remain valuable when verification is strong, while weakly verified acceleration creates debt, deskilling, and shock sensitivity. Numerical optima remain model-dependent and require empirical calibration.</w:t>
      </w:r>
    </w:p>
    <w:p w14:paraId="455617F1" w14:textId="033CF91E" w:rsidR="00235BC0" w:rsidRPr="00A46D13" w:rsidRDefault="00000000">
      <w:pPr>
        <w:spacing w:after="120"/>
      </w:pPr>
      <w:r w:rsidRPr="00A46D13">
        <w:rPr>
          <w:i/>
          <w:iCs/>
        </w:rPr>
        <w:t xml:space="preserve">Keywords: </w:t>
      </w:r>
      <w:r w:rsidR="006B22BD">
        <w:t xml:space="preserve">Artificial intelligence; verification debt; coordination compression; </w:t>
      </w:r>
      <w:proofErr w:type="spellStart"/>
      <w:r w:rsidR="006B22BD">
        <w:t>organisational</w:t>
      </w:r>
      <w:proofErr w:type="spellEnd"/>
      <w:r w:rsidR="006B22BD">
        <w:t xml:space="preserve"> resilience; AI governance; knowledge firms; Monte Carlo simulation; human–AI collaboration; automation; enterprise value</w:t>
      </w:r>
    </w:p>
    <w:p w14:paraId="12E150E5" w14:textId="77777777" w:rsidR="00235BC0" w:rsidRPr="00A46D13" w:rsidRDefault="00000000">
      <w:pPr>
        <w:pStyle w:val="Heading1"/>
      </w:pPr>
      <w:bookmarkStart w:id="2" w:name="introduction"/>
      <w:bookmarkEnd w:id="1"/>
      <w:r w:rsidRPr="00A46D13">
        <w:rPr>
          <w:bCs/>
        </w:rPr>
        <w:t>1. INTRODUCTION</w:t>
      </w:r>
    </w:p>
    <w:p w14:paraId="51ADCB93" w14:textId="178E274D" w:rsidR="003A06EC" w:rsidRPr="00A46D13" w:rsidRDefault="00000000">
      <w:r w:rsidRPr="00A46D13">
        <w:t xml:space="preserve">Generative and agentic artificial intelligence have shifted the managerial question from whether machines can assist knowledge work to how </w:t>
      </w:r>
      <w:proofErr w:type="spellStart"/>
      <w:r w:rsidRPr="00A46D13">
        <w:t>organisations</w:t>
      </w:r>
      <w:proofErr w:type="spellEnd"/>
      <w:r w:rsidRPr="00A46D13">
        <w:t xml:space="preserve"> should redesign authority, verification, and learning around machine-generated outputs. Controlled studies demonstrate that generative AI can improve the speed and quality of selected writing and customer-support tasks (Noy &amp; Zhang, 2023; Brynjolfsson et al., 2025). Yet the productivity effect is uneven. Performance varies with task structure, worker experience, model capability, </w:t>
      </w:r>
      <w:proofErr w:type="spellStart"/>
      <w:r w:rsidRPr="00A46D13">
        <w:t>organisational</w:t>
      </w:r>
      <w:proofErr w:type="spellEnd"/>
      <w:r w:rsidRPr="00A46D13">
        <w:t xml:space="preserve"> context, and whether a task falls inside or outside the technology’s competence boundary (</w:t>
      </w:r>
      <w:proofErr w:type="spellStart"/>
      <w:r w:rsidRPr="00A46D13">
        <w:t>Dell’Acqua</w:t>
      </w:r>
      <w:proofErr w:type="spellEnd"/>
      <w:r w:rsidRPr="00A46D13">
        <w:t xml:space="preserve"> et al., 2023). At the macroeconomic level, the translation from technical capability to aggregate productivity is also constrained by adoption timing, task exposure, complementary investment, and institutional absorption (Acemoglu, 2024; OECD, 2025a).</w:t>
      </w:r>
      <w:r w:rsidR="00FF41B3" w:rsidRPr="00A46D13">
        <w:t xml:space="preserve"> </w:t>
      </w:r>
      <w:r w:rsidRPr="00A46D13">
        <w:t xml:space="preserve">Recent firm-level evidence also suggests that AI investment can support sales, employment, market valuation, and product innovation, while sector-specific studies report gains in </w:t>
      </w:r>
      <w:proofErr w:type="spellStart"/>
      <w:r w:rsidRPr="00A46D13">
        <w:t>organisational</w:t>
      </w:r>
      <w:proofErr w:type="spellEnd"/>
      <w:r w:rsidRPr="00A46D13">
        <w:t xml:space="preserve"> performance and revenue outcomes; however, these benefits remain contingent on implementation context and complementary capabilities (Babina et al., 2024; </w:t>
      </w:r>
      <w:proofErr w:type="spellStart"/>
      <w:r w:rsidRPr="00A46D13">
        <w:t>Kawadkar</w:t>
      </w:r>
      <w:proofErr w:type="spellEnd"/>
      <w:r w:rsidRPr="00A46D13">
        <w:t xml:space="preserve">, 2026; </w:t>
      </w:r>
      <w:proofErr w:type="spellStart"/>
      <w:r w:rsidRPr="00A46D13">
        <w:t>Andavar</w:t>
      </w:r>
      <w:proofErr w:type="spellEnd"/>
      <w:r w:rsidRPr="00A46D13">
        <w:t xml:space="preserve"> &amp; Rajaraman, 2026).</w:t>
      </w:r>
    </w:p>
    <w:p w14:paraId="1367B380" w14:textId="77777777" w:rsidR="00235BC0" w:rsidRPr="00A46D13" w:rsidRDefault="00000000">
      <w:r w:rsidRPr="00A46D13">
        <w:t xml:space="preserve">This unevenness creates a central problem for global knowledge firms. Artificial intelligence can remove friction from search, drafting, </w:t>
      </w:r>
      <w:proofErr w:type="spellStart"/>
      <w:r w:rsidRPr="00A46D13">
        <w:t>summarisation</w:t>
      </w:r>
      <w:proofErr w:type="spellEnd"/>
      <w:r w:rsidRPr="00A46D13">
        <w:t xml:space="preserve">, translation, scheduling, documentation, handoffs, and routine analysis. These gains can be described as </w:t>
      </w:r>
      <w:r w:rsidRPr="00A46D13">
        <w:rPr>
          <w:b/>
          <w:bCs/>
        </w:rPr>
        <w:t>coordination compression</w:t>
      </w:r>
      <w:r w:rsidRPr="00A46D13">
        <w:t xml:space="preserve">, meaning a reduction in the time and effort required to connect information, people, decisions, and workflows. Coordination compression is strategically valuable because a substantial portion of knowledge work is not direct </w:t>
      </w:r>
      <w:r w:rsidRPr="00A46D13">
        <w:lastRenderedPageBreak/>
        <w:t xml:space="preserve">production. It consists of locating context, reconciling versions, waiting for responses, preparing materials, translating expert knowledge, and moving work across </w:t>
      </w:r>
      <w:proofErr w:type="spellStart"/>
      <w:r w:rsidRPr="00A46D13">
        <w:t>organisational</w:t>
      </w:r>
      <w:proofErr w:type="spellEnd"/>
      <w:r w:rsidRPr="00A46D13">
        <w:t xml:space="preserve"> boundaries.</w:t>
      </w:r>
    </w:p>
    <w:p w14:paraId="0C717175" w14:textId="1DCCF4CB" w:rsidR="003A06EC" w:rsidRPr="00A46D13" w:rsidRDefault="00000000">
      <w:pPr>
        <w:rPr>
          <w:bCs/>
        </w:rPr>
      </w:pPr>
      <w:r w:rsidRPr="00A46D13">
        <w:t xml:space="preserve">However, the same mechanisms can weaken the </w:t>
      </w:r>
      <w:proofErr w:type="spellStart"/>
      <w:r w:rsidRPr="00A46D13">
        <w:t>organisation’s</w:t>
      </w:r>
      <w:proofErr w:type="spellEnd"/>
      <w:r w:rsidRPr="00A46D13">
        <w:t xml:space="preserve"> ability to know whether work is correct. Machine-generated outputs may contain subtle factual errors, unsupported assumptions, omitted constraints, or plausible but unsuitable recommendations. When output volume rises faster than review capacity, the </w:t>
      </w:r>
      <w:proofErr w:type="spellStart"/>
      <w:r w:rsidRPr="00A46D13">
        <w:t>organisation</w:t>
      </w:r>
      <w:proofErr w:type="spellEnd"/>
      <w:r w:rsidRPr="00A46D13">
        <w:t xml:space="preserve"> may record immediate time savings while accumulating obligations that have not been properly checked. Conventional technical-debt research shows that short-term system expediency can produce long-term maintenance burdens (Sculley et al., 2015). </w:t>
      </w:r>
      <w:proofErr w:type="spellStart"/>
      <w:r w:rsidRPr="00A46D13">
        <w:t>Organisational</w:t>
      </w:r>
      <w:proofErr w:type="spellEnd"/>
      <w:r w:rsidRPr="00A46D13">
        <w:t xml:space="preserve"> research similarly shows that automation can generate new monitoring burdens, alter professional jurisdiction, and redistribute control rather than simply eliminate work (Bainbridge, 1983; Kellogg et al., 2020; van den Broek et al., 2021). These observations suggest a distinct stock variable that is not adequately captured by model error rates, compliance checklists, or </w:t>
      </w:r>
      <w:proofErr w:type="spellStart"/>
      <w:r w:rsidRPr="00A46D13">
        <w:t>labour</w:t>
      </w:r>
      <w:proofErr w:type="spellEnd"/>
      <w:r w:rsidRPr="00A46D13">
        <w:t>-substitution measures.</w:t>
      </w:r>
      <w:r w:rsidR="00FF41B3" w:rsidRPr="00A46D13">
        <w:t xml:space="preserve"> </w:t>
      </w:r>
      <w:r w:rsidRPr="00A46D13">
        <w:rPr>
          <w:bCs/>
        </w:rPr>
        <w:t xml:space="preserve">Recent governance scholarship further </w:t>
      </w:r>
      <w:proofErr w:type="spellStart"/>
      <w:r w:rsidRPr="00A46D13">
        <w:rPr>
          <w:bCs/>
        </w:rPr>
        <w:t>emphasises</w:t>
      </w:r>
      <w:proofErr w:type="spellEnd"/>
      <w:r w:rsidRPr="00A46D13">
        <w:rPr>
          <w:bCs/>
        </w:rPr>
        <w:t xml:space="preserve"> that generative AI introduces interconnected risks involving hallucination, validation, opacity, control, and implementation, which require adaptive and proactive governance arrangements rather than relying on output speed alone (</w:t>
      </w:r>
      <w:proofErr w:type="spellStart"/>
      <w:r w:rsidRPr="00A46D13">
        <w:rPr>
          <w:bCs/>
        </w:rPr>
        <w:t>Taeihagh</w:t>
      </w:r>
      <w:proofErr w:type="spellEnd"/>
      <w:r w:rsidRPr="00A46D13">
        <w:rPr>
          <w:bCs/>
        </w:rPr>
        <w:t>, 2025).</w:t>
      </w:r>
    </w:p>
    <w:p w14:paraId="771A50EB" w14:textId="77777777" w:rsidR="00235BC0" w:rsidRPr="00A46D13" w:rsidRDefault="00000000">
      <w:r w:rsidRPr="00A46D13">
        <w:t xml:space="preserve">This paper defines </w:t>
      </w:r>
      <w:r w:rsidRPr="00A46D13">
        <w:rPr>
          <w:b/>
          <w:bCs/>
        </w:rPr>
        <w:t>verification debt</w:t>
      </w:r>
      <w:r w:rsidRPr="00A46D13">
        <w:t xml:space="preserve"> as the accumulated stock of unverified assumptions, insufficiently reviewed outputs, concealed system dependencies, weak evidence trails, deferred exception handling, and eroded human capability that must eventually be repaid through checking, correction, retraining, redesign, or incident recovery. Verification debt is </w:t>
      </w:r>
      <w:proofErr w:type="spellStart"/>
      <w:r w:rsidRPr="00A46D13">
        <w:t>organisational</w:t>
      </w:r>
      <w:proofErr w:type="spellEnd"/>
      <w:r w:rsidRPr="00A46D13">
        <w:t xml:space="preserve"> rather than merely technical. It can arise even when the underlying AI model is functioning as designed. For example, a persuasive market analysis may be accepted without source inspection, a policy draft may propagate an outdated requirement, or an AI agent may coordinate several locally reasonable actions whose combined consequence is inappropriate. Each individual output can appear efficient while the enterprise system becomes less inspectable and less resilient.</w:t>
      </w:r>
    </w:p>
    <w:p w14:paraId="44C6015C" w14:textId="437BEA9A" w:rsidR="003A06EC" w:rsidRPr="00A46D13" w:rsidRDefault="00000000">
      <w:pPr>
        <w:rPr>
          <w:bCs/>
        </w:rPr>
      </w:pPr>
      <w:r w:rsidRPr="00A46D13">
        <w:t>The concept addresses a gap between task-level productivity and system-level value. Prior research has explained human-AI complementarity (</w:t>
      </w:r>
      <w:proofErr w:type="spellStart"/>
      <w:r w:rsidRPr="00A46D13">
        <w:t>Jarrahi</w:t>
      </w:r>
      <w:proofErr w:type="spellEnd"/>
      <w:r w:rsidRPr="00A46D13">
        <w:t xml:space="preserve">, 2018; </w:t>
      </w:r>
      <w:proofErr w:type="spellStart"/>
      <w:r w:rsidRPr="00A46D13">
        <w:t>Dellermann</w:t>
      </w:r>
      <w:proofErr w:type="spellEnd"/>
      <w:r w:rsidRPr="00A46D13">
        <w:t xml:space="preserve"> et al., 2019), the automation-augmentation paradox (Raisch &amp; Krakowski, 2021), algorithmic control (Kellogg et al., 2020), </w:t>
      </w:r>
      <w:proofErr w:type="spellStart"/>
      <w:r w:rsidRPr="00A46D13">
        <w:t>organisational</w:t>
      </w:r>
      <w:proofErr w:type="spellEnd"/>
      <w:r w:rsidRPr="00A46D13">
        <w:t xml:space="preserve"> decision structures for AI (Shrestha et al., 2019), and the need to coordinate human and machine learning (Sturm et al., 2021). Recent work by Tan (2026a) </w:t>
      </w:r>
      <w:proofErr w:type="spellStart"/>
      <w:r w:rsidRPr="00A46D13">
        <w:t>formalised</w:t>
      </w:r>
      <w:proofErr w:type="spellEnd"/>
      <w:r w:rsidRPr="00A46D13">
        <w:t xml:space="preserve"> an AI productivity-governance frontier in which value depends jointly on autonomy, absorptive capacity, human judgement, and governance. Tan (2026b) further showed that runtime assurance can reduce autonomy-risk exposure by separating planning from execution authority. The present study extends these lines of inquiry by adding an endogenous debt stock and modelling how that stock interacts with expertise, resilience, and shocks over time.</w:t>
      </w:r>
      <w:r w:rsidR="00FF41B3" w:rsidRPr="00A46D13">
        <w:t xml:space="preserve"> </w:t>
      </w:r>
      <w:r w:rsidRPr="00A46D13">
        <w:rPr>
          <w:bCs/>
        </w:rPr>
        <w:t>Recent analytical evidence also indicates that the relative value of automation and augmentation depends on the form of human-AI complementarity and on how tasks are allocated between human and machine contributors (</w:t>
      </w:r>
      <w:proofErr w:type="spellStart"/>
      <w:r w:rsidRPr="00A46D13">
        <w:rPr>
          <w:bCs/>
        </w:rPr>
        <w:t>Fügener</w:t>
      </w:r>
      <w:proofErr w:type="spellEnd"/>
      <w:r w:rsidRPr="00A46D13">
        <w:rPr>
          <w:bCs/>
        </w:rPr>
        <w:t xml:space="preserve"> et al., 2026).</w:t>
      </w:r>
    </w:p>
    <w:p w14:paraId="7B2EF5FE" w14:textId="77777777" w:rsidR="00235BC0" w:rsidRPr="00A46D13" w:rsidRDefault="00000000">
      <w:r w:rsidRPr="00A46D13">
        <w:t>The study is guided by five research questions:</w:t>
      </w:r>
    </w:p>
    <w:p w14:paraId="53A00DBA" w14:textId="77777777" w:rsidR="00235BC0" w:rsidRPr="00A46D13" w:rsidRDefault="00000000">
      <w:pPr>
        <w:numPr>
          <w:ilvl w:val="0"/>
          <w:numId w:val="32"/>
        </w:numPr>
      </w:pPr>
      <w:r w:rsidRPr="00A46D13">
        <w:t xml:space="preserve">How do automation intensity, governance, verification, and human expertise jointly determine cumulative </w:t>
      </w:r>
      <w:proofErr w:type="spellStart"/>
      <w:r w:rsidRPr="00A46D13">
        <w:t>organisational</w:t>
      </w:r>
      <w:proofErr w:type="spellEnd"/>
      <w:r w:rsidRPr="00A46D13">
        <w:t xml:space="preserve"> value?</w:t>
      </w:r>
    </w:p>
    <w:p w14:paraId="3E3B8D89" w14:textId="77777777" w:rsidR="00235BC0" w:rsidRPr="00A46D13" w:rsidRDefault="00000000">
      <w:pPr>
        <w:numPr>
          <w:ilvl w:val="0"/>
          <w:numId w:val="32"/>
        </w:numPr>
      </w:pPr>
      <w:r w:rsidRPr="00A46D13">
        <w:t>Under what conditions does beneficial coordination compression become a coordination compression trap?</w:t>
      </w:r>
    </w:p>
    <w:p w14:paraId="0DB18901" w14:textId="77777777" w:rsidR="00235BC0" w:rsidRPr="00A46D13" w:rsidRDefault="00000000">
      <w:pPr>
        <w:numPr>
          <w:ilvl w:val="0"/>
          <w:numId w:val="32"/>
        </w:numPr>
      </w:pPr>
      <w:r w:rsidRPr="00A46D13">
        <w:t>Which governance regimes best balance productivity, assurance cost, learning, and resilience?</w:t>
      </w:r>
    </w:p>
    <w:p w14:paraId="6EE1A2BC" w14:textId="77777777" w:rsidR="00235BC0" w:rsidRPr="00A46D13" w:rsidRDefault="00000000">
      <w:pPr>
        <w:numPr>
          <w:ilvl w:val="0"/>
          <w:numId w:val="32"/>
        </w:numPr>
      </w:pPr>
      <w:r w:rsidRPr="00A46D13">
        <w:t>Are comparative regime rankings robust to plausible changes in key structural parameters and cross-firm heterogeneity?</w:t>
      </w:r>
    </w:p>
    <w:p w14:paraId="612CE90D" w14:textId="77777777" w:rsidR="00235BC0" w:rsidRPr="00A46D13" w:rsidRDefault="00000000">
      <w:pPr>
        <w:numPr>
          <w:ilvl w:val="0"/>
          <w:numId w:val="32"/>
        </w:numPr>
      </w:pPr>
      <w:r w:rsidRPr="00A46D13">
        <w:t>What fixed policy configuration performs best when automation, governance, and verification are allowed to vary independently across the admissible policy space?</w:t>
      </w:r>
    </w:p>
    <w:p w14:paraId="12F58126" w14:textId="77777777" w:rsidR="00235BC0" w:rsidRPr="00A46D13" w:rsidRDefault="00000000">
      <w:r w:rsidRPr="00A46D13">
        <w:t xml:space="preserve">The paper makes five contributions. First, it introduces verification debt as a measurable dynamic construct connecting AI productivity, </w:t>
      </w:r>
      <w:proofErr w:type="spellStart"/>
      <w:r w:rsidRPr="00A46D13">
        <w:t>organisational</w:t>
      </w:r>
      <w:proofErr w:type="spellEnd"/>
      <w:r w:rsidRPr="00A46D13">
        <w:t xml:space="preserve"> learning, and resilience. Second, it distinguishes coordination compression from net value, thereby preventing time savings from being treated as equivalent to </w:t>
      </w:r>
      <w:proofErr w:type="spellStart"/>
      <w:r w:rsidRPr="00A46D13">
        <w:t>realised</w:t>
      </w:r>
      <w:proofErr w:type="spellEnd"/>
      <w:r w:rsidRPr="00A46D13">
        <w:t xml:space="preserve"> enterprise gains. Third, it </w:t>
      </w:r>
      <w:proofErr w:type="spellStart"/>
      <w:r w:rsidRPr="00A46D13">
        <w:t>formalises</w:t>
      </w:r>
      <w:proofErr w:type="spellEnd"/>
      <w:r w:rsidRPr="00A46D13">
        <w:t xml:space="preserve"> an assurance threshold that separates debt-repaying from debt-accumulating configurations. Fourth, it provides a reproducible computational experiment comparing five strategically interpretable governance regimes, a full three-dimensional policy-space search, and a structural-heterogeneity extension. Fifth, it develops managerial and policy </w:t>
      </w:r>
      <w:r w:rsidRPr="00A46D13">
        <w:lastRenderedPageBreak/>
        <w:t>implications for firms operating across jurisdictions, where language, regulation, time zones, and distributed decision rights can amplify both AI value and verification difficulty.</w:t>
      </w:r>
    </w:p>
    <w:p w14:paraId="7D621DA9" w14:textId="77777777" w:rsidR="00235BC0" w:rsidRPr="00A46D13" w:rsidRDefault="00000000">
      <w:pPr>
        <w:pStyle w:val="Heading1"/>
      </w:pPr>
      <w:bookmarkStart w:id="3" w:name="literature-review"/>
      <w:bookmarkEnd w:id="2"/>
      <w:r w:rsidRPr="00A46D13">
        <w:rPr>
          <w:bCs/>
        </w:rPr>
        <w:t>2. LITERATURE REVIEW</w:t>
      </w:r>
    </w:p>
    <w:p w14:paraId="3818D1E2" w14:textId="77777777" w:rsidR="00235BC0" w:rsidRPr="00A46D13" w:rsidRDefault="00000000">
      <w:pPr>
        <w:keepNext/>
        <w:spacing w:before="120"/>
        <w:jc w:val="left"/>
      </w:pPr>
      <w:r w:rsidRPr="00A46D13">
        <w:rPr>
          <w:b/>
          <w:bCs/>
          <w:sz w:val="22"/>
        </w:rPr>
        <w:t>2.1 AI Productivity and Coordination Compression</w:t>
      </w:r>
    </w:p>
    <w:p w14:paraId="2B389DC0" w14:textId="77777777" w:rsidR="00235BC0" w:rsidRPr="00A46D13" w:rsidRDefault="00000000">
      <w:r w:rsidRPr="00A46D13">
        <w:t>Evidence on generative AI shows meaningful but heterogeneous task-level productivity effects. Controlled experiments report faster completion and, for bounded tasks, higher average quality (Noy &amp; Zhang, 2023; Brynjolfsson et al., 2025). The gains depend on task fit, worker experience, and whether the task lies inside the system’s competence boundary (</w:t>
      </w:r>
      <w:proofErr w:type="spellStart"/>
      <w:r w:rsidRPr="00A46D13">
        <w:t>Dell’Acqua</w:t>
      </w:r>
      <w:proofErr w:type="spellEnd"/>
      <w:r w:rsidRPr="00A46D13">
        <w:t xml:space="preserve"> et al., 2023). These findings are consistent with a longer literature in which automation changes task composition rather than simply replacing </w:t>
      </w:r>
      <w:proofErr w:type="spellStart"/>
      <w:r w:rsidRPr="00A46D13">
        <w:t>labour</w:t>
      </w:r>
      <w:proofErr w:type="spellEnd"/>
      <w:r w:rsidRPr="00A46D13">
        <w:t xml:space="preserve"> (Autor, 2015). At the firm and economy levels, value also depends on complementary investment, </w:t>
      </w:r>
      <w:proofErr w:type="spellStart"/>
      <w:r w:rsidRPr="00A46D13">
        <w:t>organisational</w:t>
      </w:r>
      <w:proofErr w:type="spellEnd"/>
      <w:r w:rsidRPr="00A46D13">
        <w:t xml:space="preserve"> redesign, absorptive capacity, and implementation timing (Acemoglu, 2024; OECD, 2025a; Tan, 2026c).</w:t>
      </w:r>
    </w:p>
    <w:p w14:paraId="36088FA4" w14:textId="77777777" w:rsidR="00235BC0" w:rsidRPr="00A46D13" w:rsidRDefault="00000000">
      <w:r w:rsidRPr="00A46D13">
        <w:t xml:space="preserve">This paper uses the term </w:t>
      </w:r>
      <w:r w:rsidRPr="00A46D13">
        <w:rPr>
          <w:i/>
          <w:iCs/>
        </w:rPr>
        <w:t>coordination compression</w:t>
      </w:r>
      <w:r w:rsidRPr="00A46D13">
        <w:t xml:space="preserve"> for reductions in the effort needed to locate information, reconcile versions, prepare documents, translate knowledge, coordinate handoffs, and move decisions through distributed workflows. Coordination compression is narrower than productivity. It is an intermediate mechanism that can release capacity, but released capacity becomes durable value only when quality, accountability, and downstream integration are preserved.</w:t>
      </w:r>
    </w:p>
    <w:p w14:paraId="017B4599" w14:textId="77777777" w:rsidR="00235BC0" w:rsidRPr="00A46D13" w:rsidRDefault="00000000">
      <w:pPr>
        <w:keepNext/>
        <w:spacing w:before="120"/>
        <w:jc w:val="left"/>
      </w:pPr>
      <w:r w:rsidRPr="00A46D13">
        <w:rPr>
          <w:b/>
          <w:bCs/>
          <w:sz w:val="22"/>
        </w:rPr>
        <w:t>2.2 Technical Debt, Quality Erosion, and Capability Traps</w:t>
      </w:r>
    </w:p>
    <w:p w14:paraId="7129A8D7" w14:textId="77777777" w:rsidR="00235BC0" w:rsidRPr="00A46D13" w:rsidRDefault="00000000">
      <w:r w:rsidRPr="00A46D13">
        <w:t>Verification debt is related to, but distinct from, technical debt. Machine-learning systems can accumulate hidden dependencies, feedback loops, data entanglement, and maintenance obligations that are not visible in conventional model-performance measures (Sculley et al., 2015). Data cascades similarly show how neglected upstream work can propagate through high-stakes AI systems (Sambasivan et al., 2021). Verification debt extends these ideas beyond software and data. It includes deferred source checking, unsupported assumptions, weak exception handling, missing evidence trails, and declining human capacity to contest outputs.</w:t>
      </w:r>
    </w:p>
    <w:p w14:paraId="663F2B07" w14:textId="77777777" w:rsidR="00235BC0" w:rsidRPr="00A46D13" w:rsidRDefault="00000000">
      <w:r w:rsidRPr="00A46D13">
        <w:t xml:space="preserve">System-dynamics research provides a direct antecedent for the proposed trap mechanism. Oliva and Sterman (2001) showed how short-term corner cutting can generate persistent service-quality erosion. Repenning and Sterman (2002) </w:t>
      </w:r>
      <w:proofErr w:type="spellStart"/>
      <w:r w:rsidRPr="00A46D13">
        <w:t>formalised</w:t>
      </w:r>
      <w:proofErr w:type="spellEnd"/>
      <w:r w:rsidRPr="00A46D13">
        <w:t xml:space="preserve"> capability traps in which immediate operating pressure crowds out improvement activity, producing delayed deterioration that reinforces the original pressure. The present model transfers this temporal structure to AI-enabled knowledge work. Rapid output can be genuine in the short run while the </w:t>
      </w:r>
      <w:proofErr w:type="spellStart"/>
      <w:r w:rsidRPr="00A46D13">
        <w:t>organisation</w:t>
      </w:r>
      <w:proofErr w:type="spellEnd"/>
      <w:r w:rsidRPr="00A46D13">
        <w:t xml:space="preserve"> simultaneously underinvests in verification, documentation, and capability renewal.</w:t>
      </w:r>
    </w:p>
    <w:p w14:paraId="206298B7" w14:textId="77777777" w:rsidR="00235BC0" w:rsidRPr="00A46D13" w:rsidRDefault="00000000">
      <w:pPr>
        <w:keepNext/>
        <w:spacing w:before="120"/>
        <w:jc w:val="left"/>
      </w:pPr>
      <w:r w:rsidRPr="00A46D13">
        <w:rPr>
          <w:b/>
          <w:bCs/>
          <w:sz w:val="22"/>
        </w:rPr>
        <w:t xml:space="preserve">2.3 Human Expertise, Learning, and </w:t>
      </w:r>
      <w:proofErr w:type="spellStart"/>
      <w:r w:rsidRPr="00A46D13">
        <w:rPr>
          <w:b/>
          <w:bCs/>
          <w:sz w:val="22"/>
        </w:rPr>
        <w:t>Organisational</w:t>
      </w:r>
      <w:proofErr w:type="spellEnd"/>
      <w:r w:rsidRPr="00A46D13">
        <w:rPr>
          <w:b/>
          <w:bCs/>
          <w:sz w:val="22"/>
        </w:rPr>
        <w:t xml:space="preserve"> Resilience</w:t>
      </w:r>
    </w:p>
    <w:p w14:paraId="018970E9" w14:textId="77777777" w:rsidR="00235BC0" w:rsidRPr="00A46D13" w:rsidRDefault="00000000">
      <w:proofErr w:type="spellStart"/>
      <w:r w:rsidRPr="00A46D13">
        <w:t>Organisational</w:t>
      </w:r>
      <w:proofErr w:type="spellEnd"/>
      <w:r w:rsidRPr="00A46D13">
        <w:t xml:space="preserve"> learning requires a balance between exploitation and exploration (March, 1991). AI can support learning by diffusing expert practices, but it can also reduce opportunities for independent diagnosis and practice. Human-AI complementarity therefore depends on how tasks and decision rights are allocated, not simply on access to a model (</w:t>
      </w:r>
      <w:proofErr w:type="spellStart"/>
      <w:r w:rsidRPr="00A46D13">
        <w:t>Jarrahi</w:t>
      </w:r>
      <w:proofErr w:type="spellEnd"/>
      <w:r w:rsidRPr="00A46D13">
        <w:t xml:space="preserve">, 2018; </w:t>
      </w:r>
      <w:proofErr w:type="spellStart"/>
      <w:r w:rsidRPr="00A46D13">
        <w:t>Dellermann</w:t>
      </w:r>
      <w:proofErr w:type="spellEnd"/>
      <w:r w:rsidRPr="00A46D13">
        <w:t xml:space="preserve"> et al., 2019; Raisch &amp; Krakowski, 2021). Coordinated human and machine learning is particularly important when users must detect exceptions, update routines, and preserve understanding over time (Sturm et al., 2021).</w:t>
      </w:r>
    </w:p>
    <w:p w14:paraId="10BD589D" w14:textId="77777777" w:rsidR="00235BC0" w:rsidRPr="00A46D13" w:rsidRDefault="00000000">
      <w:r w:rsidRPr="00A46D13">
        <w:t>Resilience research treats adaptive capacity as a capability that is developed before, during, and after disruption (</w:t>
      </w:r>
      <w:proofErr w:type="spellStart"/>
      <w:r w:rsidRPr="00A46D13">
        <w:t>Lengnick</w:t>
      </w:r>
      <w:proofErr w:type="spellEnd"/>
      <w:r w:rsidRPr="00A46D13">
        <w:t xml:space="preserve">-Hall et al., 2011; Duchek, 2020). Long-term resilience can improve </w:t>
      </w:r>
      <w:proofErr w:type="spellStart"/>
      <w:r w:rsidRPr="00A46D13">
        <w:t>organisational</w:t>
      </w:r>
      <w:proofErr w:type="spellEnd"/>
      <w:r w:rsidRPr="00A46D13">
        <w:t xml:space="preserve"> performance, but its benefits often appear with delay (Ortiz-de-</w:t>
      </w:r>
      <w:proofErr w:type="spellStart"/>
      <w:r w:rsidRPr="00A46D13">
        <w:t>Mandojana</w:t>
      </w:r>
      <w:proofErr w:type="spellEnd"/>
      <w:r w:rsidRPr="00A46D13">
        <w:t xml:space="preserve"> &amp; Bansal, 2016). Recent research on dynamic-capability erosion further </w:t>
      </w:r>
      <w:proofErr w:type="spellStart"/>
      <w:r w:rsidRPr="00A46D13">
        <w:t>emphasises</w:t>
      </w:r>
      <w:proofErr w:type="spellEnd"/>
      <w:r w:rsidRPr="00A46D13">
        <w:t xml:space="preserve"> that capabilities are not self-sustaining and may weaken gradually until shocks expose the loss (Silveira &amp; De Paula, 2026). This supports modelling expertise and resilience as endogenous stocks rather than fixed background conditions.</w:t>
      </w:r>
    </w:p>
    <w:p w14:paraId="4AFD3AD4" w14:textId="77777777" w:rsidR="00235BC0" w:rsidRPr="00A46D13" w:rsidRDefault="00000000">
      <w:pPr>
        <w:keepNext/>
        <w:spacing w:before="120"/>
        <w:jc w:val="left"/>
      </w:pPr>
      <w:r w:rsidRPr="00A46D13">
        <w:rPr>
          <w:b/>
          <w:bCs/>
          <w:sz w:val="22"/>
        </w:rPr>
        <w:t>2.4 Governance, Verification, and the Research Gap</w:t>
      </w:r>
    </w:p>
    <w:p w14:paraId="6FC6BA68" w14:textId="77D3A121" w:rsidR="00235BC0" w:rsidRPr="00A46D13" w:rsidRDefault="00000000">
      <w:r w:rsidRPr="00A46D13">
        <w:t xml:space="preserve">Research on algorithmic control and AI-enabled decision structures shows that automation redistributes authority, monitoring, and professional jurisdiction (Faraj et al., 2018; Kellogg et al., 2020; Shrestha et al., 2019; van den Broek et al., 2021). AI capability is also </w:t>
      </w:r>
      <w:proofErr w:type="spellStart"/>
      <w:r w:rsidRPr="00A46D13">
        <w:t>organisational</w:t>
      </w:r>
      <w:proofErr w:type="spellEnd"/>
      <w:r w:rsidRPr="00A46D13">
        <w:t>, involving resources, routines, coordination, and managerial capacity rather than a model alone (</w:t>
      </w:r>
      <w:proofErr w:type="spellStart"/>
      <w:r w:rsidRPr="00A46D13">
        <w:t>Mikalef</w:t>
      </w:r>
      <w:proofErr w:type="spellEnd"/>
      <w:r w:rsidRPr="00A46D13">
        <w:t xml:space="preserve"> &amp; Gupta, 2021). Governance frameworks consequently </w:t>
      </w:r>
      <w:proofErr w:type="spellStart"/>
      <w:r w:rsidRPr="00A46D13">
        <w:t>emphasise</w:t>
      </w:r>
      <w:proofErr w:type="spellEnd"/>
      <w:r w:rsidRPr="00A46D13">
        <w:t xml:space="preserve"> lifecycle risk management, documentation, measurement, and </w:t>
      </w:r>
      <w:r w:rsidRPr="00A46D13">
        <w:lastRenderedPageBreak/>
        <w:t>human oversight (</w:t>
      </w:r>
      <w:r w:rsidR="0078639E" w:rsidRPr="0078639E">
        <w:t>Tabassi</w:t>
      </w:r>
      <w:r w:rsidRPr="00A46D13">
        <w:t>, 2023</w:t>
      </w:r>
      <w:r w:rsidR="0078639E">
        <w:t xml:space="preserve">; </w:t>
      </w:r>
      <w:r w:rsidR="0078639E" w:rsidRPr="0078639E">
        <w:t>Autio</w:t>
      </w:r>
      <w:r w:rsidR="0078639E">
        <w:t xml:space="preserve"> et al., </w:t>
      </w:r>
      <w:r w:rsidRPr="00A46D13">
        <w:t>2024; European Parliament and Council of the European Union, 2024).</w:t>
      </w:r>
    </w:p>
    <w:p w14:paraId="35EA12C8" w14:textId="77777777" w:rsidR="00235BC0" w:rsidRPr="00A46D13" w:rsidRDefault="00000000">
      <w:r w:rsidRPr="00A46D13">
        <w:t xml:space="preserve">Existing work does not yet provide a unified dynamic model linking immediate coordination gains, deferred verification obligations, expertise erosion, resilience, and shock-amplified loss. Nor does it clearly separate the performance of a few illustrative governance regimes from </w:t>
      </w:r>
      <w:proofErr w:type="spellStart"/>
      <w:r w:rsidRPr="00A46D13">
        <w:t>optimisation</w:t>
      </w:r>
      <w:proofErr w:type="spellEnd"/>
      <w:r w:rsidRPr="00A46D13">
        <w:t xml:space="preserve"> across the full policy space. This study addresses both gaps by introducing verification debt as an endogenous stock, deriving flow and stock assurance thresholds, comparing </w:t>
      </w:r>
      <w:proofErr w:type="spellStart"/>
      <w:r w:rsidRPr="00A46D13">
        <w:t>stylised</w:t>
      </w:r>
      <w:proofErr w:type="spellEnd"/>
      <w:r w:rsidRPr="00A46D13">
        <w:t xml:space="preserve"> regimes, searching automation, governance, and verification independently, and testing whether the comparisons survive moderate synthetic cross-firm heterogeneity.</w:t>
      </w:r>
    </w:p>
    <w:p w14:paraId="6FDF44D1" w14:textId="77777777" w:rsidR="00235BC0" w:rsidRPr="00A46D13" w:rsidRDefault="00000000">
      <w:pPr>
        <w:pStyle w:val="Heading1"/>
      </w:pPr>
      <w:bookmarkStart w:id="4" w:name="methodology"/>
      <w:bookmarkEnd w:id="3"/>
      <w:r w:rsidRPr="00A46D13">
        <w:rPr>
          <w:bCs/>
        </w:rPr>
        <w:t>3. METHODOLOGY</w:t>
      </w:r>
    </w:p>
    <w:p w14:paraId="635FEEAC" w14:textId="77777777" w:rsidR="00235BC0" w:rsidRPr="00A46D13" w:rsidRDefault="00000000">
      <w:pPr>
        <w:keepNext/>
        <w:spacing w:before="120"/>
        <w:jc w:val="left"/>
      </w:pPr>
      <w:r w:rsidRPr="00A46D13">
        <w:rPr>
          <w:b/>
          <w:bCs/>
          <w:sz w:val="22"/>
        </w:rPr>
        <w:t>3.1 Research Design</w:t>
      </w:r>
    </w:p>
    <w:p w14:paraId="72543A49" w14:textId="77777777" w:rsidR="00235BC0" w:rsidRPr="00A46D13" w:rsidRDefault="00000000">
      <w:r w:rsidRPr="00A46D13">
        <w:t xml:space="preserve">The study uses analytical model development followed by a longitudinal Monte Carlo computational experiment. Computational modelling is appropriate because verification debt is a newly proposed stock-and-flow construct and no established firm-level panel dataset measures its full accumulation, repayment, capability, and shock pathways. The objective is not to estimate real-world causal coefficients. It is to evaluate internal logic, derive comparative implications, identify boundary conditions, and expose claims that depend on the selected </w:t>
      </w:r>
      <w:proofErr w:type="spellStart"/>
      <w:r w:rsidRPr="00A46D13">
        <w:t>parameterisation</w:t>
      </w:r>
      <w:proofErr w:type="spellEnd"/>
      <w:r w:rsidRPr="00A46D13">
        <w:t>. The design follows the principle that a transparent model should distinguish conceptual assumptions, parameter choices, stochastic inputs, and numerical findings rather than treating simulated outputs as empirical estimates.</w:t>
      </w:r>
    </w:p>
    <w:p w14:paraId="244D01C0" w14:textId="77777777" w:rsidR="00235BC0" w:rsidRPr="00A46D13" w:rsidRDefault="00000000">
      <w:r w:rsidRPr="00A46D13">
        <w:t xml:space="preserve">The unit of analysis is a synthetic global knowledge firm. Each firm represents an </w:t>
      </w:r>
      <w:proofErr w:type="spellStart"/>
      <w:r w:rsidRPr="00A46D13">
        <w:t>organisation</w:t>
      </w:r>
      <w:proofErr w:type="spellEnd"/>
      <w:r w:rsidRPr="00A46D13">
        <w:t xml:space="preserve"> whose output depends materially on research, documentation, communication, professional judgement, analytical coordination, or digitally mediated services. Examples include consulting, financial services, education, legal services, technology, public administration, healthcare administration, and multinational corporate functions. Firms are simulated for 60 periods. A period may be interpreted as a month or quarter depending on the operational cadence, but the numerical results are dimensionless and should not be read as forecasts for a particular calendar horizon.</w:t>
      </w:r>
    </w:p>
    <w:p w14:paraId="3948E6B6" w14:textId="77777777" w:rsidR="00235BC0" w:rsidRPr="00A46D13" w:rsidRDefault="00000000">
      <w:r w:rsidRPr="00A46D13">
        <w:t xml:space="preserve">All monetary and productivity outcomes are expressed as </w:t>
      </w:r>
      <w:proofErr w:type="spellStart"/>
      <w:r w:rsidRPr="00A46D13">
        <w:t>normalised</w:t>
      </w:r>
      <w:proofErr w:type="spellEnd"/>
      <w:r w:rsidRPr="00A46D13">
        <w:t xml:space="preserve"> incremental value units relative to a baseline output index of 100 per period. The simulation uses synthetic distributions rather than observed firm data. It does not create estimates of actual accident probability, profitability, </w:t>
      </w:r>
      <w:proofErr w:type="spellStart"/>
      <w:r w:rsidRPr="00A46D13">
        <w:t>labour</w:t>
      </w:r>
      <w:proofErr w:type="spellEnd"/>
      <w:r w:rsidRPr="00A46D13">
        <w:t xml:space="preserve"> displacement, or regulatory risk. Its purpose is structured theory testing and decision comparison.</w:t>
      </w:r>
    </w:p>
    <w:p w14:paraId="3CC7A44A" w14:textId="77777777" w:rsidR="00235BC0" w:rsidRPr="00A46D13" w:rsidRDefault="00000000">
      <w:r w:rsidRPr="00A46D13">
        <w:t xml:space="preserve">Figure 1 </w:t>
      </w:r>
      <w:proofErr w:type="spellStart"/>
      <w:r w:rsidRPr="00A46D13">
        <w:t>summarises</w:t>
      </w:r>
      <w:proofErr w:type="spellEnd"/>
      <w:r w:rsidRPr="00A46D13">
        <w:t xml:space="preserve"> the proposed causal architecture. AI-enabled delegation creates a positive pathway through coordination compression and gross productivity. It also creates a negative pathway through verification debt, error propagation, expertise erosion, and shock-amplified fragility. Governance, verification, and expertise form an assurance loop that can repay debt, preserve adaptive capacity, and support safer delegation.</w:t>
      </w:r>
    </w:p>
    <w:p w14:paraId="51F6925C" w14:textId="77777777" w:rsidR="00235BC0" w:rsidRPr="00A46D13" w:rsidRDefault="00000000">
      <w:pPr>
        <w:spacing w:before="60" w:after="40"/>
        <w:jc w:val="center"/>
      </w:pPr>
      <w:r w:rsidRPr="00A46D13">
        <w:rPr>
          <w:noProof/>
        </w:rPr>
        <w:lastRenderedPageBreak/>
        <w:drawing>
          <wp:inline distT="0" distB="0" distL="0" distR="0" wp14:anchorId="50AD8A3E" wp14:editId="2C9D5E31">
            <wp:extent cx="5207000" cy="2853836"/>
            <wp:effectExtent l="0" t="0" r="0" b="0"/>
            <wp:docPr id="25" name="Picture" descr="Figure 1 supporting the manuscript analysis"/>
            <wp:cNvGraphicFramePr/>
            <a:graphic xmlns:a="http://schemas.openxmlformats.org/drawingml/2006/main">
              <a:graphicData uri="http://schemas.openxmlformats.org/drawingml/2006/picture">
                <pic:pic xmlns:pic="http://schemas.openxmlformats.org/drawingml/2006/picture">
                  <pic:nvPicPr>
                    <pic:cNvPr id="26" name="Picture" descr="/mnt/data/JGEMBR_Revision/figures/figure1_conceptual_model.png"/>
                    <pic:cNvPicPr>
                      <a:picLocks noChangeAspect="1" noChangeArrowheads="1"/>
                    </pic:cNvPicPr>
                  </pic:nvPicPr>
                  <pic:blipFill>
                    <a:blip r:embed="rId7"/>
                    <a:stretch>
                      <a:fillRect/>
                    </a:stretch>
                  </pic:blipFill>
                  <pic:spPr bwMode="auto">
                    <a:xfrm>
                      <a:off x="0" y="0"/>
                      <a:ext cx="5207000" cy="2853836"/>
                    </a:xfrm>
                    <a:prstGeom prst="rect">
                      <a:avLst/>
                    </a:prstGeom>
                    <a:noFill/>
                    <a:ln w="9525">
                      <a:noFill/>
                      <a:headEnd/>
                      <a:tailEnd/>
                    </a:ln>
                  </pic:spPr>
                </pic:pic>
              </a:graphicData>
            </a:graphic>
          </wp:inline>
        </w:drawing>
      </w:r>
    </w:p>
    <w:p w14:paraId="7B59A757" w14:textId="77777777" w:rsidR="00235BC0" w:rsidRPr="00A46D13" w:rsidRDefault="00000000">
      <w:pPr>
        <w:spacing w:before="40" w:after="100"/>
        <w:jc w:val="center"/>
      </w:pPr>
      <w:r w:rsidRPr="00A46D13">
        <w:rPr>
          <w:b/>
          <w:bCs/>
          <w:sz w:val="19"/>
        </w:rPr>
        <w:t>Figure 1. Conceptual model of coordination compression, verification debt, and the assurance loop.</w:t>
      </w:r>
    </w:p>
    <w:p w14:paraId="39759F3B" w14:textId="77777777" w:rsidR="00235BC0" w:rsidRPr="00A46D13" w:rsidRDefault="00000000">
      <w:pPr>
        <w:keepNext/>
        <w:spacing w:before="120"/>
        <w:jc w:val="left"/>
      </w:pPr>
      <w:r w:rsidRPr="00A46D13">
        <w:rPr>
          <w:b/>
          <w:bCs/>
          <w:sz w:val="22"/>
        </w:rPr>
        <w:t>3.2 Constructs and State Variables</w:t>
      </w:r>
    </w:p>
    <w:p w14:paraId="706A6030" w14:textId="0228B3DF" w:rsidR="00235BC0" w:rsidRPr="00A46D13" w:rsidRDefault="00000000">
      <w:r w:rsidRPr="00A46D13">
        <w:t xml:space="preserve">Table 1 defines the principal variables. Automation intensity, governance intensity, and verification intensity are decision variables bounded between zero and one. Verification debt, human expertise, and </w:t>
      </w:r>
      <w:proofErr w:type="spellStart"/>
      <w:r w:rsidRPr="00A46D13">
        <w:t>organisational</w:t>
      </w:r>
      <w:proofErr w:type="spellEnd"/>
      <w:r w:rsidRPr="00A46D13">
        <w:t xml:space="preserve"> resilience are endogenous state variables. Their </w:t>
      </w:r>
      <w:proofErr w:type="spellStart"/>
      <w:r w:rsidRPr="00A46D13">
        <w:t>operationalisation</w:t>
      </w:r>
      <w:proofErr w:type="spellEnd"/>
      <w:r w:rsidRPr="00A46D13">
        <w:t xml:space="preserve"> draws on AI capability research, lifecycle risk management, </w:t>
      </w:r>
      <w:proofErr w:type="spellStart"/>
      <w:r w:rsidRPr="00A46D13">
        <w:t>organisational</w:t>
      </w:r>
      <w:proofErr w:type="spellEnd"/>
      <w:r w:rsidRPr="00A46D13">
        <w:t xml:space="preserve"> learning, and resilience theory (</w:t>
      </w:r>
      <w:proofErr w:type="spellStart"/>
      <w:r w:rsidRPr="00A46D13">
        <w:t>Mikalef</w:t>
      </w:r>
      <w:proofErr w:type="spellEnd"/>
      <w:r w:rsidRPr="00A46D13">
        <w:t xml:space="preserve"> &amp; Gupta, 2021; </w:t>
      </w:r>
      <w:r w:rsidR="0078639E" w:rsidRPr="0078639E">
        <w:t>Tabassi</w:t>
      </w:r>
      <w:r w:rsidRPr="00A46D13">
        <w:t>, 2023</w:t>
      </w:r>
      <w:r w:rsidR="0078639E">
        <w:t>;</w:t>
      </w:r>
      <w:r w:rsidRPr="00A46D13">
        <w:t xml:space="preserve"> </w:t>
      </w:r>
      <w:r w:rsidR="0078639E" w:rsidRPr="0078639E">
        <w:t>Autio et al., 202</w:t>
      </w:r>
      <w:r w:rsidR="0078639E">
        <w:t>4</w:t>
      </w:r>
      <w:r w:rsidRPr="00A46D13">
        <w:t xml:space="preserve">; Duchek, 2020). Task fit and environmental uncertainty vary stochastically by firm and period. A shock process converts latent fragility into </w:t>
      </w:r>
      <w:proofErr w:type="spellStart"/>
      <w:r w:rsidRPr="00A46D13">
        <w:t>realised</w:t>
      </w:r>
      <w:proofErr w:type="spellEnd"/>
      <w:r w:rsidRPr="00A46D13">
        <w:t xml:space="preserve"> loss.</w:t>
      </w:r>
    </w:p>
    <w:p w14:paraId="3BF915C3" w14:textId="77777777" w:rsidR="00235BC0" w:rsidRPr="00A46D13" w:rsidRDefault="00000000">
      <w:pPr>
        <w:keepNext/>
        <w:spacing w:before="100" w:after="40"/>
        <w:jc w:val="left"/>
      </w:pPr>
      <w:r w:rsidRPr="00A46D13">
        <w:rPr>
          <w:b/>
          <w:bCs/>
        </w:rPr>
        <w:t>Table 1. Model constructs and operational definitions</w:t>
      </w:r>
    </w:p>
    <w:tbl>
      <w:tblPr>
        <w:tblW w:w="936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20" w:firstRow="1" w:lastRow="0" w:firstColumn="0" w:lastColumn="0" w:noHBand="0" w:noVBand="0"/>
      </w:tblPr>
      <w:tblGrid>
        <w:gridCol w:w="850"/>
        <w:gridCol w:w="1800"/>
        <w:gridCol w:w="5700"/>
        <w:gridCol w:w="1010"/>
      </w:tblGrid>
      <w:tr w:rsidR="00235BC0" w:rsidRPr="00A46D13" w14:paraId="0897C86E" w14:textId="77777777">
        <w:trPr>
          <w:cantSplit/>
          <w:tblHeader/>
          <w:jc w:val="center"/>
        </w:trPr>
        <w:tc>
          <w:tcPr>
            <w:tcW w:w="850" w:type="dxa"/>
            <w:shd w:val="clear" w:color="auto" w:fill="E7E6E6"/>
            <w:tcMar>
              <w:top w:w="45" w:type="dxa"/>
              <w:left w:w="55" w:type="dxa"/>
              <w:bottom w:w="45" w:type="dxa"/>
              <w:right w:w="55" w:type="dxa"/>
            </w:tcMar>
            <w:vAlign w:val="center"/>
          </w:tcPr>
          <w:p w14:paraId="5DC4AB49" w14:textId="77777777" w:rsidR="00235BC0" w:rsidRPr="00A46D13" w:rsidRDefault="00000000">
            <w:pPr>
              <w:spacing w:after="0"/>
              <w:jc w:val="left"/>
            </w:pPr>
            <w:r w:rsidRPr="00A46D13">
              <w:rPr>
                <w:b/>
                <w:bCs/>
                <w:sz w:val="16"/>
              </w:rPr>
              <w:t>Symbol</w:t>
            </w:r>
          </w:p>
        </w:tc>
        <w:tc>
          <w:tcPr>
            <w:tcW w:w="1800" w:type="dxa"/>
            <w:shd w:val="clear" w:color="auto" w:fill="E7E6E6"/>
            <w:tcMar>
              <w:top w:w="45" w:type="dxa"/>
              <w:left w:w="55" w:type="dxa"/>
              <w:bottom w:w="45" w:type="dxa"/>
              <w:right w:w="55" w:type="dxa"/>
            </w:tcMar>
            <w:vAlign w:val="center"/>
          </w:tcPr>
          <w:p w14:paraId="5CEBFA5E" w14:textId="77777777" w:rsidR="00235BC0" w:rsidRPr="00A46D13" w:rsidRDefault="00000000">
            <w:pPr>
              <w:spacing w:after="0"/>
              <w:jc w:val="center"/>
            </w:pPr>
            <w:r w:rsidRPr="00A46D13">
              <w:rPr>
                <w:b/>
                <w:bCs/>
                <w:sz w:val="16"/>
              </w:rPr>
              <w:t>Construct</w:t>
            </w:r>
          </w:p>
        </w:tc>
        <w:tc>
          <w:tcPr>
            <w:tcW w:w="5700" w:type="dxa"/>
            <w:shd w:val="clear" w:color="auto" w:fill="E7E6E6"/>
            <w:tcMar>
              <w:top w:w="45" w:type="dxa"/>
              <w:left w:w="55" w:type="dxa"/>
              <w:bottom w:w="45" w:type="dxa"/>
              <w:right w:w="55" w:type="dxa"/>
            </w:tcMar>
            <w:vAlign w:val="center"/>
          </w:tcPr>
          <w:p w14:paraId="63F0C2BC" w14:textId="77777777" w:rsidR="00235BC0" w:rsidRPr="00A46D13" w:rsidRDefault="00000000">
            <w:pPr>
              <w:spacing w:after="0"/>
              <w:jc w:val="center"/>
            </w:pPr>
            <w:r w:rsidRPr="00A46D13">
              <w:rPr>
                <w:b/>
                <w:bCs/>
                <w:sz w:val="16"/>
              </w:rPr>
              <w:t>Operational meaning</w:t>
            </w:r>
          </w:p>
        </w:tc>
        <w:tc>
          <w:tcPr>
            <w:tcW w:w="1010" w:type="dxa"/>
            <w:shd w:val="clear" w:color="auto" w:fill="E7E6E6"/>
            <w:tcMar>
              <w:top w:w="45" w:type="dxa"/>
              <w:left w:w="55" w:type="dxa"/>
              <w:bottom w:w="45" w:type="dxa"/>
              <w:right w:w="55" w:type="dxa"/>
            </w:tcMar>
            <w:vAlign w:val="center"/>
          </w:tcPr>
          <w:p w14:paraId="266B974A" w14:textId="77777777" w:rsidR="00235BC0" w:rsidRPr="00A46D13" w:rsidRDefault="00000000">
            <w:pPr>
              <w:spacing w:after="0"/>
              <w:jc w:val="center"/>
            </w:pPr>
            <w:r w:rsidRPr="00A46D13">
              <w:rPr>
                <w:b/>
                <w:bCs/>
                <w:sz w:val="16"/>
              </w:rPr>
              <w:t>Range</w:t>
            </w:r>
          </w:p>
        </w:tc>
      </w:tr>
      <w:tr w:rsidR="00235BC0" w:rsidRPr="00A46D13" w14:paraId="4AA9EB64" w14:textId="77777777">
        <w:trPr>
          <w:cantSplit/>
          <w:jc w:val="center"/>
        </w:trPr>
        <w:tc>
          <w:tcPr>
            <w:tcW w:w="850" w:type="dxa"/>
            <w:tcMar>
              <w:top w:w="45" w:type="dxa"/>
              <w:left w:w="55" w:type="dxa"/>
              <w:bottom w:w="45" w:type="dxa"/>
              <w:right w:w="55" w:type="dxa"/>
            </w:tcMar>
            <w:vAlign w:val="center"/>
          </w:tcPr>
          <w:p w14:paraId="41F0CF92" w14:textId="77777777" w:rsidR="00235BC0" w:rsidRPr="00A46D13" w:rsidRDefault="00000000">
            <w:pPr>
              <w:spacing w:after="0"/>
              <w:jc w:val="left"/>
            </w:pPr>
            <w:r w:rsidRPr="00A46D13">
              <w:rPr>
                <w:i/>
                <w:iCs/>
                <w:sz w:val="16"/>
              </w:rPr>
              <w:t>aₜ</w:t>
            </w:r>
          </w:p>
        </w:tc>
        <w:tc>
          <w:tcPr>
            <w:tcW w:w="1800" w:type="dxa"/>
            <w:tcMar>
              <w:top w:w="45" w:type="dxa"/>
              <w:left w:w="55" w:type="dxa"/>
              <w:bottom w:w="45" w:type="dxa"/>
              <w:right w:w="55" w:type="dxa"/>
            </w:tcMar>
            <w:vAlign w:val="center"/>
          </w:tcPr>
          <w:p w14:paraId="4E57E2F0" w14:textId="77777777" w:rsidR="00235BC0" w:rsidRPr="00A46D13" w:rsidRDefault="00000000">
            <w:pPr>
              <w:spacing w:after="0"/>
              <w:jc w:val="center"/>
            </w:pPr>
            <w:r w:rsidRPr="00A46D13">
              <w:rPr>
                <w:sz w:val="16"/>
              </w:rPr>
              <w:t>Automation intensity</w:t>
            </w:r>
          </w:p>
        </w:tc>
        <w:tc>
          <w:tcPr>
            <w:tcW w:w="5700" w:type="dxa"/>
            <w:tcMar>
              <w:top w:w="45" w:type="dxa"/>
              <w:left w:w="55" w:type="dxa"/>
              <w:bottom w:w="45" w:type="dxa"/>
              <w:right w:w="55" w:type="dxa"/>
            </w:tcMar>
            <w:vAlign w:val="center"/>
          </w:tcPr>
          <w:p w14:paraId="1CA9F54B" w14:textId="77777777" w:rsidR="00235BC0" w:rsidRPr="00A46D13" w:rsidRDefault="00000000">
            <w:pPr>
              <w:spacing w:after="0"/>
              <w:jc w:val="center"/>
            </w:pPr>
            <w:r w:rsidRPr="00A46D13">
              <w:rPr>
                <w:sz w:val="16"/>
              </w:rPr>
              <w:t>Share and consequentiality of work delegated to AI-enabled systems</w:t>
            </w:r>
          </w:p>
        </w:tc>
        <w:tc>
          <w:tcPr>
            <w:tcW w:w="1010" w:type="dxa"/>
            <w:tcMar>
              <w:top w:w="45" w:type="dxa"/>
              <w:left w:w="55" w:type="dxa"/>
              <w:bottom w:w="45" w:type="dxa"/>
              <w:right w:w="55" w:type="dxa"/>
            </w:tcMar>
            <w:vAlign w:val="center"/>
          </w:tcPr>
          <w:p w14:paraId="3F340B7F" w14:textId="77777777" w:rsidR="00235BC0" w:rsidRPr="00A46D13" w:rsidRDefault="00000000">
            <w:pPr>
              <w:spacing w:after="0"/>
              <w:jc w:val="center"/>
            </w:pPr>
            <w:r w:rsidRPr="00A46D13">
              <w:rPr>
                <w:sz w:val="16"/>
              </w:rPr>
              <w:t>[0, 1]</w:t>
            </w:r>
          </w:p>
        </w:tc>
      </w:tr>
      <w:tr w:rsidR="00235BC0" w:rsidRPr="00A46D13" w14:paraId="714E0863" w14:textId="77777777">
        <w:trPr>
          <w:cantSplit/>
          <w:jc w:val="center"/>
        </w:trPr>
        <w:tc>
          <w:tcPr>
            <w:tcW w:w="850" w:type="dxa"/>
            <w:tcMar>
              <w:top w:w="45" w:type="dxa"/>
              <w:left w:w="55" w:type="dxa"/>
              <w:bottom w:w="45" w:type="dxa"/>
              <w:right w:w="55" w:type="dxa"/>
            </w:tcMar>
            <w:vAlign w:val="center"/>
          </w:tcPr>
          <w:p w14:paraId="73B83683" w14:textId="77777777" w:rsidR="00235BC0" w:rsidRPr="00A46D13" w:rsidRDefault="00000000">
            <w:pPr>
              <w:spacing w:after="0"/>
              <w:jc w:val="left"/>
            </w:pPr>
            <w:r w:rsidRPr="00A46D13">
              <w:rPr>
                <w:i/>
                <w:iCs/>
                <w:sz w:val="16"/>
              </w:rPr>
              <w:t>gₜ</w:t>
            </w:r>
          </w:p>
        </w:tc>
        <w:tc>
          <w:tcPr>
            <w:tcW w:w="1800" w:type="dxa"/>
            <w:tcMar>
              <w:top w:w="45" w:type="dxa"/>
              <w:left w:w="55" w:type="dxa"/>
              <w:bottom w:w="45" w:type="dxa"/>
              <w:right w:w="55" w:type="dxa"/>
            </w:tcMar>
            <w:vAlign w:val="center"/>
          </w:tcPr>
          <w:p w14:paraId="7D1041F6" w14:textId="77777777" w:rsidR="00235BC0" w:rsidRPr="00A46D13" w:rsidRDefault="00000000">
            <w:pPr>
              <w:spacing w:after="0"/>
              <w:jc w:val="center"/>
            </w:pPr>
            <w:r w:rsidRPr="00A46D13">
              <w:rPr>
                <w:sz w:val="16"/>
              </w:rPr>
              <w:t>Governance intensity</w:t>
            </w:r>
          </w:p>
        </w:tc>
        <w:tc>
          <w:tcPr>
            <w:tcW w:w="5700" w:type="dxa"/>
            <w:tcMar>
              <w:top w:w="45" w:type="dxa"/>
              <w:left w:w="55" w:type="dxa"/>
              <w:bottom w:w="45" w:type="dxa"/>
              <w:right w:w="55" w:type="dxa"/>
            </w:tcMar>
            <w:vAlign w:val="center"/>
          </w:tcPr>
          <w:p w14:paraId="73BF7CAA" w14:textId="77777777" w:rsidR="00235BC0" w:rsidRPr="00A46D13" w:rsidRDefault="00000000">
            <w:pPr>
              <w:spacing w:after="0"/>
              <w:jc w:val="center"/>
            </w:pPr>
            <w:r w:rsidRPr="00A46D13">
              <w:rPr>
                <w:sz w:val="16"/>
              </w:rPr>
              <w:t>Strength of decision rights, policy gates, logging, escalation, and accountability</w:t>
            </w:r>
          </w:p>
        </w:tc>
        <w:tc>
          <w:tcPr>
            <w:tcW w:w="1010" w:type="dxa"/>
            <w:tcMar>
              <w:top w:w="45" w:type="dxa"/>
              <w:left w:w="55" w:type="dxa"/>
              <w:bottom w:w="45" w:type="dxa"/>
              <w:right w:w="55" w:type="dxa"/>
            </w:tcMar>
            <w:vAlign w:val="center"/>
          </w:tcPr>
          <w:p w14:paraId="141E812B" w14:textId="77777777" w:rsidR="00235BC0" w:rsidRPr="00A46D13" w:rsidRDefault="00000000">
            <w:pPr>
              <w:spacing w:after="0"/>
              <w:jc w:val="center"/>
            </w:pPr>
            <w:r w:rsidRPr="00A46D13">
              <w:rPr>
                <w:sz w:val="16"/>
              </w:rPr>
              <w:t>[0, 1]</w:t>
            </w:r>
          </w:p>
        </w:tc>
      </w:tr>
      <w:tr w:rsidR="00235BC0" w:rsidRPr="00A46D13" w14:paraId="1A42D6C6" w14:textId="77777777">
        <w:trPr>
          <w:cantSplit/>
          <w:jc w:val="center"/>
        </w:trPr>
        <w:tc>
          <w:tcPr>
            <w:tcW w:w="850" w:type="dxa"/>
            <w:tcMar>
              <w:top w:w="45" w:type="dxa"/>
              <w:left w:w="55" w:type="dxa"/>
              <w:bottom w:w="45" w:type="dxa"/>
              <w:right w:w="55" w:type="dxa"/>
            </w:tcMar>
            <w:vAlign w:val="center"/>
          </w:tcPr>
          <w:p w14:paraId="59A4BFE4" w14:textId="77777777" w:rsidR="00235BC0" w:rsidRPr="00A46D13" w:rsidRDefault="00000000">
            <w:pPr>
              <w:spacing w:after="0"/>
              <w:jc w:val="left"/>
            </w:pPr>
            <w:r w:rsidRPr="00A46D13">
              <w:rPr>
                <w:i/>
                <w:iCs/>
                <w:sz w:val="16"/>
              </w:rPr>
              <w:t>vₜ</w:t>
            </w:r>
          </w:p>
        </w:tc>
        <w:tc>
          <w:tcPr>
            <w:tcW w:w="1800" w:type="dxa"/>
            <w:tcMar>
              <w:top w:w="45" w:type="dxa"/>
              <w:left w:w="55" w:type="dxa"/>
              <w:bottom w:w="45" w:type="dxa"/>
              <w:right w:w="55" w:type="dxa"/>
            </w:tcMar>
            <w:vAlign w:val="center"/>
          </w:tcPr>
          <w:p w14:paraId="20626678" w14:textId="77777777" w:rsidR="00235BC0" w:rsidRPr="00A46D13" w:rsidRDefault="00000000">
            <w:pPr>
              <w:spacing w:after="0"/>
              <w:jc w:val="center"/>
            </w:pPr>
            <w:r w:rsidRPr="00A46D13">
              <w:rPr>
                <w:sz w:val="16"/>
              </w:rPr>
              <w:t>Verification intensity</w:t>
            </w:r>
          </w:p>
        </w:tc>
        <w:tc>
          <w:tcPr>
            <w:tcW w:w="5700" w:type="dxa"/>
            <w:tcMar>
              <w:top w:w="45" w:type="dxa"/>
              <w:left w:w="55" w:type="dxa"/>
              <w:bottom w:w="45" w:type="dxa"/>
              <w:right w:w="55" w:type="dxa"/>
            </w:tcMar>
            <w:vAlign w:val="center"/>
          </w:tcPr>
          <w:p w14:paraId="7A01DEDC" w14:textId="77777777" w:rsidR="00235BC0" w:rsidRPr="00A46D13" w:rsidRDefault="00000000">
            <w:pPr>
              <w:spacing w:after="0"/>
              <w:jc w:val="center"/>
            </w:pPr>
            <w:r w:rsidRPr="00A46D13">
              <w:rPr>
                <w:sz w:val="16"/>
              </w:rPr>
              <w:t>Proportion and depth of output checking, evidence review, testing, and challenge</w:t>
            </w:r>
          </w:p>
        </w:tc>
        <w:tc>
          <w:tcPr>
            <w:tcW w:w="1010" w:type="dxa"/>
            <w:tcMar>
              <w:top w:w="45" w:type="dxa"/>
              <w:left w:w="55" w:type="dxa"/>
              <w:bottom w:w="45" w:type="dxa"/>
              <w:right w:w="55" w:type="dxa"/>
            </w:tcMar>
            <w:vAlign w:val="center"/>
          </w:tcPr>
          <w:p w14:paraId="34CF92E3" w14:textId="77777777" w:rsidR="00235BC0" w:rsidRPr="00A46D13" w:rsidRDefault="00000000">
            <w:pPr>
              <w:spacing w:after="0"/>
              <w:jc w:val="center"/>
            </w:pPr>
            <w:r w:rsidRPr="00A46D13">
              <w:rPr>
                <w:sz w:val="16"/>
              </w:rPr>
              <w:t>[0, 1]</w:t>
            </w:r>
          </w:p>
        </w:tc>
      </w:tr>
      <w:tr w:rsidR="00235BC0" w:rsidRPr="00A46D13" w14:paraId="5571251C" w14:textId="77777777">
        <w:trPr>
          <w:cantSplit/>
          <w:jc w:val="center"/>
        </w:trPr>
        <w:tc>
          <w:tcPr>
            <w:tcW w:w="850" w:type="dxa"/>
            <w:tcMar>
              <w:top w:w="45" w:type="dxa"/>
              <w:left w:w="55" w:type="dxa"/>
              <w:bottom w:w="45" w:type="dxa"/>
              <w:right w:w="55" w:type="dxa"/>
            </w:tcMar>
            <w:vAlign w:val="center"/>
          </w:tcPr>
          <w:p w14:paraId="11362846" w14:textId="77777777" w:rsidR="00235BC0" w:rsidRPr="00A46D13" w:rsidRDefault="00000000">
            <w:pPr>
              <w:spacing w:after="0"/>
              <w:jc w:val="left"/>
            </w:pPr>
            <w:r w:rsidRPr="00A46D13">
              <w:rPr>
                <w:i/>
                <w:iCs/>
                <w:sz w:val="16"/>
              </w:rPr>
              <w:t>fₜ</w:t>
            </w:r>
          </w:p>
        </w:tc>
        <w:tc>
          <w:tcPr>
            <w:tcW w:w="1800" w:type="dxa"/>
            <w:tcMar>
              <w:top w:w="45" w:type="dxa"/>
              <w:left w:w="55" w:type="dxa"/>
              <w:bottom w:w="45" w:type="dxa"/>
              <w:right w:w="55" w:type="dxa"/>
            </w:tcMar>
            <w:vAlign w:val="center"/>
          </w:tcPr>
          <w:p w14:paraId="65B3BDB3" w14:textId="77777777" w:rsidR="00235BC0" w:rsidRPr="00A46D13" w:rsidRDefault="00000000">
            <w:pPr>
              <w:spacing w:after="0"/>
              <w:jc w:val="center"/>
            </w:pPr>
            <w:r w:rsidRPr="00A46D13">
              <w:rPr>
                <w:sz w:val="16"/>
              </w:rPr>
              <w:t>Task fit</w:t>
            </w:r>
          </w:p>
        </w:tc>
        <w:tc>
          <w:tcPr>
            <w:tcW w:w="5700" w:type="dxa"/>
            <w:tcMar>
              <w:top w:w="45" w:type="dxa"/>
              <w:left w:w="55" w:type="dxa"/>
              <w:bottom w:w="45" w:type="dxa"/>
              <w:right w:w="55" w:type="dxa"/>
            </w:tcMar>
            <w:vAlign w:val="center"/>
          </w:tcPr>
          <w:p w14:paraId="3B8165AD" w14:textId="77777777" w:rsidR="00235BC0" w:rsidRPr="00A46D13" w:rsidRDefault="00000000">
            <w:pPr>
              <w:spacing w:after="0"/>
              <w:jc w:val="center"/>
            </w:pPr>
            <w:r w:rsidRPr="00A46D13">
              <w:rPr>
                <w:sz w:val="16"/>
              </w:rPr>
              <w:t>Suitability of the current task portfolio for reliable AI delegation</w:t>
            </w:r>
          </w:p>
        </w:tc>
        <w:tc>
          <w:tcPr>
            <w:tcW w:w="1010" w:type="dxa"/>
            <w:tcMar>
              <w:top w:w="45" w:type="dxa"/>
              <w:left w:w="55" w:type="dxa"/>
              <w:bottom w:w="45" w:type="dxa"/>
              <w:right w:w="55" w:type="dxa"/>
            </w:tcMar>
            <w:vAlign w:val="center"/>
          </w:tcPr>
          <w:p w14:paraId="6E267C08" w14:textId="77777777" w:rsidR="00235BC0" w:rsidRPr="00A46D13" w:rsidRDefault="00000000">
            <w:pPr>
              <w:spacing w:after="0"/>
              <w:jc w:val="center"/>
            </w:pPr>
            <w:r w:rsidRPr="00A46D13">
              <w:rPr>
                <w:sz w:val="16"/>
              </w:rPr>
              <w:t>[0, 1]</w:t>
            </w:r>
          </w:p>
        </w:tc>
      </w:tr>
      <w:tr w:rsidR="00235BC0" w:rsidRPr="00A46D13" w14:paraId="5C84152C" w14:textId="77777777">
        <w:trPr>
          <w:cantSplit/>
          <w:jc w:val="center"/>
        </w:trPr>
        <w:tc>
          <w:tcPr>
            <w:tcW w:w="850" w:type="dxa"/>
            <w:tcMar>
              <w:top w:w="45" w:type="dxa"/>
              <w:left w:w="55" w:type="dxa"/>
              <w:bottom w:w="45" w:type="dxa"/>
              <w:right w:w="55" w:type="dxa"/>
            </w:tcMar>
            <w:vAlign w:val="center"/>
          </w:tcPr>
          <w:p w14:paraId="70A973B8" w14:textId="77777777" w:rsidR="00235BC0" w:rsidRPr="00A46D13" w:rsidRDefault="00000000">
            <w:pPr>
              <w:spacing w:after="0"/>
              <w:jc w:val="left"/>
            </w:pPr>
            <w:r w:rsidRPr="00A46D13">
              <w:rPr>
                <w:i/>
                <w:iCs/>
                <w:sz w:val="16"/>
              </w:rPr>
              <w:t>uₜ</w:t>
            </w:r>
          </w:p>
        </w:tc>
        <w:tc>
          <w:tcPr>
            <w:tcW w:w="1800" w:type="dxa"/>
            <w:tcMar>
              <w:top w:w="45" w:type="dxa"/>
              <w:left w:w="55" w:type="dxa"/>
              <w:bottom w:w="45" w:type="dxa"/>
              <w:right w:w="55" w:type="dxa"/>
            </w:tcMar>
            <w:vAlign w:val="center"/>
          </w:tcPr>
          <w:p w14:paraId="2FC93DCD" w14:textId="77777777" w:rsidR="00235BC0" w:rsidRPr="00A46D13" w:rsidRDefault="00000000">
            <w:pPr>
              <w:spacing w:after="0"/>
              <w:jc w:val="center"/>
            </w:pPr>
            <w:r w:rsidRPr="00A46D13">
              <w:rPr>
                <w:sz w:val="16"/>
              </w:rPr>
              <w:t>Environmental uncertainty</w:t>
            </w:r>
          </w:p>
        </w:tc>
        <w:tc>
          <w:tcPr>
            <w:tcW w:w="5700" w:type="dxa"/>
            <w:tcMar>
              <w:top w:w="45" w:type="dxa"/>
              <w:left w:w="55" w:type="dxa"/>
              <w:bottom w:w="45" w:type="dxa"/>
              <w:right w:w="55" w:type="dxa"/>
            </w:tcMar>
            <w:vAlign w:val="center"/>
          </w:tcPr>
          <w:p w14:paraId="5654A0F0" w14:textId="77777777" w:rsidR="00235BC0" w:rsidRPr="00A46D13" w:rsidRDefault="00000000">
            <w:pPr>
              <w:spacing w:after="0"/>
              <w:jc w:val="center"/>
            </w:pPr>
            <w:r w:rsidRPr="00A46D13">
              <w:rPr>
                <w:sz w:val="16"/>
              </w:rPr>
              <w:t>Volatility, ambiguity, novelty, and external change affecting the task environment</w:t>
            </w:r>
          </w:p>
        </w:tc>
        <w:tc>
          <w:tcPr>
            <w:tcW w:w="1010" w:type="dxa"/>
            <w:tcMar>
              <w:top w:w="45" w:type="dxa"/>
              <w:left w:w="55" w:type="dxa"/>
              <w:bottom w:w="45" w:type="dxa"/>
              <w:right w:w="55" w:type="dxa"/>
            </w:tcMar>
            <w:vAlign w:val="center"/>
          </w:tcPr>
          <w:p w14:paraId="07AEEB43" w14:textId="77777777" w:rsidR="00235BC0" w:rsidRPr="00A46D13" w:rsidRDefault="00000000">
            <w:pPr>
              <w:spacing w:after="0"/>
              <w:jc w:val="center"/>
            </w:pPr>
            <w:r w:rsidRPr="00A46D13">
              <w:rPr>
                <w:sz w:val="16"/>
              </w:rPr>
              <w:t>[0, 1]</w:t>
            </w:r>
          </w:p>
        </w:tc>
      </w:tr>
      <w:tr w:rsidR="00235BC0" w:rsidRPr="00A46D13" w14:paraId="57237609" w14:textId="77777777">
        <w:trPr>
          <w:cantSplit/>
          <w:jc w:val="center"/>
        </w:trPr>
        <w:tc>
          <w:tcPr>
            <w:tcW w:w="850" w:type="dxa"/>
            <w:tcMar>
              <w:top w:w="45" w:type="dxa"/>
              <w:left w:w="55" w:type="dxa"/>
              <w:bottom w:w="45" w:type="dxa"/>
              <w:right w:w="55" w:type="dxa"/>
            </w:tcMar>
            <w:vAlign w:val="center"/>
          </w:tcPr>
          <w:p w14:paraId="522D1CCA" w14:textId="77777777" w:rsidR="00235BC0" w:rsidRPr="00A46D13" w:rsidRDefault="00000000">
            <w:pPr>
              <w:spacing w:after="0"/>
              <w:jc w:val="left"/>
            </w:pPr>
            <w:r w:rsidRPr="00A46D13">
              <w:rPr>
                <w:i/>
                <w:iCs/>
                <w:sz w:val="16"/>
              </w:rPr>
              <w:t>Dₜ</w:t>
            </w:r>
          </w:p>
        </w:tc>
        <w:tc>
          <w:tcPr>
            <w:tcW w:w="1800" w:type="dxa"/>
            <w:tcMar>
              <w:top w:w="45" w:type="dxa"/>
              <w:left w:w="55" w:type="dxa"/>
              <w:bottom w:w="45" w:type="dxa"/>
              <w:right w:w="55" w:type="dxa"/>
            </w:tcMar>
            <w:vAlign w:val="center"/>
          </w:tcPr>
          <w:p w14:paraId="27B64920" w14:textId="77777777" w:rsidR="00235BC0" w:rsidRPr="00A46D13" w:rsidRDefault="00000000">
            <w:pPr>
              <w:spacing w:after="0"/>
              <w:jc w:val="center"/>
            </w:pPr>
            <w:r w:rsidRPr="00A46D13">
              <w:rPr>
                <w:sz w:val="16"/>
              </w:rPr>
              <w:t>Verification debt</w:t>
            </w:r>
          </w:p>
        </w:tc>
        <w:tc>
          <w:tcPr>
            <w:tcW w:w="5700" w:type="dxa"/>
            <w:tcMar>
              <w:top w:w="45" w:type="dxa"/>
              <w:left w:w="55" w:type="dxa"/>
              <w:bottom w:w="45" w:type="dxa"/>
              <w:right w:w="55" w:type="dxa"/>
            </w:tcMar>
            <w:vAlign w:val="center"/>
          </w:tcPr>
          <w:p w14:paraId="17201F01" w14:textId="77777777" w:rsidR="00235BC0" w:rsidRPr="00A46D13" w:rsidRDefault="00000000">
            <w:pPr>
              <w:spacing w:after="0"/>
              <w:jc w:val="center"/>
            </w:pPr>
            <w:r w:rsidRPr="00A46D13">
              <w:rPr>
                <w:sz w:val="16"/>
              </w:rPr>
              <w:t>Accumulated unverified assumptions, weak review, hidden dependencies, and deferred validation</w:t>
            </w:r>
          </w:p>
        </w:tc>
        <w:tc>
          <w:tcPr>
            <w:tcW w:w="1010" w:type="dxa"/>
            <w:tcMar>
              <w:top w:w="45" w:type="dxa"/>
              <w:left w:w="55" w:type="dxa"/>
              <w:bottom w:w="45" w:type="dxa"/>
              <w:right w:w="55" w:type="dxa"/>
            </w:tcMar>
            <w:vAlign w:val="center"/>
          </w:tcPr>
          <w:p w14:paraId="46521CB0" w14:textId="77777777" w:rsidR="00235BC0" w:rsidRPr="00A46D13" w:rsidRDefault="00000000">
            <w:pPr>
              <w:spacing w:after="0"/>
              <w:jc w:val="center"/>
            </w:pPr>
            <w:r w:rsidRPr="00A46D13">
              <w:rPr>
                <w:sz w:val="16"/>
              </w:rPr>
              <w:t>[0, ∞)</w:t>
            </w:r>
          </w:p>
        </w:tc>
      </w:tr>
      <w:tr w:rsidR="00235BC0" w:rsidRPr="00A46D13" w14:paraId="1AD008EF" w14:textId="77777777">
        <w:trPr>
          <w:cantSplit/>
          <w:jc w:val="center"/>
        </w:trPr>
        <w:tc>
          <w:tcPr>
            <w:tcW w:w="850" w:type="dxa"/>
            <w:tcMar>
              <w:top w:w="45" w:type="dxa"/>
              <w:left w:w="55" w:type="dxa"/>
              <w:bottom w:w="45" w:type="dxa"/>
              <w:right w:w="55" w:type="dxa"/>
            </w:tcMar>
            <w:vAlign w:val="center"/>
          </w:tcPr>
          <w:p w14:paraId="067418E8" w14:textId="77777777" w:rsidR="00235BC0" w:rsidRPr="00A46D13" w:rsidRDefault="00000000">
            <w:pPr>
              <w:spacing w:after="0"/>
              <w:jc w:val="left"/>
            </w:pPr>
            <w:r w:rsidRPr="00A46D13">
              <w:rPr>
                <w:i/>
                <w:iCs/>
                <w:sz w:val="16"/>
              </w:rPr>
              <w:t>Hₜ</w:t>
            </w:r>
          </w:p>
        </w:tc>
        <w:tc>
          <w:tcPr>
            <w:tcW w:w="1800" w:type="dxa"/>
            <w:tcMar>
              <w:top w:w="45" w:type="dxa"/>
              <w:left w:w="55" w:type="dxa"/>
              <w:bottom w:w="45" w:type="dxa"/>
              <w:right w:w="55" w:type="dxa"/>
            </w:tcMar>
            <w:vAlign w:val="center"/>
          </w:tcPr>
          <w:p w14:paraId="2EEC2365" w14:textId="77777777" w:rsidR="00235BC0" w:rsidRPr="00A46D13" w:rsidRDefault="00000000">
            <w:pPr>
              <w:spacing w:after="0"/>
              <w:jc w:val="center"/>
            </w:pPr>
            <w:r w:rsidRPr="00A46D13">
              <w:rPr>
                <w:sz w:val="16"/>
              </w:rPr>
              <w:t>Human expertise</w:t>
            </w:r>
          </w:p>
        </w:tc>
        <w:tc>
          <w:tcPr>
            <w:tcW w:w="5700" w:type="dxa"/>
            <w:tcMar>
              <w:top w:w="45" w:type="dxa"/>
              <w:left w:w="55" w:type="dxa"/>
              <w:bottom w:w="45" w:type="dxa"/>
              <w:right w:w="55" w:type="dxa"/>
            </w:tcMar>
            <w:vAlign w:val="center"/>
          </w:tcPr>
          <w:p w14:paraId="3416AC7D" w14:textId="77777777" w:rsidR="00235BC0" w:rsidRPr="00A46D13" w:rsidRDefault="00000000">
            <w:pPr>
              <w:spacing w:after="0"/>
              <w:jc w:val="center"/>
            </w:pPr>
            <w:r w:rsidRPr="00A46D13">
              <w:rPr>
                <w:sz w:val="16"/>
              </w:rPr>
              <w:t>Retained capability to understand, verify, contest, and correct AI-mediated work</w:t>
            </w:r>
          </w:p>
        </w:tc>
        <w:tc>
          <w:tcPr>
            <w:tcW w:w="1010" w:type="dxa"/>
            <w:tcMar>
              <w:top w:w="45" w:type="dxa"/>
              <w:left w:w="55" w:type="dxa"/>
              <w:bottom w:w="45" w:type="dxa"/>
              <w:right w:w="55" w:type="dxa"/>
            </w:tcMar>
            <w:vAlign w:val="center"/>
          </w:tcPr>
          <w:p w14:paraId="64E4063C" w14:textId="77777777" w:rsidR="00235BC0" w:rsidRPr="00A46D13" w:rsidRDefault="00000000">
            <w:pPr>
              <w:spacing w:after="0"/>
              <w:jc w:val="center"/>
            </w:pPr>
            <w:r w:rsidRPr="00A46D13">
              <w:rPr>
                <w:sz w:val="16"/>
              </w:rPr>
              <w:t>[0.18, 0.98]</w:t>
            </w:r>
          </w:p>
        </w:tc>
      </w:tr>
      <w:tr w:rsidR="00235BC0" w:rsidRPr="00A46D13" w14:paraId="1D7260CB" w14:textId="77777777">
        <w:trPr>
          <w:cantSplit/>
          <w:jc w:val="center"/>
        </w:trPr>
        <w:tc>
          <w:tcPr>
            <w:tcW w:w="850" w:type="dxa"/>
            <w:tcMar>
              <w:top w:w="45" w:type="dxa"/>
              <w:left w:w="55" w:type="dxa"/>
              <w:bottom w:w="45" w:type="dxa"/>
              <w:right w:w="55" w:type="dxa"/>
            </w:tcMar>
            <w:vAlign w:val="center"/>
          </w:tcPr>
          <w:p w14:paraId="39F38A32" w14:textId="77777777" w:rsidR="00235BC0" w:rsidRPr="00A46D13" w:rsidRDefault="00000000">
            <w:pPr>
              <w:spacing w:after="0"/>
              <w:jc w:val="left"/>
            </w:pPr>
            <w:r w:rsidRPr="00A46D13">
              <w:rPr>
                <w:i/>
                <w:iCs/>
                <w:sz w:val="16"/>
              </w:rPr>
              <w:t>Rₜ</w:t>
            </w:r>
          </w:p>
        </w:tc>
        <w:tc>
          <w:tcPr>
            <w:tcW w:w="1800" w:type="dxa"/>
            <w:tcMar>
              <w:top w:w="45" w:type="dxa"/>
              <w:left w:w="55" w:type="dxa"/>
              <w:bottom w:w="45" w:type="dxa"/>
              <w:right w:w="55" w:type="dxa"/>
            </w:tcMar>
            <w:vAlign w:val="center"/>
          </w:tcPr>
          <w:p w14:paraId="4F09840B" w14:textId="77777777" w:rsidR="00235BC0" w:rsidRPr="00A46D13" w:rsidRDefault="00000000">
            <w:pPr>
              <w:spacing w:after="0"/>
              <w:jc w:val="center"/>
            </w:pPr>
            <w:proofErr w:type="spellStart"/>
            <w:r w:rsidRPr="00A46D13">
              <w:rPr>
                <w:sz w:val="16"/>
              </w:rPr>
              <w:t>Organisational</w:t>
            </w:r>
            <w:proofErr w:type="spellEnd"/>
            <w:r w:rsidRPr="00A46D13">
              <w:rPr>
                <w:sz w:val="16"/>
              </w:rPr>
              <w:t xml:space="preserve"> resilience</w:t>
            </w:r>
          </w:p>
        </w:tc>
        <w:tc>
          <w:tcPr>
            <w:tcW w:w="5700" w:type="dxa"/>
            <w:tcMar>
              <w:top w:w="45" w:type="dxa"/>
              <w:left w:w="55" w:type="dxa"/>
              <w:bottom w:w="45" w:type="dxa"/>
              <w:right w:w="55" w:type="dxa"/>
            </w:tcMar>
            <w:vAlign w:val="center"/>
          </w:tcPr>
          <w:p w14:paraId="3B1B78B5" w14:textId="77777777" w:rsidR="00235BC0" w:rsidRPr="00A46D13" w:rsidRDefault="00000000">
            <w:pPr>
              <w:spacing w:after="0"/>
              <w:jc w:val="center"/>
            </w:pPr>
            <w:r w:rsidRPr="00A46D13">
              <w:rPr>
                <w:sz w:val="16"/>
              </w:rPr>
              <w:t>Capacity to absorb shocks, recover, and continue effective operations</w:t>
            </w:r>
          </w:p>
        </w:tc>
        <w:tc>
          <w:tcPr>
            <w:tcW w:w="1010" w:type="dxa"/>
            <w:tcMar>
              <w:top w:w="45" w:type="dxa"/>
              <w:left w:w="55" w:type="dxa"/>
              <w:bottom w:w="45" w:type="dxa"/>
              <w:right w:w="55" w:type="dxa"/>
            </w:tcMar>
            <w:vAlign w:val="center"/>
          </w:tcPr>
          <w:p w14:paraId="27F28202" w14:textId="77777777" w:rsidR="00235BC0" w:rsidRPr="00A46D13" w:rsidRDefault="00000000">
            <w:pPr>
              <w:spacing w:after="0"/>
              <w:jc w:val="center"/>
            </w:pPr>
            <w:r w:rsidRPr="00A46D13">
              <w:rPr>
                <w:sz w:val="16"/>
              </w:rPr>
              <w:t>[0.05, 0.98]</w:t>
            </w:r>
          </w:p>
        </w:tc>
      </w:tr>
      <w:tr w:rsidR="00235BC0" w:rsidRPr="00A46D13" w14:paraId="6BEA9FF6" w14:textId="77777777">
        <w:trPr>
          <w:cantSplit/>
          <w:jc w:val="center"/>
        </w:trPr>
        <w:tc>
          <w:tcPr>
            <w:tcW w:w="850" w:type="dxa"/>
            <w:tcMar>
              <w:top w:w="45" w:type="dxa"/>
              <w:left w:w="55" w:type="dxa"/>
              <w:bottom w:w="45" w:type="dxa"/>
              <w:right w:w="55" w:type="dxa"/>
            </w:tcMar>
            <w:vAlign w:val="center"/>
          </w:tcPr>
          <w:p w14:paraId="47F80BF6" w14:textId="77777777" w:rsidR="00235BC0" w:rsidRPr="00A46D13" w:rsidRDefault="00000000">
            <w:pPr>
              <w:spacing w:after="0"/>
              <w:jc w:val="left"/>
            </w:pPr>
            <w:r w:rsidRPr="00A46D13">
              <w:rPr>
                <w:i/>
                <w:iCs/>
                <w:sz w:val="16"/>
              </w:rPr>
              <w:t>NVₜ</w:t>
            </w:r>
          </w:p>
        </w:tc>
        <w:tc>
          <w:tcPr>
            <w:tcW w:w="1800" w:type="dxa"/>
            <w:tcMar>
              <w:top w:w="45" w:type="dxa"/>
              <w:left w:w="55" w:type="dxa"/>
              <w:bottom w:w="45" w:type="dxa"/>
              <w:right w:w="55" w:type="dxa"/>
            </w:tcMar>
            <w:vAlign w:val="center"/>
          </w:tcPr>
          <w:p w14:paraId="11EFA966" w14:textId="77777777" w:rsidR="00235BC0" w:rsidRPr="00A46D13" w:rsidRDefault="00000000">
            <w:pPr>
              <w:spacing w:after="0"/>
              <w:jc w:val="center"/>
            </w:pPr>
            <w:r w:rsidRPr="00A46D13">
              <w:rPr>
                <w:sz w:val="16"/>
              </w:rPr>
              <w:t>Net incremental value</w:t>
            </w:r>
          </w:p>
        </w:tc>
        <w:tc>
          <w:tcPr>
            <w:tcW w:w="5700" w:type="dxa"/>
            <w:tcMar>
              <w:top w:w="45" w:type="dxa"/>
              <w:left w:w="55" w:type="dxa"/>
              <w:bottom w:w="45" w:type="dxa"/>
              <w:right w:w="55" w:type="dxa"/>
            </w:tcMar>
            <w:vAlign w:val="center"/>
          </w:tcPr>
          <w:p w14:paraId="3242570B" w14:textId="77777777" w:rsidR="00235BC0" w:rsidRPr="00A46D13" w:rsidRDefault="00000000">
            <w:pPr>
              <w:spacing w:after="0"/>
              <w:jc w:val="center"/>
            </w:pPr>
            <w:r w:rsidRPr="00A46D13">
              <w:rPr>
                <w:sz w:val="16"/>
              </w:rPr>
              <w:t>Gross AI-enabled gain less governance, verification, debt, and shock costs</w:t>
            </w:r>
          </w:p>
        </w:tc>
        <w:tc>
          <w:tcPr>
            <w:tcW w:w="1010" w:type="dxa"/>
            <w:tcMar>
              <w:top w:w="45" w:type="dxa"/>
              <w:left w:w="55" w:type="dxa"/>
              <w:bottom w:w="45" w:type="dxa"/>
              <w:right w:w="55" w:type="dxa"/>
            </w:tcMar>
            <w:vAlign w:val="center"/>
          </w:tcPr>
          <w:p w14:paraId="3612022F" w14:textId="77777777" w:rsidR="00235BC0" w:rsidRPr="00A46D13" w:rsidRDefault="00000000">
            <w:pPr>
              <w:spacing w:after="0"/>
              <w:jc w:val="center"/>
            </w:pPr>
            <w:r w:rsidRPr="00A46D13">
              <w:rPr>
                <w:sz w:val="16"/>
              </w:rPr>
              <w:t>Real-valued</w:t>
            </w:r>
          </w:p>
        </w:tc>
      </w:tr>
    </w:tbl>
    <w:p w14:paraId="230786DF" w14:textId="77777777" w:rsidR="00235BC0" w:rsidRPr="00A46D13" w:rsidRDefault="00000000">
      <w:pPr>
        <w:keepNext/>
        <w:spacing w:before="120"/>
        <w:jc w:val="left"/>
      </w:pPr>
      <w:r w:rsidRPr="00A46D13">
        <w:rPr>
          <w:b/>
          <w:bCs/>
          <w:sz w:val="22"/>
        </w:rPr>
        <w:t>3.3 Core Assumptions</w:t>
      </w:r>
    </w:p>
    <w:p w14:paraId="72CDDF11" w14:textId="77777777" w:rsidR="00235BC0" w:rsidRPr="00A46D13" w:rsidRDefault="00000000">
      <w:r w:rsidRPr="00A46D13">
        <w:t>Six assumptions structure the model.</w:t>
      </w:r>
    </w:p>
    <w:p w14:paraId="5EF38902" w14:textId="77777777" w:rsidR="00235BC0" w:rsidRPr="00A46D13" w:rsidRDefault="00000000">
      <w:r w:rsidRPr="00A46D13">
        <w:rPr>
          <w:b/>
          <w:bCs/>
        </w:rPr>
        <w:t>A1: Delegation has immediate productive potential.</w:t>
      </w:r>
      <w:r w:rsidRPr="00A46D13">
        <w:t xml:space="preserve"> For suitable tasks, greater automation reduces coordination time and increases output. This assumption is consistent with evidence that generative AI can improve task speed and quality in bounded settings (Noy &amp; Zhang, 2023; Brynjolfsson et al., 2025).</w:t>
      </w:r>
    </w:p>
    <w:p w14:paraId="3FDBF90E" w14:textId="77777777" w:rsidR="00235BC0" w:rsidRPr="00A46D13" w:rsidRDefault="00000000">
      <w:r w:rsidRPr="00A46D13">
        <w:rPr>
          <w:b/>
          <w:bCs/>
        </w:rPr>
        <w:t>A2: Productive gains depend on task fit and retained expertise.</w:t>
      </w:r>
      <w:r w:rsidRPr="00A46D13">
        <w:t xml:space="preserve"> AI assistance is not equally useful for all tasks. Human expertise improves task framing, contextual judgement, error detection, and integration. The model therefore rejects a uniform productivity coefficient across tasks and firms.</w:t>
      </w:r>
    </w:p>
    <w:p w14:paraId="74EE5411" w14:textId="77777777" w:rsidR="00235BC0" w:rsidRPr="00A46D13" w:rsidRDefault="00000000">
      <w:r w:rsidRPr="00A46D13">
        <w:rPr>
          <w:b/>
          <w:bCs/>
        </w:rPr>
        <w:lastRenderedPageBreak/>
        <w:t>A3: Verification debt accumulates nonlinearly.</w:t>
      </w:r>
      <w:r w:rsidRPr="00A46D13">
        <w:t xml:space="preserve"> High automation combined with weak governance and verification creates debt at a more-than-proportionate rate because errors and assumptions can propagate across linked workflows. The convex automation exponent represents scaling complexity, not a claim about a universal empirical law.</w:t>
      </w:r>
    </w:p>
    <w:p w14:paraId="761C030A" w14:textId="77777777" w:rsidR="00235BC0" w:rsidRPr="00A46D13" w:rsidRDefault="00000000">
      <w:r w:rsidRPr="00A46D13">
        <w:rPr>
          <w:b/>
          <w:bCs/>
        </w:rPr>
        <w:t>A4: Verification can produce learning.</w:t>
      </w:r>
      <w:r w:rsidRPr="00A46D13">
        <w:t xml:space="preserve"> Verification is not treated only as a cost. When humans inspect outputs, compare evidence, diagnose failure, and revise workflows, they can strengthen expertise and </w:t>
      </w:r>
      <w:proofErr w:type="spellStart"/>
      <w:r w:rsidRPr="00A46D13">
        <w:t>organisational</w:t>
      </w:r>
      <w:proofErr w:type="spellEnd"/>
      <w:r w:rsidRPr="00A46D13">
        <w:t xml:space="preserve"> learning. This assumption follows research on hybrid intelligence and coordinated human-machine learning (</w:t>
      </w:r>
      <w:proofErr w:type="spellStart"/>
      <w:r w:rsidRPr="00A46D13">
        <w:t>Dellermann</w:t>
      </w:r>
      <w:proofErr w:type="spellEnd"/>
      <w:r w:rsidRPr="00A46D13">
        <w:t xml:space="preserve"> et al., 2019; Sturm et al., 2021).</w:t>
      </w:r>
    </w:p>
    <w:p w14:paraId="2BAD8202" w14:textId="77777777" w:rsidR="00235BC0" w:rsidRPr="00A46D13" w:rsidRDefault="00000000">
      <w:r w:rsidRPr="00A46D13">
        <w:rPr>
          <w:b/>
          <w:bCs/>
        </w:rPr>
        <w:t>A5: Unverified delegation can erode expertise.</w:t>
      </w:r>
      <w:r w:rsidRPr="00A46D13">
        <w:t xml:space="preserve"> Repeated answer-first use reduces opportunities for practice, independent reasoning, and diagnostic feedback. This mechanism reflects the classic ironies of automation, in which operators may be asked to intervene precisely after routine involvement has declined (Bainbridge, 1983; Parasuraman &amp; Riley, 1997).</w:t>
      </w:r>
    </w:p>
    <w:p w14:paraId="3A614571" w14:textId="77777777" w:rsidR="00235BC0" w:rsidRPr="00A46D13" w:rsidRDefault="00000000">
      <w:r w:rsidRPr="00A46D13">
        <w:rPr>
          <w:b/>
          <w:bCs/>
        </w:rPr>
        <w:t>A6: Shocks reveal accumulated fragility.</w:t>
      </w:r>
      <w:r w:rsidRPr="00A46D13">
        <w:t xml:space="preserve"> Verification debt may remain latent during normal operations. Environmental shocks, unusual cases, regulatory changes, adversarial conditions, or correlated system failures expose hidden assumptions and magnify losses. Resilience reduces but does not eliminate these losses, consistent with capability-based accounts in which preparedness and adaptive capacity shape recovery (</w:t>
      </w:r>
      <w:proofErr w:type="spellStart"/>
      <w:r w:rsidRPr="00A46D13">
        <w:t>Lengnick</w:t>
      </w:r>
      <w:proofErr w:type="spellEnd"/>
      <w:r w:rsidRPr="00A46D13">
        <w:t>-Hall et al., 2011; Duchek, 2020; Silveira &amp; De Paula, 2026).</w:t>
      </w:r>
    </w:p>
    <w:p w14:paraId="40B1DB2A" w14:textId="77777777" w:rsidR="00235BC0" w:rsidRPr="00A46D13" w:rsidRDefault="00000000">
      <w:pPr>
        <w:keepNext/>
        <w:spacing w:before="120"/>
        <w:jc w:val="left"/>
      </w:pPr>
      <w:r w:rsidRPr="00A46D13">
        <w:rPr>
          <w:b/>
          <w:bCs/>
          <w:sz w:val="22"/>
        </w:rPr>
        <w:t>3.4 Coordination Compression and Gross Productivity</w:t>
      </w:r>
    </w:p>
    <w:p w14:paraId="0231AF4E" w14:textId="77777777" w:rsidR="00235BC0" w:rsidRPr="00A46D13" w:rsidRDefault="00000000">
      <w:r w:rsidRPr="00A46D13">
        <w:t>Coordination compression is defined as:</w:t>
      </w:r>
    </w:p>
    <w:tbl>
      <w:tblPr>
        <w:tblW w:w="9360" w:type="dxa"/>
        <w:jc w:val="center"/>
        <w:tblLayout w:type="fixed"/>
        <w:tblLook w:val="0020" w:firstRow="1" w:lastRow="0" w:firstColumn="0" w:lastColumn="0" w:noHBand="0" w:noVBand="0"/>
      </w:tblPr>
      <w:tblGrid>
        <w:gridCol w:w="8520"/>
        <w:gridCol w:w="840"/>
      </w:tblGrid>
      <w:tr w:rsidR="00235BC0" w:rsidRPr="00A46D13" w14:paraId="7F60521C" w14:textId="77777777">
        <w:trPr>
          <w:cantSplit/>
          <w:tblHeader/>
          <w:jc w:val="center"/>
        </w:trPr>
        <w:tc>
          <w:tcPr>
            <w:tcW w:w="8520" w:type="dxa"/>
            <w:tcMar>
              <w:top w:w="45" w:type="dxa"/>
              <w:left w:w="55" w:type="dxa"/>
              <w:bottom w:w="45" w:type="dxa"/>
              <w:right w:w="55" w:type="dxa"/>
            </w:tcMar>
            <w:vAlign w:val="center"/>
          </w:tcPr>
          <w:p w14:paraId="471EFD08" w14:textId="77777777" w:rsidR="00235BC0" w:rsidRPr="00A46D13" w:rsidRDefault="00000000">
            <w:pPr>
              <w:spacing w:after="0"/>
              <w:jc w:val="center"/>
            </w:pPr>
            <m:oMathPara>
              <m:oMathParaPr>
                <m:jc m:val="center"/>
              </m:oMathParaPr>
              <m:oMath>
                <m:sSub>
                  <m:sSubPr>
                    <m:ctrlPr>
                      <w:rPr>
                        <w:rFonts w:ascii="Cambria Math" w:hAnsi="Cambria Math"/>
                      </w:rPr>
                    </m:ctrlPr>
                  </m:sSubPr>
                  <m:e>
                    <m:r>
                      <w:rPr>
                        <w:rFonts w:ascii="Cambria Math" w:hAnsi="Cambria Math"/>
                      </w:rPr>
                      <m:t>C</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t</m:t>
                    </m:r>
                  </m:sub>
                </m:sSub>
                <m:sSub>
                  <m:sSubPr>
                    <m:ctrlPr>
                      <w:rPr>
                        <w:rFonts w:ascii="Cambria Math" w:hAnsi="Cambria Math"/>
                      </w:rPr>
                    </m:ctrlPr>
                  </m:sSubPr>
                  <m:e>
                    <m:r>
                      <w:rPr>
                        <w:rFonts w:ascii="Cambria Math" w:hAnsi="Cambria Math"/>
                      </w:rPr>
                      <m:t>f</m:t>
                    </m:r>
                  </m:e>
                  <m:sub>
                    <m:r>
                      <w:rPr>
                        <w:rFonts w:ascii="Cambria Math" w:hAnsi="Cambria Math"/>
                      </w:rPr>
                      <m:t>t</m:t>
                    </m:r>
                  </m:sub>
                </m:sSub>
                <m:d>
                  <m:dPr>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H</m:t>
                        </m:r>
                      </m:sub>
                    </m:sSub>
                    <m:sSub>
                      <m:sSubPr>
                        <m:ctrlPr>
                          <w:rPr>
                            <w:rFonts w:ascii="Cambria Math" w:hAnsi="Cambria Math"/>
                          </w:rPr>
                        </m:ctrlPr>
                      </m:sSubPr>
                      <m:e>
                        <m:r>
                          <w:rPr>
                            <w:rFonts w:ascii="Cambria Math" w:hAnsi="Cambria Math"/>
                          </w:rPr>
                          <m:t>H</m:t>
                        </m:r>
                      </m:e>
                      <m:sub>
                        <m:r>
                          <w:rPr>
                            <w:rFonts w:ascii="Cambria Math" w:hAnsi="Cambria Math"/>
                          </w:rPr>
                          <m:t>t</m:t>
                        </m:r>
                      </m:sub>
                    </m:sSub>
                  </m:e>
                </m:d>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G</m:t>
                        </m:r>
                      </m:sub>
                    </m:sSub>
                    <m:sSub>
                      <m:sSubPr>
                        <m:ctrlPr>
                          <w:rPr>
                            <w:rFonts w:ascii="Cambria Math" w:hAnsi="Cambria Math"/>
                          </w:rPr>
                        </m:ctrlPr>
                      </m:sSubPr>
                      <m:e>
                        <m:r>
                          <w:rPr>
                            <w:rFonts w:ascii="Cambria Math" w:hAnsi="Cambria Math"/>
                          </w:rPr>
                          <m:t>g</m:t>
                        </m:r>
                      </m:e>
                      <m:sub>
                        <m:r>
                          <w:rPr>
                            <w:rFonts w:ascii="Cambria Math" w:hAnsi="Cambria Math"/>
                          </w:rPr>
                          <m:t>t</m:t>
                        </m:r>
                      </m:sub>
                    </m:sSub>
                  </m:e>
                </m:d>
                <m:r>
                  <m:rPr>
                    <m:sty m:val="p"/>
                  </m:rPr>
                  <w:rPr>
                    <w:rFonts w:ascii="Cambria Math" w:hAnsi="Cambria Math"/>
                  </w:rPr>
                  <m:t>.</m:t>
                </m:r>
              </m:oMath>
            </m:oMathPara>
          </w:p>
        </w:tc>
        <w:tc>
          <w:tcPr>
            <w:tcW w:w="840" w:type="dxa"/>
            <w:tcMar>
              <w:top w:w="45" w:type="dxa"/>
              <w:left w:w="55" w:type="dxa"/>
              <w:bottom w:w="45" w:type="dxa"/>
              <w:right w:w="55" w:type="dxa"/>
            </w:tcMar>
            <w:vAlign w:val="center"/>
          </w:tcPr>
          <w:p w14:paraId="0ADDF082" w14:textId="77777777" w:rsidR="00235BC0" w:rsidRPr="00A46D13" w:rsidRDefault="00000000">
            <w:pPr>
              <w:spacing w:after="0"/>
              <w:jc w:val="right"/>
            </w:pPr>
            <w:r w:rsidRPr="00A46D13">
              <w:t>(1)</w:t>
            </w:r>
          </w:p>
        </w:tc>
      </w:tr>
    </w:tbl>
    <w:p w14:paraId="2D3B06CA" w14:textId="77777777" w:rsidR="00235BC0" w:rsidRPr="00A46D13" w:rsidRDefault="00000000">
      <w:r w:rsidRPr="00A46D13">
        <w:t xml:space="preserve">The term </w:t>
      </w:r>
      <m:oMath>
        <m:sSub>
          <m:sSubPr>
            <m:ctrlPr>
              <w:rPr>
                <w:rFonts w:ascii="Cambria Math" w:hAnsi="Cambria Math"/>
              </w:rPr>
            </m:ctrlPr>
          </m:sSubPr>
          <m:e>
            <m:r>
              <w:rPr>
                <w:rFonts w:ascii="Cambria Math" w:hAnsi="Cambria Math"/>
              </w:rPr>
              <m:t>a</m:t>
            </m:r>
          </m:e>
          <m:sub>
            <m:r>
              <w:rPr>
                <w:rFonts w:ascii="Cambria Math" w:hAnsi="Cambria Math"/>
              </w:rPr>
              <m:t>t</m:t>
            </m:r>
          </m:sub>
        </m:sSub>
        <m:sSub>
          <m:sSubPr>
            <m:ctrlPr>
              <w:rPr>
                <w:rFonts w:ascii="Cambria Math" w:hAnsi="Cambria Math"/>
              </w:rPr>
            </m:ctrlPr>
          </m:sSubPr>
          <m:e>
            <m:r>
              <w:rPr>
                <w:rFonts w:ascii="Cambria Math" w:hAnsi="Cambria Math"/>
              </w:rPr>
              <m:t>f</m:t>
            </m:r>
          </m:e>
          <m:sub>
            <m:r>
              <w:rPr>
                <w:rFonts w:ascii="Cambria Math" w:hAnsi="Cambria Math"/>
              </w:rPr>
              <m:t>t</m:t>
            </m:r>
          </m:sub>
        </m:sSub>
      </m:oMath>
      <w:r w:rsidRPr="00A46D13">
        <w:t xml:space="preserve"> captures the amount of suitable work delegated. The expertise term recognises that skilled workers can prompt, contextualise, combine, and evaluate AI outputs more effectively. The governance term introduces modest process friction because controls, documentation, and approvals consume time. Governance therefore reduces raw compression, although it can increase net value by reducing debt and shock losses.</w:t>
      </w:r>
    </w:p>
    <w:p w14:paraId="4C804EB8" w14:textId="77777777" w:rsidR="00235BC0" w:rsidRPr="00A46D13" w:rsidRDefault="00000000">
      <w:r w:rsidRPr="00A46D13">
        <w:t>Gross productivity gain is:</w:t>
      </w:r>
    </w:p>
    <w:tbl>
      <w:tblPr>
        <w:tblW w:w="9360" w:type="dxa"/>
        <w:jc w:val="center"/>
        <w:tblLayout w:type="fixed"/>
        <w:tblLook w:val="0020" w:firstRow="1" w:lastRow="0" w:firstColumn="0" w:lastColumn="0" w:noHBand="0" w:noVBand="0"/>
      </w:tblPr>
      <w:tblGrid>
        <w:gridCol w:w="8520"/>
        <w:gridCol w:w="840"/>
      </w:tblGrid>
      <w:tr w:rsidR="00235BC0" w:rsidRPr="00A46D13" w14:paraId="24F489D8" w14:textId="77777777">
        <w:trPr>
          <w:cantSplit/>
          <w:tblHeader/>
          <w:jc w:val="center"/>
        </w:trPr>
        <w:tc>
          <w:tcPr>
            <w:tcW w:w="8520" w:type="dxa"/>
            <w:tcMar>
              <w:top w:w="45" w:type="dxa"/>
              <w:left w:w="55" w:type="dxa"/>
              <w:bottom w:w="45" w:type="dxa"/>
              <w:right w:w="55" w:type="dxa"/>
            </w:tcMar>
            <w:vAlign w:val="center"/>
          </w:tcPr>
          <w:p w14:paraId="7158D2CA" w14:textId="77777777" w:rsidR="00235BC0" w:rsidRPr="00A46D13" w:rsidRDefault="00000000">
            <w:pPr>
              <w:spacing w:after="0"/>
              <w:jc w:val="center"/>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0</m:t>
                    </m:r>
                  </m:sub>
                </m:sSub>
                <m:d>
                  <m:dPr>
                    <m:begChr m:val="["/>
                    <m:endChr m:val="]"/>
                    <m:ctrlPr>
                      <w:rPr>
                        <w:rFonts w:ascii="Cambria Math" w:hAnsi="Cambria Math"/>
                      </w:rPr>
                    </m:ctrlPr>
                  </m:dPr>
                  <m:e>
                    <m:sSub>
                      <m:sSubPr>
                        <m:ctrlPr>
                          <w:rPr>
                            <w:rFonts w:ascii="Cambria Math" w:hAnsi="Cambria Math"/>
                          </w:rPr>
                        </m:ctrlPr>
                      </m:sSubPr>
                      <m:e>
                        <m:r>
                          <w:rPr>
                            <w:rFonts w:ascii="Cambria Math" w:hAnsi="Cambria Math"/>
                          </w:rPr>
                          <m:t>β</m:t>
                        </m:r>
                      </m:e>
                      <m:sub>
                        <m:r>
                          <w:rPr>
                            <w:rFonts w:ascii="Cambria Math" w:hAnsi="Cambria Math"/>
                          </w:rPr>
                          <m:t>C</m:t>
                        </m:r>
                      </m:sub>
                    </m:sSub>
                    <m:sSub>
                      <m:sSubPr>
                        <m:ctrlPr>
                          <w:rPr>
                            <w:rFonts w:ascii="Cambria Math" w:hAnsi="Cambria Math"/>
                          </w:rPr>
                        </m:ctrlPr>
                      </m:sSubPr>
                      <m:e>
                        <m:r>
                          <w:rPr>
                            <w:rFonts w:ascii="Cambria Math" w:hAnsi="Cambria Math"/>
                          </w:rPr>
                          <m:t>C</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H</m:t>
                        </m:r>
                      </m:sub>
                    </m:sSub>
                    <m:sSub>
                      <m:sSubPr>
                        <m:ctrlPr>
                          <w:rPr>
                            <w:rFonts w:ascii="Cambria Math" w:hAnsi="Cambria Math"/>
                          </w:rPr>
                        </m:ctrlPr>
                      </m:sSubPr>
                      <m:e>
                        <m:r>
                          <w:rPr>
                            <w:rFonts w:ascii="Cambria Math" w:hAnsi="Cambria Math"/>
                          </w:rPr>
                          <m:t>a</m:t>
                        </m:r>
                      </m:e>
                      <m:sub>
                        <m:r>
                          <w:rPr>
                            <w:rFonts w:ascii="Cambria Math" w:hAnsi="Cambria Math"/>
                          </w:rPr>
                          <m:t>t</m:t>
                        </m:r>
                      </m:sub>
                    </m:sSub>
                    <m:sSub>
                      <m:sSubPr>
                        <m:ctrlPr>
                          <w:rPr>
                            <w:rFonts w:ascii="Cambria Math" w:hAnsi="Cambria Math"/>
                          </w:rPr>
                        </m:ctrlPr>
                      </m:sSubPr>
                      <m:e>
                        <m:r>
                          <w:rPr>
                            <w:rFonts w:ascii="Cambria Math" w:hAnsi="Cambria Math"/>
                          </w:rPr>
                          <m:t>H</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A</m:t>
                        </m:r>
                      </m:sub>
                    </m:sSub>
                    <m:sSub>
                      <m:sSubPr>
                        <m:ctrlPr>
                          <w:rPr>
                            <w:rFonts w:ascii="Cambria Math" w:hAnsi="Cambria Math"/>
                          </w:rPr>
                        </m:ctrlPr>
                      </m:sSubPr>
                      <m:e>
                        <m:r>
                          <w:rPr>
                            <w:rFonts w:ascii="Cambria Math" w:hAnsi="Cambria Math"/>
                          </w:rPr>
                          <m:t>a</m:t>
                        </m:r>
                      </m:e>
                      <m:sub>
                        <m:r>
                          <w:rPr>
                            <w:rFonts w:ascii="Cambria Math" w:hAnsi="Cambria Math"/>
                          </w:rPr>
                          <m:t>t</m:t>
                        </m:r>
                      </m:sub>
                    </m:sSub>
                    <m:sSub>
                      <m:sSubPr>
                        <m:ctrlPr>
                          <w:rPr>
                            <w:rFonts w:ascii="Cambria Math" w:hAnsi="Cambria Math"/>
                          </w:rPr>
                        </m:ctrlPr>
                      </m:sSubPr>
                      <m:e>
                        <m:r>
                          <w:rPr>
                            <w:rFonts w:ascii="Cambria Math" w:hAnsi="Cambria Math"/>
                          </w:rPr>
                          <m:t>g</m:t>
                        </m:r>
                      </m:e>
                      <m:sub>
                        <m:r>
                          <w:rPr>
                            <w:rFonts w:ascii="Cambria Math" w:hAnsi="Cambria Math"/>
                          </w:rPr>
                          <m:t>t</m:t>
                        </m:r>
                      </m:sub>
                    </m:sSub>
                    <m:sSub>
                      <m:sSubPr>
                        <m:ctrlPr>
                          <w:rPr>
                            <w:rFonts w:ascii="Cambria Math" w:hAnsi="Cambria Math"/>
                          </w:rPr>
                        </m:ctrlPr>
                      </m:sSubPr>
                      <m:e>
                        <m:r>
                          <w:rPr>
                            <w:rFonts w:ascii="Cambria Math" w:hAnsi="Cambria Math"/>
                          </w:rPr>
                          <m:t>v</m:t>
                        </m:r>
                      </m:e>
                      <m:sub>
                        <m:r>
                          <w:rPr>
                            <w:rFonts w:ascii="Cambria Math" w:hAnsi="Cambria Math"/>
                          </w:rPr>
                          <m:t>t</m:t>
                        </m:r>
                      </m:sub>
                    </m:sSub>
                  </m:e>
                </m:d>
                <m:r>
                  <m:rPr>
                    <m:sty m:val="p"/>
                  </m:rPr>
                  <w:rPr>
                    <w:rFonts w:ascii="Cambria Math" w:hAnsi="Cambria Math"/>
                  </w:rPr>
                  <m:t>,</m:t>
                </m:r>
              </m:oMath>
            </m:oMathPara>
          </w:p>
        </w:tc>
        <w:tc>
          <w:tcPr>
            <w:tcW w:w="840" w:type="dxa"/>
            <w:tcMar>
              <w:top w:w="45" w:type="dxa"/>
              <w:left w:w="55" w:type="dxa"/>
              <w:bottom w:w="45" w:type="dxa"/>
              <w:right w:w="55" w:type="dxa"/>
            </w:tcMar>
            <w:vAlign w:val="center"/>
          </w:tcPr>
          <w:p w14:paraId="779B8970" w14:textId="77777777" w:rsidR="00235BC0" w:rsidRPr="00A46D13" w:rsidRDefault="00000000">
            <w:pPr>
              <w:spacing w:after="0"/>
              <w:jc w:val="right"/>
            </w:pPr>
            <w:r w:rsidRPr="00A46D13">
              <w:t>(2)</w:t>
            </w:r>
          </w:p>
        </w:tc>
      </w:tr>
    </w:tbl>
    <w:p w14:paraId="5458FC8F" w14:textId="77777777" w:rsidR="00235BC0" w:rsidRPr="00A46D13" w:rsidRDefault="00000000">
      <w:r w:rsidRPr="00A46D13">
        <w:t xml:space="preserve">where </w:t>
      </w:r>
      <m:oMath>
        <m:sSub>
          <m:sSubPr>
            <m:ctrlPr>
              <w:rPr>
                <w:rFonts w:ascii="Cambria Math" w:hAnsi="Cambria Math"/>
              </w:rPr>
            </m:ctrlPr>
          </m:sSubPr>
          <m:e>
            <m:r>
              <w:rPr>
                <w:rFonts w:ascii="Cambria Math" w:hAnsi="Cambria Math"/>
              </w:rPr>
              <m:t>Y</m:t>
            </m:r>
          </m:e>
          <m:sub>
            <m:r>
              <w:rPr>
                <w:rFonts w:ascii="Cambria Math" w:hAnsi="Cambria Math"/>
              </w:rPr>
              <m:t>0</m:t>
            </m:r>
          </m:sub>
        </m:sSub>
        <m:r>
          <m:rPr>
            <m:sty m:val="p"/>
          </m:rPr>
          <w:rPr>
            <w:rFonts w:ascii="Cambria Math" w:hAnsi="Cambria Math"/>
          </w:rPr>
          <m:t>=</m:t>
        </m:r>
        <m:r>
          <w:rPr>
            <w:rFonts w:ascii="Cambria Math" w:hAnsi="Cambria Math"/>
          </w:rPr>
          <m:t>100</m:t>
        </m:r>
      </m:oMath>
      <w:r w:rsidRPr="00A46D13">
        <w:t xml:space="preserve"> is the baseline output index. The first component is direct coordination compression. The second represents expertise-enabled complementarity. The third represents an assurance-enabled scalability premium: governed and verified systems can be used more extensively in consequential workflows because their actions are more inspectable and defensible.</w:t>
      </w:r>
    </w:p>
    <w:p w14:paraId="74DDD2A9" w14:textId="77777777" w:rsidR="00235BC0" w:rsidRPr="00A46D13" w:rsidRDefault="00000000">
      <w:r w:rsidRPr="00A46D13">
        <w:t xml:space="preserve">The model therefore separates </w:t>
      </w:r>
      <w:r w:rsidRPr="00A46D13">
        <w:rPr>
          <w:i/>
          <w:iCs/>
        </w:rPr>
        <w:t>gross productivity</w:t>
      </w:r>
      <w:r w:rsidRPr="00A46D13">
        <w:t xml:space="preserve"> from </w:t>
      </w:r>
      <w:r w:rsidRPr="00A46D13">
        <w:rPr>
          <w:i/>
          <w:iCs/>
        </w:rPr>
        <w:t>net incremental value</w:t>
      </w:r>
      <w:r w:rsidRPr="00A46D13">
        <w:t xml:space="preserve">. A strategy can produce high </w:t>
      </w:r>
      <m:oMath>
        <m:sSub>
          <m:sSubPr>
            <m:ctrlPr>
              <w:rPr>
                <w:rFonts w:ascii="Cambria Math" w:hAnsi="Cambria Math"/>
              </w:rPr>
            </m:ctrlPr>
          </m:sSubPr>
          <m:e>
            <m:r>
              <w:rPr>
                <w:rFonts w:ascii="Cambria Math" w:hAnsi="Cambria Math"/>
              </w:rPr>
              <m:t>P</m:t>
            </m:r>
          </m:e>
          <m:sub>
            <m:r>
              <w:rPr>
                <w:rFonts w:ascii="Cambria Math" w:hAnsi="Cambria Math"/>
              </w:rPr>
              <m:t>t</m:t>
            </m:r>
          </m:sub>
        </m:sSub>
      </m:oMath>
      <w:r w:rsidRPr="00A46D13">
        <w:t xml:space="preserve"> while destroying value through verification costs, debt accumulation, expertise erosion, or shock losses. This distinction is central to the coordination compression trap.</w:t>
      </w:r>
    </w:p>
    <w:p w14:paraId="7CE79FFE" w14:textId="77777777" w:rsidR="00235BC0" w:rsidRPr="00A46D13" w:rsidRDefault="00000000">
      <w:pPr>
        <w:keepNext/>
        <w:spacing w:before="120"/>
        <w:jc w:val="left"/>
      </w:pPr>
      <w:r w:rsidRPr="00A46D13">
        <w:rPr>
          <w:b/>
          <w:bCs/>
          <w:sz w:val="22"/>
        </w:rPr>
        <w:t>3.5 Verification Debt Dynamics</w:t>
      </w:r>
    </w:p>
    <w:p w14:paraId="5CF1C430" w14:textId="77777777" w:rsidR="00235BC0" w:rsidRPr="00A46D13" w:rsidRDefault="00000000">
      <w:r w:rsidRPr="00A46D13">
        <w:t>Verification debt evolves according to:</w:t>
      </w:r>
    </w:p>
    <w:tbl>
      <w:tblPr>
        <w:tblW w:w="9360" w:type="dxa"/>
        <w:jc w:val="center"/>
        <w:tblLayout w:type="fixed"/>
        <w:tblLook w:val="0020" w:firstRow="1" w:lastRow="0" w:firstColumn="0" w:lastColumn="0" w:noHBand="0" w:noVBand="0"/>
      </w:tblPr>
      <w:tblGrid>
        <w:gridCol w:w="8520"/>
        <w:gridCol w:w="840"/>
      </w:tblGrid>
      <w:tr w:rsidR="00235BC0" w:rsidRPr="00A46D13" w14:paraId="67222D82" w14:textId="77777777">
        <w:trPr>
          <w:cantSplit/>
          <w:tblHeader/>
          <w:jc w:val="center"/>
        </w:trPr>
        <w:tc>
          <w:tcPr>
            <w:tcW w:w="8520" w:type="dxa"/>
            <w:tcMar>
              <w:top w:w="45" w:type="dxa"/>
              <w:left w:w="55" w:type="dxa"/>
              <w:bottom w:w="45" w:type="dxa"/>
              <w:right w:w="55" w:type="dxa"/>
            </w:tcMar>
            <w:vAlign w:val="center"/>
          </w:tcPr>
          <w:p w14:paraId="42005B73" w14:textId="77777777" w:rsidR="00235BC0" w:rsidRPr="00A46D13" w:rsidRDefault="00000000">
            <w:pPr>
              <w:spacing w:after="0"/>
              <w:jc w:val="center"/>
            </w:pPr>
            <m:oMathPara>
              <m:oMathParaPr>
                <m:jc m:val="center"/>
              </m:oMathParaPr>
              <m:oMath>
                <m:sSub>
                  <m:sSubPr>
                    <m:ctrlPr>
                      <w:rPr>
                        <w:rFonts w:ascii="Cambria Math" w:hAnsi="Cambria Math"/>
                      </w:rPr>
                    </m:ctrlPr>
                  </m:sSubPr>
                  <m:e>
                    <m:r>
                      <w:rPr>
                        <w:rFonts w:ascii="Cambria Math" w:hAnsi="Cambria Math"/>
                      </w:rPr>
                      <m:t>D</m:t>
                    </m:r>
                  </m:e>
                  <m:sub>
                    <m:r>
                      <w:rPr>
                        <w:rFonts w:ascii="Cambria Math" w:hAnsi="Cambria Math"/>
                      </w:rPr>
                      <m:t>t</m:t>
                    </m:r>
                    <m:r>
                      <m:rPr>
                        <m:sty m:val="p"/>
                      </m:rPr>
                      <w:rPr>
                        <w:rFonts w:ascii="Cambria Math" w:hAnsi="Cambria Math"/>
                      </w:rPr>
                      <m:t>+</m:t>
                    </m:r>
                    <m:r>
                      <w:rPr>
                        <w:rFonts w:ascii="Cambria Math" w:hAnsi="Cambria Math"/>
                      </w:rPr>
                      <m:t>1</m:t>
                    </m:r>
                  </m:sub>
                </m:sSub>
                <m:r>
                  <m:rPr>
                    <m:sty m:val="p"/>
                  </m:rPr>
                  <w:rPr>
                    <w:rFonts w:ascii="Cambria Math" w:hAnsi="Cambria Math"/>
                  </w:rPr>
                  <m:t>=</m:t>
                </m:r>
                <m:r>
                  <m:rPr>
                    <m:nor/>
                  </m:rPr>
                  <m:t>max</m:t>
                </m:r>
                <m:r>
                  <m:rPr>
                    <m:sty m:val="p"/>
                  </m:rPr>
                  <w:rPr>
                    <w:rFonts w:ascii="Cambria Math" w:hAnsi="Cambria Math"/>
                  </w:rPr>
                  <m:t>{</m:t>
                </m:r>
                <m:r>
                  <w:rPr>
                    <w:rFonts w:ascii="Cambria Math" w:hAnsi="Cambria Math"/>
                  </w:rPr>
                  <m:t>0</m:t>
                </m:r>
                <m:r>
                  <m:rPr>
                    <m:sty m:val="p"/>
                  </m:rPr>
                  <w:rPr>
                    <w:rFonts w:ascii="Cambria Math" w:hAnsi="Cambria Math"/>
                  </w:rPr>
                  <m:t>,</m:t>
                </m:r>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D</m:t>
                        </m:r>
                      </m:sub>
                    </m:sSub>
                  </m:e>
                </m:d>
                <m:sSub>
                  <m:sSubPr>
                    <m:ctrlPr>
                      <w:rPr>
                        <w:rFonts w:ascii="Cambria Math" w:hAnsi="Cambria Math"/>
                      </w:rPr>
                    </m:ctrlPr>
                  </m:sSubPr>
                  <m:e>
                    <m:r>
                      <w:rPr>
                        <w:rFonts w:ascii="Cambria Math" w:hAnsi="Cambria Math"/>
                      </w:rPr>
                      <m:t>D</m:t>
                    </m:r>
                  </m:e>
                  <m:sub>
                    <m:r>
                      <w:rPr>
                        <w:rFonts w:ascii="Cambria Math" w:hAnsi="Cambria Math"/>
                      </w:rPr>
                      <m:t>t</m:t>
                    </m:r>
                  </m:sub>
                </m:sSub>
                <m:r>
                  <m:rPr>
                    <m:sty m:val="p"/>
                  </m:rP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t</m:t>
                    </m:r>
                  </m:sub>
                  <m:sup>
                    <m:r>
                      <w:rPr>
                        <w:rFonts w:ascii="Cambria Math" w:hAnsi="Cambria Math"/>
                      </w:rPr>
                      <m:t>D</m:t>
                    </m:r>
                  </m:sup>
                </m:sSubSup>
                <m:r>
                  <m:rPr>
                    <m:sty m:val="p"/>
                  </m:rPr>
                  <w:rPr>
                    <w:rFonts w:ascii="Cambria Math" w:hAnsi="Cambria Math"/>
                  </w:rPr>
                  <m:t>-</m:t>
                </m:r>
                <m:sSubSup>
                  <m:sSubSupPr>
                    <m:ctrlPr>
                      <w:rPr>
                        <w:rFonts w:ascii="Cambria Math" w:hAnsi="Cambria Math"/>
                      </w:rPr>
                    </m:ctrlPr>
                  </m:sSubSupPr>
                  <m:e>
                    <m:r>
                      <w:rPr>
                        <w:rFonts w:ascii="Cambria Math" w:hAnsi="Cambria Math"/>
                      </w:rPr>
                      <m:t>Q</m:t>
                    </m:r>
                  </m:e>
                  <m:sub>
                    <m:r>
                      <w:rPr>
                        <w:rFonts w:ascii="Cambria Math" w:hAnsi="Cambria Math"/>
                      </w:rPr>
                      <m:t>t</m:t>
                    </m:r>
                  </m:sub>
                  <m:sup>
                    <m:r>
                      <w:rPr>
                        <w:rFonts w:ascii="Cambria Math" w:hAnsi="Cambria Math"/>
                      </w:rPr>
                      <m:t>D</m:t>
                    </m:r>
                  </m:sup>
                </m:sSubSup>
                <m:r>
                  <m:rPr>
                    <m:sty m:val="p"/>
                  </m:rPr>
                  <w:rPr>
                    <w:rFonts w:ascii="Cambria Math" w:hAnsi="Cambria Math"/>
                  </w:rPr>
                  <m:t>}.</m:t>
                </m:r>
              </m:oMath>
            </m:oMathPara>
          </w:p>
        </w:tc>
        <w:tc>
          <w:tcPr>
            <w:tcW w:w="840" w:type="dxa"/>
            <w:tcMar>
              <w:top w:w="45" w:type="dxa"/>
              <w:left w:w="55" w:type="dxa"/>
              <w:bottom w:w="45" w:type="dxa"/>
              <w:right w:w="55" w:type="dxa"/>
            </w:tcMar>
            <w:vAlign w:val="center"/>
          </w:tcPr>
          <w:p w14:paraId="22C127D7" w14:textId="77777777" w:rsidR="00235BC0" w:rsidRPr="00A46D13" w:rsidRDefault="00000000">
            <w:pPr>
              <w:spacing w:after="0"/>
              <w:jc w:val="right"/>
            </w:pPr>
            <w:r w:rsidRPr="00A46D13">
              <w:t>(3)</w:t>
            </w:r>
          </w:p>
        </w:tc>
      </w:tr>
    </w:tbl>
    <w:p w14:paraId="2538BC3B" w14:textId="77777777" w:rsidR="00235BC0" w:rsidRPr="00A46D13" w:rsidRDefault="00000000">
      <w:r w:rsidRPr="00A46D13">
        <w:t>The debt-inflow component is:</w:t>
      </w:r>
    </w:p>
    <w:tbl>
      <w:tblPr>
        <w:tblW w:w="9360" w:type="dxa"/>
        <w:jc w:val="center"/>
        <w:tblLayout w:type="fixed"/>
        <w:tblLook w:val="0020" w:firstRow="1" w:lastRow="0" w:firstColumn="0" w:lastColumn="0" w:noHBand="0" w:noVBand="0"/>
      </w:tblPr>
      <w:tblGrid>
        <w:gridCol w:w="8520"/>
        <w:gridCol w:w="840"/>
      </w:tblGrid>
      <w:tr w:rsidR="00235BC0" w:rsidRPr="00A46D13" w14:paraId="0BA02042" w14:textId="77777777">
        <w:trPr>
          <w:cantSplit/>
          <w:tblHeader/>
          <w:jc w:val="center"/>
        </w:trPr>
        <w:tc>
          <w:tcPr>
            <w:tcW w:w="8520" w:type="dxa"/>
            <w:tcMar>
              <w:top w:w="45" w:type="dxa"/>
              <w:left w:w="55" w:type="dxa"/>
              <w:bottom w:w="45" w:type="dxa"/>
              <w:right w:w="55" w:type="dxa"/>
            </w:tcMar>
            <w:vAlign w:val="center"/>
          </w:tcPr>
          <w:p w14:paraId="0C99DB69" w14:textId="77777777" w:rsidR="00235BC0" w:rsidRPr="00A46D13" w:rsidRDefault="00000000">
            <w:pPr>
              <w:spacing w:after="0"/>
              <w:jc w:val="center"/>
            </w:pPr>
            <m:oMathPara>
              <m:oMathParaPr>
                <m:jc m:val="center"/>
              </m:oMathParaPr>
              <m:oMath>
                <m:sSubSup>
                  <m:sSubSupPr>
                    <m:ctrlPr>
                      <w:rPr>
                        <w:rFonts w:ascii="Cambria Math" w:hAnsi="Cambria Math"/>
                      </w:rPr>
                    </m:ctrlPr>
                  </m:sSubSupPr>
                  <m:e>
                    <m:r>
                      <w:rPr>
                        <w:rFonts w:ascii="Cambria Math" w:hAnsi="Cambria Math"/>
                      </w:rPr>
                      <m:t>I</m:t>
                    </m:r>
                  </m:e>
                  <m:sub>
                    <m:r>
                      <w:rPr>
                        <w:rFonts w:ascii="Cambria Math" w:hAnsi="Cambria Math"/>
                      </w:rPr>
                      <m:t>t</m:t>
                    </m:r>
                  </m:sub>
                  <m:sup>
                    <m:r>
                      <w:rPr>
                        <w:rFonts w:ascii="Cambria Math" w:hAnsi="Cambria Math"/>
                      </w:rPr>
                      <m:t>D</m:t>
                    </m:r>
                  </m:sup>
                </m:sSubSup>
                <m:r>
                  <m:rPr>
                    <m:sty m:val="p"/>
                  </m:rPr>
                  <w:rPr>
                    <w:rFonts w:ascii="Cambria Math" w:hAnsi="Cambria Math"/>
                  </w:rPr>
                  <m:t>=</m:t>
                </m:r>
                <m:r>
                  <w:rPr>
                    <w:rFonts w:ascii="Cambria Math" w:hAnsi="Cambria Math"/>
                  </w:rPr>
                  <m:t>λ</m:t>
                </m:r>
                <m:sSubSup>
                  <m:sSubSupPr>
                    <m:ctrlPr>
                      <w:rPr>
                        <w:rFonts w:ascii="Cambria Math" w:hAnsi="Cambria Math"/>
                      </w:rPr>
                    </m:ctrlPr>
                  </m:sSubSupPr>
                  <m:e>
                    <m:r>
                      <w:rPr>
                        <w:rFonts w:ascii="Cambria Math" w:hAnsi="Cambria Math"/>
                      </w:rPr>
                      <m:t>a</m:t>
                    </m:r>
                  </m:e>
                  <m:sub>
                    <m:r>
                      <w:rPr>
                        <w:rFonts w:ascii="Cambria Math" w:hAnsi="Cambria Math"/>
                      </w:rPr>
                      <m:t>t</m:t>
                    </m:r>
                  </m:sub>
                  <m:sup>
                    <m:r>
                      <w:rPr>
                        <w:rFonts w:ascii="Cambria Math" w:hAnsi="Cambria Math"/>
                      </w:rPr>
                      <m:t>ρ</m:t>
                    </m:r>
                  </m:sup>
                </m:sSubSup>
                <m:sSup>
                  <m:sSupPr>
                    <m:ctrlPr>
                      <w:rPr>
                        <w:rFonts w:ascii="Cambria Math" w:hAnsi="Cambria Math"/>
                      </w:rPr>
                    </m:ctrlPr>
                  </m:sSupPr>
                  <m:e>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t</m:t>
                            </m:r>
                          </m:sub>
                        </m:sSub>
                      </m:e>
                    </m:d>
                  </m:e>
                  <m:sup>
                    <m:r>
                      <w:rPr>
                        <w:rFonts w:ascii="Cambria Math" w:hAnsi="Cambria Math"/>
                      </w:rPr>
                      <m:t>σ</m:t>
                    </m:r>
                  </m:sup>
                </m:sSup>
                <m:sSup>
                  <m:sSupPr>
                    <m:ctrlPr>
                      <w:rPr>
                        <w:rFonts w:ascii="Cambria Math" w:hAnsi="Cambria Math"/>
                      </w:rPr>
                    </m:ctrlPr>
                  </m:sSupPr>
                  <m:e>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t</m:t>
                            </m:r>
                          </m:sub>
                        </m:sSub>
                      </m:e>
                    </m:d>
                  </m:e>
                  <m:sup>
                    <m:r>
                      <w:rPr>
                        <w:rFonts w:ascii="Cambria Math" w:hAnsi="Cambria Math"/>
                      </w:rPr>
                      <m:t>ω</m:t>
                    </m:r>
                  </m:sup>
                </m:sSup>
                <m:d>
                  <m:dPr>
                    <m:ctrlPr>
                      <w:rPr>
                        <w:rFonts w:ascii="Cambria Math" w:hAnsi="Cambria Math"/>
                      </w:rPr>
                    </m:ctrlPr>
                  </m:dPr>
                  <m:e>
                    <m:r>
                      <w:rPr>
                        <w:rFonts w:ascii="Cambria Math" w:hAnsi="Cambria Math"/>
                      </w:rPr>
                      <m:t>1</m:t>
                    </m:r>
                    <m:r>
                      <m:rPr>
                        <m:sty m:val="p"/>
                      </m:rPr>
                      <w:rPr>
                        <w:rFonts w:ascii="Cambria Math" w:hAnsi="Cambria Math"/>
                      </w:rPr>
                      <m:t>+</m:t>
                    </m:r>
                    <m:r>
                      <w:rPr>
                        <w:rFonts w:ascii="Cambria Math" w:hAnsi="Cambria Math"/>
                      </w:rPr>
                      <m:t>ϕ</m:t>
                    </m:r>
                    <m:sSub>
                      <m:sSubPr>
                        <m:ctrlPr>
                          <w:rPr>
                            <w:rFonts w:ascii="Cambria Math" w:hAnsi="Cambria Math"/>
                          </w:rPr>
                        </m:ctrlPr>
                      </m:sSubPr>
                      <m:e>
                        <m:r>
                          <w:rPr>
                            <w:rFonts w:ascii="Cambria Math" w:hAnsi="Cambria Math"/>
                          </w:rPr>
                          <m:t>u</m:t>
                        </m:r>
                      </m:e>
                      <m:sub>
                        <m:r>
                          <w:rPr>
                            <w:rFonts w:ascii="Cambria Math" w:hAnsi="Cambria Math"/>
                          </w:rPr>
                          <m:t>t</m:t>
                        </m:r>
                      </m:sub>
                    </m:sSub>
                  </m:e>
                </m:d>
                <m:d>
                  <m:dPr>
                    <m:ctrlPr>
                      <w:rPr>
                        <w:rFonts w:ascii="Cambria Math" w:hAnsi="Cambria Math"/>
                      </w:rPr>
                    </m:ctrlPr>
                  </m:dPr>
                  <m:e>
                    <m:r>
                      <w:rPr>
                        <w:rFonts w:ascii="Cambria Math" w:hAnsi="Cambria Math"/>
                      </w:rPr>
                      <m:t>1.10</m:t>
                    </m:r>
                    <m:r>
                      <m:rPr>
                        <m:sty m:val="p"/>
                      </m:rPr>
                      <w:rPr>
                        <w:rFonts w:ascii="Cambria Math" w:hAnsi="Cambria Math"/>
                      </w:rPr>
                      <m:t>-</m:t>
                    </m:r>
                    <m:r>
                      <w:rPr>
                        <w:rFonts w:ascii="Cambria Math" w:hAnsi="Cambria Math"/>
                      </w:rPr>
                      <m:t>0.35</m:t>
                    </m:r>
                    <m:sSub>
                      <m:sSubPr>
                        <m:ctrlPr>
                          <w:rPr>
                            <w:rFonts w:ascii="Cambria Math" w:hAnsi="Cambria Math"/>
                          </w:rPr>
                        </m:ctrlPr>
                      </m:sSubPr>
                      <m:e>
                        <m:r>
                          <w:rPr>
                            <w:rFonts w:ascii="Cambria Math" w:hAnsi="Cambria Math"/>
                          </w:rPr>
                          <m:t>H</m:t>
                        </m:r>
                      </m:e>
                      <m:sub>
                        <m:r>
                          <w:rPr>
                            <w:rFonts w:ascii="Cambria Math" w:hAnsi="Cambria Math"/>
                          </w:rPr>
                          <m:t>t</m:t>
                        </m:r>
                      </m:sub>
                    </m:sSub>
                  </m:e>
                </m:d>
                <m:r>
                  <m:rPr>
                    <m:sty m:val="p"/>
                  </m:rPr>
                  <w:rPr>
                    <w:rFonts w:ascii="Cambria Math" w:hAnsi="Cambria Math"/>
                  </w:rPr>
                  <m:t>.</m:t>
                </m:r>
              </m:oMath>
            </m:oMathPara>
          </w:p>
        </w:tc>
        <w:tc>
          <w:tcPr>
            <w:tcW w:w="840" w:type="dxa"/>
            <w:tcMar>
              <w:top w:w="45" w:type="dxa"/>
              <w:left w:w="55" w:type="dxa"/>
              <w:bottom w:w="45" w:type="dxa"/>
              <w:right w:w="55" w:type="dxa"/>
            </w:tcMar>
            <w:vAlign w:val="center"/>
          </w:tcPr>
          <w:p w14:paraId="0582F290" w14:textId="77777777" w:rsidR="00235BC0" w:rsidRPr="00A46D13" w:rsidRDefault="00000000">
            <w:pPr>
              <w:spacing w:after="0"/>
              <w:jc w:val="right"/>
            </w:pPr>
            <w:r w:rsidRPr="00A46D13">
              <w:t>(3a)</w:t>
            </w:r>
          </w:p>
        </w:tc>
      </w:tr>
    </w:tbl>
    <w:p w14:paraId="19024252" w14:textId="77777777" w:rsidR="00235BC0" w:rsidRPr="00A46D13" w:rsidRDefault="00000000">
      <w:r w:rsidRPr="00A46D13">
        <w:t>The assurance-repayment component is:</w:t>
      </w:r>
    </w:p>
    <w:tbl>
      <w:tblPr>
        <w:tblW w:w="9360" w:type="dxa"/>
        <w:jc w:val="center"/>
        <w:tblLayout w:type="fixed"/>
        <w:tblLook w:val="0020" w:firstRow="1" w:lastRow="0" w:firstColumn="0" w:lastColumn="0" w:noHBand="0" w:noVBand="0"/>
      </w:tblPr>
      <w:tblGrid>
        <w:gridCol w:w="8520"/>
        <w:gridCol w:w="840"/>
      </w:tblGrid>
      <w:tr w:rsidR="00235BC0" w:rsidRPr="00A46D13" w14:paraId="11605E45" w14:textId="77777777">
        <w:trPr>
          <w:cantSplit/>
          <w:tblHeader/>
          <w:jc w:val="center"/>
        </w:trPr>
        <w:tc>
          <w:tcPr>
            <w:tcW w:w="8520" w:type="dxa"/>
            <w:tcMar>
              <w:top w:w="45" w:type="dxa"/>
              <w:left w:w="55" w:type="dxa"/>
              <w:bottom w:w="45" w:type="dxa"/>
              <w:right w:w="55" w:type="dxa"/>
            </w:tcMar>
            <w:vAlign w:val="center"/>
          </w:tcPr>
          <w:p w14:paraId="06B6FC10" w14:textId="77777777" w:rsidR="00235BC0" w:rsidRPr="00A46D13" w:rsidRDefault="00000000">
            <w:pPr>
              <w:spacing w:after="0"/>
              <w:jc w:val="center"/>
            </w:pPr>
            <m:oMathPara>
              <m:oMathParaPr>
                <m:jc m:val="center"/>
              </m:oMathParaPr>
              <m:oMath>
                <m:sSubSup>
                  <m:sSubSupPr>
                    <m:ctrlPr>
                      <w:rPr>
                        <w:rFonts w:ascii="Cambria Math" w:hAnsi="Cambria Math"/>
                      </w:rPr>
                    </m:ctrlPr>
                  </m:sSubSupPr>
                  <m:e>
                    <m:r>
                      <w:rPr>
                        <w:rFonts w:ascii="Cambria Math" w:hAnsi="Cambria Math"/>
                      </w:rPr>
                      <m:t>Q</m:t>
                    </m:r>
                  </m:e>
                  <m:sub>
                    <m:r>
                      <w:rPr>
                        <w:rFonts w:ascii="Cambria Math" w:hAnsi="Cambria Math"/>
                      </w:rPr>
                      <m:t>t</m:t>
                    </m:r>
                  </m:sub>
                  <m:sup>
                    <m:r>
                      <w:rPr>
                        <w:rFonts w:ascii="Cambria Math" w:hAnsi="Cambria Math"/>
                      </w:rPr>
                      <m:t>D</m:t>
                    </m:r>
                  </m:sup>
                </m:sSubSup>
                <m:r>
                  <m:rPr>
                    <m:sty m:val="p"/>
                  </m:rPr>
                  <w:rPr>
                    <w:rFonts w:ascii="Cambria Math" w:hAnsi="Cambria Math"/>
                  </w:rPr>
                  <m:t>=</m:t>
                </m:r>
                <m:r>
                  <w:rPr>
                    <w:rFonts w:ascii="Cambria Math" w:hAnsi="Cambria Math"/>
                  </w:rPr>
                  <m:t>μ</m:t>
                </m:r>
                <m:sSub>
                  <m:sSubPr>
                    <m:ctrlPr>
                      <w:rPr>
                        <w:rFonts w:ascii="Cambria Math" w:hAnsi="Cambria Math"/>
                      </w:rPr>
                    </m:ctrlPr>
                  </m:sSubPr>
                  <m:e>
                    <m:r>
                      <w:rPr>
                        <w:rFonts w:ascii="Cambria Math" w:hAnsi="Cambria Math"/>
                      </w:rPr>
                      <m:t>g</m:t>
                    </m:r>
                  </m:e>
                  <m:sub>
                    <m:r>
                      <w:rPr>
                        <w:rFonts w:ascii="Cambria Math" w:hAnsi="Cambria Math"/>
                      </w:rPr>
                      <m:t>t</m:t>
                    </m:r>
                  </m:sub>
                </m:sSub>
                <m:sSub>
                  <m:sSubPr>
                    <m:ctrlPr>
                      <w:rPr>
                        <w:rFonts w:ascii="Cambria Math" w:hAnsi="Cambria Math"/>
                      </w:rPr>
                    </m:ctrlPr>
                  </m:sSubPr>
                  <m:e>
                    <m:r>
                      <w:rPr>
                        <w:rFonts w:ascii="Cambria Math" w:hAnsi="Cambria Math"/>
                      </w:rPr>
                      <m:t>v</m:t>
                    </m:r>
                  </m:e>
                  <m:sub>
                    <m:r>
                      <w:rPr>
                        <w:rFonts w:ascii="Cambria Math" w:hAnsi="Cambria Math"/>
                      </w:rPr>
                      <m:t>t</m:t>
                    </m:r>
                  </m:sub>
                </m:sSub>
                <m:d>
                  <m:dPr>
                    <m:ctrlPr>
                      <w:rPr>
                        <w:rFonts w:ascii="Cambria Math" w:hAnsi="Cambria Math"/>
                      </w:rPr>
                    </m:ctrlPr>
                  </m:dPr>
                  <m:e>
                    <m:r>
                      <w:rPr>
                        <w:rFonts w:ascii="Cambria Math" w:hAnsi="Cambria Math"/>
                      </w:rPr>
                      <m:t>0.55</m:t>
                    </m:r>
                    <m:r>
                      <m:rPr>
                        <m:sty m:val="p"/>
                      </m:rPr>
                      <w:rPr>
                        <w:rFonts w:ascii="Cambria Math" w:hAnsi="Cambria Math"/>
                      </w:rPr>
                      <m:t>+</m:t>
                    </m:r>
                    <m:r>
                      <w:rPr>
                        <w:rFonts w:ascii="Cambria Math" w:hAnsi="Cambria Math"/>
                      </w:rPr>
                      <m:t>0.45</m:t>
                    </m:r>
                    <m:sSub>
                      <m:sSubPr>
                        <m:ctrlPr>
                          <w:rPr>
                            <w:rFonts w:ascii="Cambria Math" w:hAnsi="Cambria Math"/>
                          </w:rPr>
                        </m:ctrlPr>
                      </m:sSubPr>
                      <m:e>
                        <m:r>
                          <w:rPr>
                            <w:rFonts w:ascii="Cambria Math" w:hAnsi="Cambria Math"/>
                          </w:rPr>
                          <m:t>H</m:t>
                        </m:r>
                      </m:e>
                      <m:sub>
                        <m:r>
                          <w:rPr>
                            <w:rFonts w:ascii="Cambria Math" w:hAnsi="Cambria Math"/>
                          </w:rPr>
                          <m:t>t</m:t>
                        </m:r>
                      </m:sub>
                    </m:sSub>
                  </m:e>
                </m:d>
                <m:r>
                  <m:rPr>
                    <m:sty m:val="p"/>
                  </m:rPr>
                  <w:rPr>
                    <w:rFonts w:ascii="Cambria Math" w:hAnsi="Cambria Math"/>
                  </w:rPr>
                  <m:t>.</m:t>
                </m:r>
              </m:oMath>
            </m:oMathPara>
          </w:p>
        </w:tc>
        <w:tc>
          <w:tcPr>
            <w:tcW w:w="840" w:type="dxa"/>
            <w:tcMar>
              <w:top w:w="45" w:type="dxa"/>
              <w:left w:w="55" w:type="dxa"/>
              <w:bottom w:w="45" w:type="dxa"/>
              <w:right w:w="55" w:type="dxa"/>
            </w:tcMar>
            <w:vAlign w:val="center"/>
          </w:tcPr>
          <w:p w14:paraId="34F0B519" w14:textId="77777777" w:rsidR="00235BC0" w:rsidRPr="00A46D13" w:rsidRDefault="00000000">
            <w:pPr>
              <w:spacing w:after="0"/>
              <w:jc w:val="right"/>
            </w:pPr>
            <w:r w:rsidRPr="00A46D13">
              <w:t>(3b)</w:t>
            </w:r>
          </w:p>
        </w:tc>
      </w:tr>
    </w:tbl>
    <w:p w14:paraId="390D3CE8" w14:textId="77777777" w:rsidR="00235BC0" w:rsidRPr="00A46D13" w:rsidRDefault="00000000">
      <w:r w:rsidRPr="00A46D13">
        <w:t xml:space="preserve">The first term in Equation (3) allows a fraction </w:t>
      </w:r>
      <m:oMath>
        <m:sSub>
          <m:sSubPr>
            <m:ctrlPr>
              <w:rPr>
                <w:rFonts w:ascii="Cambria Math" w:hAnsi="Cambria Math"/>
              </w:rPr>
            </m:ctrlPr>
          </m:sSubPr>
          <m:e>
            <m:r>
              <w:rPr>
                <w:rFonts w:ascii="Cambria Math" w:hAnsi="Cambria Math"/>
              </w:rPr>
              <m:t>δ</m:t>
            </m:r>
          </m:e>
          <m:sub>
            <m:r>
              <w:rPr>
                <w:rFonts w:ascii="Cambria Math" w:hAnsi="Cambria Math"/>
              </w:rPr>
              <m:t>D</m:t>
            </m:r>
          </m:sub>
        </m:sSub>
      </m:oMath>
      <w:r w:rsidRPr="00A46D13">
        <w:t xml:space="preserve"> of debt to decay through ordinary correction and obsolescence. Debt inflow increases with automation and uncertainty, and decreases with governance, verification, and expertise. Exponents </w:t>
      </w:r>
      <m:oMath>
        <m:r>
          <w:rPr>
            <w:rFonts w:ascii="Cambria Math" w:hAnsi="Cambria Math"/>
          </w:rPr>
          <m:t>ρ</m:t>
        </m:r>
      </m:oMath>
      <w:r w:rsidRPr="00A46D13">
        <w:t xml:space="preserve">, </w:t>
      </w:r>
      <m:oMath>
        <m:r>
          <w:rPr>
            <w:rFonts w:ascii="Cambria Math" w:hAnsi="Cambria Math"/>
          </w:rPr>
          <m:t>σ</m:t>
        </m:r>
      </m:oMath>
      <w:r w:rsidRPr="00A46D13">
        <w:t xml:space="preserve">, and </w:t>
      </w:r>
      <m:oMath>
        <m:r>
          <w:rPr>
            <w:rFonts w:ascii="Cambria Math" w:hAnsi="Cambria Math"/>
          </w:rPr>
          <m:t>ω</m:t>
        </m:r>
      </m:oMath>
      <w:r w:rsidRPr="00A46D13">
        <w:t xml:space="preserve"> permit nonlinear accumulation. Repayment represents deliberate assurance work, including source checking, red-team review, testing, approval, exception analysis, audit logging, and corrective learning.</w:t>
      </w:r>
    </w:p>
    <w:p w14:paraId="4BE660D4" w14:textId="77777777" w:rsidR="00235BC0" w:rsidRPr="00A46D13" w:rsidRDefault="00000000">
      <w:r w:rsidRPr="00A46D13">
        <w:t xml:space="preserve">An </w:t>
      </w:r>
      <w:r w:rsidRPr="00A46D13">
        <w:rPr>
          <w:b/>
          <w:bCs/>
        </w:rPr>
        <w:t>assurance adequacy ratio</w:t>
      </w:r>
      <w:r w:rsidRPr="00A46D13">
        <w:t xml:space="preserve"> can be defined as:</w:t>
      </w:r>
    </w:p>
    <w:tbl>
      <w:tblPr>
        <w:tblW w:w="9360" w:type="dxa"/>
        <w:jc w:val="center"/>
        <w:tblLayout w:type="fixed"/>
        <w:tblLook w:val="0020" w:firstRow="1" w:lastRow="0" w:firstColumn="0" w:lastColumn="0" w:noHBand="0" w:noVBand="0"/>
      </w:tblPr>
      <w:tblGrid>
        <w:gridCol w:w="8520"/>
        <w:gridCol w:w="840"/>
      </w:tblGrid>
      <w:tr w:rsidR="00235BC0" w:rsidRPr="00A46D13" w14:paraId="272BAD10" w14:textId="77777777">
        <w:trPr>
          <w:cantSplit/>
          <w:tblHeader/>
          <w:jc w:val="center"/>
        </w:trPr>
        <w:tc>
          <w:tcPr>
            <w:tcW w:w="8520" w:type="dxa"/>
            <w:tcMar>
              <w:top w:w="45" w:type="dxa"/>
              <w:left w:w="55" w:type="dxa"/>
              <w:bottom w:w="45" w:type="dxa"/>
              <w:right w:w="55" w:type="dxa"/>
            </w:tcMar>
            <w:vAlign w:val="center"/>
          </w:tcPr>
          <w:p w14:paraId="601D88F8" w14:textId="77777777" w:rsidR="00235BC0" w:rsidRPr="00A46D13" w:rsidRDefault="00000000">
            <w:pPr>
              <w:spacing w:after="0"/>
              <w:jc w:val="center"/>
            </w:pPr>
            <m:oMathPara>
              <m:oMathParaPr>
                <m:jc m:val="center"/>
              </m:oMathParaPr>
              <m:oMath>
                <m:r>
                  <w:rPr>
                    <w:rFonts w:ascii="Cambria Math" w:hAnsi="Cambria Math"/>
                  </w:rPr>
                  <w:lastRenderedPageBreak/>
                  <m:t>AA</m:t>
                </m:r>
                <m:sSub>
                  <m:sSubPr>
                    <m:ctrlPr>
                      <w:rPr>
                        <w:rFonts w:ascii="Cambria Math" w:hAnsi="Cambria Math"/>
                      </w:rPr>
                    </m:ctrlPr>
                  </m:sSubPr>
                  <m:e>
                    <m:r>
                      <w:rPr>
                        <w:rFonts w:ascii="Cambria Math" w:hAnsi="Cambria Math"/>
                      </w:rPr>
                      <m:t>R</m:t>
                    </m:r>
                  </m:e>
                  <m:sub>
                    <m:r>
                      <w:rPr>
                        <w:rFonts w:ascii="Cambria Math" w:hAnsi="Cambria Math"/>
                      </w:rPr>
                      <m:t>t</m:t>
                    </m:r>
                  </m:sub>
                </m:sSub>
                <m:r>
                  <m:rPr>
                    <m:sty m:val="p"/>
                  </m:rPr>
                  <w:rPr>
                    <w:rFonts w:ascii="Cambria Math" w:hAnsi="Cambria Math"/>
                  </w:rPr>
                  <m:t>=</m:t>
                </m:r>
                <m:f>
                  <m:fPr>
                    <m:ctrlPr>
                      <w:rPr>
                        <w:rFonts w:ascii="Cambria Math" w:hAnsi="Cambria Math"/>
                      </w:rPr>
                    </m:ctrlPr>
                  </m:fPr>
                  <m:num>
                    <m:r>
                      <w:rPr>
                        <w:rFonts w:ascii="Cambria Math" w:hAnsi="Cambria Math"/>
                      </w:rPr>
                      <m:t>μ</m:t>
                    </m:r>
                    <m:sSub>
                      <m:sSubPr>
                        <m:ctrlPr>
                          <w:rPr>
                            <w:rFonts w:ascii="Cambria Math" w:hAnsi="Cambria Math"/>
                          </w:rPr>
                        </m:ctrlPr>
                      </m:sSubPr>
                      <m:e>
                        <m:r>
                          <w:rPr>
                            <w:rFonts w:ascii="Cambria Math" w:hAnsi="Cambria Math"/>
                          </w:rPr>
                          <m:t>g</m:t>
                        </m:r>
                      </m:e>
                      <m:sub>
                        <m:r>
                          <w:rPr>
                            <w:rFonts w:ascii="Cambria Math" w:hAnsi="Cambria Math"/>
                          </w:rPr>
                          <m:t>t</m:t>
                        </m:r>
                      </m:sub>
                    </m:sSub>
                    <m:sSub>
                      <m:sSubPr>
                        <m:ctrlPr>
                          <w:rPr>
                            <w:rFonts w:ascii="Cambria Math" w:hAnsi="Cambria Math"/>
                          </w:rPr>
                        </m:ctrlPr>
                      </m:sSubPr>
                      <m:e>
                        <m:r>
                          <w:rPr>
                            <w:rFonts w:ascii="Cambria Math" w:hAnsi="Cambria Math"/>
                          </w:rPr>
                          <m:t>v</m:t>
                        </m:r>
                      </m:e>
                      <m:sub>
                        <m:r>
                          <w:rPr>
                            <w:rFonts w:ascii="Cambria Math" w:hAnsi="Cambria Math"/>
                          </w:rPr>
                          <m:t>t</m:t>
                        </m:r>
                      </m:sub>
                    </m:sSub>
                    <m:d>
                      <m:dPr>
                        <m:ctrlPr>
                          <w:rPr>
                            <w:rFonts w:ascii="Cambria Math" w:hAnsi="Cambria Math"/>
                          </w:rPr>
                        </m:ctrlPr>
                      </m:dPr>
                      <m:e>
                        <m:r>
                          <w:rPr>
                            <w:rFonts w:ascii="Cambria Math" w:hAnsi="Cambria Math"/>
                          </w:rPr>
                          <m:t>0.55</m:t>
                        </m:r>
                        <m:r>
                          <m:rPr>
                            <m:sty m:val="p"/>
                          </m:rPr>
                          <w:rPr>
                            <w:rFonts w:ascii="Cambria Math" w:hAnsi="Cambria Math"/>
                          </w:rPr>
                          <m:t>+</m:t>
                        </m:r>
                        <m:r>
                          <w:rPr>
                            <w:rFonts w:ascii="Cambria Math" w:hAnsi="Cambria Math"/>
                          </w:rPr>
                          <m:t>0.45</m:t>
                        </m:r>
                        <m:sSub>
                          <m:sSubPr>
                            <m:ctrlPr>
                              <w:rPr>
                                <w:rFonts w:ascii="Cambria Math" w:hAnsi="Cambria Math"/>
                              </w:rPr>
                            </m:ctrlPr>
                          </m:sSubPr>
                          <m:e>
                            <m:r>
                              <w:rPr>
                                <w:rFonts w:ascii="Cambria Math" w:hAnsi="Cambria Math"/>
                              </w:rPr>
                              <m:t>H</m:t>
                            </m:r>
                          </m:e>
                          <m:sub>
                            <m:r>
                              <w:rPr>
                                <w:rFonts w:ascii="Cambria Math" w:hAnsi="Cambria Math"/>
                              </w:rPr>
                              <m:t>t</m:t>
                            </m:r>
                          </m:sub>
                        </m:sSub>
                      </m:e>
                    </m:d>
                  </m:num>
                  <m:den>
                    <m:r>
                      <w:rPr>
                        <w:rFonts w:ascii="Cambria Math" w:hAnsi="Cambria Math"/>
                      </w:rPr>
                      <m:t>λ</m:t>
                    </m:r>
                    <m:sSubSup>
                      <m:sSubSupPr>
                        <m:ctrlPr>
                          <w:rPr>
                            <w:rFonts w:ascii="Cambria Math" w:hAnsi="Cambria Math"/>
                          </w:rPr>
                        </m:ctrlPr>
                      </m:sSubSupPr>
                      <m:e>
                        <m:r>
                          <w:rPr>
                            <w:rFonts w:ascii="Cambria Math" w:hAnsi="Cambria Math"/>
                          </w:rPr>
                          <m:t>a</m:t>
                        </m:r>
                      </m:e>
                      <m:sub>
                        <m:r>
                          <w:rPr>
                            <w:rFonts w:ascii="Cambria Math" w:hAnsi="Cambria Math"/>
                          </w:rPr>
                          <m:t>t</m:t>
                        </m:r>
                      </m:sub>
                      <m:sup>
                        <m:r>
                          <w:rPr>
                            <w:rFonts w:ascii="Cambria Math" w:hAnsi="Cambria Math"/>
                          </w:rPr>
                          <m:t>ρ</m:t>
                        </m:r>
                      </m:sup>
                    </m:sSubSup>
                    <m:sSup>
                      <m:sSupPr>
                        <m:ctrlPr>
                          <w:rPr>
                            <w:rFonts w:ascii="Cambria Math" w:hAnsi="Cambria Math"/>
                          </w:rPr>
                        </m:ctrlPr>
                      </m:sSupPr>
                      <m:e>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t</m:t>
                                </m:r>
                              </m:sub>
                            </m:sSub>
                          </m:e>
                        </m:d>
                      </m:e>
                      <m:sup>
                        <m:r>
                          <w:rPr>
                            <w:rFonts w:ascii="Cambria Math" w:hAnsi="Cambria Math"/>
                          </w:rPr>
                          <m:t>σ</m:t>
                        </m:r>
                      </m:sup>
                    </m:sSup>
                    <m:sSup>
                      <m:sSupPr>
                        <m:ctrlPr>
                          <w:rPr>
                            <w:rFonts w:ascii="Cambria Math" w:hAnsi="Cambria Math"/>
                          </w:rPr>
                        </m:ctrlPr>
                      </m:sSupPr>
                      <m:e>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t</m:t>
                                </m:r>
                              </m:sub>
                            </m:sSub>
                          </m:e>
                        </m:d>
                      </m:e>
                      <m:sup>
                        <m:r>
                          <w:rPr>
                            <w:rFonts w:ascii="Cambria Math" w:hAnsi="Cambria Math"/>
                          </w:rPr>
                          <m:t>ω</m:t>
                        </m:r>
                      </m:sup>
                    </m:sSup>
                    <m:d>
                      <m:dPr>
                        <m:ctrlPr>
                          <w:rPr>
                            <w:rFonts w:ascii="Cambria Math" w:hAnsi="Cambria Math"/>
                          </w:rPr>
                        </m:ctrlPr>
                      </m:dPr>
                      <m:e>
                        <m:r>
                          <w:rPr>
                            <w:rFonts w:ascii="Cambria Math" w:hAnsi="Cambria Math"/>
                          </w:rPr>
                          <m:t>1</m:t>
                        </m:r>
                        <m:r>
                          <m:rPr>
                            <m:sty m:val="p"/>
                          </m:rPr>
                          <w:rPr>
                            <w:rFonts w:ascii="Cambria Math" w:hAnsi="Cambria Math"/>
                          </w:rPr>
                          <m:t>+</m:t>
                        </m:r>
                        <m:r>
                          <w:rPr>
                            <w:rFonts w:ascii="Cambria Math" w:hAnsi="Cambria Math"/>
                          </w:rPr>
                          <m:t>ϕ</m:t>
                        </m:r>
                        <m:sSub>
                          <m:sSubPr>
                            <m:ctrlPr>
                              <w:rPr>
                                <w:rFonts w:ascii="Cambria Math" w:hAnsi="Cambria Math"/>
                              </w:rPr>
                            </m:ctrlPr>
                          </m:sSubPr>
                          <m:e>
                            <m:r>
                              <w:rPr>
                                <w:rFonts w:ascii="Cambria Math" w:hAnsi="Cambria Math"/>
                              </w:rPr>
                              <m:t>u</m:t>
                            </m:r>
                          </m:e>
                          <m:sub>
                            <m:r>
                              <w:rPr>
                                <w:rFonts w:ascii="Cambria Math" w:hAnsi="Cambria Math"/>
                              </w:rPr>
                              <m:t>t</m:t>
                            </m:r>
                          </m:sub>
                        </m:sSub>
                      </m:e>
                    </m:d>
                    <m:d>
                      <m:dPr>
                        <m:ctrlPr>
                          <w:rPr>
                            <w:rFonts w:ascii="Cambria Math" w:hAnsi="Cambria Math"/>
                          </w:rPr>
                        </m:ctrlPr>
                      </m:dPr>
                      <m:e>
                        <m:r>
                          <w:rPr>
                            <w:rFonts w:ascii="Cambria Math" w:hAnsi="Cambria Math"/>
                          </w:rPr>
                          <m:t>1.10</m:t>
                        </m:r>
                        <m:r>
                          <m:rPr>
                            <m:sty m:val="p"/>
                          </m:rPr>
                          <w:rPr>
                            <w:rFonts w:ascii="Cambria Math" w:hAnsi="Cambria Math"/>
                          </w:rPr>
                          <m:t>-</m:t>
                        </m:r>
                        <m:r>
                          <w:rPr>
                            <w:rFonts w:ascii="Cambria Math" w:hAnsi="Cambria Math"/>
                          </w:rPr>
                          <m:t>0.35</m:t>
                        </m:r>
                        <m:sSub>
                          <m:sSubPr>
                            <m:ctrlPr>
                              <w:rPr>
                                <w:rFonts w:ascii="Cambria Math" w:hAnsi="Cambria Math"/>
                              </w:rPr>
                            </m:ctrlPr>
                          </m:sSubPr>
                          <m:e>
                            <m:r>
                              <w:rPr>
                                <w:rFonts w:ascii="Cambria Math" w:hAnsi="Cambria Math"/>
                              </w:rPr>
                              <m:t>H</m:t>
                            </m:r>
                          </m:e>
                          <m:sub>
                            <m:r>
                              <w:rPr>
                                <w:rFonts w:ascii="Cambria Math" w:hAnsi="Cambria Math"/>
                              </w:rPr>
                              <m:t>t</m:t>
                            </m:r>
                          </m:sub>
                        </m:sSub>
                      </m:e>
                    </m:d>
                    <m:r>
                      <m:rPr>
                        <m:sty m:val="p"/>
                      </m:rPr>
                      <w:rPr>
                        <w:rFonts w:ascii="Cambria Math" w:hAnsi="Cambria Math"/>
                      </w:rPr>
                      <m:t>+</m:t>
                    </m:r>
                    <m:r>
                      <w:rPr>
                        <w:rFonts w:ascii="Cambria Math" w:hAnsi="Cambria Math"/>
                      </w:rPr>
                      <m:t>ε</m:t>
                    </m:r>
                  </m:den>
                </m:f>
                <m:r>
                  <m:rPr>
                    <m:sty m:val="p"/>
                  </m:rPr>
                  <w:rPr>
                    <w:rFonts w:ascii="Cambria Math" w:hAnsi="Cambria Math"/>
                  </w:rPr>
                  <m:t>,</m:t>
                </m:r>
              </m:oMath>
            </m:oMathPara>
          </w:p>
        </w:tc>
        <w:tc>
          <w:tcPr>
            <w:tcW w:w="840" w:type="dxa"/>
            <w:tcMar>
              <w:top w:w="45" w:type="dxa"/>
              <w:left w:w="55" w:type="dxa"/>
              <w:bottom w:w="45" w:type="dxa"/>
              <w:right w:w="55" w:type="dxa"/>
            </w:tcMar>
            <w:vAlign w:val="center"/>
          </w:tcPr>
          <w:p w14:paraId="681C77C5" w14:textId="77777777" w:rsidR="00235BC0" w:rsidRPr="00A46D13" w:rsidRDefault="00000000">
            <w:pPr>
              <w:spacing w:after="0"/>
              <w:jc w:val="right"/>
            </w:pPr>
            <w:r w:rsidRPr="00A46D13">
              <w:t>(4)</w:t>
            </w:r>
          </w:p>
        </w:tc>
      </w:tr>
    </w:tbl>
    <w:p w14:paraId="519B1940" w14:textId="77777777" w:rsidR="00235BC0" w:rsidRPr="00A46D13" w:rsidRDefault="00000000">
      <w:r w:rsidRPr="00A46D13">
        <w:t xml:space="preserve">where </w:t>
      </w:r>
      <m:oMath>
        <m:r>
          <w:rPr>
            <w:rFonts w:ascii="Cambria Math" w:hAnsi="Cambria Math"/>
          </w:rPr>
          <m:t>ε</m:t>
        </m:r>
        <m:r>
          <m:rPr>
            <m:sty m:val="p"/>
          </m:rPr>
          <w:rPr>
            <w:rFonts w:ascii="Cambria Math" w:hAnsi="Cambria Math"/>
          </w:rPr>
          <m:t>&gt;</m:t>
        </m:r>
        <m:r>
          <w:rPr>
            <w:rFonts w:ascii="Cambria Math" w:hAnsi="Cambria Math"/>
          </w:rPr>
          <m:t>0</m:t>
        </m:r>
      </m:oMath>
      <w:r w:rsidRPr="00A46D13">
        <w:t xml:space="preserve"> is a small stabilising constant. When </w:t>
      </w:r>
      <m:oMath>
        <m:r>
          <w:rPr>
            <w:rFonts w:ascii="Cambria Math" w:hAnsi="Cambria Math"/>
          </w:rPr>
          <m:t>AA</m:t>
        </m:r>
        <m:sSub>
          <m:sSubPr>
            <m:ctrlPr>
              <w:rPr>
                <w:rFonts w:ascii="Cambria Math" w:hAnsi="Cambria Math"/>
              </w:rPr>
            </m:ctrlPr>
          </m:sSubPr>
          <m:e>
            <m:r>
              <w:rPr>
                <w:rFonts w:ascii="Cambria Math" w:hAnsi="Cambria Math"/>
              </w:rPr>
              <m:t>R</m:t>
            </m:r>
          </m:e>
          <m:sub>
            <m:r>
              <w:rPr>
                <w:rFonts w:ascii="Cambria Math" w:hAnsi="Cambria Math"/>
              </w:rPr>
              <m:t>t</m:t>
            </m:r>
          </m:sub>
        </m:sSub>
        <m:r>
          <m:rPr>
            <m:sty m:val="p"/>
          </m:rPr>
          <w:rPr>
            <w:rFonts w:ascii="Cambria Math" w:hAnsi="Cambria Math"/>
          </w:rPr>
          <m:t>≥</m:t>
        </m:r>
        <m:r>
          <w:rPr>
            <w:rFonts w:ascii="Cambria Math" w:hAnsi="Cambria Math"/>
          </w:rPr>
          <m:t>1</m:t>
        </m:r>
      </m:oMath>
      <w:r w:rsidRPr="00A46D13">
        <w:t xml:space="preserve">, current assurance repayment equals or exceeds current debt inflow. Existing debt then declines through the depreciation term, subject to the non-negativity constraint. When </w:t>
      </w:r>
      <m:oMath>
        <m:r>
          <w:rPr>
            <w:rFonts w:ascii="Cambria Math" w:hAnsi="Cambria Math"/>
          </w:rPr>
          <m:t>AA</m:t>
        </m:r>
        <m:sSub>
          <m:sSubPr>
            <m:ctrlPr>
              <w:rPr>
                <w:rFonts w:ascii="Cambria Math" w:hAnsi="Cambria Math"/>
              </w:rPr>
            </m:ctrlPr>
          </m:sSubPr>
          <m:e>
            <m:r>
              <w:rPr>
                <w:rFonts w:ascii="Cambria Math" w:hAnsi="Cambria Math"/>
              </w:rPr>
              <m:t>R</m:t>
            </m:r>
          </m:e>
          <m:sub>
            <m:r>
              <w:rPr>
                <w:rFonts w:ascii="Cambria Math" w:hAnsi="Cambria Math"/>
              </w:rPr>
              <m:t>t</m:t>
            </m:r>
          </m:sub>
        </m:sSub>
        <m:r>
          <m:rPr>
            <m:sty m:val="p"/>
          </m:rPr>
          <w:rPr>
            <w:rFonts w:ascii="Cambria Math" w:hAnsi="Cambria Math"/>
          </w:rPr>
          <m:t>&lt;</m:t>
        </m:r>
        <m:r>
          <w:rPr>
            <w:rFonts w:ascii="Cambria Math" w:hAnsi="Cambria Math"/>
          </w:rPr>
          <m:t>1</m:t>
        </m:r>
      </m:oMath>
      <w:r w:rsidRPr="00A46D13">
        <w:t>, debt can accumulate, particularly when the gap is persistent.</w:t>
      </w:r>
    </w:p>
    <w:p w14:paraId="46248F4E" w14:textId="77777777" w:rsidR="00235BC0" w:rsidRPr="00A46D13" w:rsidRDefault="00000000">
      <w:r w:rsidRPr="00A46D13">
        <w:rPr>
          <w:b/>
          <w:bCs/>
        </w:rPr>
        <w:t>Proposition 1: Unique flow-balance threshold and state-dependent stock threshold.</w:t>
      </w:r>
      <w:r w:rsidRPr="00A46D13">
        <w:t xml:space="preserve"> Fix </w:t>
      </w:r>
      <m:oMath>
        <m:sSub>
          <m:sSubPr>
            <m:ctrlPr>
              <w:rPr>
                <w:rFonts w:ascii="Cambria Math" w:hAnsi="Cambria Math"/>
              </w:rPr>
            </m:ctrlPr>
          </m:sSubPr>
          <m:e>
            <m:r>
              <w:rPr>
                <w:rFonts w:ascii="Cambria Math" w:hAnsi="Cambria Math"/>
              </w:rPr>
              <m:t>a</m:t>
            </m:r>
          </m:e>
          <m:sub>
            <m:r>
              <w:rPr>
                <w:rFonts w:ascii="Cambria Math" w:hAnsi="Cambria Math"/>
              </w:rPr>
              <m:t>t</m:t>
            </m:r>
          </m:sub>
        </m:sSub>
        <m:r>
          <m:rPr>
            <m:sty m:val="p"/>
          </m:rPr>
          <w:rPr>
            <w:rFonts w:ascii="Cambria Math" w:hAnsi="Cambria Math"/>
          </w:rPr>
          <m:t>∈</m:t>
        </m:r>
        <m:d>
          <m:dPr>
            <m:endChr m:val="]"/>
            <m:ctrlPr>
              <w:rPr>
                <w:rFonts w:ascii="Cambria Math" w:hAnsi="Cambria Math"/>
              </w:rPr>
            </m:ctrlPr>
          </m:dPr>
          <m:e>
            <m:r>
              <w:rPr>
                <w:rFonts w:ascii="Cambria Math" w:hAnsi="Cambria Math"/>
              </w:rPr>
              <m:t>0</m:t>
            </m:r>
            <m:r>
              <m:rPr>
                <m:sty m:val="p"/>
              </m:rPr>
              <w:rPr>
                <w:rFonts w:ascii="Cambria Math" w:hAnsi="Cambria Math"/>
              </w:rPr>
              <m:t>,</m:t>
            </m:r>
            <m:r>
              <w:rPr>
                <w:rFonts w:ascii="Cambria Math" w:hAnsi="Cambria Math"/>
              </w:rPr>
              <m:t>1</m:t>
            </m:r>
          </m:e>
        </m:d>
      </m:oMath>
      <w:r w:rsidRPr="00A46D13">
        <w:t xml:space="preserve">, </w:t>
      </w:r>
      <m:oMath>
        <m:sSub>
          <m:sSubPr>
            <m:ctrlPr>
              <w:rPr>
                <w:rFonts w:ascii="Cambria Math" w:hAnsi="Cambria Math"/>
              </w:rPr>
            </m:ctrlPr>
          </m:sSubPr>
          <m:e>
            <m:r>
              <w:rPr>
                <w:rFonts w:ascii="Cambria Math" w:hAnsi="Cambria Math"/>
              </w:rPr>
              <m:t>g</m:t>
            </m:r>
          </m:e>
          <m:sub>
            <m:r>
              <w:rPr>
                <w:rFonts w:ascii="Cambria Math" w:hAnsi="Cambria Math"/>
              </w:rPr>
              <m:t>t</m:t>
            </m:r>
          </m:sub>
        </m:sSub>
        <m:r>
          <m:rPr>
            <m:sty m:val="p"/>
          </m:rPr>
          <w:rPr>
            <w:rFonts w:ascii="Cambria Math" w:hAnsi="Cambria Math"/>
          </w:rPr>
          <m:t>∈</m:t>
        </m:r>
        <m:d>
          <m:dPr>
            <m:endChr m:val="]"/>
            <m:ctrlPr>
              <w:rPr>
                <w:rFonts w:ascii="Cambria Math" w:hAnsi="Cambria Math"/>
              </w:rPr>
            </m:ctrlPr>
          </m:dPr>
          <m:e>
            <m:r>
              <w:rPr>
                <w:rFonts w:ascii="Cambria Math" w:hAnsi="Cambria Math"/>
              </w:rPr>
              <m:t>0</m:t>
            </m:r>
            <m:r>
              <m:rPr>
                <m:sty m:val="p"/>
              </m:rPr>
              <w:rPr>
                <w:rFonts w:ascii="Cambria Math" w:hAnsi="Cambria Math"/>
              </w:rPr>
              <m:t>,</m:t>
            </m:r>
            <m:r>
              <w:rPr>
                <w:rFonts w:ascii="Cambria Math" w:hAnsi="Cambria Math"/>
              </w:rPr>
              <m:t>1</m:t>
            </m:r>
          </m:e>
        </m:d>
      </m:oMath>
      <w:r w:rsidRPr="00A46D13">
        <w:t xml:space="preserve">, </w:t>
      </w:r>
      <m:oMath>
        <m:sSub>
          <m:sSubPr>
            <m:ctrlPr>
              <w:rPr>
                <w:rFonts w:ascii="Cambria Math" w:hAnsi="Cambria Math"/>
              </w:rPr>
            </m:ctrlPr>
          </m:sSubPr>
          <m:e>
            <m:r>
              <w:rPr>
                <w:rFonts w:ascii="Cambria Math" w:hAnsi="Cambria Math"/>
              </w:rPr>
              <m:t>u</m:t>
            </m:r>
          </m:e>
          <m:sub>
            <m:r>
              <w:rPr>
                <w:rFonts w:ascii="Cambria Math" w:hAnsi="Cambria Math"/>
              </w:rPr>
              <m:t>t</m:t>
            </m:r>
          </m:sub>
        </m:sSub>
        <m:r>
          <m:rPr>
            <m:sty m:val="p"/>
          </m:rPr>
          <w:rPr>
            <w:rFonts w:ascii="Cambria Math" w:hAnsi="Cambria Math"/>
          </w:rPr>
          <m:t>∈</m:t>
        </m:r>
        <m:d>
          <m:dPr>
            <m:begChr m:val="["/>
            <m:endChr m:val="]"/>
            <m:ctrlPr>
              <w:rPr>
                <w:rFonts w:ascii="Cambria Math" w:hAnsi="Cambria Math"/>
              </w:rPr>
            </m:ctrlPr>
          </m:dPr>
          <m:e>
            <m:r>
              <w:rPr>
                <w:rFonts w:ascii="Cambria Math" w:hAnsi="Cambria Math"/>
              </w:rPr>
              <m:t>0</m:t>
            </m:r>
            <m:r>
              <m:rPr>
                <m:sty m:val="p"/>
              </m:rPr>
              <w:rPr>
                <w:rFonts w:ascii="Cambria Math" w:hAnsi="Cambria Math"/>
              </w:rPr>
              <m:t>,</m:t>
            </m:r>
            <m:r>
              <w:rPr>
                <w:rFonts w:ascii="Cambria Math" w:hAnsi="Cambria Math"/>
              </w:rPr>
              <m:t>1</m:t>
            </m:r>
          </m:e>
        </m:d>
      </m:oMath>
      <w:r w:rsidRPr="00A46D13">
        <w:t xml:space="preserve">, and </w:t>
      </w:r>
      <m:oMath>
        <m:sSub>
          <m:sSubPr>
            <m:ctrlPr>
              <w:rPr>
                <w:rFonts w:ascii="Cambria Math" w:hAnsi="Cambria Math"/>
              </w:rPr>
            </m:ctrlPr>
          </m:sSubPr>
          <m:e>
            <m:r>
              <w:rPr>
                <w:rFonts w:ascii="Cambria Math" w:hAnsi="Cambria Math"/>
              </w:rPr>
              <m:t>H</m:t>
            </m:r>
          </m:e>
          <m:sub>
            <m:r>
              <w:rPr>
                <w:rFonts w:ascii="Cambria Math" w:hAnsi="Cambria Math"/>
              </w:rPr>
              <m:t>t</m:t>
            </m:r>
          </m:sub>
        </m:sSub>
        <m:r>
          <m:rPr>
            <m:sty m:val="p"/>
          </m:rPr>
          <w:rPr>
            <w:rFonts w:ascii="Cambria Math" w:hAnsi="Cambria Math"/>
          </w:rPr>
          <m:t>∈</m:t>
        </m:r>
        <m:d>
          <m:dPr>
            <m:ctrlPr>
              <w:rPr>
                <w:rFonts w:ascii="Cambria Math" w:hAnsi="Cambria Math"/>
              </w:rPr>
            </m:ctrlPr>
          </m:dPr>
          <m:e>
            <m:r>
              <w:rPr>
                <w:rFonts w:ascii="Cambria Math" w:hAnsi="Cambria Math"/>
              </w:rPr>
              <m:t>0</m:t>
            </m:r>
            <m:r>
              <m:rPr>
                <m:sty m:val="p"/>
              </m:rPr>
              <w:rPr>
                <w:rFonts w:ascii="Cambria Math" w:hAnsi="Cambria Math"/>
              </w:rPr>
              <m:t>,</m:t>
            </m:r>
            <m:r>
              <w:rPr>
                <w:rFonts w:ascii="Cambria Math" w:hAnsi="Cambria Math"/>
              </w:rPr>
              <m:t>1</m:t>
            </m:r>
          </m:e>
        </m:d>
      </m:oMath>
      <w:r w:rsidRPr="00A46D13">
        <w:t xml:space="preserve">. Let </w:t>
      </w:r>
      <m:oMath>
        <m:sSubSup>
          <m:sSubSupPr>
            <m:ctrlPr>
              <w:rPr>
                <w:rFonts w:ascii="Cambria Math" w:hAnsi="Cambria Math"/>
              </w:rPr>
            </m:ctrlPr>
          </m:sSubSupPr>
          <m:e>
            <m:r>
              <w:rPr>
                <w:rFonts w:ascii="Cambria Math" w:hAnsi="Cambria Math"/>
              </w:rPr>
              <m:t>I</m:t>
            </m:r>
          </m:e>
          <m:sub>
            <m:r>
              <w:rPr>
                <w:rFonts w:ascii="Cambria Math" w:hAnsi="Cambria Math"/>
              </w:rPr>
              <m:t>t</m:t>
            </m:r>
          </m:sub>
          <m:sup>
            <m:r>
              <w:rPr>
                <w:rFonts w:ascii="Cambria Math" w:hAnsi="Cambria Math"/>
              </w:rPr>
              <m:t>D</m:t>
            </m:r>
          </m:sup>
        </m:sSubSup>
        <m:d>
          <m:dPr>
            <m:ctrlPr>
              <w:rPr>
                <w:rFonts w:ascii="Cambria Math" w:hAnsi="Cambria Math"/>
              </w:rPr>
            </m:ctrlPr>
          </m:dPr>
          <m:e>
            <m:r>
              <w:rPr>
                <w:rFonts w:ascii="Cambria Math" w:hAnsi="Cambria Math"/>
              </w:rPr>
              <m:t>v</m:t>
            </m:r>
          </m:e>
        </m:d>
      </m:oMath>
      <w:r w:rsidRPr="00A46D13">
        <w:t xml:space="preserve"> and </w:t>
      </w:r>
      <m:oMath>
        <m:sSubSup>
          <m:sSubSupPr>
            <m:ctrlPr>
              <w:rPr>
                <w:rFonts w:ascii="Cambria Math" w:hAnsi="Cambria Math"/>
              </w:rPr>
            </m:ctrlPr>
          </m:sSubSupPr>
          <m:e>
            <m:r>
              <w:rPr>
                <w:rFonts w:ascii="Cambria Math" w:hAnsi="Cambria Math"/>
              </w:rPr>
              <m:t>Q</m:t>
            </m:r>
          </m:e>
          <m:sub>
            <m:r>
              <w:rPr>
                <w:rFonts w:ascii="Cambria Math" w:hAnsi="Cambria Math"/>
              </w:rPr>
              <m:t>t</m:t>
            </m:r>
          </m:sub>
          <m:sup>
            <m:r>
              <w:rPr>
                <w:rFonts w:ascii="Cambria Math" w:hAnsi="Cambria Math"/>
              </w:rPr>
              <m:t>D</m:t>
            </m:r>
          </m:sup>
        </m:sSubSup>
        <m:d>
          <m:dPr>
            <m:ctrlPr>
              <w:rPr>
                <w:rFonts w:ascii="Cambria Math" w:hAnsi="Cambria Math"/>
              </w:rPr>
            </m:ctrlPr>
          </m:dPr>
          <m:e>
            <m:r>
              <w:rPr>
                <w:rFonts w:ascii="Cambria Math" w:hAnsi="Cambria Math"/>
              </w:rPr>
              <m:t>v</m:t>
            </m:r>
          </m:e>
        </m:d>
      </m:oMath>
      <w:r w:rsidRPr="00A46D13">
        <w:t xml:space="preserve"> denote the inflow and repayment functions in Equations (3a) and (3b). There exists a unique </w:t>
      </w:r>
      <m:oMath>
        <m:sSubSup>
          <m:sSubSupPr>
            <m:ctrlPr>
              <w:rPr>
                <w:rFonts w:ascii="Cambria Math" w:hAnsi="Cambria Math"/>
              </w:rPr>
            </m:ctrlPr>
          </m:sSubSupPr>
          <m:e>
            <m:r>
              <w:rPr>
                <w:rFonts w:ascii="Cambria Math" w:hAnsi="Cambria Math"/>
              </w:rPr>
              <m:t>v</m:t>
            </m:r>
          </m:e>
          <m:sub>
            <m:r>
              <w:rPr>
                <w:rFonts w:ascii="Cambria Math" w:hAnsi="Cambria Math"/>
              </w:rPr>
              <m:t>t</m:t>
            </m:r>
          </m:sub>
          <m:sup>
            <m:r>
              <m:rPr>
                <m:sty m:val="p"/>
              </m:rPr>
              <w:rPr>
                <w:rFonts w:ascii="Cambria Math" w:hAnsi="Cambria Math"/>
              </w:rPr>
              <m:t>flow</m:t>
            </m:r>
          </m:sup>
        </m:sSubSup>
        <m:r>
          <m:rPr>
            <m:sty m:val="p"/>
          </m:rPr>
          <w:rPr>
            <w:rFonts w:ascii="Cambria Math" w:hAnsi="Cambria Math"/>
          </w:rPr>
          <m:t>∈</m:t>
        </m:r>
        <m:d>
          <m:dPr>
            <m:ctrlPr>
              <w:rPr>
                <w:rFonts w:ascii="Cambria Math" w:hAnsi="Cambria Math"/>
              </w:rPr>
            </m:ctrlPr>
          </m:dPr>
          <m:e>
            <m:r>
              <w:rPr>
                <w:rFonts w:ascii="Cambria Math" w:hAnsi="Cambria Math"/>
              </w:rPr>
              <m:t>0</m:t>
            </m:r>
            <m:r>
              <m:rPr>
                <m:sty m:val="p"/>
              </m:rPr>
              <w:rPr>
                <w:rFonts w:ascii="Cambria Math" w:hAnsi="Cambria Math"/>
              </w:rPr>
              <m:t>,</m:t>
            </m:r>
            <m:r>
              <w:rPr>
                <w:rFonts w:ascii="Cambria Math" w:hAnsi="Cambria Math"/>
              </w:rPr>
              <m:t>1</m:t>
            </m:r>
          </m:e>
        </m:d>
      </m:oMath>
      <w:r w:rsidRPr="00A46D13">
        <w:t xml:space="preserve"> satisfying </w:t>
      </w:r>
      <m:oMath>
        <m:sSubSup>
          <m:sSubSupPr>
            <m:ctrlPr>
              <w:rPr>
                <w:rFonts w:ascii="Cambria Math" w:hAnsi="Cambria Math"/>
              </w:rPr>
            </m:ctrlPr>
          </m:sSubSupPr>
          <m:e>
            <m:r>
              <w:rPr>
                <w:rFonts w:ascii="Cambria Math" w:hAnsi="Cambria Math"/>
              </w:rPr>
              <m:t>I</m:t>
            </m:r>
          </m:e>
          <m:sub>
            <m:r>
              <w:rPr>
                <w:rFonts w:ascii="Cambria Math" w:hAnsi="Cambria Math"/>
              </w:rPr>
              <m:t>t</m:t>
            </m:r>
          </m:sub>
          <m:sup>
            <m:r>
              <w:rPr>
                <w:rFonts w:ascii="Cambria Math" w:hAnsi="Cambria Math"/>
              </w:rPr>
              <m:t>D</m:t>
            </m:r>
          </m:sup>
        </m:sSubSup>
        <m:d>
          <m:dPr>
            <m:ctrlPr>
              <w:rPr>
                <w:rFonts w:ascii="Cambria Math" w:hAnsi="Cambria Math"/>
              </w:rPr>
            </m:ctrlPr>
          </m:dPr>
          <m:e>
            <m:sSubSup>
              <m:sSubSupPr>
                <m:ctrlPr>
                  <w:rPr>
                    <w:rFonts w:ascii="Cambria Math" w:hAnsi="Cambria Math"/>
                  </w:rPr>
                </m:ctrlPr>
              </m:sSubSupPr>
              <m:e>
                <m:r>
                  <w:rPr>
                    <w:rFonts w:ascii="Cambria Math" w:hAnsi="Cambria Math"/>
                  </w:rPr>
                  <m:t>v</m:t>
                </m:r>
              </m:e>
              <m:sub>
                <m:r>
                  <w:rPr>
                    <w:rFonts w:ascii="Cambria Math" w:hAnsi="Cambria Math"/>
                  </w:rPr>
                  <m:t>t</m:t>
                </m:r>
              </m:sub>
              <m:sup>
                <m:r>
                  <m:rPr>
                    <m:sty m:val="p"/>
                  </m:rPr>
                  <w:rPr>
                    <w:rFonts w:ascii="Cambria Math" w:hAnsi="Cambria Math"/>
                  </w:rPr>
                  <m:t>flow</m:t>
                </m:r>
              </m:sup>
            </m:sSubSup>
          </m:e>
        </m:d>
        <m:r>
          <m:rPr>
            <m:sty m:val="p"/>
          </m:rPr>
          <w:rPr>
            <w:rFonts w:ascii="Cambria Math" w:hAnsi="Cambria Math"/>
          </w:rPr>
          <m:t>=</m:t>
        </m:r>
        <m:sSubSup>
          <m:sSubSupPr>
            <m:ctrlPr>
              <w:rPr>
                <w:rFonts w:ascii="Cambria Math" w:hAnsi="Cambria Math"/>
              </w:rPr>
            </m:ctrlPr>
          </m:sSubSupPr>
          <m:e>
            <m:r>
              <w:rPr>
                <w:rFonts w:ascii="Cambria Math" w:hAnsi="Cambria Math"/>
              </w:rPr>
              <m:t>Q</m:t>
            </m:r>
          </m:e>
          <m:sub>
            <m:r>
              <w:rPr>
                <w:rFonts w:ascii="Cambria Math" w:hAnsi="Cambria Math"/>
              </w:rPr>
              <m:t>t</m:t>
            </m:r>
          </m:sub>
          <m:sup>
            <m:r>
              <w:rPr>
                <w:rFonts w:ascii="Cambria Math" w:hAnsi="Cambria Math"/>
              </w:rPr>
              <m:t>D</m:t>
            </m:r>
          </m:sup>
        </m:sSubSup>
        <m:d>
          <m:dPr>
            <m:ctrlPr>
              <w:rPr>
                <w:rFonts w:ascii="Cambria Math" w:hAnsi="Cambria Math"/>
              </w:rPr>
            </m:ctrlPr>
          </m:dPr>
          <m:e>
            <m:sSubSup>
              <m:sSubSupPr>
                <m:ctrlPr>
                  <w:rPr>
                    <w:rFonts w:ascii="Cambria Math" w:hAnsi="Cambria Math"/>
                  </w:rPr>
                </m:ctrlPr>
              </m:sSubSupPr>
              <m:e>
                <m:r>
                  <w:rPr>
                    <w:rFonts w:ascii="Cambria Math" w:hAnsi="Cambria Math"/>
                  </w:rPr>
                  <m:t>v</m:t>
                </m:r>
              </m:e>
              <m:sub>
                <m:r>
                  <w:rPr>
                    <w:rFonts w:ascii="Cambria Math" w:hAnsi="Cambria Math"/>
                  </w:rPr>
                  <m:t>t</m:t>
                </m:r>
              </m:sub>
              <m:sup>
                <m:r>
                  <m:rPr>
                    <m:sty m:val="p"/>
                  </m:rPr>
                  <w:rPr>
                    <w:rFonts w:ascii="Cambria Math" w:hAnsi="Cambria Math"/>
                  </w:rPr>
                  <m:t>flow</m:t>
                </m:r>
              </m:sup>
            </m:sSubSup>
          </m:e>
        </m:d>
      </m:oMath>
      <w:r w:rsidRPr="00A46D13">
        <w:t>.</w:t>
      </w:r>
    </w:p>
    <w:p w14:paraId="039A8220" w14:textId="77777777" w:rsidR="00235BC0" w:rsidRPr="00A46D13" w:rsidRDefault="00000000">
      <w:r w:rsidRPr="00A46D13">
        <w:rPr>
          <w:i/>
          <w:iCs/>
        </w:rPr>
        <w:t>Proof.</w:t>
      </w:r>
      <w:r w:rsidRPr="00A46D13">
        <w:t xml:space="preserve"> </w:t>
      </w:r>
      <m:oMath>
        <m:sSubSup>
          <m:sSubSupPr>
            <m:ctrlPr>
              <w:rPr>
                <w:rFonts w:ascii="Cambria Math" w:hAnsi="Cambria Math"/>
              </w:rPr>
            </m:ctrlPr>
          </m:sSubSupPr>
          <m:e>
            <m:r>
              <w:rPr>
                <w:rFonts w:ascii="Cambria Math" w:hAnsi="Cambria Math"/>
              </w:rPr>
              <m:t>I</m:t>
            </m:r>
          </m:e>
          <m:sub>
            <m:r>
              <w:rPr>
                <w:rFonts w:ascii="Cambria Math" w:hAnsi="Cambria Math"/>
              </w:rPr>
              <m:t>t</m:t>
            </m:r>
          </m:sub>
          <m:sup>
            <m:r>
              <w:rPr>
                <w:rFonts w:ascii="Cambria Math" w:hAnsi="Cambria Math"/>
              </w:rPr>
              <m:t>D</m:t>
            </m:r>
          </m:sup>
        </m:sSubSup>
        <m:d>
          <m:dPr>
            <m:ctrlPr>
              <w:rPr>
                <w:rFonts w:ascii="Cambria Math" w:hAnsi="Cambria Math"/>
              </w:rPr>
            </m:ctrlPr>
          </m:dPr>
          <m:e>
            <m:r>
              <w:rPr>
                <w:rFonts w:ascii="Cambria Math" w:hAnsi="Cambria Math"/>
              </w:rPr>
              <m:t>v</m:t>
            </m:r>
          </m:e>
        </m:d>
      </m:oMath>
      <w:r w:rsidRPr="00A46D13">
        <w:t xml:space="preserve"> is continuous and strictly decreasing on </w:t>
      </w:r>
      <m:oMath>
        <m:d>
          <m:dPr>
            <m:begChr m:val="["/>
            <m:endChr m:val="]"/>
            <m:ctrlPr>
              <w:rPr>
                <w:rFonts w:ascii="Cambria Math" w:hAnsi="Cambria Math"/>
              </w:rPr>
            </m:ctrlPr>
          </m:dPr>
          <m:e>
            <m:r>
              <w:rPr>
                <w:rFonts w:ascii="Cambria Math" w:hAnsi="Cambria Math"/>
              </w:rPr>
              <m:t>0</m:t>
            </m:r>
            <m:r>
              <m:rPr>
                <m:sty m:val="p"/>
              </m:rPr>
              <w:rPr>
                <w:rFonts w:ascii="Cambria Math" w:hAnsi="Cambria Math"/>
              </w:rPr>
              <m:t>,</m:t>
            </m:r>
            <m:r>
              <w:rPr>
                <w:rFonts w:ascii="Cambria Math" w:hAnsi="Cambria Math"/>
              </w:rPr>
              <m:t>1</m:t>
            </m:r>
          </m:e>
        </m:d>
      </m:oMath>
      <w:r w:rsidRPr="00A46D13">
        <w:t xml:space="preserve">, with </w:t>
      </w:r>
      <m:oMath>
        <m:sSubSup>
          <m:sSubSupPr>
            <m:ctrlPr>
              <w:rPr>
                <w:rFonts w:ascii="Cambria Math" w:hAnsi="Cambria Math"/>
              </w:rPr>
            </m:ctrlPr>
          </m:sSubSupPr>
          <m:e>
            <m:r>
              <w:rPr>
                <w:rFonts w:ascii="Cambria Math" w:hAnsi="Cambria Math"/>
              </w:rPr>
              <m:t>I</m:t>
            </m:r>
          </m:e>
          <m:sub>
            <m:r>
              <w:rPr>
                <w:rFonts w:ascii="Cambria Math" w:hAnsi="Cambria Math"/>
              </w:rPr>
              <m:t>t</m:t>
            </m:r>
          </m:sub>
          <m:sup>
            <m:r>
              <w:rPr>
                <w:rFonts w:ascii="Cambria Math" w:hAnsi="Cambria Math"/>
              </w:rPr>
              <m:t>D</m:t>
            </m:r>
          </m:sup>
        </m:sSubSup>
        <m:d>
          <m:dPr>
            <m:ctrlPr>
              <w:rPr>
                <w:rFonts w:ascii="Cambria Math" w:hAnsi="Cambria Math"/>
              </w:rPr>
            </m:ctrlPr>
          </m:dPr>
          <m:e>
            <m:r>
              <w:rPr>
                <w:rFonts w:ascii="Cambria Math" w:hAnsi="Cambria Math"/>
              </w:rPr>
              <m:t>0</m:t>
            </m:r>
          </m:e>
        </m:d>
        <m:r>
          <m:rPr>
            <m:sty m:val="p"/>
          </m:rPr>
          <w:rPr>
            <w:rFonts w:ascii="Cambria Math" w:hAnsi="Cambria Math"/>
          </w:rPr>
          <m:t>&gt;</m:t>
        </m:r>
        <m:r>
          <w:rPr>
            <w:rFonts w:ascii="Cambria Math" w:hAnsi="Cambria Math"/>
          </w:rPr>
          <m:t>0</m:t>
        </m:r>
      </m:oMath>
      <w:r w:rsidRPr="00A46D13">
        <w:t xml:space="preserve"> and </w:t>
      </w:r>
      <m:oMath>
        <m:sSubSup>
          <m:sSubSupPr>
            <m:ctrlPr>
              <w:rPr>
                <w:rFonts w:ascii="Cambria Math" w:hAnsi="Cambria Math"/>
              </w:rPr>
            </m:ctrlPr>
          </m:sSubSupPr>
          <m:e>
            <m:r>
              <w:rPr>
                <w:rFonts w:ascii="Cambria Math" w:hAnsi="Cambria Math"/>
              </w:rPr>
              <m:t>I</m:t>
            </m:r>
          </m:e>
          <m:sub>
            <m:r>
              <w:rPr>
                <w:rFonts w:ascii="Cambria Math" w:hAnsi="Cambria Math"/>
              </w:rPr>
              <m:t>t</m:t>
            </m:r>
          </m:sub>
          <m:sup>
            <m:r>
              <w:rPr>
                <w:rFonts w:ascii="Cambria Math" w:hAnsi="Cambria Math"/>
              </w:rPr>
              <m:t>D</m:t>
            </m:r>
          </m:sup>
        </m:sSubSup>
        <m:d>
          <m:dPr>
            <m:ctrlPr>
              <w:rPr>
                <w:rFonts w:ascii="Cambria Math" w:hAnsi="Cambria Math"/>
              </w:rPr>
            </m:ctrlPr>
          </m:dPr>
          <m:e>
            <m:r>
              <w:rPr>
                <w:rFonts w:ascii="Cambria Math" w:hAnsi="Cambria Math"/>
              </w:rPr>
              <m:t>1</m:t>
            </m:r>
          </m:e>
        </m:d>
        <m:r>
          <m:rPr>
            <m:sty m:val="p"/>
          </m:rPr>
          <w:rPr>
            <w:rFonts w:ascii="Cambria Math" w:hAnsi="Cambria Math"/>
          </w:rPr>
          <m:t>=</m:t>
        </m:r>
        <m:r>
          <w:rPr>
            <w:rFonts w:ascii="Cambria Math" w:hAnsi="Cambria Math"/>
          </w:rPr>
          <m:t>0</m:t>
        </m:r>
      </m:oMath>
      <w:r w:rsidRPr="00A46D13">
        <w:t xml:space="preserve">. </w:t>
      </w:r>
      <m:oMath>
        <m:sSubSup>
          <m:sSubSupPr>
            <m:ctrlPr>
              <w:rPr>
                <w:rFonts w:ascii="Cambria Math" w:hAnsi="Cambria Math"/>
              </w:rPr>
            </m:ctrlPr>
          </m:sSubSupPr>
          <m:e>
            <m:r>
              <w:rPr>
                <w:rFonts w:ascii="Cambria Math" w:hAnsi="Cambria Math"/>
              </w:rPr>
              <m:t>Q</m:t>
            </m:r>
          </m:e>
          <m:sub>
            <m:r>
              <w:rPr>
                <w:rFonts w:ascii="Cambria Math" w:hAnsi="Cambria Math"/>
              </w:rPr>
              <m:t>t</m:t>
            </m:r>
          </m:sub>
          <m:sup>
            <m:r>
              <w:rPr>
                <w:rFonts w:ascii="Cambria Math" w:hAnsi="Cambria Math"/>
              </w:rPr>
              <m:t>D</m:t>
            </m:r>
          </m:sup>
        </m:sSubSup>
        <m:d>
          <m:dPr>
            <m:ctrlPr>
              <w:rPr>
                <w:rFonts w:ascii="Cambria Math" w:hAnsi="Cambria Math"/>
              </w:rPr>
            </m:ctrlPr>
          </m:dPr>
          <m:e>
            <m:r>
              <w:rPr>
                <w:rFonts w:ascii="Cambria Math" w:hAnsi="Cambria Math"/>
              </w:rPr>
              <m:t>v</m:t>
            </m:r>
          </m:e>
        </m:d>
      </m:oMath>
      <w:r w:rsidRPr="00A46D13">
        <w:t xml:space="preserve"> is continuous and strictly increasing, with </w:t>
      </w:r>
      <m:oMath>
        <m:sSubSup>
          <m:sSubSupPr>
            <m:ctrlPr>
              <w:rPr>
                <w:rFonts w:ascii="Cambria Math" w:hAnsi="Cambria Math"/>
              </w:rPr>
            </m:ctrlPr>
          </m:sSubSupPr>
          <m:e>
            <m:r>
              <w:rPr>
                <w:rFonts w:ascii="Cambria Math" w:hAnsi="Cambria Math"/>
              </w:rPr>
              <m:t>Q</m:t>
            </m:r>
          </m:e>
          <m:sub>
            <m:r>
              <w:rPr>
                <w:rFonts w:ascii="Cambria Math" w:hAnsi="Cambria Math"/>
              </w:rPr>
              <m:t>t</m:t>
            </m:r>
          </m:sub>
          <m:sup>
            <m:r>
              <w:rPr>
                <w:rFonts w:ascii="Cambria Math" w:hAnsi="Cambria Math"/>
              </w:rPr>
              <m:t>D</m:t>
            </m:r>
          </m:sup>
        </m:sSubSup>
        <m:d>
          <m:dPr>
            <m:ctrlPr>
              <w:rPr>
                <w:rFonts w:ascii="Cambria Math" w:hAnsi="Cambria Math"/>
              </w:rPr>
            </m:ctrlPr>
          </m:dPr>
          <m:e>
            <m:r>
              <w:rPr>
                <w:rFonts w:ascii="Cambria Math" w:hAnsi="Cambria Math"/>
              </w:rPr>
              <m:t>0</m:t>
            </m:r>
          </m:e>
        </m:d>
        <m:r>
          <m:rPr>
            <m:sty m:val="p"/>
          </m:rPr>
          <w:rPr>
            <w:rFonts w:ascii="Cambria Math" w:hAnsi="Cambria Math"/>
          </w:rPr>
          <m:t>=</m:t>
        </m:r>
        <m:r>
          <w:rPr>
            <w:rFonts w:ascii="Cambria Math" w:hAnsi="Cambria Math"/>
          </w:rPr>
          <m:t>0</m:t>
        </m:r>
      </m:oMath>
      <w:r w:rsidRPr="00A46D13">
        <w:t xml:space="preserve"> and </w:t>
      </w:r>
      <m:oMath>
        <m:sSubSup>
          <m:sSubSupPr>
            <m:ctrlPr>
              <w:rPr>
                <w:rFonts w:ascii="Cambria Math" w:hAnsi="Cambria Math"/>
              </w:rPr>
            </m:ctrlPr>
          </m:sSubSupPr>
          <m:e>
            <m:r>
              <w:rPr>
                <w:rFonts w:ascii="Cambria Math" w:hAnsi="Cambria Math"/>
              </w:rPr>
              <m:t>Q</m:t>
            </m:r>
          </m:e>
          <m:sub>
            <m:r>
              <w:rPr>
                <w:rFonts w:ascii="Cambria Math" w:hAnsi="Cambria Math"/>
              </w:rPr>
              <m:t>t</m:t>
            </m:r>
          </m:sub>
          <m:sup>
            <m:r>
              <w:rPr>
                <w:rFonts w:ascii="Cambria Math" w:hAnsi="Cambria Math"/>
              </w:rPr>
              <m:t>D</m:t>
            </m:r>
          </m:sup>
        </m:sSubSup>
        <m:d>
          <m:dPr>
            <m:ctrlPr>
              <w:rPr>
                <w:rFonts w:ascii="Cambria Math" w:hAnsi="Cambria Math"/>
              </w:rPr>
            </m:ctrlPr>
          </m:dPr>
          <m:e>
            <m:r>
              <w:rPr>
                <w:rFonts w:ascii="Cambria Math" w:hAnsi="Cambria Math"/>
              </w:rPr>
              <m:t>1</m:t>
            </m:r>
          </m:e>
        </m:d>
        <m:r>
          <m:rPr>
            <m:sty m:val="p"/>
          </m:rPr>
          <w:rPr>
            <w:rFonts w:ascii="Cambria Math" w:hAnsi="Cambria Math"/>
          </w:rPr>
          <m:t>&gt;</m:t>
        </m:r>
        <m:r>
          <w:rPr>
            <w:rFonts w:ascii="Cambria Math" w:hAnsi="Cambria Math"/>
          </w:rPr>
          <m:t>0</m:t>
        </m:r>
      </m:oMath>
      <w:r w:rsidRPr="00A46D13">
        <w:t xml:space="preserve"> when </w:t>
      </w:r>
      <m:oMath>
        <m:sSub>
          <m:sSubPr>
            <m:ctrlPr>
              <w:rPr>
                <w:rFonts w:ascii="Cambria Math" w:hAnsi="Cambria Math"/>
              </w:rPr>
            </m:ctrlPr>
          </m:sSubPr>
          <m:e>
            <m:r>
              <w:rPr>
                <w:rFonts w:ascii="Cambria Math" w:hAnsi="Cambria Math"/>
              </w:rPr>
              <m:t>g</m:t>
            </m:r>
          </m:e>
          <m:sub>
            <m:r>
              <w:rPr>
                <w:rFonts w:ascii="Cambria Math" w:hAnsi="Cambria Math"/>
              </w:rPr>
              <m:t>t</m:t>
            </m:r>
          </m:sub>
        </m:sSub>
        <m:r>
          <m:rPr>
            <m:sty m:val="p"/>
          </m:rPr>
          <w:rPr>
            <w:rFonts w:ascii="Cambria Math" w:hAnsi="Cambria Math"/>
          </w:rPr>
          <m:t>&gt;</m:t>
        </m:r>
        <m:r>
          <w:rPr>
            <w:rFonts w:ascii="Cambria Math" w:hAnsi="Cambria Math"/>
          </w:rPr>
          <m:t>0</m:t>
        </m:r>
      </m:oMath>
      <w:r w:rsidRPr="00A46D13">
        <w:t>. The intermediate value theorem gives existence, and strict monotonicity gives uniqueness.</w:t>
      </w:r>
    </w:p>
    <w:p w14:paraId="597EB07C" w14:textId="77777777" w:rsidR="00235BC0" w:rsidRPr="00A46D13" w:rsidRDefault="00000000">
      <w:r w:rsidRPr="00A46D13">
        <w:t>The threshold for preventing an increase in the existing stock is different. From Equation (3), before the non-negativity projection, debt is non-increasing when</w:t>
      </w:r>
    </w:p>
    <w:p w14:paraId="6C455AFD" w14:textId="77777777" w:rsidR="00235BC0" w:rsidRPr="00A46D13" w:rsidRDefault="00000000">
      <w:pPr>
        <w:keepLines/>
        <w:spacing w:before="60"/>
        <w:jc w:val="center"/>
      </w:pPr>
      <m:oMathPara>
        <m:oMathParaPr>
          <m:jc m:val="center"/>
        </m:oMathParaPr>
        <m:oMath>
          <m:sSubSup>
            <m:sSubSupPr>
              <m:ctrlPr>
                <w:rPr>
                  <w:rFonts w:ascii="Cambria Math" w:hAnsi="Cambria Math"/>
                </w:rPr>
              </m:ctrlPr>
            </m:sSubSupPr>
            <m:e>
              <m:r>
                <w:rPr>
                  <w:rFonts w:ascii="Cambria Math" w:hAnsi="Cambria Math"/>
                </w:rPr>
                <m:t>Q</m:t>
              </m:r>
            </m:e>
            <m:sub>
              <m:r>
                <w:rPr>
                  <w:rFonts w:ascii="Cambria Math" w:hAnsi="Cambria Math"/>
                </w:rPr>
                <m:t>t</m:t>
              </m:r>
            </m:sub>
            <m:sup>
              <m:r>
                <w:rPr>
                  <w:rFonts w:ascii="Cambria Math" w:hAnsi="Cambria Math"/>
                </w:rPr>
                <m:t>D</m:t>
              </m:r>
            </m:sup>
          </m:sSubSup>
          <m:d>
            <m:dPr>
              <m:ctrlPr>
                <w:rPr>
                  <w:rFonts w:ascii="Cambria Math" w:hAnsi="Cambria Math"/>
                </w:rPr>
              </m:ctrlPr>
            </m:dPr>
            <m:e>
              <m:r>
                <w:rPr>
                  <w:rFonts w:ascii="Cambria Math" w:hAnsi="Cambria Math"/>
                </w:rPr>
                <m:t>v</m:t>
              </m:r>
            </m:e>
          </m:d>
          <m:r>
            <m:rPr>
              <m:sty m:val="p"/>
            </m:rP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t</m:t>
              </m:r>
            </m:sub>
            <m:sup>
              <m:r>
                <w:rPr>
                  <w:rFonts w:ascii="Cambria Math" w:hAnsi="Cambria Math"/>
                </w:rPr>
                <m:t>D</m:t>
              </m:r>
            </m:sup>
          </m:sSubSup>
          <m:d>
            <m:dPr>
              <m:ctrlPr>
                <w:rPr>
                  <w:rFonts w:ascii="Cambria Math" w:hAnsi="Cambria Math"/>
                </w:rPr>
              </m:ctrlPr>
            </m:dPr>
            <m:e>
              <m:r>
                <w:rPr>
                  <w:rFonts w:ascii="Cambria Math" w:hAnsi="Cambria Math"/>
                </w:rPr>
                <m:t>v</m:t>
              </m:r>
            </m:e>
          </m:d>
          <m:r>
            <m:rPr>
              <m:sty m:val="p"/>
            </m:rP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D</m:t>
              </m:r>
            </m:sub>
          </m:sSub>
          <m:sSub>
            <m:sSubPr>
              <m:ctrlPr>
                <w:rPr>
                  <w:rFonts w:ascii="Cambria Math" w:hAnsi="Cambria Math"/>
                </w:rPr>
              </m:ctrlPr>
            </m:sSubPr>
            <m:e>
              <m:r>
                <w:rPr>
                  <w:rFonts w:ascii="Cambria Math" w:hAnsi="Cambria Math"/>
                </w:rPr>
                <m:t>D</m:t>
              </m:r>
            </m:e>
            <m:sub>
              <m:r>
                <w:rPr>
                  <w:rFonts w:ascii="Cambria Math" w:hAnsi="Cambria Math"/>
                </w:rPr>
                <m:t>t</m:t>
              </m:r>
            </m:sub>
          </m:sSub>
          <m:r>
            <m:rPr>
              <m:sty m:val="p"/>
            </m:rPr>
            <w:rPr>
              <w:rFonts w:ascii="Cambria Math" w:hAnsi="Cambria Math"/>
            </w:rPr>
            <m:t>.</m:t>
          </m:r>
        </m:oMath>
      </m:oMathPara>
    </w:p>
    <w:p w14:paraId="3BC082DD" w14:textId="77777777" w:rsidR="00235BC0" w:rsidRPr="00A46D13" w:rsidRDefault="00000000">
      <w:r w:rsidRPr="00A46D13">
        <w:t>Accordingly, the stock-</w:t>
      </w:r>
      <w:proofErr w:type="spellStart"/>
      <w:r w:rsidRPr="00A46D13">
        <w:t>stabilising</w:t>
      </w:r>
      <w:proofErr w:type="spellEnd"/>
      <w:r w:rsidRPr="00A46D13">
        <w:t xml:space="preserve"> threshold </w:t>
      </w:r>
      <m:oMath>
        <m:sSubSup>
          <m:sSubSupPr>
            <m:ctrlPr>
              <w:rPr>
                <w:rFonts w:ascii="Cambria Math" w:hAnsi="Cambria Math"/>
              </w:rPr>
            </m:ctrlPr>
          </m:sSubSupPr>
          <m:e>
            <m:r>
              <w:rPr>
                <w:rFonts w:ascii="Cambria Math" w:hAnsi="Cambria Math"/>
              </w:rPr>
              <m:t>v</m:t>
            </m:r>
          </m:e>
          <m:sub>
            <m:r>
              <w:rPr>
                <w:rFonts w:ascii="Cambria Math" w:hAnsi="Cambria Math"/>
              </w:rPr>
              <m:t>t</m:t>
            </m:r>
          </m:sub>
          <m:sup>
            <m:r>
              <m:rPr>
                <m:sty m:val="p"/>
              </m:rPr>
              <w:rPr>
                <w:rFonts w:ascii="Cambria Math" w:hAnsi="Cambria Math"/>
              </w:rPr>
              <m:t>stock</m:t>
            </m:r>
          </m:sup>
        </m:sSubSup>
        <m:d>
          <m:dPr>
            <m:ctrlPr>
              <w:rPr>
                <w:rFonts w:ascii="Cambria Math" w:hAnsi="Cambria Math"/>
              </w:rPr>
            </m:ctrlPr>
          </m:dPr>
          <m:e>
            <m:sSub>
              <m:sSubPr>
                <m:ctrlPr>
                  <w:rPr>
                    <w:rFonts w:ascii="Cambria Math" w:hAnsi="Cambria Math"/>
                  </w:rPr>
                </m:ctrlPr>
              </m:sSubPr>
              <m:e>
                <m:r>
                  <w:rPr>
                    <w:rFonts w:ascii="Cambria Math" w:hAnsi="Cambria Math"/>
                  </w:rPr>
                  <m:t>D</m:t>
                </m:r>
              </m:e>
              <m:sub>
                <m:r>
                  <w:rPr>
                    <w:rFonts w:ascii="Cambria Math" w:hAnsi="Cambria Math"/>
                  </w:rPr>
                  <m:t>t</m:t>
                </m:r>
              </m:sub>
            </m:sSub>
          </m:e>
        </m:d>
      </m:oMath>
      <w:r w:rsidRPr="00A46D13">
        <w:t xml:space="preserve"> is state-dependent and satisfies </w:t>
      </w:r>
      <m:oMath>
        <m:sSubSup>
          <m:sSubSupPr>
            <m:ctrlPr>
              <w:rPr>
                <w:rFonts w:ascii="Cambria Math" w:hAnsi="Cambria Math"/>
              </w:rPr>
            </m:ctrlPr>
          </m:sSubSupPr>
          <m:e>
            <m:r>
              <w:rPr>
                <w:rFonts w:ascii="Cambria Math" w:hAnsi="Cambria Math"/>
              </w:rPr>
              <m:t>v</m:t>
            </m:r>
          </m:e>
          <m:sub>
            <m:r>
              <w:rPr>
                <w:rFonts w:ascii="Cambria Math" w:hAnsi="Cambria Math"/>
              </w:rPr>
              <m:t>t</m:t>
            </m:r>
          </m:sub>
          <m:sup>
            <m:r>
              <m:rPr>
                <m:sty m:val="p"/>
              </m:rPr>
              <w:rPr>
                <w:rFonts w:ascii="Cambria Math" w:hAnsi="Cambria Math"/>
              </w:rPr>
              <m:t>stock</m:t>
            </m:r>
          </m:sup>
        </m:sSubSup>
        <m:d>
          <m:dPr>
            <m:ctrlPr>
              <w:rPr>
                <w:rFonts w:ascii="Cambria Math" w:hAnsi="Cambria Math"/>
              </w:rPr>
            </m:ctrlPr>
          </m:dPr>
          <m:e>
            <m:sSub>
              <m:sSubPr>
                <m:ctrlPr>
                  <w:rPr>
                    <w:rFonts w:ascii="Cambria Math" w:hAnsi="Cambria Math"/>
                  </w:rPr>
                </m:ctrlPr>
              </m:sSubPr>
              <m:e>
                <m:r>
                  <w:rPr>
                    <w:rFonts w:ascii="Cambria Math" w:hAnsi="Cambria Math"/>
                  </w:rPr>
                  <m:t>D</m:t>
                </m:r>
              </m:e>
              <m:sub>
                <m:r>
                  <w:rPr>
                    <w:rFonts w:ascii="Cambria Math" w:hAnsi="Cambria Math"/>
                  </w:rPr>
                  <m:t>t</m:t>
                </m:r>
              </m:sub>
            </m:sSub>
          </m:e>
        </m:d>
        <m:r>
          <m:rPr>
            <m:sty m:val="p"/>
          </m:rPr>
          <w:rPr>
            <w:rFonts w:ascii="Cambria Math" w:hAnsi="Cambria Math"/>
          </w:rPr>
          <m:t>≤</m:t>
        </m:r>
        <m:sSubSup>
          <m:sSubSupPr>
            <m:ctrlPr>
              <w:rPr>
                <w:rFonts w:ascii="Cambria Math" w:hAnsi="Cambria Math"/>
              </w:rPr>
            </m:ctrlPr>
          </m:sSubSupPr>
          <m:e>
            <m:r>
              <w:rPr>
                <w:rFonts w:ascii="Cambria Math" w:hAnsi="Cambria Math"/>
              </w:rPr>
              <m:t>v</m:t>
            </m:r>
          </m:e>
          <m:sub>
            <m:r>
              <w:rPr>
                <w:rFonts w:ascii="Cambria Math" w:hAnsi="Cambria Math"/>
              </w:rPr>
              <m:t>t</m:t>
            </m:r>
          </m:sub>
          <m:sup>
            <m:r>
              <m:rPr>
                <m:sty m:val="p"/>
              </m:rPr>
              <w:rPr>
                <w:rFonts w:ascii="Cambria Math" w:hAnsi="Cambria Math"/>
              </w:rPr>
              <m:t>flow</m:t>
            </m:r>
          </m:sup>
        </m:sSubSup>
      </m:oMath>
      <w:r w:rsidRPr="00A46D13">
        <w:t xml:space="preserve"> for </w:t>
      </w:r>
      <m:oMath>
        <m:sSub>
          <m:sSubPr>
            <m:ctrlPr>
              <w:rPr>
                <w:rFonts w:ascii="Cambria Math" w:hAnsi="Cambria Math"/>
              </w:rPr>
            </m:ctrlPr>
          </m:sSubPr>
          <m:e>
            <m:r>
              <w:rPr>
                <w:rFonts w:ascii="Cambria Math" w:hAnsi="Cambria Math"/>
              </w:rPr>
              <m:t>D</m:t>
            </m:r>
          </m:e>
          <m:sub>
            <m:r>
              <w:rPr>
                <w:rFonts w:ascii="Cambria Math" w:hAnsi="Cambria Math"/>
              </w:rPr>
              <m:t>t</m:t>
            </m:r>
          </m:sub>
        </m:sSub>
        <m:r>
          <m:rPr>
            <m:sty m:val="p"/>
          </m:rPr>
          <w:rPr>
            <w:rFonts w:ascii="Cambria Math" w:hAnsi="Cambria Math"/>
          </w:rPr>
          <m:t>&gt;</m:t>
        </m:r>
        <m:r>
          <w:rPr>
            <w:rFonts w:ascii="Cambria Math" w:hAnsi="Cambria Math"/>
          </w:rPr>
          <m:t>0</m:t>
        </m:r>
      </m:oMath>
      <w:r w:rsidRPr="00A46D13">
        <w:t>. The assurance adequacy ratio in Equation (4) evaluates current flow balance, while the stock condition additionally recognises natural debt decay. Both thresholds rise with automation and uncertainty and fall with stronger governance or expertise, subject to the stated functional form.</w:t>
      </w:r>
    </w:p>
    <w:p w14:paraId="636921F0" w14:textId="77777777" w:rsidR="00235BC0" w:rsidRPr="00A46D13" w:rsidRDefault="00000000">
      <w:pPr>
        <w:keepNext/>
        <w:spacing w:before="120"/>
        <w:jc w:val="left"/>
      </w:pPr>
      <w:r w:rsidRPr="00A46D13">
        <w:rPr>
          <w:b/>
          <w:bCs/>
          <w:sz w:val="22"/>
        </w:rPr>
        <w:t>3.6 Human Expertise Dynamics</w:t>
      </w:r>
    </w:p>
    <w:p w14:paraId="5347E33B" w14:textId="77777777" w:rsidR="00235BC0" w:rsidRPr="00A46D13" w:rsidRDefault="00000000">
      <w:r w:rsidRPr="00A46D13">
        <w:t>Human expertise evolves as:</w:t>
      </w:r>
    </w:p>
    <w:tbl>
      <w:tblPr>
        <w:tblW w:w="9360" w:type="dxa"/>
        <w:jc w:val="center"/>
        <w:tblLayout w:type="fixed"/>
        <w:tblLook w:val="0020" w:firstRow="1" w:lastRow="0" w:firstColumn="0" w:lastColumn="0" w:noHBand="0" w:noVBand="0"/>
      </w:tblPr>
      <w:tblGrid>
        <w:gridCol w:w="8520"/>
        <w:gridCol w:w="840"/>
      </w:tblGrid>
      <w:tr w:rsidR="00235BC0" w:rsidRPr="00A46D13" w14:paraId="58AB631E" w14:textId="77777777">
        <w:trPr>
          <w:cantSplit/>
          <w:tblHeader/>
          <w:jc w:val="center"/>
        </w:trPr>
        <w:tc>
          <w:tcPr>
            <w:tcW w:w="8520" w:type="dxa"/>
            <w:tcMar>
              <w:top w:w="45" w:type="dxa"/>
              <w:left w:w="55" w:type="dxa"/>
              <w:bottom w:w="45" w:type="dxa"/>
              <w:right w:w="55" w:type="dxa"/>
            </w:tcMar>
            <w:vAlign w:val="center"/>
          </w:tcPr>
          <w:p w14:paraId="07E52F9F" w14:textId="77777777" w:rsidR="00235BC0" w:rsidRPr="00A46D13" w:rsidRDefault="00000000">
            <w:pPr>
              <w:spacing w:after="0"/>
              <w:jc w:val="center"/>
            </w:pPr>
            <m:oMathPara>
              <m:oMathParaPr>
                <m:jc m:val="center"/>
              </m:oMathParaPr>
              <m:oMath>
                <m:sSub>
                  <m:sSubPr>
                    <m:ctrlPr>
                      <w:rPr>
                        <w:rFonts w:ascii="Cambria Math" w:hAnsi="Cambria Math"/>
                      </w:rPr>
                    </m:ctrlPr>
                  </m:sSubPr>
                  <m:e>
                    <m:r>
                      <w:rPr>
                        <w:rFonts w:ascii="Cambria Math" w:hAnsi="Cambria Math"/>
                      </w:rPr>
                      <m:t>H</m:t>
                    </m:r>
                  </m:e>
                  <m:sub>
                    <m:r>
                      <w:rPr>
                        <w:rFonts w:ascii="Cambria Math" w:hAnsi="Cambria Math"/>
                      </w:rPr>
                      <m:t>t</m:t>
                    </m:r>
                    <m:r>
                      <m:rPr>
                        <m:sty m:val="p"/>
                      </m:rPr>
                      <w:rPr>
                        <w:rFonts w:ascii="Cambria Math" w:hAnsi="Cambria Math"/>
                      </w:rPr>
                      <m:t>+</m:t>
                    </m:r>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Π</m:t>
                    </m:r>
                  </m:e>
                  <m:sub>
                    <m:r>
                      <m:rPr>
                        <m:sty m:val="p"/>
                      </m:rPr>
                      <w:rPr>
                        <w:rFonts w:ascii="Cambria Math" w:hAnsi="Cambria Math"/>
                      </w:rPr>
                      <m:t>[</m:t>
                    </m:r>
                    <m:r>
                      <w:rPr>
                        <w:rFonts w:ascii="Cambria Math" w:hAnsi="Cambria Math"/>
                      </w:rPr>
                      <m:t>.18</m:t>
                    </m:r>
                    <m:r>
                      <m:rPr>
                        <m:sty m:val="p"/>
                      </m:rPr>
                      <w:rPr>
                        <w:rFonts w:ascii="Cambria Math" w:hAnsi="Cambria Math"/>
                      </w:rPr>
                      <m:t>,</m:t>
                    </m:r>
                    <m:r>
                      <w:rPr>
                        <w:rFonts w:ascii="Cambria Math" w:hAnsi="Cambria Math"/>
                      </w:rPr>
                      <m:t>.98</m:t>
                    </m:r>
                    <m:r>
                      <m:rPr>
                        <m:sty m:val="p"/>
                      </m:rPr>
                      <w:rPr>
                        <w:rFonts w:ascii="Cambria Math" w:hAnsi="Cambria Math"/>
                      </w:rPr>
                      <m:t>]</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1</m:t>
                    </m:r>
                  </m:sub>
                </m:sSub>
                <m:sSub>
                  <m:sSubPr>
                    <m:ctrlPr>
                      <w:rPr>
                        <w:rFonts w:ascii="Cambria Math" w:hAnsi="Cambria Math"/>
                      </w:rPr>
                    </m:ctrlPr>
                  </m:sSubPr>
                  <m:e>
                    <m:r>
                      <w:rPr>
                        <w:rFonts w:ascii="Cambria Math" w:hAnsi="Cambria Math"/>
                      </w:rPr>
                      <m:t>v</m:t>
                    </m:r>
                  </m:e>
                  <m:sub>
                    <m:r>
                      <w:rPr>
                        <w:rFonts w:ascii="Cambria Math" w:hAnsi="Cambria Math"/>
                      </w:rPr>
                      <m:t>t</m:t>
                    </m:r>
                  </m:sub>
                </m:sSub>
                <m:sSub>
                  <m:sSubPr>
                    <m:ctrlPr>
                      <w:rPr>
                        <w:rFonts w:ascii="Cambria Math" w:hAnsi="Cambria Math"/>
                      </w:rPr>
                    </m:ctrlPr>
                  </m:sSubPr>
                  <m:e>
                    <m:r>
                      <w:rPr>
                        <w:rFonts w:ascii="Cambria Math" w:hAnsi="Cambria Math"/>
                      </w:rPr>
                      <m:t>a</m:t>
                    </m:r>
                  </m:e>
                  <m:sub>
                    <m:r>
                      <w:rPr>
                        <w:rFonts w:ascii="Cambria Math" w:hAnsi="Cambria Math"/>
                      </w:rPr>
                      <m:t>t</m:t>
                    </m:r>
                  </m:sub>
                </m:sSub>
                <m:d>
                  <m:dPr>
                    <m:ctrlPr>
                      <w:rPr>
                        <w:rFonts w:ascii="Cambria Math" w:hAnsi="Cambria Math"/>
                      </w:rPr>
                    </m:ctrlPr>
                  </m:dPr>
                  <m:e>
                    <m:r>
                      <w:rPr>
                        <w:rFonts w:ascii="Cambria Math" w:hAnsi="Cambria Math"/>
                      </w:rPr>
                      <m:t>1</m:t>
                    </m:r>
                    <m:r>
                      <m:rPr>
                        <m:sty m:val="p"/>
                      </m:rPr>
                      <w:rPr>
                        <w:rFonts w:ascii="Cambria Math" w:hAnsi="Cambria Math"/>
                      </w:rPr>
                      <m:t>-</m:t>
                    </m:r>
                    <m:r>
                      <w:rPr>
                        <w:rFonts w:ascii="Cambria Math" w:hAnsi="Cambria Math"/>
                      </w:rPr>
                      <m:t>χ</m:t>
                    </m:r>
                    <m:sSub>
                      <m:sSubPr>
                        <m:ctrlPr>
                          <w:rPr>
                            <w:rFonts w:ascii="Cambria Math" w:hAnsi="Cambria Math"/>
                          </w:rPr>
                        </m:ctrlPr>
                      </m:sSubPr>
                      <m:e>
                        <m:r>
                          <w:rPr>
                            <w:rFonts w:ascii="Cambria Math" w:hAnsi="Cambria Math"/>
                          </w:rPr>
                          <m:t>g</m:t>
                        </m:r>
                      </m:e>
                      <m:sub>
                        <m:r>
                          <w:rPr>
                            <w:rFonts w:ascii="Cambria Math" w:hAnsi="Cambria Math"/>
                          </w:rPr>
                          <m:t>t</m:t>
                        </m:r>
                      </m:sub>
                    </m:sSub>
                  </m:e>
                </m:d>
                <m:r>
                  <m:rPr>
                    <m:sty m:val="p"/>
                  </m:rP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2</m:t>
                    </m:r>
                  </m:sub>
                </m:sSub>
                <m:sSub>
                  <m:sSubPr>
                    <m:ctrlPr>
                      <w:rPr>
                        <w:rFonts w:ascii="Cambria Math" w:hAnsi="Cambria Math"/>
                      </w:rPr>
                    </m:ctrlPr>
                  </m:sSubPr>
                  <m:e>
                    <m:r>
                      <w:rPr>
                        <w:rFonts w:ascii="Cambria Math" w:hAnsi="Cambria Math"/>
                      </w:rPr>
                      <m:t>v</m:t>
                    </m:r>
                  </m:e>
                  <m:sub>
                    <m:r>
                      <w:rPr>
                        <w:rFonts w:ascii="Cambria Math" w:hAnsi="Cambria Math"/>
                      </w:rPr>
                      <m:t>t</m:t>
                    </m:r>
                  </m:sub>
                </m:sSub>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t</m:t>
                        </m:r>
                      </m:sub>
                    </m:sSub>
                  </m:e>
                </m:d>
                <m:r>
                  <m:rPr>
                    <m:sty m:val="p"/>
                  </m:rP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3</m:t>
                    </m:r>
                  </m:sub>
                </m:sSub>
                <m:sSub>
                  <m:sSubPr>
                    <m:ctrlPr>
                      <w:rPr>
                        <w:rFonts w:ascii="Cambria Math" w:hAnsi="Cambria Math"/>
                      </w:rPr>
                    </m:ctrlPr>
                  </m:sSubPr>
                  <m:e>
                    <m:r>
                      <w:rPr>
                        <w:rFonts w:ascii="Cambria Math" w:hAnsi="Cambria Math"/>
                      </w:rPr>
                      <m:t>a</m:t>
                    </m:r>
                  </m:e>
                  <m:sub>
                    <m:r>
                      <w:rPr>
                        <w:rFonts w:ascii="Cambria Math" w:hAnsi="Cambria Math"/>
                      </w:rPr>
                      <m:t>t</m:t>
                    </m:r>
                  </m:sub>
                </m:sSub>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t</m:t>
                        </m:r>
                      </m:sub>
                    </m:sSub>
                  </m:e>
                </m:d>
                <m:r>
                  <m:rPr>
                    <m:sty m:val="p"/>
                  </m:rP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H</m:t>
                    </m:r>
                  </m:sub>
                </m:sSub>
                <m:d>
                  <m:dPr>
                    <m:ctrlPr>
                      <w:rPr>
                        <w:rFonts w:ascii="Cambria Math" w:hAnsi="Cambria Math"/>
                      </w:rPr>
                    </m:ctrlPr>
                  </m:dPr>
                  <m:e>
                    <m:sSub>
                      <m:sSubPr>
                        <m:ctrlPr>
                          <w:rPr>
                            <w:rFonts w:ascii="Cambria Math" w:hAnsi="Cambria Math"/>
                          </w:rPr>
                        </m:ctrlPr>
                      </m:sSubPr>
                      <m:e>
                        <m:r>
                          <w:rPr>
                            <w:rFonts w:ascii="Cambria Math" w:hAnsi="Cambria Math"/>
                          </w:rPr>
                          <m:t>H</m:t>
                        </m:r>
                      </m:e>
                      <m:sub>
                        <m:r>
                          <w:rPr>
                            <w:rFonts w:ascii="Cambria Math" w:hAnsi="Cambria Math"/>
                          </w:rPr>
                          <m:t>t</m:t>
                        </m:r>
                      </m:sub>
                    </m:sSub>
                    <m:r>
                      <m:rPr>
                        <m:sty m:val="p"/>
                      </m:rPr>
                      <w:rPr>
                        <w:rFonts w:ascii="Cambria Math" w:hAnsi="Cambria Math"/>
                      </w:rPr>
                      <m:t>-</m:t>
                    </m:r>
                    <m:r>
                      <w:rPr>
                        <w:rFonts w:ascii="Cambria Math" w:hAnsi="Cambria Math"/>
                      </w:rPr>
                      <m:t>.65</m:t>
                    </m:r>
                  </m:e>
                </m:d>
                <m:r>
                  <m:rPr>
                    <m:sty m:val="p"/>
                  </m:rPr>
                  <w:rPr>
                    <w:rFonts w:ascii="Cambria Math" w:hAnsi="Cambria Math"/>
                  </w:rPr>
                  <m:t>}.</m:t>
                </m:r>
              </m:oMath>
            </m:oMathPara>
          </w:p>
        </w:tc>
        <w:tc>
          <w:tcPr>
            <w:tcW w:w="840" w:type="dxa"/>
            <w:tcMar>
              <w:top w:w="45" w:type="dxa"/>
              <w:left w:w="55" w:type="dxa"/>
              <w:bottom w:w="45" w:type="dxa"/>
              <w:right w:w="55" w:type="dxa"/>
            </w:tcMar>
            <w:vAlign w:val="center"/>
          </w:tcPr>
          <w:p w14:paraId="7E608A6D" w14:textId="77777777" w:rsidR="00235BC0" w:rsidRPr="00A46D13" w:rsidRDefault="00000000">
            <w:pPr>
              <w:spacing w:after="0"/>
              <w:jc w:val="right"/>
            </w:pPr>
            <w:r w:rsidRPr="00A46D13">
              <w:t>(5)</w:t>
            </w:r>
          </w:p>
        </w:tc>
      </w:tr>
    </w:tbl>
    <w:p w14:paraId="420668EA" w14:textId="77777777" w:rsidR="00235BC0" w:rsidRPr="00A46D13" w:rsidRDefault="00000000">
      <w:r w:rsidRPr="00A46D13">
        <w:t xml:space="preserve">where </w:t>
      </w:r>
      <m:oMath>
        <m:r>
          <w:rPr>
            <w:rFonts w:ascii="Cambria Math" w:hAnsi="Cambria Math"/>
          </w:rPr>
          <m:t>Π</m:t>
        </m:r>
      </m:oMath>
      <w:r w:rsidRPr="00A46D13">
        <w:t xml:space="preserve"> projects the state into the admissible interval. The first positive term represents verified learning while using AI. The second represents capability maintenance through verified human-led work. The negative term captures deskilling when automation is high and verification is weak. The final term provides mean reversion toward a baseline capability level.</w:t>
      </w:r>
    </w:p>
    <w:p w14:paraId="0AF3ABE2" w14:textId="77777777" w:rsidR="00235BC0" w:rsidRPr="00A46D13" w:rsidRDefault="00000000">
      <w:r w:rsidRPr="00A46D13">
        <w:t xml:space="preserve">Governance slightly attenuates the learning benefit of verified use through </w:t>
      </w:r>
      <m:oMath>
        <m:r>
          <w:rPr>
            <w:rFonts w:ascii="Cambria Math" w:hAnsi="Cambria Math"/>
          </w:rPr>
          <m:t>χ</m:t>
        </m:r>
      </m:oMath>
      <w:r w:rsidRPr="00A46D13">
        <w:t xml:space="preserve"> because overly procedural review can become box-ticking rather than substantive learning. This does not imply that governance is harmful. It captures the difference between an assurance process that invites diagnosis and one that only documents compliance. The compliance-heavy regime can therefore preserve safety while producing less net value than a more balanced regime.</w:t>
      </w:r>
    </w:p>
    <w:p w14:paraId="4115AC88" w14:textId="77777777" w:rsidR="00235BC0" w:rsidRPr="00A46D13" w:rsidRDefault="00000000">
      <w:pPr>
        <w:keepNext/>
        <w:spacing w:before="120"/>
        <w:jc w:val="left"/>
      </w:pPr>
      <w:r w:rsidRPr="00A46D13">
        <w:rPr>
          <w:b/>
          <w:bCs/>
          <w:sz w:val="22"/>
        </w:rPr>
        <w:t xml:space="preserve">3.7 </w:t>
      </w:r>
      <w:proofErr w:type="spellStart"/>
      <w:r w:rsidRPr="00A46D13">
        <w:rPr>
          <w:b/>
          <w:bCs/>
          <w:sz w:val="22"/>
        </w:rPr>
        <w:t>Organisational</w:t>
      </w:r>
      <w:proofErr w:type="spellEnd"/>
      <w:r w:rsidRPr="00A46D13">
        <w:rPr>
          <w:b/>
          <w:bCs/>
          <w:sz w:val="22"/>
        </w:rPr>
        <w:t xml:space="preserve"> Resilience and Shock Loss</w:t>
      </w:r>
    </w:p>
    <w:p w14:paraId="7788B66B" w14:textId="77777777" w:rsidR="00235BC0" w:rsidRPr="00A46D13" w:rsidRDefault="00000000">
      <w:r w:rsidRPr="00A46D13">
        <w:t>The desired resilience level is:</w:t>
      </w:r>
    </w:p>
    <w:tbl>
      <w:tblPr>
        <w:tblW w:w="9360" w:type="dxa"/>
        <w:jc w:val="center"/>
        <w:tblLayout w:type="fixed"/>
        <w:tblLook w:val="0020" w:firstRow="1" w:lastRow="0" w:firstColumn="0" w:lastColumn="0" w:noHBand="0" w:noVBand="0"/>
      </w:tblPr>
      <w:tblGrid>
        <w:gridCol w:w="8520"/>
        <w:gridCol w:w="840"/>
      </w:tblGrid>
      <w:tr w:rsidR="00235BC0" w:rsidRPr="00A46D13" w14:paraId="53AA7578" w14:textId="77777777">
        <w:trPr>
          <w:cantSplit/>
          <w:tblHeader/>
          <w:jc w:val="center"/>
        </w:trPr>
        <w:tc>
          <w:tcPr>
            <w:tcW w:w="8520" w:type="dxa"/>
            <w:tcMar>
              <w:top w:w="45" w:type="dxa"/>
              <w:left w:w="55" w:type="dxa"/>
              <w:bottom w:w="45" w:type="dxa"/>
              <w:right w:w="55" w:type="dxa"/>
            </w:tcMar>
            <w:vAlign w:val="center"/>
          </w:tcPr>
          <w:p w14:paraId="52CB1EFB" w14:textId="77777777" w:rsidR="00235BC0" w:rsidRPr="0078639E" w:rsidRDefault="00000000">
            <w:pPr>
              <w:spacing w:after="0"/>
              <w:jc w:val="center"/>
              <w:rPr>
                <w:lang w:val="nl-BE"/>
              </w:rPr>
            </w:pPr>
            <m:oMathPara>
              <m:oMathParaPr>
                <m:jc m:val="center"/>
              </m:oMathParaPr>
              <m:oMath>
                <m:sSubSup>
                  <m:sSubSupPr>
                    <m:ctrlPr>
                      <w:rPr>
                        <w:rFonts w:ascii="Cambria Math" w:hAnsi="Cambria Math"/>
                      </w:rPr>
                    </m:ctrlPr>
                  </m:sSubSupPr>
                  <m:e>
                    <m:r>
                      <w:rPr>
                        <w:rFonts w:ascii="Cambria Math" w:hAnsi="Cambria Math"/>
                      </w:rPr>
                      <m:t>R</m:t>
                    </m:r>
                  </m:e>
                  <m:sub>
                    <m:r>
                      <w:rPr>
                        <w:rFonts w:ascii="Cambria Math" w:hAnsi="Cambria Math"/>
                      </w:rPr>
                      <m:t>t</m:t>
                    </m:r>
                  </m:sub>
                  <m:sup>
                    <m:r>
                      <m:rPr>
                        <m:sty m:val="p"/>
                      </m:rPr>
                      <w:rPr>
                        <w:rFonts w:ascii="Cambria Math" w:hAnsi="Cambria Math"/>
                        <w:lang w:val="nl-BE"/>
                      </w:rPr>
                      <m:t>⋆</m:t>
                    </m:r>
                  </m:sup>
                </m:sSubSup>
                <m:r>
                  <m:rPr>
                    <m:sty m:val="p"/>
                  </m:rPr>
                  <w:rPr>
                    <w:rFonts w:ascii="Cambria Math" w:hAnsi="Cambria Math"/>
                    <w:lang w:val="nl-BE"/>
                  </w:rPr>
                  <m:t>=</m:t>
                </m:r>
                <m:r>
                  <w:rPr>
                    <w:rFonts w:ascii="Cambria Math" w:hAnsi="Cambria Math"/>
                    <w:lang w:val="nl-BE"/>
                  </w:rPr>
                  <m:t>0.34</m:t>
                </m:r>
                <m:r>
                  <m:rPr>
                    <m:sty m:val="p"/>
                  </m:rPr>
                  <w:rPr>
                    <w:rFonts w:ascii="Cambria Math" w:hAnsi="Cambria Math"/>
                    <w:lang w:val="nl-BE"/>
                  </w:rPr>
                  <m:t>+</m:t>
                </m:r>
                <m:r>
                  <w:rPr>
                    <w:rFonts w:ascii="Cambria Math" w:hAnsi="Cambria Math"/>
                    <w:lang w:val="nl-BE"/>
                  </w:rPr>
                  <m:t>0.34</m:t>
                </m:r>
                <m:sSub>
                  <m:sSubPr>
                    <m:ctrlPr>
                      <w:rPr>
                        <w:rFonts w:ascii="Cambria Math" w:hAnsi="Cambria Math"/>
                      </w:rPr>
                    </m:ctrlPr>
                  </m:sSubPr>
                  <m:e>
                    <m:r>
                      <w:rPr>
                        <w:rFonts w:ascii="Cambria Math" w:hAnsi="Cambria Math"/>
                      </w:rPr>
                      <m:t>H</m:t>
                    </m:r>
                  </m:e>
                  <m:sub>
                    <m:r>
                      <w:rPr>
                        <w:rFonts w:ascii="Cambria Math" w:hAnsi="Cambria Math"/>
                      </w:rPr>
                      <m:t>t</m:t>
                    </m:r>
                  </m:sub>
                </m:sSub>
                <m:r>
                  <m:rPr>
                    <m:sty m:val="p"/>
                  </m:rPr>
                  <w:rPr>
                    <w:rFonts w:ascii="Cambria Math" w:hAnsi="Cambria Math"/>
                    <w:lang w:val="nl-BE"/>
                  </w:rPr>
                  <m:t>+</m:t>
                </m:r>
                <m:r>
                  <w:rPr>
                    <w:rFonts w:ascii="Cambria Math" w:hAnsi="Cambria Math"/>
                    <w:lang w:val="nl-BE"/>
                  </w:rPr>
                  <m:t>0.27</m:t>
                </m:r>
                <m:sSub>
                  <m:sSubPr>
                    <m:ctrlPr>
                      <w:rPr>
                        <w:rFonts w:ascii="Cambria Math" w:hAnsi="Cambria Math"/>
                      </w:rPr>
                    </m:ctrlPr>
                  </m:sSubPr>
                  <m:e>
                    <m:r>
                      <w:rPr>
                        <w:rFonts w:ascii="Cambria Math" w:hAnsi="Cambria Math"/>
                      </w:rPr>
                      <m:t>g</m:t>
                    </m:r>
                  </m:e>
                  <m:sub>
                    <m:r>
                      <w:rPr>
                        <w:rFonts w:ascii="Cambria Math" w:hAnsi="Cambria Math"/>
                      </w:rPr>
                      <m:t>t</m:t>
                    </m:r>
                  </m:sub>
                </m:sSub>
                <m:sSub>
                  <m:sSubPr>
                    <m:ctrlPr>
                      <w:rPr>
                        <w:rFonts w:ascii="Cambria Math" w:hAnsi="Cambria Math"/>
                      </w:rPr>
                    </m:ctrlPr>
                  </m:sSubPr>
                  <m:e>
                    <m:r>
                      <w:rPr>
                        <w:rFonts w:ascii="Cambria Math" w:hAnsi="Cambria Math"/>
                      </w:rPr>
                      <m:t>v</m:t>
                    </m:r>
                  </m:e>
                  <m:sub>
                    <m:r>
                      <w:rPr>
                        <w:rFonts w:ascii="Cambria Math" w:hAnsi="Cambria Math"/>
                      </w:rPr>
                      <m:t>t</m:t>
                    </m:r>
                  </m:sub>
                </m:sSub>
                <m:r>
                  <m:rPr>
                    <m:sty m:val="p"/>
                  </m:rPr>
                  <w:rPr>
                    <w:rFonts w:ascii="Cambria Math" w:hAnsi="Cambria Math"/>
                    <w:lang w:val="nl-BE"/>
                  </w:rPr>
                  <m:t>-</m:t>
                </m:r>
                <m:r>
                  <w:rPr>
                    <w:rFonts w:ascii="Cambria Math" w:hAnsi="Cambria Math"/>
                    <w:lang w:val="nl-BE"/>
                  </w:rPr>
                  <m:t>0.055</m:t>
                </m:r>
                <m:r>
                  <m:rPr>
                    <m:nor/>
                  </m:rPr>
                  <w:rPr>
                    <w:lang w:val="nl-BE"/>
                  </w:rPr>
                  <m:t>min</m:t>
                </m:r>
                <m:d>
                  <m:dPr>
                    <m:ctrlPr>
                      <w:rPr>
                        <w:rFonts w:ascii="Cambria Math" w:hAnsi="Cambria Math"/>
                      </w:rPr>
                    </m:ctrlPr>
                  </m:dPr>
                  <m:e>
                    <m:sSub>
                      <m:sSubPr>
                        <m:ctrlPr>
                          <w:rPr>
                            <w:rFonts w:ascii="Cambria Math" w:hAnsi="Cambria Math"/>
                          </w:rPr>
                        </m:ctrlPr>
                      </m:sSubPr>
                      <m:e>
                        <m:r>
                          <w:rPr>
                            <w:rFonts w:ascii="Cambria Math" w:hAnsi="Cambria Math"/>
                          </w:rPr>
                          <m:t>D</m:t>
                        </m:r>
                      </m:e>
                      <m:sub>
                        <m:r>
                          <w:rPr>
                            <w:rFonts w:ascii="Cambria Math" w:hAnsi="Cambria Math"/>
                          </w:rPr>
                          <m:t>t</m:t>
                        </m:r>
                      </m:sub>
                    </m:sSub>
                    <m:r>
                      <m:rPr>
                        <m:sty m:val="p"/>
                      </m:rPr>
                      <w:rPr>
                        <w:rFonts w:ascii="Cambria Math" w:hAnsi="Cambria Math"/>
                        <w:lang w:val="nl-BE"/>
                      </w:rPr>
                      <m:t>,</m:t>
                    </m:r>
                    <m:r>
                      <w:rPr>
                        <w:rFonts w:ascii="Cambria Math" w:hAnsi="Cambria Math"/>
                        <w:lang w:val="nl-BE"/>
                      </w:rPr>
                      <m:t>5</m:t>
                    </m:r>
                  </m:e>
                </m:d>
                <m:r>
                  <m:rPr>
                    <m:sty m:val="p"/>
                  </m:rPr>
                  <w:rPr>
                    <w:rFonts w:ascii="Cambria Math" w:hAnsi="Cambria Math"/>
                    <w:lang w:val="nl-BE"/>
                  </w:rPr>
                  <m:t>.</m:t>
                </m:r>
              </m:oMath>
            </m:oMathPara>
          </w:p>
        </w:tc>
        <w:tc>
          <w:tcPr>
            <w:tcW w:w="840" w:type="dxa"/>
            <w:tcMar>
              <w:top w:w="45" w:type="dxa"/>
              <w:left w:w="55" w:type="dxa"/>
              <w:bottom w:w="45" w:type="dxa"/>
              <w:right w:w="55" w:type="dxa"/>
            </w:tcMar>
            <w:vAlign w:val="center"/>
          </w:tcPr>
          <w:p w14:paraId="5570639E" w14:textId="77777777" w:rsidR="00235BC0" w:rsidRPr="00A46D13" w:rsidRDefault="00000000">
            <w:pPr>
              <w:spacing w:after="0"/>
              <w:jc w:val="right"/>
            </w:pPr>
            <w:r w:rsidRPr="00A46D13">
              <w:t>(6)</w:t>
            </w:r>
          </w:p>
        </w:tc>
      </w:tr>
    </w:tbl>
    <w:p w14:paraId="4D696AF6" w14:textId="77777777" w:rsidR="00235BC0" w:rsidRPr="00A46D13" w:rsidRDefault="00000000">
      <w:r w:rsidRPr="00A46D13">
        <w:t xml:space="preserve">Actual resilience adjusts gradually and can be reduced by </w:t>
      </w:r>
      <w:proofErr w:type="spellStart"/>
      <w:r w:rsidRPr="00A46D13">
        <w:t>realised</w:t>
      </w:r>
      <w:proofErr w:type="spellEnd"/>
      <w:r w:rsidRPr="00A46D13">
        <w:t xml:space="preserve"> shocks:</w:t>
      </w:r>
    </w:p>
    <w:tbl>
      <w:tblPr>
        <w:tblW w:w="9360" w:type="dxa"/>
        <w:jc w:val="center"/>
        <w:tblLayout w:type="fixed"/>
        <w:tblLook w:val="0020" w:firstRow="1" w:lastRow="0" w:firstColumn="0" w:lastColumn="0" w:noHBand="0" w:noVBand="0"/>
      </w:tblPr>
      <w:tblGrid>
        <w:gridCol w:w="8520"/>
        <w:gridCol w:w="840"/>
      </w:tblGrid>
      <w:tr w:rsidR="00235BC0" w:rsidRPr="00A46D13" w14:paraId="1DED7B54" w14:textId="77777777">
        <w:trPr>
          <w:cantSplit/>
          <w:tblHeader/>
          <w:jc w:val="center"/>
        </w:trPr>
        <w:tc>
          <w:tcPr>
            <w:tcW w:w="8520" w:type="dxa"/>
            <w:tcMar>
              <w:top w:w="45" w:type="dxa"/>
              <w:left w:w="55" w:type="dxa"/>
              <w:bottom w:w="45" w:type="dxa"/>
              <w:right w:w="55" w:type="dxa"/>
            </w:tcMar>
            <w:vAlign w:val="center"/>
          </w:tcPr>
          <w:p w14:paraId="60394E8F" w14:textId="77777777" w:rsidR="00235BC0" w:rsidRPr="00A46D13" w:rsidRDefault="00000000">
            <w:pPr>
              <w:spacing w:after="0"/>
              <w:jc w:val="center"/>
            </w:pPr>
            <m:oMathPara>
              <m:oMathParaPr>
                <m:jc m:val="center"/>
              </m:oMathParaPr>
              <m:oMath>
                <m:sSub>
                  <m:sSubPr>
                    <m:ctrlPr>
                      <w:rPr>
                        <w:rFonts w:ascii="Cambria Math" w:hAnsi="Cambria Math"/>
                      </w:rPr>
                    </m:ctrlPr>
                  </m:sSubPr>
                  <m:e>
                    <m:r>
                      <w:rPr>
                        <w:rFonts w:ascii="Cambria Math" w:hAnsi="Cambria Math"/>
                      </w:rPr>
                      <m:t>R</m:t>
                    </m:r>
                  </m:e>
                  <m:sub>
                    <m:r>
                      <w:rPr>
                        <w:rFonts w:ascii="Cambria Math" w:hAnsi="Cambria Math"/>
                      </w:rPr>
                      <m:t>t</m:t>
                    </m:r>
                    <m:r>
                      <m:rPr>
                        <m:sty m:val="p"/>
                      </m:rPr>
                      <w:rPr>
                        <w:rFonts w:ascii="Cambria Math" w:hAnsi="Cambria Math"/>
                      </w:rPr>
                      <m:t>+</m:t>
                    </m:r>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Π</m:t>
                    </m:r>
                  </m:e>
                  <m:sub>
                    <m:r>
                      <m:rPr>
                        <m:sty m:val="p"/>
                      </m:rPr>
                      <w:rPr>
                        <w:rFonts w:ascii="Cambria Math" w:hAnsi="Cambria Math"/>
                      </w:rPr>
                      <m:t>[</m:t>
                    </m:r>
                    <m:r>
                      <w:rPr>
                        <w:rFonts w:ascii="Cambria Math" w:hAnsi="Cambria Math"/>
                      </w:rPr>
                      <m:t>0.05</m:t>
                    </m:r>
                    <m:r>
                      <m:rPr>
                        <m:sty m:val="p"/>
                      </m:rPr>
                      <w:rPr>
                        <w:rFonts w:ascii="Cambria Math" w:hAnsi="Cambria Math"/>
                      </w:rPr>
                      <m:t>,</m:t>
                    </m:r>
                    <m:r>
                      <w:rPr>
                        <w:rFonts w:ascii="Cambria Math" w:hAnsi="Cambria Math"/>
                      </w:rPr>
                      <m:t>0.98</m:t>
                    </m:r>
                    <m:r>
                      <m:rPr>
                        <m:sty m:val="p"/>
                      </m:rPr>
                      <w:rPr>
                        <w:rFonts w:ascii="Cambria Math" w:hAnsi="Cambria Math"/>
                      </w:rPr>
                      <m:t>]</m:t>
                    </m:r>
                  </m:sub>
                </m:sSub>
                <m:d>
                  <m:dPr>
                    <m:begChr m:val="{"/>
                    <m:endChr m:val="}"/>
                    <m:ctrlPr>
                      <w:rPr>
                        <w:rFonts w:ascii="Cambria Math" w:hAnsi="Cambria Math"/>
                      </w:rPr>
                    </m:ctrlPr>
                  </m:dPr>
                  <m:e>
                    <m:sSub>
                      <m:sSubPr>
                        <m:ctrlPr>
                          <w:rPr>
                            <w:rFonts w:ascii="Cambria Math" w:hAnsi="Cambria Math"/>
                          </w:rPr>
                        </m:ctrlPr>
                      </m:sSubPr>
                      <m:e>
                        <m:r>
                          <w:rPr>
                            <w:rFonts w:ascii="Cambria Math" w:hAnsi="Cambria Math"/>
                          </w:rPr>
                          <m:t>R</m:t>
                        </m:r>
                      </m:e>
                      <m:sub>
                        <m:r>
                          <w:rPr>
                            <w:rFonts w:ascii="Cambria Math" w:hAnsi="Cambria Math"/>
                          </w:rPr>
                          <m:t>t</m:t>
                        </m:r>
                      </m:sub>
                    </m:sSub>
                    <m:r>
                      <m:rPr>
                        <m:sty m:val="p"/>
                      </m:rPr>
                      <w:rPr>
                        <w:rFonts w:ascii="Cambria Math" w:hAnsi="Cambria Math"/>
                      </w:rPr>
                      <m:t>+</m:t>
                    </m:r>
                    <m:r>
                      <w:rPr>
                        <w:rFonts w:ascii="Cambria Math" w:hAnsi="Cambria Math"/>
                      </w:rPr>
                      <m:t>0.12</m:t>
                    </m:r>
                    <m:d>
                      <m:dPr>
                        <m:ctrlPr>
                          <w:rPr>
                            <w:rFonts w:ascii="Cambria Math" w:hAnsi="Cambria Math"/>
                          </w:rPr>
                        </m:ctrlPr>
                      </m:dPr>
                      <m:e>
                        <m:sSubSup>
                          <m:sSubSupPr>
                            <m:ctrlPr>
                              <w:rPr>
                                <w:rFonts w:ascii="Cambria Math" w:hAnsi="Cambria Math"/>
                              </w:rPr>
                            </m:ctrlPr>
                          </m:sSubSupPr>
                          <m:e>
                            <m:r>
                              <w:rPr>
                                <w:rFonts w:ascii="Cambria Math" w:hAnsi="Cambria Math"/>
                              </w:rPr>
                              <m:t>R</m:t>
                            </m:r>
                          </m:e>
                          <m:sub>
                            <m:r>
                              <w:rPr>
                                <w:rFonts w:ascii="Cambria Math" w:hAnsi="Cambria Math"/>
                              </w:rPr>
                              <m:t>t</m:t>
                            </m:r>
                          </m:sub>
                          <m:sup>
                            <m:r>
                              <m:rPr>
                                <m:sty m:val="p"/>
                              </m:rPr>
                              <w:rPr>
                                <w:rFonts w:ascii="Cambria Math" w:hAnsi="Cambria Math"/>
                              </w:rPr>
                              <m:t>⋆</m:t>
                            </m:r>
                          </m:sup>
                        </m:sSubSup>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t</m:t>
                            </m:r>
                          </m:sub>
                        </m:sSub>
                      </m:e>
                    </m:d>
                    <m:r>
                      <m:rPr>
                        <m:sty m:val="p"/>
                      </m:rPr>
                      <w:rPr>
                        <w:rFonts w:ascii="Cambria Math" w:hAnsi="Cambria Math"/>
                      </w:rPr>
                      <m:t>-</m:t>
                    </m:r>
                    <m:r>
                      <w:rPr>
                        <w:rFonts w:ascii="Cambria Math" w:hAnsi="Cambria Math"/>
                      </w:rPr>
                      <m:t>0.055</m:t>
                    </m:r>
                    <m:sSub>
                      <m:sSubPr>
                        <m:ctrlPr>
                          <w:rPr>
                            <w:rFonts w:ascii="Cambria Math" w:hAnsi="Cambria Math"/>
                          </w:rPr>
                        </m:ctrlPr>
                      </m:sSubPr>
                      <m:e>
                        <m:r>
                          <w:rPr>
                            <w:rFonts w:ascii="Cambria Math" w:hAnsi="Cambria Math"/>
                          </w:rPr>
                          <m:t>I</m:t>
                        </m:r>
                      </m:e>
                      <m:sub>
                        <m:r>
                          <w:rPr>
                            <w:rFonts w:ascii="Cambria Math" w:hAnsi="Cambria Math"/>
                          </w:rPr>
                          <m:t>t</m:t>
                        </m:r>
                      </m:sub>
                    </m:sSub>
                    <m:sSub>
                      <m:sSubPr>
                        <m:ctrlPr>
                          <w:rPr>
                            <w:rFonts w:ascii="Cambria Math" w:hAnsi="Cambria Math"/>
                          </w:rPr>
                        </m:ctrlPr>
                      </m:sSubPr>
                      <m:e>
                        <m:r>
                          <w:rPr>
                            <w:rFonts w:ascii="Cambria Math" w:hAnsi="Cambria Math"/>
                          </w:rPr>
                          <m:t>S</m:t>
                        </m:r>
                      </m:e>
                      <m:sub>
                        <m:r>
                          <w:rPr>
                            <w:rFonts w:ascii="Cambria Math" w:hAnsi="Cambria Math"/>
                          </w:rPr>
                          <m:t>t</m:t>
                        </m:r>
                      </m:sub>
                    </m:sSub>
                    <m:d>
                      <m:dPr>
                        <m:ctrlPr>
                          <w:rPr>
                            <w:rFonts w:ascii="Cambria Math" w:hAnsi="Cambria Math"/>
                          </w:rPr>
                        </m:ctrlPr>
                      </m:dPr>
                      <m:e>
                        <m:r>
                          <w:rPr>
                            <w:rFonts w:ascii="Cambria Math" w:hAnsi="Cambria Math"/>
                          </w:rPr>
                          <m:t>0.5</m:t>
                        </m:r>
                        <m:r>
                          <m:rPr>
                            <m:sty m:val="p"/>
                          </m:rPr>
                          <w:rPr>
                            <w:rFonts w:ascii="Cambria Math" w:hAnsi="Cambria Math"/>
                          </w:rPr>
                          <m:t>+</m:t>
                        </m:r>
                        <m:r>
                          <w:rPr>
                            <w:rFonts w:ascii="Cambria Math" w:hAnsi="Cambria Math"/>
                          </w:rPr>
                          <m:t>0.1</m:t>
                        </m:r>
                        <m:sSub>
                          <m:sSubPr>
                            <m:ctrlPr>
                              <w:rPr>
                                <w:rFonts w:ascii="Cambria Math" w:hAnsi="Cambria Math"/>
                              </w:rPr>
                            </m:ctrlPr>
                          </m:sSubPr>
                          <m:e>
                            <m:r>
                              <w:rPr>
                                <w:rFonts w:ascii="Cambria Math" w:hAnsi="Cambria Math"/>
                              </w:rPr>
                              <m:t>D</m:t>
                            </m:r>
                          </m:e>
                          <m:sub>
                            <m:r>
                              <w:rPr>
                                <w:rFonts w:ascii="Cambria Math" w:hAnsi="Cambria Math"/>
                              </w:rPr>
                              <m:t>t</m:t>
                            </m:r>
                          </m:sub>
                        </m:sSub>
                      </m:e>
                    </m:d>
                  </m:e>
                </m:d>
                <m:r>
                  <m:rPr>
                    <m:sty m:val="p"/>
                  </m:rPr>
                  <w:rPr>
                    <w:rFonts w:ascii="Cambria Math" w:hAnsi="Cambria Math"/>
                  </w:rPr>
                  <m:t>.</m:t>
                </m:r>
              </m:oMath>
            </m:oMathPara>
          </w:p>
        </w:tc>
        <w:tc>
          <w:tcPr>
            <w:tcW w:w="840" w:type="dxa"/>
            <w:tcMar>
              <w:top w:w="45" w:type="dxa"/>
              <w:left w:w="55" w:type="dxa"/>
              <w:bottom w:w="45" w:type="dxa"/>
              <w:right w:w="55" w:type="dxa"/>
            </w:tcMar>
            <w:vAlign w:val="center"/>
          </w:tcPr>
          <w:p w14:paraId="1187B312" w14:textId="77777777" w:rsidR="00235BC0" w:rsidRPr="00A46D13" w:rsidRDefault="00000000">
            <w:pPr>
              <w:spacing w:after="0"/>
              <w:jc w:val="right"/>
            </w:pPr>
            <w:r w:rsidRPr="00A46D13">
              <w:t>(7)</w:t>
            </w:r>
          </w:p>
        </w:tc>
      </w:tr>
    </w:tbl>
    <w:p w14:paraId="3AA10B6D" w14:textId="77777777" w:rsidR="00235BC0" w:rsidRPr="00A46D13" w:rsidRDefault="00000000">
      <w:r w:rsidRPr="00A46D13">
        <w:t xml:space="preserve">The shock indicator </w:t>
      </w:r>
      <m:oMath>
        <m:sSub>
          <m:sSubPr>
            <m:ctrlPr>
              <w:rPr>
                <w:rFonts w:ascii="Cambria Math" w:hAnsi="Cambria Math"/>
              </w:rPr>
            </m:ctrlPr>
          </m:sSubPr>
          <m:e>
            <m:r>
              <w:rPr>
                <w:rFonts w:ascii="Cambria Math" w:hAnsi="Cambria Math"/>
              </w:rPr>
              <m:t>I</m:t>
            </m:r>
          </m:e>
          <m:sub>
            <m:r>
              <w:rPr>
                <w:rFonts w:ascii="Cambria Math" w:hAnsi="Cambria Math"/>
              </w:rPr>
              <m:t>t</m:t>
            </m:r>
          </m:sub>
        </m:sSub>
      </m:oMath>
      <w:r w:rsidRPr="00A46D13">
        <w:t xml:space="preserve"> follows:</w:t>
      </w:r>
    </w:p>
    <w:tbl>
      <w:tblPr>
        <w:tblW w:w="9360" w:type="dxa"/>
        <w:jc w:val="center"/>
        <w:tblLayout w:type="fixed"/>
        <w:tblLook w:val="0020" w:firstRow="1" w:lastRow="0" w:firstColumn="0" w:lastColumn="0" w:noHBand="0" w:noVBand="0"/>
      </w:tblPr>
      <w:tblGrid>
        <w:gridCol w:w="8520"/>
        <w:gridCol w:w="840"/>
      </w:tblGrid>
      <w:tr w:rsidR="00235BC0" w:rsidRPr="00A46D13" w14:paraId="0A879A72" w14:textId="77777777">
        <w:trPr>
          <w:cantSplit/>
          <w:tblHeader/>
          <w:jc w:val="center"/>
        </w:trPr>
        <w:tc>
          <w:tcPr>
            <w:tcW w:w="8520" w:type="dxa"/>
            <w:tcMar>
              <w:top w:w="45" w:type="dxa"/>
              <w:left w:w="55" w:type="dxa"/>
              <w:bottom w:w="45" w:type="dxa"/>
              <w:right w:w="55" w:type="dxa"/>
            </w:tcMar>
            <w:vAlign w:val="center"/>
          </w:tcPr>
          <w:p w14:paraId="4F401A21" w14:textId="77777777" w:rsidR="00235BC0" w:rsidRPr="00A46D13" w:rsidRDefault="00000000">
            <w:pPr>
              <w:spacing w:after="0"/>
              <w:jc w:val="center"/>
            </w:pPr>
            <w:proofErr w:type="spellStart"/>
            <m:oMathPara>
              <m:oMathParaPr>
                <m:jc m:val="center"/>
              </m:oMathParaPr>
              <m:oMath>
                <m:r>
                  <m:rPr>
                    <m:nor/>
                  </m:rPr>
                  <m:t>Pr</m:t>
                </m:r>
                <w:proofErr w:type="spellEnd"/>
                <m:d>
                  <m:dPr>
                    <m:ctrlPr>
                      <w:rPr>
                        <w:rFonts w:ascii="Cambria Math" w:hAnsi="Cambria Math"/>
                      </w:rPr>
                    </m:ctrlPr>
                  </m:dPr>
                  <m:e>
                    <m:sSub>
                      <m:sSubPr>
                        <m:ctrlPr>
                          <w:rPr>
                            <w:rFonts w:ascii="Cambria Math" w:hAnsi="Cambria Math"/>
                          </w:rPr>
                        </m:ctrlPr>
                      </m:sSubPr>
                      <m:e>
                        <m:r>
                          <w:rPr>
                            <w:rFonts w:ascii="Cambria Math" w:hAnsi="Cambria Math"/>
                          </w:rPr>
                          <m:t>I</m:t>
                        </m:r>
                      </m:e>
                      <m:sub>
                        <m:r>
                          <w:rPr>
                            <w:rFonts w:ascii="Cambria Math" w:hAnsi="Cambria Math"/>
                          </w:rPr>
                          <m:t>t</m:t>
                        </m:r>
                      </m:sub>
                    </m:sSub>
                    <m:r>
                      <m:rPr>
                        <m:sty m:val="p"/>
                      </m:rPr>
                      <w:rPr>
                        <w:rFonts w:ascii="Cambria Math" w:hAnsi="Cambria Math"/>
                      </w:rPr>
                      <m:t>=</m:t>
                    </m:r>
                    <m:r>
                      <w:rPr>
                        <w:rFonts w:ascii="Cambria Math" w:hAnsi="Cambria Math"/>
                      </w:rPr>
                      <m:t>1</m:t>
                    </m:r>
                  </m:e>
                </m:d>
                <m:r>
                  <m:rPr>
                    <m:sty m:val="p"/>
                  </m:rPr>
                  <w:rPr>
                    <w:rFonts w:ascii="Cambria Math" w:hAnsi="Cambria Math"/>
                  </w:rPr>
                  <m:t>=</m:t>
                </m:r>
                <m:r>
                  <m:rPr>
                    <m:nor/>
                  </m:rPr>
                  <m:t>clip</m:t>
                </m:r>
                <m:d>
                  <m:dPr>
                    <m:begChr m:val="["/>
                    <m:endChr m:val="]"/>
                    <m:ctrlPr>
                      <w:rPr>
                        <w:rFonts w:ascii="Cambria Math" w:hAnsi="Cambria Math"/>
                      </w:rPr>
                    </m:ctrlPr>
                  </m:dPr>
                  <m:e>
                    <m:r>
                      <w:rPr>
                        <w:rFonts w:ascii="Cambria Math" w:hAnsi="Cambria Math"/>
                      </w:rPr>
                      <m:t>0.035</m:t>
                    </m:r>
                    <m:r>
                      <m:rPr>
                        <m:sty m:val="p"/>
                      </m:rPr>
                      <w:rPr>
                        <w:rFonts w:ascii="Cambria Math" w:hAnsi="Cambria Math"/>
                      </w:rPr>
                      <m:t>+</m:t>
                    </m:r>
                    <m:r>
                      <w:rPr>
                        <w:rFonts w:ascii="Cambria Math" w:hAnsi="Cambria Math"/>
                      </w:rPr>
                      <m:t>0.13</m:t>
                    </m:r>
                    <m:sSub>
                      <m:sSubPr>
                        <m:ctrlPr>
                          <w:rPr>
                            <w:rFonts w:ascii="Cambria Math" w:hAnsi="Cambria Math"/>
                          </w:rPr>
                        </m:ctrlPr>
                      </m:sSubPr>
                      <m:e>
                        <m:r>
                          <w:rPr>
                            <w:rFonts w:ascii="Cambria Math" w:hAnsi="Cambria Math"/>
                          </w:rPr>
                          <m:t>u</m:t>
                        </m:r>
                      </m:e>
                      <m:sub>
                        <m:r>
                          <w:rPr>
                            <w:rFonts w:ascii="Cambria Math" w:hAnsi="Cambria Math"/>
                          </w:rPr>
                          <m:t>t</m:t>
                        </m:r>
                      </m:sub>
                    </m:sSub>
                    <m:r>
                      <m:rPr>
                        <m:sty m:val="p"/>
                      </m:rPr>
                      <w:rPr>
                        <w:rFonts w:ascii="Cambria Math" w:hAnsi="Cambria Math"/>
                      </w:rPr>
                      <m:t>+</m:t>
                    </m:r>
                    <m:r>
                      <w:rPr>
                        <w:rFonts w:ascii="Cambria Math" w:hAnsi="Cambria Math"/>
                      </w:rPr>
                      <m:t>0.018</m:t>
                    </m:r>
                    <m:sSub>
                      <m:sSubPr>
                        <m:ctrlPr>
                          <w:rPr>
                            <w:rFonts w:ascii="Cambria Math" w:hAnsi="Cambria Math"/>
                          </w:rPr>
                        </m:ctrlPr>
                      </m:sSubPr>
                      <m:e>
                        <m:r>
                          <w:rPr>
                            <w:rFonts w:ascii="Cambria Math" w:hAnsi="Cambria Math"/>
                          </w:rPr>
                          <m:t>a</m:t>
                        </m:r>
                      </m:e>
                      <m:sub>
                        <m:r>
                          <w:rPr>
                            <w:rFonts w:ascii="Cambria Math" w:hAnsi="Cambria Math"/>
                          </w:rPr>
                          <m:t>t</m:t>
                        </m:r>
                      </m:sub>
                    </m:sSub>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t</m:t>
                            </m:r>
                          </m:sub>
                        </m:sSub>
                      </m:e>
                    </m:d>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0.25</m:t>
                    </m:r>
                  </m:e>
                </m:d>
                <m:r>
                  <m:rPr>
                    <m:sty m:val="p"/>
                  </m:rPr>
                  <w:rPr>
                    <w:rFonts w:ascii="Cambria Math" w:hAnsi="Cambria Math"/>
                  </w:rPr>
                  <m:t>.</m:t>
                </m:r>
              </m:oMath>
            </m:oMathPara>
          </w:p>
        </w:tc>
        <w:tc>
          <w:tcPr>
            <w:tcW w:w="840" w:type="dxa"/>
            <w:tcMar>
              <w:top w:w="45" w:type="dxa"/>
              <w:left w:w="55" w:type="dxa"/>
              <w:bottom w:w="45" w:type="dxa"/>
              <w:right w:w="55" w:type="dxa"/>
            </w:tcMar>
            <w:vAlign w:val="center"/>
          </w:tcPr>
          <w:p w14:paraId="69375368" w14:textId="77777777" w:rsidR="00235BC0" w:rsidRPr="00A46D13" w:rsidRDefault="00000000">
            <w:pPr>
              <w:spacing w:after="0"/>
              <w:jc w:val="right"/>
            </w:pPr>
            <w:r w:rsidRPr="00A46D13">
              <w:t>(8)</w:t>
            </w:r>
          </w:p>
        </w:tc>
      </w:tr>
    </w:tbl>
    <w:p w14:paraId="0F3CBCD7" w14:textId="77777777" w:rsidR="00235BC0" w:rsidRPr="00A46D13" w:rsidRDefault="00000000">
      <w:r w:rsidRPr="00A46D13">
        <w:t xml:space="preserve">Conditional shock severity </w:t>
      </w:r>
      <m:oMath>
        <m:sSub>
          <m:sSubPr>
            <m:ctrlPr>
              <w:rPr>
                <w:rFonts w:ascii="Cambria Math" w:hAnsi="Cambria Math"/>
              </w:rPr>
            </m:ctrlPr>
          </m:sSubPr>
          <m:e>
            <m:r>
              <w:rPr>
                <w:rFonts w:ascii="Cambria Math" w:hAnsi="Cambria Math"/>
              </w:rPr>
              <m:t>S</m:t>
            </m:r>
          </m:e>
          <m:sub>
            <m:r>
              <w:rPr>
                <w:rFonts w:ascii="Cambria Math" w:hAnsi="Cambria Math"/>
              </w:rPr>
              <m:t>t</m:t>
            </m:r>
          </m:sub>
        </m:sSub>
      </m:oMath>
      <w:r w:rsidRPr="00A46D13">
        <w:t xml:space="preserve"> is lognormally distributed. Realised shock loss is:</w:t>
      </w:r>
    </w:p>
    <w:tbl>
      <w:tblPr>
        <w:tblW w:w="9360" w:type="dxa"/>
        <w:jc w:val="center"/>
        <w:tblLayout w:type="fixed"/>
        <w:tblLook w:val="0020" w:firstRow="1" w:lastRow="0" w:firstColumn="0" w:lastColumn="0" w:noHBand="0" w:noVBand="0"/>
      </w:tblPr>
      <w:tblGrid>
        <w:gridCol w:w="8520"/>
        <w:gridCol w:w="840"/>
      </w:tblGrid>
      <w:tr w:rsidR="00235BC0" w:rsidRPr="00A46D13" w14:paraId="240B2754" w14:textId="77777777">
        <w:trPr>
          <w:cantSplit/>
          <w:tblHeader/>
          <w:jc w:val="center"/>
        </w:trPr>
        <w:tc>
          <w:tcPr>
            <w:tcW w:w="8520" w:type="dxa"/>
            <w:tcMar>
              <w:top w:w="45" w:type="dxa"/>
              <w:left w:w="55" w:type="dxa"/>
              <w:bottom w:w="45" w:type="dxa"/>
              <w:right w:w="55" w:type="dxa"/>
            </w:tcMar>
            <w:vAlign w:val="center"/>
          </w:tcPr>
          <w:p w14:paraId="28254B24" w14:textId="77777777" w:rsidR="00235BC0" w:rsidRPr="00A46D13" w:rsidRDefault="00000000">
            <w:pPr>
              <w:spacing w:after="0"/>
              <w:jc w:val="center"/>
            </w:pPr>
            <m:oMathPara>
              <m:oMathParaPr>
                <m:jc m:val="center"/>
              </m:oMathParaPr>
              <m:oMath>
                <m:sSubSup>
                  <m:sSubSupPr>
                    <m:ctrlPr>
                      <w:rPr>
                        <w:rFonts w:ascii="Cambria Math" w:hAnsi="Cambria Math"/>
                      </w:rPr>
                    </m:ctrlPr>
                  </m:sSubSupPr>
                  <m:e>
                    <m:r>
                      <w:rPr>
                        <w:rFonts w:ascii="Cambria Math" w:hAnsi="Cambria Math"/>
                      </w:rPr>
                      <m:t>L</m:t>
                    </m:r>
                  </m:e>
                  <m:sub>
                    <m:r>
                      <w:rPr>
                        <w:rFonts w:ascii="Cambria Math" w:hAnsi="Cambria Math"/>
                      </w:rPr>
                      <m:t>t</m:t>
                    </m:r>
                  </m:sub>
                  <m:sup>
                    <m:r>
                      <w:rPr>
                        <w:rFonts w:ascii="Cambria Math" w:hAnsi="Cambria Math"/>
                      </w:rPr>
                      <m:t>S</m:t>
                    </m:r>
                  </m:sup>
                </m:sSubSup>
                <m:r>
                  <m:rPr>
                    <m:sty m:val="p"/>
                  </m:rP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0</m:t>
                    </m:r>
                  </m:sub>
                </m:sSub>
                <m:sSub>
                  <m:sSubPr>
                    <m:ctrlPr>
                      <w:rPr>
                        <w:rFonts w:ascii="Cambria Math" w:hAnsi="Cambria Math"/>
                      </w:rPr>
                    </m:ctrlPr>
                  </m:sSubPr>
                  <m:e>
                    <m:r>
                      <w:rPr>
                        <w:rFonts w:ascii="Cambria Math" w:hAnsi="Cambria Math"/>
                      </w:rPr>
                      <m:t>I</m:t>
                    </m:r>
                  </m:e>
                  <m:sub>
                    <m:r>
                      <w:rPr>
                        <w:rFonts w:ascii="Cambria Math" w:hAnsi="Cambria Math"/>
                      </w:rPr>
                      <m:t>t</m:t>
                    </m:r>
                  </m:sub>
                </m:sSub>
                <m:sSub>
                  <m:sSubPr>
                    <m:ctrlPr>
                      <w:rPr>
                        <w:rFonts w:ascii="Cambria Math" w:hAnsi="Cambria Math"/>
                      </w:rPr>
                    </m:ctrlPr>
                  </m:sSubPr>
                  <m:e>
                    <m:r>
                      <w:rPr>
                        <w:rFonts w:ascii="Cambria Math" w:hAnsi="Cambria Math"/>
                      </w:rPr>
                      <m:t>S</m:t>
                    </m:r>
                  </m:e>
                  <m:sub>
                    <m:r>
                      <w:rPr>
                        <w:rFonts w:ascii="Cambria Math" w:hAnsi="Cambria Math"/>
                      </w:rPr>
                      <m:t>t</m:t>
                    </m:r>
                  </m:sub>
                </m:sSub>
                <m:d>
                  <m:dPr>
                    <m:ctrlPr>
                      <w:rPr>
                        <w:rFonts w:ascii="Cambria Math" w:hAnsi="Cambria Math"/>
                      </w:rPr>
                    </m:ctrlPr>
                  </m:dPr>
                  <m:e>
                    <m:r>
                      <w:rPr>
                        <w:rFonts w:ascii="Cambria Math" w:hAnsi="Cambria Math"/>
                      </w:rPr>
                      <m:t>0.055</m:t>
                    </m:r>
                    <m:r>
                      <m:rPr>
                        <m:sty m:val="p"/>
                      </m:rPr>
                      <w:rPr>
                        <w:rFonts w:ascii="Cambria Math" w:hAnsi="Cambria Math"/>
                      </w:rPr>
                      <m:t>+</m:t>
                    </m:r>
                    <m:r>
                      <w:rPr>
                        <w:rFonts w:ascii="Cambria Math" w:hAnsi="Cambria Math"/>
                      </w:rPr>
                      <m:t>0.045</m:t>
                    </m:r>
                    <m:sSubSup>
                      <m:sSubSupPr>
                        <m:ctrlPr>
                          <w:rPr>
                            <w:rFonts w:ascii="Cambria Math" w:hAnsi="Cambria Math"/>
                          </w:rPr>
                        </m:ctrlPr>
                      </m:sSubSupPr>
                      <m:e>
                        <m:r>
                          <w:rPr>
                            <w:rFonts w:ascii="Cambria Math" w:hAnsi="Cambria Math"/>
                          </w:rPr>
                          <m:t>D</m:t>
                        </m:r>
                      </m:e>
                      <m:sub>
                        <m:r>
                          <w:rPr>
                            <w:rFonts w:ascii="Cambria Math" w:hAnsi="Cambria Math"/>
                          </w:rPr>
                          <m:t>t</m:t>
                        </m:r>
                      </m:sub>
                      <m:sup>
                        <m:r>
                          <w:rPr>
                            <w:rFonts w:ascii="Cambria Math" w:hAnsi="Cambria Math"/>
                          </w:rPr>
                          <m:t>1.35</m:t>
                        </m:r>
                      </m:sup>
                    </m:sSubSup>
                  </m:e>
                </m:d>
                <m:sSup>
                  <m:sSupPr>
                    <m:ctrlPr>
                      <w:rPr>
                        <w:rFonts w:ascii="Cambria Math" w:hAnsi="Cambria Math"/>
                      </w:rPr>
                    </m:ctrlPr>
                  </m:sSupPr>
                  <m:e>
                    <m:d>
                      <m:dPr>
                        <m:ctrlPr>
                          <w:rPr>
                            <w:rFonts w:ascii="Cambria Math" w:hAnsi="Cambria Math"/>
                          </w:rPr>
                        </m:ctrlPr>
                      </m:dPr>
                      <m:e>
                        <m:r>
                          <w:rPr>
                            <w:rFonts w:ascii="Cambria Math" w:hAnsi="Cambria Math"/>
                          </w:rPr>
                          <m:t>1.12</m:t>
                        </m:r>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t</m:t>
                            </m:r>
                          </m:sub>
                        </m:sSub>
                      </m:e>
                    </m:d>
                  </m:e>
                  <m:sup>
                    <m:r>
                      <w:rPr>
                        <w:rFonts w:ascii="Cambria Math" w:hAnsi="Cambria Math"/>
                      </w:rPr>
                      <m:t>1.15</m:t>
                    </m:r>
                  </m:sup>
                </m:sSup>
                <m:r>
                  <m:rPr>
                    <m:sty m:val="p"/>
                  </m:rPr>
                  <w:rPr>
                    <w:rFonts w:ascii="Cambria Math" w:hAnsi="Cambria Math"/>
                  </w:rPr>
                  <m:t>.</m:t>
                </m:r>
              </m:oMath>
            </m:oMathPara>
          </w:p>
        </w:tc>
        <w:tc>
          <w:tcPr>
            <w:tcW w:w="840" w:type="dxa"/>
            <w:tcMar>
              <w:top w:w="45" w:type="dxa"/>
              <w:left w:w="55" w:type="dxa"/>
              <w:bottom w:w="45" w:type="dxa"/>
              <w:right w:w="55" w:type="dxa"/>
            </w:tcMar>
            <w:vAlign w:val="center"/>
          </w:tcPr>
          <w:p w14:paraId="39C05F0C" w14:textId="77777777" w:rsidR="00235BC0" w:rsidRPr="00A46D13" w:rsidRDefault="00000000">
            <w:pPr>
              <w:spacing w:after="0"/>
              <w:jc w:val="right"/>
            </w:pPr>
            <w:r w:rsidRPr="00A46D13">
              <w:t>(9)</w:t>
            </w:r>
          </w:p>
        </w:tc>
      </w:tr>
    </w:tbl>
    <w:p w14:paraId="5AF07E6E" w14:textId="77777777" w:rsidR="00235BC0" w:rsidRPr="00A46D13" w:rsidRDefault="00000000">
      <w:r w:rsidRPr="00A46D13">
        <w:t xml:space="preserve">Debt increases shock loss because unresolved assumptions and weak evidence make unusual events harder to diagnose and contain. Resilience reduces the amplification. The model thereby distinguishes </w:t>
      </w:r>
      <w:r w:rsidRPr="00A46D13">
        <w:rPr>
          <w:i/>
          <w:iCs/>
        </w:rPr>
        <w:t>shock exposure</w:t>
      </w:r>
      <w:r w:rsidRPr="00A46D13">
        <w:t xml:space="preserve"> from </w:t>
      </w:r>
      <w:r w:rsidRPr="00A46D13">
        <w:rPr>
          <w:i/>
          <w:iCs/>
        </w:rPr>
        <w:t>shock absorption</w:t>
      </w:r>
      <w:r w:rsidRPr="00A46D13">
        <w:t xml:space="preserve">. Governance contributes to both by lowering the probability of uncontrolled action and strengthening the </w:t>
      </w:r>
      <w:proofErr w:type="spellStart"/>
      <w:r w:rsidRPr="00A46D13">
        <w:t>organisation’s</w:t>
      </w:r>
      <w:proofErr w:type="spellEnd"/>
      <w:r w:rsidRPr="00A46D13">
        <w:t xml:space="preserve"> response capacity.</w:t>
      </w:r>
    </w:p>
    <w:p w14:paraId="572F35A6" w14:textId="77777777" w:rsidR="00235BC0" w:rsidRPr="00A46D13" w:rsidRDefault="00000000">
      <w:pPr>
        <w:keepNext/>
        <w:spacing w:before="120"/>
        <w:jc w:val="left"/>
      </w:pPr>
      <w:r w:rsidRPr="00A46D13">
        <w:rPr>
          <w:b/>
          <w:bCs/>
          <w:sz w:val="22"/>
        </w:rPr>
        <w:t>3.8 Net Incremental Value and the Trap Condition</w:t>
      </w:r>
    </w:p>
    <w:p w14:paraId="492A0C87" w14:textId="77777777" w:rsidR="00235BC0" w:rsidRPr="00A46D13" w:rsidRDefault="00000000">
      <w:r w:rsidRPr="00A46D13">
        <w:t>Net incremental value is:</w:t>
      </w:r>
    </w:p>
    <w:tbl>
      <w:tblPr>
        <w:tblW w:w="9360" w:type="dxa"/>
        <w:jc w:val="center"/>
        <w:tblLayout w:type="fixed"/>
        <w:tblLook w:val="0020" w:firstRow="1" w:lastRow="0" w:firstColumn="0" w:lastColumn="0" w:noHBand="0" w:noVBand="0"/>
      </w:tblPr>
      <w:tblGrid>
        <w:gridCol w:w="8520"/>
        <w:gridCol w:w="840"/>
      </w:tblGrid>
      <w:tr w:rsidR="00235BC0" w:rsidRPr="00A46D13" w14:paraId="48DBBA70" w14:textId="77777777">
        <w:trPr>
          <w:cantSplit/>
          <w:tblHeader/>
          <w:jc w:val="center"/>
        </w:trPr>
        <w:tc>
          <w:tcPr>
            <w:tcW w:w="8520" w:type="dxa"/>
            <w:tcMar>
              <w:top w:w="45" w:type="dxa"/>
              <w:left w:w="55" w:type="dxa"/>
              <w:bottom w:w="45" w:type="dxa"/>
              <w:right w:w="55" w:type="dxa"/>
            </w:tcMar>
            <w:vAlign w:val="center"/>
          </w:tcPr>
          <w:p w14:paraId="6D2F6E1B" w14:textId="77777777" w:rsidR="00235BC0" w:rsidRPr="00A46D13" w:rsidRDefault="00000000">
            <w:pPr>
              <w:spacing w:after="0"/>
              <w:jc w:val="center"/>
            </w:pPr>
            <m:oMathPara>
              <m:oMathParaPr>
                <m:jc m:val="center"/>
              </m:oMathParaPr>
              <m:oMath>
                <m:r>
                  <w:rPr>
                    <w:rFonts w:ascii="Cambria Math" w:hAnsi="Cambria Math"/>
                  </w:rPr>
                  <m:t>N</m:t>
                </m:r>
                <m:sSub>
                  <m:sSubPr>
                    <m:ctrlPr>
                      <w:rPr>
                        <w:rFonts w:ascii="Cambria Math" w:hAnsi="Cambria Math"/>
                      </w:rPr>
                    </m:ctrlPr>
                  </m:sSubPr>
                  <m:e>
                    <m:r>
                      <w:rPr>
                        <w:rFonts w:ascii="Cambria Math" w:hAnsi="Cambria Math"/>
                      </w:rPr>
                      <m:t>V</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0</m:t>
                    </m:r>
                  </m:sub>
                </m:sSub>
                <m:sSub>
                  <m:sSubPr>
                    <m:ctrlPr>
                      <w:rPr>
                        <w:rFonts w:ascii="Cambria Math" w:hAnsi="Cambria Math"/>
                      </w:rPr>
                    </m:ctrlPr>
                  </m:sSubPr>
                  <m:e>
                    <m:r>
                      <w:rPr>
                        <w:rFonts w:ascii="Cambria Math" w:hAnsi="Cambria Math"/>
                      </w:rPr>
                      <m:t>K</m:t>
                    </m:r>
                  </m:e>
                  <m:sub>
                    <m:r>
                      <w:rPr>
                        <w:rFonts w:ascii="Cambria Math" w:hAnsi="Cambria Math"/>
                      </w:rPr>
                      <m:t>t</m:t>
                    </m:r>
                  </m:sub>
                </m:sSub>
                <m:r>
                  <m:rPr>
                    <m:sty m:val="p"/>
                  </m:rPr>
                  <w:rPr>
                    <w:rFonts w:ascii="Cambria Math" w:hAnsi="Cambria Math"/>
                  </w:rPr>
                  <m:t>-</m:t>
                </m:r>
                <m:sSubSup>
                  <m:sSubSupPr>
                    <m:ctrlPr>
                      <w:rPr>
                        <w:rFonts w:ascii="Cambria Math" w:hAnsi="Cambria Math"/>
                      </w:rPr>
                    </m:ctrlPr>
                  </m:sSubSupPr>
                  <m:e>
                    <m:r>
                      <w:rPr>
                        <w:rFonts w:ascii="Cambria Math" w:hAnsi="Cambria Math"/>
                      </w:rPr>
                      <m:t>L</m:t>
                    </m:r>
                  </m:e>
                  <m:sub>
                    <m:r>
                      <w:rPr>
                        <w:rFonts w:ascii="Cambria Math" w:hAnsi="Cambria Math"/>
                      </w:rPr>
                      <m:t>t</m:t>
                    </m:r>
                  </m:sub>
                  <m:sup>
                    <m:r>
                      <w:rPr>
                        <w:rFonts w:ascii="Cambria Math" w:hAnsi="Cambria Math"/>
                      </w:rPr>
                      <m:t>S</m:t>
                    </m:r>
                  </m:sup>
                </m:sSubSup>
                <m:r>
                  <m:rPr>
                    <m:sty m:val="p"/>
                  </m:rPr>
                  <w:rPr>
                    <w:rFonts w:ascii="Cambria Math" w:hAnsi="Cambria Math"/>
                  </w:rPr>
                  <m:t>+</m:t>
                </m:r>
                <m:sSub>
                  <m:sSubPr>
                    <m:ctrlPr>
                      <w:rPr>
                        <w:rFonts w:ascii="Cambria Math" w:hAnsi="Cambria Math"/>
                      </w:rPr>
                    </m:ctrlPr>
                  </m:sSubPr>
                  <m:e>
                    <m:r>
                      <w:rPr>
                        <w:rFonts w:ascii="Cambria Math" w:hAnsi="Cambria Math"/>
                      </w:rPr>
                      <m:t>ϵ</m:t>
                    </m:r>
                  </m:e>
                  <m:sub>
                    <m:r>
                      <w:rPr>
                        <w:rFonts w:ascii="Cambria Math" w:hAnsi="Cambria Math"/>
                      </w:rPr>
                      <m:t>t</m:t>
                    </m:r>
                  </m:sub>
                </m:sSub>
                <m:r>
                  <m:rPr>
                    <m:sty m:val="p"/>
                  </m:rPr>
                  <w:rPr>
                    <w:rFonts w:ascii="Cambria Math" w:hAnsi="Cambria Math"/>
                  </w:rPr>
                  <m:t>.</m:t>
                </m:r>
              </m:oMath>
            </m:oMathPara>
          </w:p>
        </w:tc>
        <w:tc>
          <w:tcPr>
            <w:tcW w:w="840" w:type="dxa"/>
            <w:tcMar>
              <w:top w:w="45" w:type="dxa"/>
              <w:left w:w="55" w:type="dxa"/>
              <w:bottom w:w="45" w:type="dxa"/>
              <w:right w:w="55" w:type="dxa"/>
            </w:tcMar>
            <w:vAlign w:val="center"/>
          </w:tcPr>
          <w:p w14:paraId="4FA0048F" w14:textId="77777777" w:rsidR="00235BC0" w:rsidRPr="00A46D13" w:rsidRDefault="00000000">
            <w:pPr>
              <w:spacing w:after="0"/>
              <w:jc w:val="right"/>
            </w:pPr>
            <w:r w:rsidRPr="00A46D13">
              <w:t>(10)</w:t>
            </w:r>
          </w:p>
        </w:tc>
      </w:tr>
    </w:tbl>
    <w:p w14:paraId="308C4862" w14:textId="77777777" w:rsidR="00235BC0" w:rsidRPr="00A46D13" w:rsidRDefault="00000000">
      <w:r w:rsidRPr="00A46D13">
        <w:lastRenderedPageBreak/>
        <w:t xml:space="preserve">The </w:t>
      </w:r>
      <w:proofErr w:type="spellStart"/>
      <w:r w:rsidRPr="00A46D13">
        <w:t>normalised</w:t>
      </w:r>
      <w:proofErr w:type="spellEnd"/>
      <w:r w:rsidRPr="00A46D13">
        <w:t xml:space="preserve"> operating and debt-cost function is:</w:t>
      </w:r>
    </w:p>
    <w:tbl>
      <w:tblPr>
        <w:tblW w:w="9360" w:type="dxa"/>
        <w:jc w:val="center"/>
        <w:tblLayout w:type="fixed"/>
        <w:tblLook w:val="0020" w:firstRow="1" w:lastRow="0" w:firstColumn="0" w:lastColumn="0" w:noHBand="0" w:noVBand="0"/>
      </w:tblPr>
      <w:tblGrid>
        <w:gridCol w:w="8520"/>
        <w:gridCol w:w="840"/>
      </w:tblGrid>
      <w:tr w:rsidR="00235BC0" w:rsidRPr="00A46D13" w14:paraId="5B37BFF8" w14:textId="77777777">
        <w:trPr>
          <w:cantSplit/>
          <w:tblHeader/>
          <w:jc w:val="center"/>
        </w:trPr>
        <w:tc>
          <w:tcPr>
            <w:tcW w:w="8520" w:type="dxa"/>
            <w:tcMar>
              <w:top w:w="45" w:type="dxa"/>
              <w:left w:w="55" w:type="dxa"/>
              <w:bottom w:w="45" w:type="dxa"/>
              <w:right w:w="55" w:type="dxa"/>
            </w:tcMar>
            <w:vAlign w:val="center"/>
          </w:tcPr>
          <w:p w14:paraId="10C1AE72" w14:textId="77777777" w:rsidR="00235BC0" w:rsidRPr="00A46D13" w:rsidRDefault="00000000">
            <w:pPr>
              <w:spacing w:after="0"/>
              <w:jc w:val="center"/>
            </w:pPr>
            <m:oMathPara>
              <m:oMathParaPr>
                <m:jc m:val="center"/>
              </m:oMathParaPr>
              <m:oMath>
                <m:sSub>
                  <m:sSubPr>
                    <m:ctrlPr>
                      <w:rPr>
                        <w:rFonts w:ascii="Cambria Math" w:hAnsi="Cambria Math"/>
                      </w:rPr>
                    </m:ctrlPr>
                  </m:sSubPr>
                  <m:e>
                    <m:r>
                      <w:rPr>
                        <w:rFonts w:ascii="Cambria Math" w:hAnsi="Cambria Math"/>
                      </w:rPr>
                      <m:t>K</m:t>
                    </m:r>
                  </m:e>
                  <m:sub>
                    <m:r>
                      <w:rPr>
                        <w:rFonts w:ascii="Cambria Math" w:hAnsi="Cambria Math"/>
                      </w:rPr>
                      <m:t>t</m:t>
                    </m:r>
                  </m:sub>
                </m:sSub>
                <m:r>
                  <m:rPr>
                    <m:sty m:val="p"/>
                  </m:rPr>
                  <w:rPr>
                    <w:rFonts w:ascii="Cambria Math" w:hAnsi="Cambria Math"/>
                  </w:rPr>
                  <m:t>=</m:t>
                </m:r>
                <m:r>
                  <w:rPr>
                    <w:rFonts w:ascii="Cambria Math" w:hAnsi="Cambria Math"/>
                  </w:rPr>
                  <m:t>0.022</m:t>
                </m:r>
                <m:sSubSup>
                  <m:sSubSupPr>
                    <m:ctrlPr>
                      <w:rPr>
                        <w:rFonts w:ascii="Cambria Math" w:hAnsi="Cambria Math"/>
                      </w:rPr>
                    </m:ctrlPr>
                  </m:sSubSupPr>
                  <m:e>
                    <m:r>
                      <w:rPr>
                        <w:rFonts w:ascii="Cambria Math" w:hAnsi="Cambria Math"/>
                      </w:rPr>
                      <m:t>a</m:t>
                    </m:r>
                  </m:e>
                  <m:sub>
                    <m:r>
                      <w:rPr>
                        <w:rFonts w:ascii="Cambria Math" w:hAnsi="Cambria Math"/>
                      </w:rPr>
                      <m:t>t</m:t>
                    </m:r>
                  </m:sub>
                  <m:sup>
                    <m:r>
                      <w:rPr>
                        <w:rFonts w:ascii="Cambria Math" w:hAnsi="Cambria Math"/>
                      </w:rPr>
                      <m:t>2</m:t>
                    </m:r>
                  </m:sup>
                </m:sSubSup>
                <m:r>
                  <m:rPr>
                    <m:sty m:val="p"/>
                  </m:rPr>
                  <w:rPr>
                    <w:rFonts w:ascii="Cambria Math" w:hAnsi="Cambria Math"/>
                  </w:rPr>
                  <m:t>+</m:t>
                </m:r>
                <m:r>
                  <w:rPr>
                    <w:rFonts w:ascii="Cambria Math" w:hAnsi="Cambria Math"/>
                  </w:rPr>
                  <m:t>0.008</m:t>
                </m:r>
                <m:sSubSup>
                  <m:sSubSupPr>
                    <m:ctrlPr>
                      <w:rPr>
                        <w:rFonts w:ascii="Cambria Math" w:hAnsi="Cambria Math"/>
                      </w:rPr>
                    </m:ctrlPr>
                  </m:sSubSupPr>
                  <m:e>
                    <m:r>
                      <w:rPr>
                        <w:rFonts w:ascii="Cambria Math" w:hAnsi="Cambria Math"/>
                      </w:rPr>
                      <m:t>a</m:t>
                    </m:r>
                  </m:e>
                  <m:sub>
                    <m:r>
                      <w:rPr>
                        <w:rFonts w:ascii="Cambria Math" w:hAnsi="Cambria Math"/>
                      </w:rPr>
                      <m:t>t</m:t>
                    </m:r>
                  </m:sub>
                  <m:sup>
                    <m:r>
                      <w:rPr>
                        <w:rFonts w:ascii="Cambria Math" w:hAnsi="Cambria Math"/>
                      </w:rPr>
                      <m:t>4</m:t>
                    </m:r>
                  </m:sup>
                </m:sSubSup>
                <m:r>
                  <m:rPr>
                    <m:sty m:val="p"/>
                  </m:rPr>
                  <w:rPr>
                    <w:rFonts w:ascii="Cambria Math" w:hAnsi="Cambria Math"/>
                  </w:rPr>
                  <m:t>+</m:t>
                </m:r>
                <m:r>
                  <w:rPr>
                    <w:rFonts w:ascii="Cambria Math" w:hAnsi="Cambria Math"/>
                  </w:rPr>
                  <m:t>0.022</m:t>
                </m:r>
                <m:sSubSup>
                  <m:sSubSupPr>
                    <m:ctrlPr>
                      <w:rPr>
                        <w:rFonts w:ascii="Cambria Math" w:hAnsi="Cambria Math"/>
                      </w:rPr>
                    </m:ctrlPr>
                  </m:sSubSupPr>
                  <m:e>
                    <m:r>
                      <w:rPr>
                        <w:rFonts w:ascii="Cambria Math" w:hAnsi="Cambria Math"/>
                      </w:rPr>
                      <m:t>g</m:t>
                    </m:r>
                  </m:e>
                  <m:sub>
                    <m:r>
                      <w:rPr>
                        <w:rFonts w:ascii="Cambria Math" w:hAnsi="Cambria Math"/>
                      </w:rPr>
                      <m:t>t</m:t>
                    </m:r>
                  </m:sub>
                  <m:sup>
                    <m:r>
                      <w:rPr>
                        <w:rFonts w:ascii="Cambria Math" w:hAnsi="Cambria Math"/>
                      </w:rPr>
                      <m:t>2</m:t>
                    </m:r>
                  </m:sup>
                </m:sSubSup>
                <m:r>
                  <m:rPr>
                    <m:sty m:val="p"/>
                  </m:rPr>
                  <w:rPr>
                    <w:rFonts w:ascii="Cambria Math" w:hAnsi="Cambria Math"/>
                  </w:rPr>
                  <m:t>+</m:t>
                </m:r>
                <m:r>
                  <w:rPr>
                    <w:rFonts w:ascii="Cambria Math" w:hAnsi="Cambria Math"/>
                  </w:rPr>
                  <m:t>0.026</m:t>
                </m:r>
                <m:sSubSup>
                  <m:sSubSupPr>
                    <m:ctrlPr>
                      <w:rPr>
                        <w:rFonts w:ascii="Cambria Math" w:hAnsi="Cambria Math"/>
                      </w:rPr>
                    </m:ctrlPr>
                  </m:sSubSupPr>
                  <m:e>
                    <m:r>
                      <w:rPr>
                        <w:rFonts w:ascii="Cambria Math" w:hAnsi="Cambria Math"/>
                      </w:rPr>
                      <m:t>v</m:t>
                    </m:r>
                  </m:e>
                  <m:sub>
                    <m:r>
                      <w:rPr>
                        <w:rFonts w:ascii="Cambria Math" w:hAnsi="Cambria Math"/>
                      </w:rPr>
                      <m:t>t</m:t>
                    </m:r>
                  </m:sub>
                  <m:sup>
                    <m:r>
                      <w:rPr>
                        <w:rFonts w:ascii="Cambria Math" w:hAnsi="Cambria Math"/>
                      </w:rPr>
                      <m:t>2</m:t>
                    </m:r>
                  </m:sup>
                </m:sSubSup>
                <m:r>
                  <m:rPr>
                    <m:sty m:val="p"/>
                  </m:rPr>
                  <w:rPr>
                    <w:rFonts w:ascii="Cambria Math" w:hAnsi="Cambria Math"/>
                  </w:rPr>
                  <m:t>+</m:t>
                </m:r>
                <m:r>
                  <w:rPr>
                    <w:rFonts w:ascii="Cambria Math" w:hAnsi="Cambria Math"/>
                  </w:rPr>
                  <m:t>0.012</m:t>
                </m:r>
                <m:sSub>
                  <m:sSubPr>
                    <m:ctrlPr>
                      <w:rPr>
                        <w:rFonts w:ascii="Cambria Math" w:hAnsi="Cambria Math"/>
                      </w:rPr>
                    </m:ctrlPr>
                  </m:sSubPr>
                  <m:e>
                    <m:r>
                      <w:rPr>
                        <w:rFonts w:ascii="Cambria Math" w:hAnsi="Cambria Math"/>
                      </w:rPr>
                      <m:t>a</m:t>
                    </m:r>
                  </m:e>
                  <m:sub>
                    <m:r>
                      <w:rPr>
                        <w:rFonts w:ascii="Cambria Math" w:hAnsi="Cambria Math"/>
                      </w:rPr>
                      <m:t>t</m:t>
                    </m:r>
                  </m:sub>
                </m:sSub>
                <m:sSub>
                  <m:sSubPr>
                    <m:ctrlPr>
                      <w:rPr>
                        <w:rFonts w:ascii="Cambria Math" w:hAnsi="Cambria Math"/>
                      </w:rPr>
                    </m:ctrlPr>
                  </m:sSubPr>
                  <m:e>
                    <m:r>
                      <w:rPr>
                        <w:rFonts w:ascii="Cambria Math" w:hAnsi="Cambria Math"/>
                      </w:rPr>
                      <m:t>v</m:t>
                    </m:r>
                  </m:e>
                  <m:sub>
                    <m:r>
                      <w:rPr>
                        <w:rFonts w:ascii="Cambria Math" w:hAnsi="Cambria Math"/>
                      </w:rPr>
                      <m:t>t</m:t>
                    </m:r>
                  </m:sub>
                </m:sSub>
                <m:r>
                  <m:rPr>
                    <m:sty m:val="p"/>
                  </m:rPr>
                  <w:rPr>
                    <w:rFonts w:ascii="Cambria Math" w:hAnsi="Cambria Math"/>
                  </w:rPr>
                  <m:t>+</m:t>
                </m:r>
                <m:r>
                  <w:rPr>
                    <w:rFonts w:ascii="Cambria Math" w:hAnsi="Cambria Math"/>
                  </w:rPr>
                  <m:t>0.010</m:t>
                </m:r>
                <m:sSub>
                  <m:sSubPr>
                    <m:ctrlPr>
                      <w:rPr>
                        <w:rFonts w:ascii="Cambria Math" w:hAnsi="Cambria Math"/>
                      </w:rPr>
                    </m:ctrlPr>
                  </m:sSubPr>
                  <m:e>
                    <m:r>
                      <w:rPr>
                        <w:rFonts w:ascii="Cambria Math" w:hAnsi="Cambria Math"/>
                      </w:rPr>
                      <m:t>D</m:t>
                    </m:r>
                  </m:e>
                  <m:sub>
                    <m:r>
                      <w:rPr>
                        <w:rFonts w:ascii="Cambria Math" w:hAnsi="Cambria Math"/>
                      </w:rPr>
                      <m:t>t</m:t>
                    </m:r>
                  </m:sub>
                </m:sSub>
                <m:r>
                  <m:rPr>
                    <m:sty m:val="p"/>
                  </m:rPr>
                  <w:rPr>
                    <w:rFonts w:ascii="Cambria Math" w:hAnsi="Cambria Math"/>
                  </w:rPr>
                  <m:t>+</m:t>
                </m:r>
                <m:r>
                  <w:rPr>
                    <w:rFonts w:ascii="Cambria Math" w:hAnsi="Cambria Math"/>
                  </w:rPr>
                  <m:t>0.006</m:t>
                </m:r>
                <m:sSubSup>
                  <m:sSubSupPr>
                    <m:ctrlPr>
                      <w:rPr>
                        <w:rFonts w:ascii="Cambria Math" w:hAnsi="Cambria Math"/>
                      </w:rPr>
                    </m:ctrlPr>
                  </m:sSubSupPr>
                  <m:e>
                    <m:r>
                      <w:rPr>
                        <w:rFonts w:ascii="Cambria Math" w:hAnsi="Cambria Math"/>
                      </w:rPr>
                      <m:t>D</m:t>
                    </m:r>
                  </m:e>
                  <m:sub>
                    <m:r>
                      <w:rPr>
                        <w:rFonts w:ascii="Cambria Math" w:hAnsi="Cambria Math"/>
                      </w:rPr>
                      <m:t>t</m:t>
                    </m:r>
                  </m:sub>
                  <m:sup>
                    <m:r>
                      <w:rPr>
                        <w:rFonts w:ascii="Cambria Math" w:hAnsi="Cambria Math"/>
                      </w:rPr>
                      <m:t>2</m:t>
                    </m:r>
                  </m:sup>
                </m:sSubSup>
                <m:r>
                  <m:rPr>
                    <m:sty m:val="p"/>
                  </m:rPr>
                  <w:rPr>
                    <w:rFonts w:ascii="Cambria Math" w:hAnsi="Cambria Math"/>
                  </w:rPr>
                  <m:t>.</m:t>
                </m:r>
              </m:oMath>
            </m:oMathPara>
          </w:p>
        </w:tc>
        <w:tc>
          <w:tcPr>
            <w:tcW w:w="840" w:type="dxa"/>
            <w:tcMar>
              <w:top w:w="45" w:type="dxa"/>
              <w:left w:w="55" w:type="dxa"/>
              <w:bottom w:w="45" w:type="dxa"/>
              <w:right w:w="55" w:type="dxa"/>
            </w:tcMar>
            <w:vAlign w:val="center"/>
          </w:tcPr>
          <w:p w14:paraId="714E12E5" w14:textId="77777777" w:rsidR="00235BC0" w:rsidRPr="00A46D13" w:rsidRDefault="00000000">
            <w:pPr>
              <w:spacing w:after="0"/>
              <w:jc w:val="right"/>
            </w:pPr>
            <w:r w:rsidRPr="00A46D13">
              <w:t>(10a)</w:t>
            </w:r>
          </w:p>
        </w:tc>
      </w:tr>
    </w:tbl>
    <w:p w14:paraId="04CC72C6" w14:textId="77777777" w:rsidR="00235BC0" w:rsidRPr="00A46D13" w:rsidRDefault="00000000">
      <w:r w:rsidRPr="00A46D13">
        <w:t xml:space="preserve">Here, </w:t>
      </w:r>
      <m:oMath>
        <m:sSub>
          <m:sSubPr>
            <m:ctrlPr>
              <w:rPr>
                <w:rFonts w:ascii="Cambria Math" w:hAnsi="Cambria Math"/>
              </w:rPr>
            </m:ctrlPr>
          </m:sSubPr>
          <m:e>
            <m:r>
              <w:rPr>
                <w:rFonts w:ascii="Cambria Math" w:hAnsi="Cambria Math"/>
              </w:rPr>
              <m:t>ϵ</m:t>
            </m:r>
          </m:e>
          <m:sub>
            <m:r>
              <w:rPr>
                <w:rFonts w:ascii="Cambria Math" w:hAnsi="Cambria Math"/>
              </w:rPr>
              <m:t>t</m:t>
            </m:r>
          </m:sub>
        </m:sSub>
      </m:oMath>
      <w:r w:rsidRPr="00A46D13">
        <w:t xml:space="preserve"> is a zero-mean productivity noise term. Automation, governance, and verification all have costs. Automation includes a convex scaling cost to represent integration complexity. Governance and verification have direct operating costs. The interaction </w:t>
      </w:r>
      <m:oMath>
        <m:sSub>
          <m:sSubPr>
            <m:ctrlPr>
              <w:rPr>
                <w:rFonts w:ascii="Cambria Math" w:hAnsi="Cambria Math"/>
              </w:rPr>
            </m:ctrlPr>
          </m:sSubPr>
          <m:e>
            <m:r>
              <w:rPr>
                <w:rFonts w:ascii="Cambria Math" w:hAnsi="Cambria Math"/>
              </w:rPr>
              <m:t>a</m:t>
            </m:r>
          </m:e>
          <m:sub>
            <m:r>
              <w:rPr>
                <w:rFonts w:ascii="Cambria Math" w:hAnsi="Cambria Math"/>
              </w:rPr>
              <m:t>t</m:t>
            </m:r>
          </m:sub>
        </m:sSub>
        <m:sSub>
          <m:sSubPr>
            <m:ctrlPr>
              <w:rPr>
                <w:rFonts w:ascii="Cambria Math" w:hAnsi="Cambria Math"/>
              </w:rPr>
            </m:ctrlPr>
          </m:sSubPr>
          <m:e>
            <m:r>
              <w:rPr>
                <w:rFonts w:ascii="Cambria Math" w:hAnsi="Cambria Math"/>
              </w:rPr>
              <m:t>v</m:t>
            </m:r>
          </m:e>
          <m:sub>
            <m:r>
              <w:rPr>
                <w:rFonts w:ascii="Cambria Math" w:hAnsi="Cambria Math"/>
              </w:rPr>
              <m:t>t</m:t>
            </m:r>
          </m:sub>
        </m:sSub>
      </m:oMath>
      <w:r w:rsidRPr="00A46D13">
        <w:t xml:space="preserve"> captures the greater verification workload created when more work is delegated. Debt generates routine rework and coordination costs even before a major incident occurs.</w:t>
      </w:r>
    </w:p>
    <w:p w14:paraId="325BDC10" w14:textId="77777777" w:rsidR="00235BC0" w:rsidRPr="00A46D13" w:rsidRDefault="00000000">
      <w:r w:rsidRPr="00A46D13">
        <w:t xml:space="preserve">Cumulative value under regime </w:t>
      </w:r>
      <m:oMath>
        <m:r>
          <w:rPr>
            <w:rFonts w:ascii="Cambria Math" w:hAnsi="Cambria Math"/>
          </w:rPr>
          <m:t>r</m:t>
        </m:r>
      </m:oMath>
      <w:r w:rsidRPr="00A46D13">
        <w:t xml:space="preserve"> is:</w:t>
      </w:r>
    </w:p>
    <w:tbl>
      <w:tblPr>
        <w:tblW w:w="9360" w:type="dxa"/>
        <w:jc w:val="center"/>
        <w:tblLayout w:type="fixed"/>
        <w:tblLook w:val="0020" w:firstRow="1" w:lastRow="0" w:firstColumn="0" w:lastColumn="0" w:noHBand="0" w:noVBand="0"/>
      </w:tblPr>
      <w:tblGrid>
        <w:gridCol w:w="8520"/>
        <w:gridCol w:w="840"/>
      </w:tblGrid>
      <w:tr w:rsidR="00235BC0" w:rsidRPr="00A46D13" w14:paraId="1D436D1F" w14:textId="77777777">
        <w:trPr>
          <w:cantSplit/>
          <w:tblHeader/>
          <w:jc w:val="center"/>
        </w:trPr>
        <w:tc>
          <w:tcPr>
            <w:tcW w:w="8520" w:type="dxa"/>
            <w:tcMar>
              <w:top w:w="45" w:type="dxa"/>
              <w:left w:w="55" w:type="dxa"/>
              <w:bottom w:w="45" w:type="dxa"/>
              <w:right w:w="55" w:type="dxa"/>
            </w:tcMar>
            <w:vAlign w:val="center"/>
          </w:tcPr>
          <w:p w14:paraId="09162C41" w14:textId="77777777" w:rsidR="00235BC0" w:rsidRPr="00A46D13" w:rsidRDefault="00000000">
            <w:pPr>
              <w:spacing w:after="0"/>
              <w:jc w:val="center"/>
            </w:pPr>
            <m:oMathPara>
              <m:oMathParaPr>
                <m:jc m:val="center"/>
              </m:oMathParaPr>
              <m:oMath>
                <m:sSup>
                  <m:sSupPr>
                    <m:ctrlPr>
                      <w:rPr>
                        <w:rFonts w:ascii="Cambria Math" w:hAnsi="Cambria Math"/>
                      </w:rPr>
                    </m:ctrlPr>
                  </m:sSupPr>
                  <m:e>
                    <m:r>
                      <w:rPr>
                        <w:rFonts w:ascii="Cambria Math" w:hAnsi="Cambria Math"/>
                      </w:rPr>
                      <m:t>V</m:t>
                    </m:r>
                  </m:e>
                  <m:sup>
                    <m:d>
                      <m:dPr>
                        <m:ctrlPr>
                          <w:rPr>
                            <w:rFonts w:ascii="Cambria Math" w:hAnsi="Cambria Math"/>
                          </w:rPr>
                        </m:ctrlPr>
                      </m:dPr>
                      <m:e>
                        <m:r>
                          <w:rPr>
                            <w:rFonts w:ascii="Cambria Math" w:hAnsi="Cambria Math"/>
                          </w:rPr>
                          <m:t>r</m:t>
                        </m:r>
                      </m:e>
                    </m:d>
                  </m:sup>
                </m:sSup>
                <m:r>
                  <m:rPr>
                    <m:sty m:val="p"/>
                  </m:rPr>
                  <w:rPr>
                    <w:rFonts w:ascii="Cambria Math" w:hAnsi="Cambria Math"/>
                  </w:rPr>
                  <m:t>=</m:t>
                </m:r>
                <m:nary>
                  <m:naryPr>
                    <m:chr m:val="∑"/>
                    <m:limLoc m:val="undOvr"/>
                    <m:ctrlPr>
                      <w:rPr>
                        <w:rFonts w:ascii="Cambria Math" w:hAnsi="Cambria Math"/>
                      </w:rPr>
                    </m:ctrlPr>
                  </m:naryPr>
                  <m:sub>
                    <m:r>
                      <w:rPr>
                        <w:rFonts w:ascii="Cambria Math" w:hAnsi="Cambria Math"/>
                      </w:rPr>
                      <m:t>t</m:t>
                    </m:r>
                    <m:r>
                      <m:rPr>
                        <m:sty m:val="p"/>
                      </m:rPr>
                      <w:rPr>
                        <w:rFonts w:ascii="Cambria Math" w:hAnsi="Cambria Math"/>
                      </w:rPr>
                      <m:t>=</m:t>
                    </m:r>
                    <m:r>
                      <w:rPr>
                        <w:rFonts w:ascii="Cambria Math" w:hAnsi="Cambria Math"/>
                      </w:rPr>
                      <m:t>1</m:t>
                    </m:r>
                  </m:sub>
                  <m:sup>
                    <m:r>
                      <w:rPr>
                        <w:rFonts w:ascii="Cambria Math" w:hAnsi="Cambria Math"/>
                      </w:rPr>
                      <m:t>60</m:t>
                    </m:r>
                  </m:sup>
                  <m:e>
                    <m:r>
                      <w:rPr>
                        <w:rFonts w:ascii="Cambria Math" w:hAnsi="Cambria Math"/>
                      </w:rPr>
                      <m:t>N</m:t>
                    </m:r>
                  </m:e>
                </m:nary>
                <m:sSubSup>
                  <m:sSubSupPr>
                    <m:ctrlPr>
                      <w:rPr>
                        <w:rFonts w:ascii="Cambria Math" w:hAnsi="Cambria Math"/>
                      </w:rPr>
                    </m:ctrlPr>
                  </m:sSubSupPr>
                  <m:e>
                    <m:r>
                      <w:rPr>
                        <w:rFonts w:ascii="Cambria Math" w:hAnsi="Cambria Math"/>
                      </w:rPr>
                      <m:t>V</m:t>
                    </m:r>
                  </m:e>
                  <m:sub>
                    <m:r>
                      <w:rPr>
                        <w:rFonts w:ascii="Cambria Math" w:hAnsi="Cambria Math"/>
                      </w:rPr>
                      <m:t>t</m:t>
                    </m:r>
                  </m:sub>
                  <m:sup>
                    <m:d>
                      <m:dPr>
                        <m:ctrlPr>
                          <w:rPr>
                            <w:rFonts w:ascii="Cambria Math" w:hAnsi="Cambria Math"/>
                          </w:rPr>
                        </m:ctrlPr>
                      </m:dPr>
                      <m:e>
                        <m:r>
                          <w:rPr>
                            <w:rFonts w:ascii="Cambria Math" w:hAnsi="Cambria Math"/>
                          </w:rPr>
                          <m:t>r</m:t>
                        </m:r>
                      </m:e>
                    </m:d>
                  </m:sup>
                </m:sSubSup>
                <m:r>
                  <m:rPr>
                    <m:sty m:val="p"/>
                  </m:rPr>
                  <w:rPr>
                    <w:rFonts w:ascii="Cambria Math" w:hAnsi="Cambria Math"/>
                  </w:rPr>
                  <m:t>.</m:t>
                </m:r>
              </m:oMath>
            </m:oMathPara>
          </w:p>
        </w:tc>
        <w:tc>
          <w:tcPr>
            <w:tcW w:w="840" w:type="dxa"/>
            <w:tcMar>
              <w:top w:w="45" w:type="dxa"/>
              <w:left w:w="55" w:type="dxa"/>
              <w:bottom w:w="45" w:type="dxa"/>
              <w:right w:w="55" w:type="dxa"/>
            </w:tcMar>
            <w:vAlign w:val="center"/>
          </w:tcPr>
          <w:p w14:paraId="32AC764E" w14:textId="77777777" w:rsidR="00235BC0" w:rsidRPr="00A46D13" w:rsidRDefault="00000000">
            <w:pPr>
              <w:spacing w:after="0"/>
              <w:jc w:val="right"/>
            </w:pPr>
            <w:r w:rsidRPr="00A46D13">
              <w:t>(11)</w:t>
            </w:r>
          </w:p>
        </w:tc>
      </w:tr>
    </w:tbl>
    <w:p w14:paraId="3EBE0F7C" w14:textId="77777777" w:rsidR="00235BC0" w:rsidRPr="00A46D13" w:rsidRDefault="00000000">
      <w:r w:rsidRPr="00A46D13">
        <w:t xml:space="preserve">A </w:t>
      </w:r>
      <w:r w:rsidRPr="00A46D13">
        <w:rPr>
          <w:b/>
          <w:bCs/>
        </w:rPr>
        <w:t>coordination compression trap</w:t>
      </w:r>
      <w:r w:rsidRPr="00A46D13">
        <w:t xml:space="preserve"> exists when increasing automation has a positive immediate effect on gross productivity but a negative effect on expected cumulative value over the relevant horizon:</w:t>
      </w:r>
    </w:p>
    <w:tbl>
      <w:tblPr>
        <w:tblW w:w="9360" w:type="dxa"/>
        <w:jc w:val="center"/>
        <w:tblLayout w:type="fixed"/>
        <w:tblLook w:val="0020" w:firstRow="1" w:lastRow="0" w:firstColumn="0" w:lastColumn="0" w:noHBand="0" w:noVBand="0"/>
      </w:tblPr>
      <w:tblGrid>
        <w:gridCol w:w="8520"/>
        <w:gridCol w:w="840"/>
      </w:tblGrid>
      <w:tr w:rsidR="00235BC0" w:rsidRPr="00A46D13" w14:paraId="2CDDFCCB" w14:textId="77777777">
        <w:trPr>
          <w:cantSplit/>
          <w:tblHeader/>
          <w:jc w:val="center"/>
        </w:trPr>
        <w:tc>
          <w:tcPr>
            <w:tcW w:w="8520" w:type="dxa"/>
            <w:tcMar>
              <w:top w:w="45" w:type="dxa"/>
              <w:left w:w="55" w:type="dxa"/>
              <w:bottom w:w="45" w:type="dxa"/>
              <w:right w:w="55" w:type="dxa"/>
            </w:tcMar>
            <w:vAlign w:val="center"/>
          </w:tcPr>
          <w:p w14:paraId="1C64DDFE" w14:textId="77777777" w:rsidR="00235BC0" w:rsidRPr="00A46D13" w:rsidRDefault="00000000">
            <w:pPr>
              <w:spacing w:after="0"/>
              <w:jc w:val="center"/>
            </w:pPr>
            <m:oMathPara>
              <m:oMathParaPr>
                <m:jc m:val="center"/>
              </m:oMathParaPr>
              <m:oMath>
                <m:sSub>
                  <m:sSubPr>
                    <m:ctrlPr>
                      <w:rPr>
                        <w:rFonts w:ascii="Cambria Math" w:hAnsi="Cambria Math"/>
                      </w:rPr>
                    </m:ctrlPr>
                  </m:sSubPr>
                  <m:e>
                    <m:r>
                      <m:rPr>
                        <m:scr m:val="script"/>
                        <m:sty m:val="p"/>
                      </m:rPr>
                      <w:rPr>
                        <w:rFonts w:ascii="Cambria Math" w:hAnsi="Cambria Math"/>
                      </w:rPr>
                      <m:t>T</m:t>
                    </m:r>
                  </m:e>
                  <m:sub>
                    <m:r>
                      <w:rPr>
                        <w:rFonts w:ascii="Cambria Math" w:hAnsi="Cambria Math"/>
                      </w:rPr>
                      <m:t>t</m:t>
                    </m:r>
                  </m:sub>
                </m:sSub>
                <m:r>
                  <m:rPr>
                    <m:sty m:val="p"/>
                  </m:rPr>
                  <w:rPr>
                    <w:rFonts w:ascii="Cambria Math" w:hAnsi="Cambria Math"/>
                  </w:rPr>
                  <m:t>=</m:t>
                </m:r>
                <m:r>
                  <w:rPr>
                    <w:rFonts w:ascii="Cambria Math" w:hAnsi="Cambria Math"/>
                  </w:rPr>
                  <m:t>1</m:t>
                </m:r>
                <m:d>
                  <m:dPr>
                    <m:begChr m:val="{"/>
                    <m:endChr m:val="}"/>
                    <m:ctrlPr>
                      <w:rPr>
                        <w:rFonts w:ascii="Cambria Math" w:hAnsi="Cambria Math"/>
                      </w:rPr>
                    </m:ctrlPr>
                  </m:dPr>
                  <m:e>
                    <m:f>
                      <m:fPr>
                        <m:ctrlPr>
                          <w:rPr>
                            <w:rFonts w:ascii="Cambria Math" w:hAnsi="Cambria Math"/>
                          </w:rPr>
                        </m:ctrlPr>
                      </m:fPr>
                      <m:num>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t</m:t>
                            </m:r>
                          </m:sub>
                        </m:sSub>
                      </m:num>
                      <m:den>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t</m:t>
                            </m:r>
                          </m:sub>
                        </m:sSub>
                      </m:den>
                    </m:f>
                    <m:r>
                      <m:rPr>
                        <m:sty m:val="p"/>
                      </m:rPr>
                      <w:rPr>
                        <w:rFonts w:ascii="Cambria Math" w:hAnsi="Cambria Math"/>
                      </w:rPr>
                      <m:t>&gt;</m:t>
                    </m:r>
                    <m:r>
                      <w:rPr>
                        <w:rFonts w:ascii="Cambria Math" w:hAnsi="Cambria Math"/>
                      </w:rPr>
                      <m:t>0 </m:t>
                    </m:r>
                    <m:r>
                      <m:rPr>
                        <m:sty m:val="p"/>
                      </m:rPr>
                      <w:rPr>
                        <w:rFonts w:ascii="Cambria Math" w:hAnsi="Cambria Math"/>
                      </w:rPr>
                      <m:t>∧</m:t>
                    </m:r>
                    <m:r>
                      <w:rPr>
                        <w:rFonts w:ascii="Cambria Math" w:hAnsi="Cambria Math"/>
                      </w:rPr>
                      <m:t> </m:t>
                    </m:r>
                    <m:f>
                      <m:fPr>
                        <m:ctrlPr>
                          <w:rPr>
                            <w:rFonts w:ascii="Cambria Math" w:hAnsi="Cambria Math"/>
                          </w:rPr>
                        </m:ctrlPr>
                      </m:fPr>
                      <m:num>
                        <m:r>
                          <m:rPr>
                            <m:sty m:val="p"/>
                          </m:rPr>
                          <w:rPr>
                            <w:rFonts w:ascii="Cambria Math" w:hAnsi="Cambria Math"/>
                          </w:rPr>
                          <m:t>∂</m:t>
                        </m:r>
                        <m:r>
                          <m:rPr>
                            <m:scr m:val="double-struck"/>
                            <m:sty m:val="p"/>
                          </m:rPr>
                          <w:rPr>
                            <w:rFonts w:ascii="Cambria Math" w:hAnsi="Cambria Math"/>
                          </w:rPr>
                          <m:t>E[</m:t>
                        </m:r>
                        <m:r>
                          <w:rPr>
                            <w:rFonts w:ascii="Cambria Math" w:hAnsi="Cambria Math"/>
                          </w:rPr>
                          <m:t>V</m:t>
                        </m:r>
                        <m:r>
                          <m:rPr>
                            <m:sty m:val="p"/>
                          </m:rPr>
                          <w:rPr>
                            <w:rFonts w:ascii="Cambria Math" w:hAnsi="Cambria Math"/>
                          </w:rPr>
                          <m:t>]</m:t>
                        </m:r>
                      </m:num>
                      <m:den>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t</m:t>
                            </m:r>
                          </m:sub>
                        </m:sSub>
                      </m:den>
                    </m:f>
                    <m:r>
                      <m:rPr>
                        <m:sty m:val="p"/>
                      </m:rPr>
                      <w:rPr>
                        <w:rFonts w:ascii="Cambria Math" w:hAnsi="Cambria Math"/>
                      </w:rPr>
                      <m:t>&lt;</m:t>
                    </m:r>
                    <m:r>
                      <w:rPr>
                        <w:rFonts w:ascii="Cambria Math" w:hAnsi="Cambria Math"/>
                      </w:rPr>
                      <m:t>0</m:t>
                    </m:r>
                  </m:e>
                </m:d>
                <m:r>
                  <m:rPr>
                    <m:sty m:val="p"/>
                  </m:rPr>
                  <w:rPr>
                    <w:rFonts w:ascii="Cambria Math" w:hAnsi="Cambria Math"/>
                  </w:rPr>
                  <m:t>.</m:t>
                </m:r>
              </m:oMath>
            </m:oMathPara>
          </w:p>
        </w:tc>
        <w:tc>
          <w:tcPr>
            <w:tcW w:w="840" w:type="dxa"/>
            <w:tcMar>
              <w:top w:w="45" w:type="dxa"/>
              <w:left w:w="55" w:type="dxa"/>
              <w:bottom w:w="45" w:type="dxa"/>
              <w:right w:w="55" w:type="dxa"/>
            </w:tcMar>
            <w:vAlign w:val="center"/>
          </w:tcPr>
          <w:p w14:paraId="64A519DC" w14:textId="77777777" w:rsidR="00235BC0" w:rsidRPr="00A46D13" w:rsidRDefault="00000000">
            <w:pPr>
              <w:spacing w:after="0"/>
              <w:jc w:val="right"/>
            </w:pPr>
            <w:r w:rsidRPr="00A46D13">
              <w:t>(12)</w:t>
            </w:r>
          </w:p>
        </w:tc>
      </w:tr>
    </w:tbl>
    <w:p w14:paraId="5B37B27D" w14:textId="77777777" w:rsidR="00235BC0" w:rsidRPr="00A46D13" w:rsidRDefault="00000000">
      <w:r w:rsidRPr="00A46D13">
        <w:t xml:space="preserve">The first inequality is readily satisfied for suitable tasks. The second can arise because higher automation raises debt inflow, verification workload, scaling cost, deskilling, and shock amplification. The trap is therefore a dynamic reversal: the </w:t>
      </w:r>
      <w:proofErr w:type="spellStart"/>
      <w:r w:rsidRPr="00A46D13">
        <w:t>organisation</w:t>
      </w:r>
      <w:proofErr w:type="spellEnd"/>
      <w:r w:rsidRPr="00A46D13">
        <w:t xml:space="preserve"> observes faster work and interprets it as durable productivity, while the model’s state variables are moving toward lower future value.</w:t>
      </w:r>
    </w:p>
    <w:p w14:paraId="02C74ED7" w14:textId="77777777" w:rsidR="00235BC0" w:rsidRPr="00A46D13" w:rsidRDefault="00000000">
      <w:r w:rsidRPr="00A46D13">
        <w:rPr>
          <w:b/>
          <w:bCs/>
        </w:rPr>
        <w:t>Proposition 2: Sufficient condition for dynamic reversal.</w:t>
      </w:r>
      <w:r w:rsidRPr="00A46D13">
        <w:t xml:space="preserve"> Define the expected discounted value over horizon </w:t>
      </w:r>
      <m:oMath>
        <m:r>
          <w:rPr>
            <w:rFonts w:ascii="Cambria Math" w:hAnsi="Cambria Math"/>
          </w:rPr>
          <m:t>K</m:t>
        </m:r>
      </m:oMath>
      <w:r w:rsidRPr="00A46D13">
        <w:t xml:space="preserve"> as</w:t>
      </w:r>
    </w:p>
    <w:p w14:paraId="33283106" w14:textId="77777777" w:rsidR="00235BC0" w:rsidRPr="00A46D13" w:rsidRDefault="00000000">
      <w:pPr>
        <w:keepLines/>
        <w:spacing w:before="60"/>
        <w:jc w:val="center"/>
      </w:pPr>
      <m:oMathPara>
        <m:oMathParaPr>
          <m:jc m:val="center"/>
        </m:oMathParaPr>
        <m:oMath>
          <m:sSubSup>
            <m:sSubSupPr>
              <m:ctrlPr>
                <w:rPr>
                  <w:rFonts w:ascii="Cambria Math" w:hAnsi="Cambria Math"/>
                </w:rPr>
              </m:ctrlPr>
            </m:sSubSupPr>
            <m:e>
              <m:r>
                <w:rPr>
                  <w:rFonts w:ascii="Cambria Math" w:hAnsi="Cambria Math"/>
                </w:rPr>
                <m:t>W</m:t>
              </m:r>
            </m:e>
            <m:sub>
              <m:r>
                <w:rPr>
                  <w:rFonts w:ascii="Cambria Math" w:hAnsi="Cambria Math"/>
                </w:rPr>
                <m:t>t</m:t>
              </m:r>
            </m:sub>
            <m:sup>
              <m:r>
                <w:rPr>
                  <w:rFonts w:ascii="Cambria Math" w:hAnsi="Cambria Math"/>
                </w:rPr>
                <m:t>K</m:t>
              </m:r>
            </m:sup>
          </m:sSubSup>
          <m:r>
            <m:rPr>
              <m:sty m:val="p"/>
            </m:rPr>
            <w:rPr>
              <w:rFonts w:ascii="Cambria Math" w:hAnsi="Cambria Math"/>
            </w:rPr>
            <m:t>=</m:t>
          </m:r>
          <m:sSub>
            <m:sSubPr>
              <m:ctrlPr>
                <w:rPr>
                  <w:rFonts w:ascii="Cambria Math" w:hAnsi="Cambria Math"/>
                </w:rPr>
              </m:ctrlPr>
            </m:sSubPr>
            <m:e>
              <m:r>
                <m:rPr>
                  <m:scr m:val="double-struck"/>
                  <m:sty m:val="p"/>
                </m:rPr>
                <w:rPr>
                  <w:rFonts w:ascii="Cambria Math" w:hAnsi="Cambria Math"/>
                </w:rPr>
                <m:t>E</m:t>
              </m:r>
            </m:e>
            <m:sub>
              <m:r>
                <w:rPr>
                  <w:rFonts w:ascii="Cambria Math" w:hAnsi="Cambria Math"/>
                </w:rPr>
                <m:t>t</m:t>
              </m:r>
            </m:sub>
          </m:sSub>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s</m:t>
                  </m:r>
                  <m:r>
                    <m:rPr>
                      <m:sty m:val="p"/>
                    </m:rPr>
                    <w:rPr>
                      <w:rFonts w:ascii="Cambria Math" w:hAnsi="Cambria Math"/>
                    </w:rPr>
                    <m:t>=</m:t>
                  </m:r>
                  <m:r>
                    <w:rPr>
                      <w:rFonts w:ascii="Cambria Math" w:hAnsi="Cambria Math"/>
                    </w:rPr>
                    <m:t>0</m:t>
                  </m:r>
                </m:sub>
                <m:sup>
                  <m:r>
                    <w:rPr>
                      <w:rFonts w:ascii="Cambria Math" w:hAnsi="Cambria Math"/>
                    </w:rPr>
                    <m:t>K</m:t>
                  </m:r>
                  <m:r>
                    <m:rPr>
                      <m:sty m:val="p"/>
                    </m:rPr>
                    <w:rPr>
                      <w:rFonts w:ascii="Cambria Math" w:hAnsi="Cambria Math"/>
                    </w:rPr>
                    <m:t>-</m:t>
                  </m:r>
                  <m:r>
                    <w:rPr>
                      <w:rFonts w:ascii="Cambria Math" w:hAnsi="Cambria Math"/>
                    </w:rPr>
                    <m:t>1</m:t>
                  </m:r>
                </m:sup>
                <m:e>
                  <m:sSup>
                    <m:sSupPr>
                      <m:ctrlPr>
                        <w:rPr>
                          <w:rFonts w:ascii="Cambria Math" w:hAnsi="Cambria Math"/>
                        </w:rPr>
                      </m:ctrlPr>
                    </m:sSupPr>
                    <m:e>
                      <m:r>
                        <w:rPr>
                          <w:rFonts w:ascii="Cambria Math" w:hAnsi="Cambria Math"/>
                        </w:rPr>
                        <m:t>η</m:t>
                      </m:r>
                    </m:e>
                    <m:sup>
                      <m:r>
                        <w:rPr>
                          <w:rFonts w:ascii="Cambria Math" w:hAnsi="Cambria Math"/>
                        </w:rPr>
                        <m:t>s</m:t>
                      </m:r>
                    </m:sup>
                  </m:sSup>
                </m:e>
              </m:nary>
              <m:r>
                <w:rPr>
                  <w:rFonts w:ascii="Cambria Math" w:hAnsi="Cambria Math"/>
                </w:rPr>
                <m:t>N</m:t>
              </m:r>
              <m:sSub>
                <m:sSubPr>
                  <m:ctrlPr>
                    <w:rPr>
                      <w:rFonts w:ascii="Cambria Math" w:hAnsi="Cambria Math"/>
                    </w:rPr>
                  </m:ctrlPr>
                </m:sSubPr>
                <m:e>
                  <m:r>
                    <w:rPr>
                      <w:rFonts w:ascii="Cambria Math" w:hAnsi="Cambria Math"/>
                    </w:rPr>
                    <m:t>V</m:t>
                  </m:r>
                </m:e>
                <m:sub>
                  <m:r>
                    <w:rPr>
                      <w:rFonts w:ascii="Cambria Math" w:hAnsi="Cambria Math"/>
                    </w:rPr>
                    <m:t>t</m:t>
                  </m:r>
                  <m:r>
                    <m:rPr>
                      <m:sty m:val="p"/>
                    </m:rPr>
                    <w:rPr>
                      <w:rFonts w:ascii="Cambria Math" w:hAnsi="Cambria Math"/>
                    </w:rPr>
                    <m:t>+</m:t>
                  </m:r>
                  <m:r>
                    <w:rPr>
                      <w:rFonts w:ascii="Cambria Math" w:hAnsi="Cambria Math"/>
                    </w:rPr>
                    <m:t>s</m:t>
                  </m:r>
                </m:sub>
              </m:sSub>
            </m:e>
          </m:d>
          <m:r>
            <m:rPr>
              <m:sty m:val="p"/>
            </m:rPr>
            <w:rPr>
              <w:rFonts w:ascii="Cambria Math" w:hAnsi="Cambria Math"/>
            </w:rPr>
            <m:t>,</m:t>
          </m:r>
          <m:r>
            <w:rPr>
              <w:rFonts w:ascii="Cambria Math" w:hAnsi="Cambria Math"/>
            </w:rPr>
            <m:t>  0</m:t>
          </m:r>
          <m:r>
            <m:rPr>
              <m:sty m:val="p"/>
            </m:rPr>
            <w:rPr>
              <w:rFonts w:ascii="Cambria Math" w:hAnsi="Cambria Math"/>
            </w:rPr>
            <m:t>&lt;</m:t>
          </m:r>
          <m:r>
            <w:rPr>
              <w:rFonts w:ascii="Cambria Math" w:hAnsi="Cambria Math"/>
            </w:rPr>
            <m:t>η</m:t>
          </m:r>
          <m:r>
            <m:rPr>
              <m:sty m:val="p"/>
            </m:rPr>
            <w:rPr>
              <w:rFonts w:ascii="Cambria Math" w:hAnsi="Cambria Math"/>
            </w:rPr>
            <m:t>≤</m:t>
          </m:r>
          <m:r>
            <w:rPr>
              <w:rFonts w:ascii="Cambria Math" w:hAnsi="Cambria Math"/>
            </w:rPr>
            <m:t>1</m:t>
          </m:r>
          <m:r>
            <m:rPr>
              <m:sty m:val="p"/>
            </m:rPr>
            <w:rPr>
              <w:rFonts w:ascii="Cambria Math" w:hAnsi="Cambria Math"/>
            </w:rPr>
            <m:t>.</m:t>
          </m:r>
        </m:oMath>
      </m:oMathPara>
    </w:p>
    <w:p w14:paraId="27ED7F63" w14:textId="77777777" w:rsidR="00235BC0" w:rsidRPr="00A46D13" w:rsidRDefault="00000000">
      <w:r w:rsidRPr="00A46D13">
        <w:t xml:space="preserve">For a marginal increase in automation at time </w:t>
      </w:r>
      <m:oMath>
        <m:r>
          <w:rPr>
            <w:rFonts w:ascii="Cambria Math" w:hAnsi="Cambria Math"/>
          </w:rPr>
          <m:t>t</m:t>
        </m:r>
      </m:oMath>
      <w:r w:rsidRPr="00A46D13">
        <w:t>, holding the contemporaneous state and assurance settings fixed, a coordination compression trap occurs when</w:t>
      </w:r>
    </w:p>
    <w:p w14:paraId="5D3CB907" w14:textId="77777777" w:rsidR="00235BC0" w:rsidRPr="00A46D13" w:rsidRDefault="00000000">
      <w:pPr>
        <w:keepLines/>
        <w:spacing w:before="60"/>
        <w:jc w:val="center"/>
      </w:pPr>
      <m:oMathPara>
        <m:oMathParaPr>
          <m:jc m:val="center"/>
        </m:oMathParaPr>
        <m:oMath>
          <m:f>
            <m:fPr>
              <m:ctrlPr>
                <w:rPr>
                  <w:rFonts w:ascii="Cambria Math" w:hAnsi="Cambria Math"/>
                </w:rPr>
              </m:ctrlPr>
            </m:fPr>
            <m:num>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t</m:t>
                  </m:r>
                </m:sub>
              </m:sSub>
            </m:num>
            <m:den>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t</m:t>
                  </m:r>
                </m:sub>
              </m:sSub>
            </m:den>
          </m:f>
          <m:r>
            <m:rPr>
              <m:sty m:val="p"/>
            </m:rPr>
            <w:rPr>
              <w:rFonts w:ascii="Cambria Math" w:hAnsi="Cambria Math"/>
            </w:rPr>
            <m:t>&gt;</m:t>
          </m:r>
          <m:r>
            <w:rPr>
              <w:rFonts w:ascii="Cambria Math" w:hAnsi="Cambria Math"/>
            </w:rPr>
            <m:t>0 </m:t>
          </m:r>
          <m:r>
            <m:rPr>
              <m:nor/>
            </m:rPr>
            <m:t>and</m:t>
          </m:r>
          <m:r>
            <w:rPr>
              <w:rFonts w:ascii="Cambria Math" w:hAnsi="Cambria Math"/>
            </w:rPr>
            <m:t> </m:t>
          </m:r>
          <m:f>
            <m:fPr>
              <m:ctrlPr>
                <w:rPr>
                  <w:rFonts w:ascii="Cambria Math" w:hAnsi="Cambria Math"/>
                </w:rPr>
              </m:ctrlPr>
            </m:fPr>
            <m:num>
              <m:r>
                <m:rPr>
                  <m:sty m:val="p"/>
                </m:rPr>
                <w:rPr>
                  <w:rFonts w:ascii="Cambria Math" w:hAnsi="Cambria Math"/>
                </w:rPr>
                <m:t>∂</m:t>
              </m:r>
              <m:sSubSup>
                <m:sSubSupPr>
                  <m:ctrlPr>
                    <w:rPr>
                      <w:rFonts w:ascii="Cambria Math" w:hAnsi="Cambria Math"/>
                    </w:rPr>
                  </m:ctrlPr>
                </m:sSubSupPr>
                <m:e>
                  <m:r>
                    <w:rPr>
                      <w:rFonts w:ascii="Cambria Math" w:hAnsi="Cambria Math"/>
                    </w:rPr>
                    <m:t>W</m:t>
                  </m:r>
                </m:e>
                <m:sub>
                  <m:r>
                    <w:rPr>
                      <w:rFonts w:ascii="Cambria Math" w:hAnsi="Cambria Math"/>
                    </w:rPr>
                    <m:t>t</m:t>
                  </m:r>
                </m:sub>
                <m:sup>
                  <m:r>
                    <w:rPr>
                      <w:rFonts w:ascii="Cambria Math" w:hAnsi="Cambria Math"/>
                    </w:rPr>
                    <m:t>K</m:t>
                  </m:r>
                </m:sup>
              </m:sSubSup>
            </m:num>
            <m:den>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t</m:t>
                  </m:r>
                </m:sub>
              </m:sSub>
            </m:den>
          </m:f>
          <m:r>
            <m:rPr>
              <m:sty m:val="p"/>
            </m:rPr>
            <w:rPr>
              <w:rFonts w:ascii="Cambria Math" w:hAnsi="Cambria Math"/>
            </w:rPr>
            <m:t>&lt;</m:t>
          </m:r>
          <m:r>
            <w:rPr>
              <w:rFonts w:ascii="Cambria Math" w:hAnsi="Cambria Math"/>
            </w:rPr>
            <m:t>0</m:t>
          </m:r>
          <m:r>
            <m:rPr>
              <m:sty m:val="p"/>
            </m:rPr>
            <w:rPr>
              <w:rFonts w:ascii="Cambria Math" w:hAnsi="Cambria Math"/>
            </w:rPr>
            <m:t>.</m:t>
          </m:r>
        </m:oMath>
      </m:oMathPara>
    </w:p>
    <w:p w14:paraId="7D9326FE" w14:textId="77777777" w:rsidR="00235BC0" w:rsidRPr="00A46D13" w:rsidRDefault="00000000">
      <w:r w:rsidRPr="00A46D13">
        <w:t>A sufficient condition for the second inequality is that the discounted marginal increase in operating cost, expected debt-related loss, expected shock loss, and future productivity loss caused by lower expertise exceeds the contemporaneous marginal productivity gain. Under Equations (3a), (5), and (9), this condition becomes more likely when governance and verification remain below their stock-</w:t>
      </w:r>
      <w:proofErr w:type="spellStart"/>
      <w:r w:rsidRPr="00A46D13">
        <w:t>stabilising</w:t>
      </w:r>
      <w:proofErr w:type="spellEnd"/>
      <w:r w:rsidRPr="00A46D13">
        <w:t xml:space="preserve"> levels, uncertainty is high, debt inflow is strongly convex in automation, expertise erosion is large, and shock loss is sensitive to debt. This is a conditional proposition, not a claim that higher automation is generally harmful.</w:t>
      </w:r>
    </w:p>
    <w:p w14:paraId="114BDC3B" w14:textId="77777777" w:rsidR="00235BC0" w:rsidRPr="00A46D13" w:rsidRDefault="00000000">
      <w:pPr>
        <w:keepNext/>
        <w:spacing w:before="120"/>
        <w:jc w:val="left"/>
      </w:pPr>
      <w:r w:rsidRPr="00A46D13">
        <w:rPr>
          <w:b/>
          <w:bCs/>
          <w:sz w:val="22"/>
        </w:rPr>
        <w:t>3.9 Governance Regimes</w:t>
      </w:r>
    </w:p>
    <w:p w14:paraId="264C83F3" w14:textId="77777777" w:rsidR="00235BC0" w:rsidRPr="00A46D13" w:rsidRDefault="00000000">
      <w:r w:rsidRPr="00A46D13">
        <w:t>Five regimes were selected to represent common strategic postures. Table 2 shows their settings. The first four use fixed policies. The fifth adjusts automation, governance, and verification in response to debt, uncertainty, and resilience.</w:t>
      </w:r>
    </w:p>
    <w:p w14:paraId="606EC3D0" w14:textId="77777777" w:rsidR="00235BC0" w:rsidRPr="00A46D13" w:rsidRDefault="00000000">
      <w:pPr>
        <w:keepNext/>
        <w:spacing w:before="100" w:after="40"/>
        <w:jc w:val="left"/>
      </w:pPr>
      <w:r w:rsidRPr="00A46D13">
        <w:rPr>
          <w:b/>
          <w:bCs/>
        </w:rPr>
        <w:t>Table 2. Governance regimes evaluated in the computational experiment</w:t>
      </w:r>
    </w:p>
    <w:tbl>
      <w:tblPr>
        <w:tblW w:w="936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20" w:firstRow="1" w:lastRow="0" w:firstColumn="0" w:lastColumn="0" w:noHBand="0" w:noVBand="0"/>
      </w:tblPr>
      <w:tblGrid>
        <w:gridCol w:w="2200"/>
        <w:gridCol w:w="1790"/>
        <w:gridCol w:w="1790"/>
        <w:gridCol w:w="1790"/>
        <w:gridCol w:w="1790"/>
      </w:tblGrid>
      <w:tr w:rsidR="00235BC0" w:rsidRPr="00A46D13" w14:paraId="4F55C807" w14:textId="77777777">
        <w:trPr>
          <w:cantSplit/>
          <w:tblHeader/>
          <w:jc w:val="center"/>
        </w:trPr>
        <w:tc>
          <w:tcPr>
            <w:tcW w:w="2200" w:type="dxa"/>
            <w:shd w:val="clear" w:color="auto" w:fill="E7E6E6"/>
            <w:tcMar>
              <w:top w:w="45" w:type="dxa"/>
              <w:left w:w="55" w:type="dxa"/>
              <w:bottom w:w="45" w:type="dxa"/>
              <w:right w:w="55" w:type="dxa"/>
            </w:tcMar>
            <w:vAlign w:val="center"/>
          </w:tcPr>
          <w:p w14:paraId="145AE7CB" w14:textId="77777777" w:rsidR="00235BC0" w:rsidRPr="00A46D13" w:rsidRDefault="00000000">
            <w:pPr>
              <w:spacing w:after="0"/>
              <w:jc w:val="left"/>
            </w:pPr>
            <w:r w:rsidRPr="00A46D13">
              <w:rPr>
                <w:b/>
                <w:bCs/>
                <w:sz w:val="16"/>
              </w:rPr>
              <w:t>Regime</w:t>
            </w:r>
          </w:p>
        </w:tc>
        <w:tc>
          <w:tcPr>
            <w:tcW w:w="1790" w:type="dxa"/>
            <w:shd w:val="clear" w:color="auto" w:fill="E7E6E6"/>
            <w:tcMar>
              <w:top w:w="45" w:type="dxa"/>
              <w:left w:w="55" w:type="dxa"/>
              <w:bottom w:w="45" w:type="dxa"/>
              <w:right w:w="55" w:type="dxa"/>
            </w:tcMar>
            <w:vAlign w:val="center"/>
          </w:tcPr>
          <w:p w14:paraId="7E7B196E" w14:textId="77777777" w:rsidR="00235BC0" w:rsidRPr="00A46D13" w:rsidRDefault="00000000">
            <w:pPr>
              <w:spacing w:after="0"/>
              <w:jc w:val="center"/>
            </w:pPr>
            <w:r w:rsidRPr="00A46D13">
              <w:rPr>
                <w:b/>
                <w:bCs/>
                <w:sz w:val="16"/>
              </w:rPr>
              <w:t>Automation (</w:t>
            </w:r>
            <m:oMath>
              <m:r>
                <w:rPr>
                  <w:rFonts w:ascii="Cambria Math" w:hAnsi="Cambria Math"/>
                </w:rPr>
                <m:t>a</m:t>
              </m:r>
            </m:oMath>
            <w:r w:rsidRPr="00A46D13">
              <w:rPr>
                <w:b/>
                <w:bCs/>
                <w:sz w:val="16"/>
              </w:rPr>
              <w:t>)</w:t>
            </w:r>
          </w:p>
        </w:tc>
        <w:tc>
          <w:tcPr>
            <w:tcW w:w="1790" w:type="dxa"/>
            <w:shd w:val="clear" w:color="auto" w:fill="E7E6E6"/>
            <w:tcMar>
              <w:top w:w="45" w:type="dxa"/>
              <w:left w:w="55" w:type="dxa"/>
              <w:bottom w:w="45" w:type="dxa"/>
              <w:right w:w="55" w:type="dxa"/>
            </w:tcMar>
            <w:vAlign w:val="center"/>
          </w:tcPr>
          <w:p w14:paraId="538B8420" w14:textId="77777777" w:rsidR="00235BC0" w:rsidRPr="00A46D13" w:rsidRDefault="00000000">
            <w:pPr>
              <w:spacing w:after="0"/>
              <w:jc w:val="center"/>
            </w:pPr>
            <w:r w:rsidRPr="00A46D13">
              <w:rPr>
                <w:b/>
                <w:bCs/>
                <w:sz w:val="16"/>
              </w:rPr>
              <w:t>Governance (</w:t>
            </w:r>
            <m:oMath>
              <m:r>
                <w:rPr>
                  <w:rFonts w:ascii="Cambria Math" w:hAnsi="Cambria Math"/>
                </w:rPr>
                <m:t>g</m:t>
              </m:r>
            </m:oMath>
            <w:r w:rsidRPr="00A46D13">
              <w:rPr>
                <w:b/>
                <w:bCs/>
                <w:sz w:val="16"/>
              </w:rPr>
              <w:t>)</w:t>
            </w:r>
          </w:p>
        </w:tc>
        <w:tc>
          <w:tcPr>
            <w:tcW w:w="1790" w:type="dxa"/>
            <w:shd w:val="clear" w:color="auto" w:fill="E7E6E6"/>
            <w:tcMar>
              <w:top w:w="45" w:type="dxa"/>
              <w:left w:w="55" w:type="dxa"/>
              <w:bottom w:w="45" w:type="dxa"/>
              <w:right w:w="55" w:type="dxa"/>
            </w:tcMar>
            <w:vAlign w:val="center"/>
          </w:tcPr>
          <w:p w14:paraId="2A58A082" w14:textId="77777777" w:rsidR="00235BC0" w:rsidRPr="00A46D13" w:rsidRDefault="00000000">
            <w:pPr>
              <w:spacing w:after="0"/>
              <w:jc w:val="center"/>
            </w:pPr>
            <w:r w:rsidRPr="00A46D13">
              <w:rPr>
                <w:b/>
                <w:bCs/>
                <w:sz w:val="16"/>
              </w:rPr>
              <w:t>Verification (</w:t>
            </w:r>
            <m:oMath>
              <m:r>
                <w:rPr>
                  <w:rFonts w:ascii="Cambria Math" w:hAnsi="Cambria Math"/>
                </w:rPr>
                <m:t>v</m:t>
              </m:r>
            </m:oMath>
            <w:r w:rsidRPr="00A46D13">
              <w:rPr>
                <w:b/>
                <w:bCs/>
                <w:sz w:val="16"/>
              </w:rPr>
              <w:t>)</w:t>
            </w:r>
          </w:p>
        </w:tc>
        <w:tc>
          <w:tcPr>
            <w:tcW w:w="1790" w:type="dxa"/>
            <w:shd w:val="clear" w:color="auto" w:fill="E7E6E6"/>
            <w:tcMar>
              <w:top w:w="45" w:type="dxa"/>
              <w:left w:w="55" w:type="dxa"/>
              <w:bottom w:w="45" w:type="dxa"/>
              <w:right w:w="55" w:type="dxa"/>
            </w:tcMar>
            <w:vAlign w:val="center"/>
          </w:tcPr>
          <w:p w14:paraId="25126FBF" w14:textId="77777777" w:rsidR="00235BC0" w:rsidRPr="00A46D13" w:rsidRDefault="00000000">
            <w:pPr>
              <w:spacing w:after="0"/>
              <w:jc w:val="center"/>
            </w:pPr>
            <w:r w:rsidRPr="00A46D13">
              <w:rPr>
                <w:b/>
                <w:bCs/>
                <w:sz w:val="16"/>
              </w:rPr>
              <w:t>Strategic interpretation</w:t>
            </w:r>
          </w:p>
        </w:tc>
      </w:tr>
      <w:tr w:rsidR="00235BC0" w:rsidRPr="00A46D13" w14:paraId="06BB1144" w14:textId="77777777">
        <w:trPr>
          <w:cantSplit/>
          <w:jc w:val="center"/>
        </w:trPr>
        <w:tc>
          <w:tcPr>
            <w:tcW w:w="2200" w:type="dxa"/>
            <w:tcMar>
              <w:top w:w="45" w:type="dxa"/>
              <w:left w:w="55" w:type="dxa"/>
              <w:bottom w:w="45" w:type="dxa"/>
              <w:right w:w="55" w:type="dxa"/>
            </w:tcMar>
            <w:vAlign w:val="center"/>
          </w:tcPr>
          <w:p w14:paraId="28E7A5FC" w14:textId="77777777" w:rsidR="00235BC0" w:rsidRPr="00A46D13" w:rsidRDefault="00000000">
            <w:pPr>
              <w:spacing w:after="0"/>
              <w:jc w:val="left"/>
            </w:pPr>
            <w:r w:rsidRPr="00A46D13">
              <w:rPr>
                <w:sz w:val="16"/>
              </w:rPr>
              <w:t>Acceleration-first</w:t>
            </w:r>
          </w:p>
        </w:tc>
        <w:tc>
          <w:tcPr>
            <w:tcW w:w="1790" w:type="dxa"/>
            <w:tcMar>
              <w:top w:w="45" w:type="dxa"/>
              <w:left w:w="55" w:type="dxa"/>
              <w:bottom w:w="45" w:type="dxa"/>
              <w:right w:w="55" w:type="dxa"/>
            </w:tcMar>
            <w:vAlign w:val="center"/>
          </w:tcPr>
          <w:p w14:paraId="59D78E89" w14:textId="77777777" w:rsidR="00235BC0" w:rsidRPr="00A46D13" w:rsidRDefault="00000000">
            <w:pPr>
              <w:spacing w:after="0"/>
              <w:jc w:val="center"/>
            </w:pPr>
            <w:r w:rsidRPr="00A46D13">
              <w:rPr>
                <w:sz w:val="16"/>
              </w:rPr>
              <w:t>0.90</w:t>
            </w:r>
          </w:p>
        </w:tc>
        <w:tc>
          <w:tcPr>
            <w:tcW w:w="1790" w:type="dxa"/>
            <w:tcMar>
              <w:top w:w="45" w:type="dxa"/>
              <w:left w:w="55" w:type="dxa"/>
              <w:bottom w:w="45" w:type="dxa"/>
              <w:right w:w="55" w:type="dxa"/>
            </w:tcMar>
            <w:vAlign w:val="center"/>
          </w:tcPr>
          <w:p w14:paraId="3D83FD61" w14:textId="77777777" w:rsidR="00235BC0" w:rsidRPr="00A46D13" w:rsidRDefault="00000000">
            <w:pPr>
              <w:spacing w:after="0"/>
              <w:jc w:val="center"/>
            </w:pPr>
            <w:r w:rsidRPr="00A46D13">
              <w:rPr>
                <w:sz w:val="16"/>
              </w:rPr>
              <w:t>0.25</w:t>
            </w:r>
          </w:p>
        </w:tc>
        <w:tc>
          <w:tcPr>
            <w:tcW w:w="1790" w:type="dxa"/>
            <w:tcMar>
              <w:top w:w="45" w:type="dxa"/>
              <w:left w:w="55" w:type="dxa"/>
              <w:bottom w:w="45" w:type="dxa"/>
              <w:right w:w="55" w:type="dxa"/>
            </w:tcMar>
            <w:vAlign w:val="center"/>
          </w:tcPr>
          <w:p w14:paraId="0B9C4364" w14:textId="77777777" w:rsidR="00235BC0" w:rsidRPr="00A46D13" w:rsidRDefault="00000000">
            <w:pPr>
              <w:spacing w:after="0"/>
              <w:jc w:val="center"/>
            </w:pPr>
            <w:r w:rsidRPr="00A46D13">
              <w:rPr>
                <w:sz w:val="16"/>
              </w:rPr>
              <w:t>0.30</w:t>
            </w:r>
          </w:p>
        </w:tc>
        <w:tc>
          <w:tcPr>
            <w:tcW w:w="1790" w:type="dxa"/>
            <w:tcMar>
              <w:top w:w="45" w:type="dxa"/>
              <w:left w:w="55" w:type="dxa"/>
              <w:bottom w:w="45" w:type="dxa"/>
              <w:right w:w="55" w:type="dxa"/>
            </w:tcMar>
            <w:vAlign w:val="center"/>
          </w:tcPr>
          <w:p w14:paraId="04D1FBF1" w14:textId="77777777" w:rsidR="00235BC0" w:rsidRPr="00A46D13" w:rsidRDefault="00000000">
            <w:pPr>
              <w:spacing w:after="0"/>
              <w:jc w:val="center"/>
            </w:pPr>
            <w:proofErr w:type="spellStart"/>
            <w:r w:rsidRPr="00A46D13">
              <w:rPr>
                <w:sz w:val="16"/>
              </w:rPr>
              <w:t>Maximise</w:t>
            </w:r>
            <w:proofErr w:type="spellEnd"/>
            <w:r w:rsidRPr="00A46D13">
              <w:rPr>
                <w:sz w:val="16"/>
              </w:rPr>
              <w:t xml:space="preserve"> speed and delegation with limited assurance</w:t>
            </w:r>
          </w:p>
        </w:tc>
      </w:tr>
      <w:tr w:rsidR="00235BC0" w:rsidRPr="00A46D13" w14:paraId="70635C74" w14:textId="77777777">
        <w:trPr>
          <w:cantSplit/>
          <w:jc w:val="center"/>
        </w:trPr>
        <w:tc>
          <w:tcPr>
            <w:tcW w:w="2200" w:type="dxa"/>
            <w:tcMar>
              <w:top w:w="45" w:type="dxa"/>
              <w:left w:w="55" w:type="dxa"/>
              <w:bottom w:w="45" w:type="dxa"/>
              <w:right w:w="55" w:type="dxa"/>
            </w:tcMar>
            <w:vAlign w:val="center"/>
          </w:tcPr>
          <w:p w14:paraId="51920078" w14:textId="77777777" w:rsidR="00235BC0" w:rsidRPr="00A46D13" w:rsidRDefault="00000000">
            <w:pPr>
              <w:spacing w:after="0"/>
              <w:jc w:val="left"/>
            </w:pPr>
            <w:r w:rsidRPr="00A46D13">
              <w:rPr>
                <w:sz w:val="16"/>
              </w:rPr>
              <w:t>Compliance-heavy</w:t>
            </w:r>
          </w:p>
        </w:tc>
        <w:tc>
          <w:tcPr>
            <w:tcW w:w="1790" w:type="dxa"/>
            <w:tcMar>
              <w:top w:w="45" w:type="dxa"/>
              <w:left w:w="55" w:type="dxa"/>
              <w:bottom w:w="45" w:type="dxa"/>
              <w:right w:w="55" w:type="dxa"/>
            </w:tcMar>
            <w:vAlign w:val="center"/>
          </w:tcPr>
          <w:p w14:paraId="6928E038" w14:textId="77777777" w:rsidR="00235BC0" w:rsidRPr="00A46D13" w:rsidRDefault="00000000">
            <w:pPr>
              <w:spacing w:after="0"/>
              <w:jc w:val="center"/>
            </w:pPr>
            <w:r w:rsidRPr="00A46D13">
              <w:rPr>
                <w:sz w:val="16"/>
              </w:rPr>
              <w:t>0.55</w:t>
            </w:r>
          </w:p>
        </w:tc>
        <w:tc>
          <w:tcPr>
            <w:tcW w:w="1790" w:type="dxa"/>
            <w:tcMar>
              <w:top w:w="45" w:type="dxa"/>
              <w:left w:w="55" w:type="dxa"/>
              <w:bottom w:w="45" w:type="dxa"/>
              <w:right w:w="55" w:type="dxa"/>
            </w:tcMar>
            <w:vAlign w:val="center"/>
          </w:tcPr>
          <w:p w14:paraId="602EC25F" w14:textId="77777777" w:rsidR="00235BC0" w:rsidRPr="00A46D13" w:rsidRDefault="00000000">
            <w:pPr>
              <w:spacing w:after="0"/>
              <w:jc w:val="center"/>
            </w:pPr>
            <w:r w:rsidRPr="00A46D13">
              <w:rPr>
                <w:sz w:val="16"/>
              </w:rPr>
              <w:t>0.85</w:t>
            </w:r>
          </w:p>
        </w:tc>
        <w:tc>
          <w:tcPr>
            <w:tcW w:w="1790" w:type="dxa"/>
            <w:tcMar>
              <w:top w:w="45" w:type="dxa"/>
              <w:left w:w="55" w:type="dxa"/>
              <w:bottom w:w="45" w:type="dxa"/>
              <w:right w:w="55" w:type="dxa"/>
            </w:tcMar>
            <w:vAlign w:val="center"/>
          </w:tcPr>
          <w:p w14:paraId="7CE3A447" w14:textId="77777777" w:rsidR="00235BC0" w:rsidRPr="00A46D13" w:rsidRDefault="00000000">
            <w:pPr>
              <w:spacing w:after="0"/>
              <w:jc w:val="center"/>
            </w:pPr>
            <w:r w:rsidRPr="00A46D13">
              <w:rPr>
                <w:sz w:val="16"/>
              </w:rPr>
              <w:t>0.82</w:t>
            </w:r>
          </w:p>
        </w:tc>
        <w:tc>
          <w:tcPr>
            <w:tcW w:w="1790" w:type="dxa"/>
            <w:tcMar>
              <w:top w:w="45" w:type="dxa"/>
              <w:left w:w="55" w:type="dxa"/>
              <w:bottom w:w="45" w:type="dxa"/>
              <w:right w:w="55" w:type="dxa"/>
            </w:tcMar>
            <w:vAlign w:val="center"/>
          </w:tcPr>
          <w:p w14:paraId="44223BF7" w14:textId="77777777" w:rsidR="00235BC0" w:rsidRPr="00A46D13" w:rsidRDefault="00000000">
            <w:pPr>
              <w:spacing w:after="0"/>
              <w:jc w:val="center"/>
            </w:pPr>
            <w:proofErr w:type="spellStart"/>
            <w:r w:rsidRPr="00A46D13">
              <w:rPr>
                <w:sz w:val="16"/>
              </w:rPr>
              <w:t>Emphasise</w:t>
            </w:r>
            <w:proofErr w:type="spellEnd"/>
            <w:r w:rsidRPr="00A46D13">
              <w:rPr>
                <w:sz w:val="16"/>
              </w:rPr>
              <w:t xml:space="preserve"> formal controls and extensive review</w:t>
            </w:r>
          </w:p>
        </w:tc>
      </w:tr>
      <w:tr w:rsidR="00235BC0" w:rsidRPr="00A46D13" w14:paraId="6E06F1FC" w14:textId="77777777">
        <w:trPr>
          <w:cantSplit/>
          <w:jc w:val="center"/>
        </w:trPr>
        <w:tc>
          <w:tcPr>
            <w:tcW w:w="2200" w:type="dxa"/>
            <w:tcMar>
              <w:top w:w="45" w:type="dxa"/>
              <w:left w:w="55" w:type="dxa"/>
              <w:bottom w:w="45" w:type="dxa"/>
              <w:right w:w="55" w:type="dxa"/>
            </w:tcMar>
            <w:vAlign w:val="center"/>
          </w:tcPr>
          <w:p w14:paraId="2EDEB34C" w14:textId="77777777" w:rsidR="00235BC0" w:rsidRPr="00A46D13" w:rsidRDefault="00000000">
            <w:pPr>
              <w:spacing w:after="0"/>
              <w:jc w:val="left"/>
            </w:pPr>
            <w:r w:rsidRPr="00A46D13">
              <w:rPr>
                <w:sz w:val="16"/>
              </w:rPr>
              <w:t>Verified autonomy</w:t>
            </w:r>
          </w:p>
        </w:tc>
        <w:tc>
          <w:tcPr>
            <w:tcW w:w="1790" w:type="dxa"/>
            <w:tcMar>
              <w:top w:w="45" w:type="dxa"/>
              <w:left w:w="55" w:type="dxa"/>
              <w:bottom w:w="45" w:type="dxa"/>
              <w:right w:w="55" w:type="dxa"/>
            </w:tcMar>
            <w:vAlign w:val="center"/>
          </w:tcPr>
          <w:p w14:paraId="3091267A" w14:textId="77777777" w:rsidR="00235BC0" w:rsidRPr="00A46D13" w:rsidRDefault="00000000">
            <w:pPr>
              <w:spacing w:after="0"/>
              <w:jc w:val="center"/>
            </w:pPr>
            <w:r w:rsidRPr="00A46D13">
              <w:rPr>
                <w:sz w:val="16"/>
              </w:rPr>
              <w:t>0.78</w:t>
            </w:r>
          </w:p>
        </w:tc>
        <w:tc>
          <w:tcPr>
            <w:tcW w:w="1790" w:type="dxa"/>
            <w:tcMar>
              <w:top w:w="45" w:type="dxa"/>
              <w:left w:w="55" w:type="dxa"/>
              <w:bottom w:w="45" w:type="dxa"/>
              <w:right w:w="55" w:type="dxa"/>
            </w:tcMar>
            <w:vAlign w:val="center"/>
          </w:tcPr>
          <w:p w14:paraId="4B7DF52E" w14:textId="77777777" w:rsidR="00235BC0" w:rsidRPr="00A46D13" w:rsidRDefault="00000000">
            <w:pPr>
              <w:spacing w:after="0"/>
              <w:jc w:val="center"/>
            </w:pPr>
            <w:r w:rsidRPr="00A46D13">
              <w:rPr>
                <w:sz w:val="16"/>
              </w:rPr>
              <w:t>0.68</w:t>
            </w:r>
          </w:p>
        </w:tc>
        <w:tc>
          <w:tcPr>
            <w:tcW w:w="1790" w:type="dxa"/>
            <w:tcMar>
              <w:top w:w="45" w:type="dxa"/>
              <w:left w:w="55" w:type="dxa"/>
              <w:bottom w:w="45" w:type="dxa"/>
              <w:right w:w="55" w:type="dxa"/>
            </w:tcMar>
            <w:vAlign w:val="center"/>
          </w:tcPr>
          <w:p w14:paraId="3A33BDE7" w14:textId="77777777" w:rsidR="00235BC0" w:rsidRPr="00A46D13" w:rsidRDefault="00000000">
            <w:pPr>
              <w:spacing w:after="0"/>
              <w:jc w:val="center"/>
            </w:pPr>
            <w:r w:rsidRPr="00A46D13">
              <w:rPr>
                <w:sz w:val="16"/>
              </w:rPr>
              <w:t>0.72</w:t>
            </w:r>
          </w:p>
        </w:tc>
        <w:tc>
          <w:tcPr>
            <w:tcW w:w="1790" w:type="dxa"/>
            <w:tcMar>
              <w:top w:w="45" w:type="dxa"/>
              <w:left w:w="55" w:type="dxa"/>
              <w:bottom w:w="45" w:type="dxa"/>
              <w:right w:w="55" w:type="dxa"/>
            </w:tcMar>
            <w:vAlign w:val="center"/>
          </w:tcPr>
          <w:p w14:paraId="6E0918BD" w14:textId="77777777" w:rsidR="00235BC0" w:rsidRPr="00A46D13" w:rsidRDefault="00000000">
            <w:pPr>
              <w:spacing w:after="0"/>
              <w:jc w:val="center"/>
            </w:pPr>
            <w:r w:rsidRPr="00A46D13">
              <w:rPr>
                <w:sz w:val="16"/>
              </w:rPr>
              <w:t>Scale automation with strong but selective assurance</w:t>
            </w:r>
          </w:p>
        </w:tc>
      </w:tr>
      <w:tr w:rsidR="00235BC0" w:rsidRPr="00A46D13" w14:paraId="14486EB2" w14:textId="77777777">
        <w:trPr>
          <w:cantSplit/>
          <w:jc w:val="center"/>
        </w:trPr>
        <w:tc>
          <w:tcPr>
            <w:tcW w:w="2200" w:type="dxa"/>
            <w:tcMar>
              <w:top w:w="45" w:type="dxa"/>
              <w:left w:w="55" w:type="dxa"/>
              <w:bottom w:w="45" w:type="dxa"/>
              <w:right w:w="55" w:type="dxa"/>
            </w:tcMar>
            <w:vAlign w:val="center"/>
          </w:tcPr>
          <w:p w14:paraId="1B7E3CF8" w14:textId="77777777" w:rsidR="00235BC0" w:rsidRPr="00A46D13" w:rsidRDefault="00000000">
            <w:pPr>
              <w:spacing w:after="0"/>
              <w:jc w:val="left"/>
            </w:pPr>
            <w:r w:rsidRPr="00A46D13">
              <w:rPr>
                <w:sz w:val="16"/>
              </w:rPr>
              <w:lastRenderedPageBreak/>
              <w:t>Human-</w:t>
            </w:r>
            <w:proofErr w:type="spellStart"/>
            <w:r w:rsidRPr="00A46D13">
              <w:rPr>
                <w:sz w:val="16"/>
              </w:rPr>
              <w:t>centred</w:t>
            </w:r>
            <w:proofErr w:type="spellEnd"/>
            <w:r w:rsidRPr="00A46D13">
              <w:rPr>
                <w:sz w:val="16"/>
              </w:rPr>
              <w:t xml:space="preserve"> augmentation</w:t>
            </w:r>
          </w:p>
        </w:tc>
        <w:tc>
          <w:tcPr>
            <w:tcW w:w="1790" w:type="dxa"/>
            <w:tcMar>
              <w:top w:w="45" w:type="dxa"/>
              <w:left w:w="55" w:type="dxa"/>
              <w:bottom w:w="45" w:type="dxa"/>
              <w:right w:w="55" w:type="dxa"/>
            </w:tcMar>
            <w:vAlign w:val="center"/>
          </w:tcPr>
          <w:p w14:paraId="54F5C9A3" w14:textId="77777777" w:rsidR="00235BC0" w:rsidRPr="00A46D13" w:rsidRDefault="00000000">
            <w:pPr>
              <w:spacing w:after="0"/>
              <w:jc w:val="center"/>
            </w:pPr>
            <w:r w:rsidRPr="00A46D13">
              <w:rPr>
                <w:sz w:val="16"/>
              </w:rPr>
              <w:t>0.62</w:t>
            </w:r>
          </w:p>
        </w:tc>
        <w:tc>
          <w:tcPr>
            <w:tcW w:w="1790" w:type="dxa"/>
            <w:tcMar>
              <w:top w:w="45" w:type="dxa"/>
              <w:left w:w="55" w:type="dxa"/>
              <w:bottom w:w="45" w:type="dxa"/>
              <w:right w:w="55" w:type="dxa"/>
            </w:tcMar>
            <w:vAlign w:val="center"/>
          </w:tcPr>
          <w:p w14:paraId="7445605B" w14:textId="77777777" w:rsidR="00235BC0" w:rsidRPr="00A46D13" w:rsidRDefault="00000000">
            <w:pPr>
              <w:spacing w:after="0"/>
              <w:jc w:val="center"/>
            </w:pPr>
            <w:r w:rsidRPr="00A46D13">
              <w:rPr>
                <w:sz w:val="16"/>
              </w:rPr>
              <w:t>0.58</w:t>
            </w:r>
          </w:p>
        </w:tc>
        <w:tc>
          <w:tcPr>
            <w:tcW w:w="1790" w:type="dxa"/>
            <w:tcMar>
              <w:top w:w="45" w:type="dxa"/>
              <w:left w:w="55" w:type="dxa"/>
              <w:bottom w:w="45" w:type="dxa"/>
              <w:right w:w="55" w:type="dxa"/>
            </w:tcMar>
            <w:vAlign w:val="center"/>
          </w:tcPr>
          <w:p w14:paraId="248E83B6" w14:textId="77777777" w:rsidR="00235BC0" w:rsidRPr="00A46D13" w:rsidRDefault="00000000">
            <w:pPr>
              <w:spacing w:after="0"/>
              <w:jc w:val="center"/>
            </w:pPr>
            <w:r w:rsidRPr="00A46D13">
              <w:rPr>
                <w:sz w:val="16"/>
              </w:rPr>
              <w:t>0.88</w:t>
            </w:r>
          </w:p>
        </w:tc>
        <w:tc>
          <w:tcPr>
            <w:tcW w:w="1790" w:type="dxa"/>
            <w:tcMar>
              <w:top w:w="45" w:type="dxa"/>
              <w:left w:w="55" w:type="dxa"/>
              <w:bottom w:w="45" w:type="dxa"/>
              <w:right w:w="55" w:type="dxa"/>
            </w:tcMar>
            <w:vAlign w:val="center"/>
          </w:tcPr>
          <w:p w14:paraId="0A5FB250" w14:textId="77777777" w:rsidR="00235BC0" w:rsidRPr="00A46D13" w:rsidRDefault="00000000">
            <w:pPr>
              <w:spacing w:after="0"/>
              <w:jc w:val="center"/>
            </w:pPr>
            <w:r w:rsidRPr="00A46D13">
              <w:rPr>
                <w:sz w:val="16"/>
              </w:rPr>
              <w:t>Preserve human judgement through intensive verification</w:t>
            </w:r>
          </w:p>
        </w:tc>
      </w:tr>
      <w:tr w:rsidR="00235BC0" w:rsidRPr="00A46D13" w14:paraId="46F3E945" w14:textId="77777777">
        <w:trPr>
          <w:cantSplit/>
          <w:jc w:val="center"/>
        </w:trPr>
        <w:tc>
          <w:tcPr>
            <w:tcW w:w="2200" w:type="dxa"/>
            <w:tcMar>
              <w:top w:w="45" w:type="dxa"/>
              <w:left w:w="55" w:type="dxa"/>
              <w:bottom w:w="45" w:type="dxa"/>
              <w:right w:w="55" w:type="dxa"/>
            </w:tcMar>
            <w:vAlign w:val="center"/>
          </w:tcPr>
          <w:p w14:paraId="39CB6F04" w14:textId="77777777" w:rsidR="00235BC0" w:rsidRPr="00A46D13" w:rsidRDefault="00000000">
            <w:pPr>
              <w:spacing w:after="0"/>
              <w:jc w:val="left"/>
            </w:pPr>
            <w:r w:rsidRPr="00A46D13">
              <w:rPr>
                <w:sz w:val="16"/>
              </w:rPr>
              <w:t>Debt-responsive governance</w:t>
            </w:r>
          </w:p>
        </w:tc>
        <w:tc>
          <w:tcPr>
            <w:tcW w:w="1790" w:type="dxa"/>
            <w:tcMar>
              <w:top w:w="45" w:type="dxa"/>
              <w:left w:w="55" w:type="dxa"/>
              <w:bottom w:w="45" w:type="dxa"/>
              <w:right w:w="55" w:type="dxa"/>
            </w:tcMar>
            <w:vAlign w:val="center"/>
          </w:tcPr>
          <w:p w14:paraId="4C6EC9D0" w14:textId="77777777" w:rsidR="00235BC0" w:rsidRPr="00A46D13" w:rsidRDefault="00000000">
            <w:pPr>
              <w:spacing w:after="0"/>
              <w:jc w:val="center"/>
            </w:pPr>
            <w:r w:rsidRPr="00A46D13">
              <w:rPr>
                <w:sz w:val="16"/>
              </w:rPr>
              <w:t>Adaptive</w:t>
            </w:r>
          </w:p>
        </w:tc>
        <w:tc>
          <w:tcPr>
            <w:tcW w:w="1790" w:type="dxa"/>
            <w:tcMar>
              <w:top w:w="45" w:type="dxa"/>
              <w:left w:w="55" w:type="dxa"/>
              <w:bottom w:w="45" w:type="dxa"/>
              <w:right w:w="55" w:type="dxa"/>
            </w:tcMar>
            <w:vAlign w:val="center"/>
          </w:tcPr>
          <w:p w14:paraId="514116D7" w14:textId="77777777" w:rsidR="00235BC0" w:rsidRPr="00A46D13" w:rsidRDefault="00000000">
            <w:pPr>
              <w:spacing w:after="0"/>
              <w:jc w:val="center"/>
            </w:pPr>
            <w:r w:rsidRPr="00A46D13">
              <w:rPr>
                <w:sz w:val="16"/>
              </w:rPr>
              <w:t>Adaptive</w:t>
            </w:r>
          </w:p>
        </w:tc>
        <w:tc>
          <w:tcPr>
            <w:tcW w:w="1790" w:type="dxa"/>
            <w:tcMar>
              <w:top w:w="45" w:type="dxa"/>
              <w:left w:w="55" w:type="dxa"/>
              <w:bottom w:w="45" w:type="dxa"/>
              <w:right w:w="55" w:type="dxa"/>
            </w:tcMar>
            <w:vAlign w:val="center"/>
          </w:tcPr>
          <w:p w14:paraId="49160D9F" w14:textId="77777777" w:rsidR="00235BC0" w:rsidRPr="00A46D13" w:rsidRDefault="00000000">
            <w:pPr>
              <w:spacing w:after="0"/>
              <w:jc w:val="center"/>
            </w:pPr>
            <w:r w:rsidRPr="00A46D13">
              <w:rPr>
                <w:sz w:val="16"/>
              </w:rPr>
              <w:t>Adaptive</w:t>
            </w:r>
          </w:p>
        </w:tc>
        <w:tc>
          <w:tcPr>
            <w:tcW w:w="1790" w:type="dxa"/>
            <w:tcMar>
              <w:top w:w="45" w:type="dxa"/>
              <w:left w:w="55" w:type="dxa"/>
              <w:bottom w:w="45" w:type="dxa"/>
              <w:right w:w="55" w:type="dxa"/>
            </w:tcMar>
            <w:vAlign w:val="center"/>
          </w:tcPr>
          <w:p w14:paraId="6E156C98" w14:textId="77777777" w:rsidR="00235BC0" w:rsidRPr="00A46D13" w:rsidRDefault="00000000">
            <w:pPr>
              <w:spacing w:after="0"/>
              <w:jc w:val="center"/>
            </w:pPr>
            <w:r w:rsidRPr="00A46D13">
              <w:rPr>
                <w:sz w:val="16"/>
              </w:rPr>
              <w:t>Increase assurance and moderate automation as debt and uncertainty rise</w:t>
            </w:r>
          </w:p>
        </w:tc>
      </w:tr>
    </w:tbl>
    <w:p w14:paraId="1648E532" w14:textId="77777777" w:rsidR="00235BC0" w:rsidRPr="00A46D13" w:rsidRDefault="00000000">
      <w:r w:rsidRPr="00A46D13">
        <w:t>The adaptive regime follows:</w:t>
      </w:r>
    </w:p>
    <w:tbl>
      <w:tblPr>
        <w:tblW w:w="9360" w:type="dxa"/>
        <w:jc w:val="center"/>
        <w:tblLayout w:type="fixed"/>
        <w:tblLook w:val="0020" w:firstRow="1" w:lastRow="0" w:firstColumn="0" w:lastColumn="0" w:noHBand="0" w:noVBand="0"/>
      </w:tblPr>
      <w:tblGrid>
        <w:gridCol w:w="8520"/>
        <w:gridCol w:w="840"/>
      </w:tblGrid>
      <w:tr w:rsidR="00235BC0" w:rsidRPr="00A46D13" w14:paraId="7BBE927E" w14:textId="77777777">
        <w:trPr>
          <w:cantSplit/>
          <w:tblHeader/>
          <w:jc w:val="center"/>
        </w:trPr>
        <w:tc>
          <w:tcPr>
            <w:tcW w:w="8520" w:type="dxa"/>
            <w:tcMar>
              <w:top w:w="45" w:type="dxa"/>
              <w:left w:w="55" w:type="dxa"/>
              <w:bottom w:w="45" w:type="dxa"/>
              <w:right w:w="55" w:type="dxa"/>
            </w:tcMar>
            <w:vAlign w:val="center"/>
          </w:tcPr>
          <w:p w14:paraId="058D5C93" w14:textId="77777777" w:rsidR="00235BC0" w:rsidRPr="00A46D13" w:rsidRDefault="00000000">
            <w:pPr>
              <w:spacing w:after="0"/>
              <w:jc w:val="center"/>
            </w:pPr>
            <m:oMathPara>
              <m:oMathParaPr>
                <m:jc m:val="center"/>
              </m:oMathParaPr>
              <m:oMath>
                <m:sSub>
                  <m:sSubPr>
                    <m:ctrlPr>
                      <w:rPr>
                        <w:rFonts w:ascii="Cambria Math" w:hAnsi="Cambria Math"/>
                      </w:rPr>
                    </m:ctrlPr>
                  </m:sSubPr>
                  <m:e>
                    <m:r>
                      <w:rPr>
                        <w:rFonts w:ascii="Cambria Math" w:hAnsi="Cambria Math"/>
                      </w:rPr>
                      <m:t>g</m:t>
                    </m:r>
                  </m:e>
                  <m:sub>
                    <m:r>
                      <w:rPr>
                        <w:rFonts w:ascii="Cambria Math" w:hAnsi="Cambria Math"/>
                      </w:rPr>
                      <m:t>t</m:t>
                    </m:r>
                  </m:sub>
                </m:sSub>
                <m:r>
                  <m:rPr>
                    <m:sty m:val="p"/>
                  </m:rPr>
                  <w:rPr>
                    <w:rFonts w:ascii="Cambria Math" w:hAnsi="Cambria Math"/>
                  </w:rPr>
                  <m:t>=</m:t>
                </m:r>
                <m:r>
                  <m:rPr>
                    <m:nor/>
                  </m:rPr>
                  <m:t>clip</m:t>
                </m:r>
                <m:d>
                  <m:dPr>
                    <m:begChr m:val="["/>
                    <m:endChr m:val="]"/>
                    <m:ctrlPr>
                      <w:rPr>
                        <w:rFonts w:ascii="Cambria Math" w:hAnsi="Cambria Math"/>
                      </w:rPr>
                    </m:ctrlPr>
                  </m:dPr>
                  <m:e>
                    <m:r>
                      <w:rPr>
                        <w:rFonts w:ascii="Cambria Math" w:hAnsi="Cambria Math"/>
                      </w:rPr>
                      <m:t>0.42</m:t>
                    </m:r>
                    <m:r>
                      <m:rPr>
                        <m:sty m:val="p"/>
                      </m:rPr>
                      <w:rPr>
                        <w:rFonts w:ascii="Cambria Math" w:hAnsi="Cambria Math"/>
                      </w:rPr>
                      <m:t>+</m:t>
                    </m:r>
                    <m:r>
                      <w:rPr>
                        <w:rFonts w:ascii="Cambria Math" w:hAnsi="Cambria Math"/>
                      </w:rPr>
                      <m:t>0.32</m:t>
                    </m:r>
                    <m:f>
                      <m:fPr>
                        <m:ctrlPr>
                          <w:rPr>
                            <w:rFonts w:ascii="Cambria Math" w:hAnsi="Cambria Math"/>
                          </w:rPr>
                        </m:ctrlPr>
                      </m:fPr>
                      <m:num>
                        <m:sSub>
                          <m:sSubPr>
                            <m:ctrlPr>
                              <w:rPr>
                                <w:rFonts w:ascii="Cambria Math" w:hAnsi="Cambria Math"/>
                              </w:rPr>
                            </m:ctrlPr>
                          </m:sSubPr>
                          <m:e>
                            <m:r>
                              <w:rPr>
                                <w:rFonts w:ascii="Cambria Math" w:hAnsi="Cambria Math"/>
                              </w:rPr>
                              <m:t>D</m:t>
                            </m:r>
                          </m:e>
                          <m:sub>
                            <m:r>
                              <w:rPr>
                                <w:rFonts w:ascii="Cambria Math" w:hAnsi="Cambria Math"/>
                              </w:rPr>
                              <m:t>t</m:t>
                            </m:r>
                          </m:sub>
                        </m:sSub>
                      </m:num>
                      <m:den>
                        <m:sSub>
                          <m:sSubPr>
                            <m:ctrlPr>
                              <w:rPr>
                                <w:rFonts w:ascii="Cambria Math" w:hAnsi="Cambria Math"/>
                              </w:rPr>
                            </m:ctrlPr>
                          </m:sSubPr>
                          <m:e>
                            <m:r>
                              <w:rPr>
                                <w:rFonts w:ascii="Cambria Math" w:hAnsi="Cambria Math"/>
                              </w:rPr>
                              <m:t>D</m:t>
                            </m:r>
                          </m:e>
                          <m:sub>
                            <m:r>
                              <w:rPr>
                                <w:rFonts w:ascii="Cambria Math" w:hAnsi="Cambria Math"/>
                              </w:rPr>
                              <m:t>t</m:t>
                            </m:r>
                          </m:sub>
                        </m:sSub>
                        <m:r>
                          <m:rPr>
                            <m:sty m:val="p"/>
                          </m:rPr>
                          <w:rPr>
                            <w:rFonts w:ascii="Cambria Math" w:hAnsi="Cambria Math"/>
                          </w:rPr>
                          <m:t>+</m:t>
                        </m:r>
                        <m:r>
                          <w:rPr>
                            <w:rFonts w:ascii="Cambria Math" w:hAnsi="Cambria Math"/>
                          </w:rPr>
                          <m:t>2.5</m:t>
                        </m:r>
                      </m:den>
                    </m:f>
                    <m:r>
                      <m:rPr>
                        <m:sty m:val="p"/>
                      </m:rPr>
                      <w:rPr>
                        <w:rFonts w:ascii="Cambria Math" w:hAnsi="Cambria Math"/>
                      </w:rPr>
                      <m:t>+</m:t>
                    </m:r>
                    <m:r>
                      <w:rPr>
                        <w:rFonts w:ascii="Cambria Math" w:hAnsi="Cambria Math"/>
                      </w:rPr>
                      <m:t>0.20</m:t>
                    </m:r>
                    <m:sSub>
                      <m:sSubPr>
                        <m:ctrlPr>
                          <w:rPr>
                            <w:rFonts w:ascii="Cambria Math" w:hAnsi="Cambria Math"/>
                          </w:rPr>
                        </m:ctrlPr>
                      </m:sSubPr>
                      <m:e>
                        <m:r>
                          <w:rPr>
                            <w:rFonts w:ascii="Cambria Math" w:hAnsi="Cambria Math"/>
                          </w:rPr>
                          <m:t>u</m:t>
                        </m:r>
                      </m:e>
                      <m:sub>
                        <m:r>
                          <w:rPr>
                            <w:rFonts w:ascii="Cambria Math" w:hAnsi="Cambria Math"/>
                          </w:rPr>
                          <m:t>t</m:t>
                        </m:r>
                      </m:sub>
                    </m:sSub>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0.92</m:t>
                    </m:r>
                  </m:e>
                </m:d>
                <m:r>
                  <m:rPr>
                    <m:sty m:val="p"/>
                  </m:rPr>
                  <w:rPr>
                    <w:rFonts w:ascii="Cambria Math" w:hAnsi="Cambria Math"/>
                  </w:rPr>
                  <m:t>,</m:t>
                </m:r>
              </m:oMath>
            </m:oMathPara>
          </w:p>
        </w:tc>
        <w:tc>
          <w:tcPr>
            <w:tcW w:w="840" w:type="dxa"/>
            <w:tcMar>
              <w:top w:w="45" w:type="dxa"/>
              <w:left w:w="55" w:type="dxa"/>
              <w:bottom w:w="45" w:type="dxa"/>
              <w:right w:w="55" w:type="dxa"/>
            </w:tcMar>
            <w:vAlign w:val="center"/>
          </w:tcPr>
          <w:p w14:paraId="1B2529BA" w14:textId="77777777" w:rsidR="00235BC0" w:rsidRPr="00A46D13" w:rsidRDefault="00000000">
            <w:pPr>
              <w:spacing w:after="0"/>
              <w:jc w:val="right"/>
            </w:pPr>
            <w:r w:rsidRPr="00A46D13">
              <w:t>(13)</w:t>
            </w:r>
          </w:p>
        </w:tc>
      </w:tr>
    </w:tbl>
    <w:p w14:paraId="5906E861" w14:textId="77777777" w:rsidR="00235BC0" w:rsidRPr="00A46D13" w:rsidRDefault="00235BC0"/>
    <w:tbl>
      <w:tblPr>
        <w:tblW w:w="9360" w:type="dxa"/>
        <w:jc w:val="center"/>
        <w:tblLayout w:type="fixed"/>
        <w:tblLook w:val="0020" w:firstRow="1" w:lastRow="0" w:firstColumn="0" w:lastColumn="0" w:noHBand="0" w:noVBand="0"/>
      </w:tblPr>
      <w:tblGrid>
        <w:gridCol w:w="8520"/>
        <w:gridCol w:w="840"/>
      </w:tblGrid>
      <w:tr w:rsidR="00235BC0" w:rsidRPr="00A46D13" w14:paraId="02B087CB" w14:textId="77777777">
        <w:trPr>
          <w:cantSplit/>
          <w:tblHeader/>
          <w:jc w:val="center"/>
        </w:trPr>
        <w:tc>
          <w:tcPr>
            <w:tcW w:w="8520" w:type="dxa"/>
            <w:tcMar>
              <w:top w:w="45" w:type="dxa"/>
              <w:left w:w="55" w:type="dxa"/>
              <w:bottom w:w="45" w:type="dxa"/>
              <w:right w:w="55" w:type="dxa"/>
            </w:tcMar>
            <w:vAlign w:val="center"/>
          </w:tcPr>
          <w:p w14:paraId="790DADC6" w14:textId="77777777" w:rsidR="00235BC0" w:rsidRPr="00A46D13" w:rsidRDefault="00000000">
            <w:pPr>
              <w:spacing w:after="0"/>
              <w:jc w:val="center"/>
            </w:pPr>
            <m:oMathPara>
              <m:oMathParaPr>
                <m:jc m:val="center"/>
              </m:oMathParaPr>
              <m:oMath>
                <m:sSub>
                  <m:sSubPr>
                    <m:ctrlPr>
                      <w:rPr>
                        <w:rFonts w:ascii="Cambria Math" w:hAnsi="Cambria Math"/>
                      </w:rPr>
                    </m:ctrlPr>
                  </m:sSubPr>
                  <m:e>
                    <m:r>
                      <w:rPr>
                        <w:rFonts w:ascii="Cambria Math" w:hAnsi="Cambria Math"/>
                      </w:rPr>
                      <m:t>v</m:t>
                    </m:r>
                  </m:e>
                  <m:sub>
                    <m:r>
                      <w:rPr>
                        <w:rFonts w:ascii="Cambria Math" w:hAnsi="Cambria Math"/>
                      </w:rPr>
                      <m:t>t</m:t>
                    </m:r>
                  </m:sub>
                </m:sSub>
                <m:r>
                  <m:rPr>
                    <m:sty m:val="p"/>
                  </m:rPr>
                  <w:rPr>
                    <w:rFonts w:ascii="Cambria Math" w:hAnsi="Cambria Math"/>
                  </w:rPr>
                  <m:t>=</m:t>
                </m:r>
                <m:r>
                  <m:rPr>
                    <m:nor/>
                  </m:rPr>
                  <m:t>clip</m:t>
                </m:r>
                <m:d>
                  <m:dPr>
                    <m:begChr m:val="["/>
                    <m:endChr m:val="]"/>
                    <m:ctrlPr>
                      <w:rPr>
                        <w:rFonts w:ascii="Cambria Math" w:hAnsi="Cambria Math"/>
                      </w:rPr>
                    </m:ctrlPr>
                  </m:dPr>
                  <m:e>
                    <m:r>
                      <w:rPr>
                        <w:rFonts w:ascii="Cambria Math" w:hAnsi="Cambria Math"/>
                      </w:rPr>
                      <m:t>0.52</m:t>
                    </m:r>
                    <m:r>
                      <m:rPr>
                        <m:sty m:val="p"/>
                      </m:rPr>
                      <w:rPr>
                        <w:rFonts w:ascii="Cambria Math" w:hAnsi="Cambria Math"/>
                      </w:rPr>
                      <m:t>+</m:t>
                    </m:r>
                    <m:r>
                      <w:rPr>
                        <w:rFonts w:ascii="Cambria Math" w:hAnsi="Cambria Math"/>
                      </w:rPr>
                      <m:t>0.30</m:t>
                    </m:r>
                    <m:f>
                      <m:fPr>
                        <m:ctrlPr>
                          <w:rPr>
                            <w:rFonts w:ascii="Cambria Math" w:hAnsi="Cambria Math"/>
                          </w:rPr>
                        </m:ctrlPr>
                      </m:fPr>
                      <m:num>
                        <m:sSub>
                          <m:sSubPr>
                            <m:ctrlPr>
                              <w:rPr>
                                <w:rFonts w:ascii="Cambria Math" w:hAnsi="Cambria Math"/>
                              </w:rPr>
                            </m:ctrlPr>
                          </m:sSubPr>
                          <m:e>
                            <m:r>
                              <w:rPr>
                                <w:rFonts w:ascii="Cambria Math" w:hAnsi="Cambria Math"/>
                              </w:rPr>
                              <m:t>D</m:t>
                            </m:r>
                          </m:e>
                          <m:sub>
                            <m:r>
                              <w:rPr>
                                <w:rFonts w:ascii="Cambria Math" w:hAnsi="Cambria Math"/>
                              </w:rPr>
                              <m:t>t</m:t>
                            </m:r>
                          </m:sub>
                        </m:sSub>
                      </m:num>
                      <m:den>
                        <m:sSub>
                          <m:sSubPr>
                            <m:ctrlPr>
                              <w:rPr>
                                <w:rFonts w:ascii="Cambria Math" w:hAnsi="Cambria Math"/>
                              </w:rPr>
                            </m:ctrlPr>
                          </m:sSubPr>
                          <m:e>
                            <m:r>
                              <w:rPr>
                                <w:rFonts w:ascii="Cambria Math" w:hAnsi="Cambria Math"/>
                              </w:rPr>
                              <m:t>D</m:t>
                            </m:r>
                          </m:e>
                          <m:sub>
                            <m:r>
                              <w:rPr>
                                <w:rFonts w:ascii="Cambria Math" w:hAnsi="Cambria Math"/>
                              </w:rPr>
                              <m:t>t</m:t>
                            </m:r>
                          </m:sub>
                        </m:sSub>
                        <m:r>
                          <m:rPr>
                            <m:sty m:val="p"/>
                          </m:rPr>
                          <w:rPr>
                            <w:rFonts w:ascii="Cambria Math" w:hAnsi="Cambria Math"/>
                          </w:rPr>
                          <m:t>+</m:t>
                        </m:r>
                        <m:r>
                          <w:rPr>
                            <w:rFonts w:ascii="Cambria Math" w:hAnsi="Cambria Math"/>
                          </w:rPr>
                          <m:t>2.0</m:t>
                        </m:r>
                      </m:den>
                    </m:f>
                    <m:r>
                      <m:rPr>
                        <m:sty m:val="p"/>
                      </m:rPr>
                      <w:rPr>
                        <w:rFonts w:ascii="Cambria Math" w:hAnsi="Cambria Math"/>
                      </w:rPr>
                      <m:t>+</m:t>
                    </m:r>
                    <m:r>
                      <w:rPr>
                        <w:rFonts w:ascii="Cambria Math" w:hAnsi="Cambria Math"/>
                      </w:rPr>
                      <m:t>0.14</m:t>
                    </m:r>
                    <m:sSub>
                      <m:sSubPr>
                        <m:ctrlPr>
                          <w:rPr>
                            <w:rFonts w:ascii="Cambria Math" w:hAnsi="Cambria Math"/>
                          </w:rPr>
                        </m:ctrlPr>
                      </m:sSubPr>
                      <m:e>
                        <m:r>
                          <w:rPr>
                            <w:rFonts w:ascii="Cambria Math" w:hAnsi="Cambria Math"/>
                          </w:rPr>
                          <m:t>u</m:t>
                        </m:r>
                      </m:e>
                      <m:sub>
                        <m:r>
                          <w:rPr>
                            <w:rFonts w:ascii="Cambria Math" w:hAnsi="Cambria Math"/>
                          </w:rPr>
                          <m:t>t</m:t>
                        </m:r>
                      </m:sub>
                    </m:sSub>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0.95</m:t>
                    </m:r>
                  </m:e>
                </m:d>
                <m:r>
                  <m:rPr>
                    <m:sty m:val="p"/>
                  </m:rPr>
                  <w:rPr>
                    <w:rFonts w:ascii="Cambria Math" w:hAnsi="Cambria Math"/>
                  </w:rPr>
                  <m:t>,</m:t>
                </m:r>
              </m:oMath>
            </m:oMathPara>
          </w:p>
        </w:tc>
        <w:tc>
          <w:tcPr>
            <w:tcW w:w="840" w:type="dxa"/>
            <w:tcMar>
              <w:top w:w="45" w:type="dxa"/>
              <w:left w:w="55" w:type="dxa"/>
              <w:bottom w:w="45" w:type="dxa"/>
              <w:right w:w="55" w:type="dxa"/>
            </w:tcMar>
            <w:vAlign w:val="center"/>
          </w:tcPr>
          <w:p w14:paraId="1CD06B49" w14:textId="77777777" w:rsidR="00235BC0" w:rsidRPr="00A46D13" w:rsidRDefault="00000000">
            <w:pPr>
              <w:spacing w:after="0"/>
              <w:jc w:val="right"/>
            </w:pPr>
            <w:r w:rsidRPr="00A46D13">
              <w:t>(14)</w:t>
            </w:r>
          </w:p>
        </w:tc>
      </w:tr>
    </w:tbl>
    <w:p w14:paraId="49563A08" w14:textId="77777777" w:rsidR="00235BC0" w:rsidRPr="00A46D13" w:rsidRDefault="00235BC0"/>
    <w:tbl>
      <w:tblPr>
        <w:tblW w:w="9360" w:type="dxa"/>
        <w:jc w:val="center"/>
        <w:tblLayout w:type="fixed"/>
        <w:tblLook w:val="0020" w:firstRow="1" w:lastRow="0" w:firstColumn="0" w:lastColumn="0" w:noHBand="0" w:noVBand="0"/>
      </w:tblPr>
      <w:tblGrid>
        <w:gridCol w:w="8520"/>
        <w:gridCol w:w="840"/>
      </w:tblGrid>
      <w:tr w:rsidR="00235BC0" w:rsidRPr="00A46D13" w14:paraId="4A2C29CB" w14:textId="77777777">
        <w:trPr>
          <w:cantSplit/>
          <w:tblHeader/>
          <w:jc w:val="center"/>
        </w:trPr>
        <w:tc>
          <w:tcPr>
            <w:tcW w:w="8520" w:type="dxa"/>
            <w:tcMar>
              <w:top w:w="45" w:type="dxa"/>
              <w:left w:w="55" w:type="dxa"/>
              <w:bottom w:w="45" w:type="dxa"/>
              <w:right w:w="55" w:type="dxa"/>
            </w:tcMar>
            <w:vAlign w:val="center"/>
          </w:tcPr>
          <w:p w14:paraId="0BFD2319" w14:textId="77777777" w:rsidR="00235BC0" w:rsidRPr="00A46D13" w:rsidRDefault="00000000">
            <w:pPr>
              <w:spacing w:after="0"/>
              <w:jc w:val="center"/>
            </w:pPr>
            <m:oMathPara>
              <m:oMathParaPr>
                <m:jc m:val="center"/>
              </m:oMathParaPr>
              <m:oMath>
                <m:sSub>
                  <m:sSubPr>
                    <m:ctrlPr>
                      <w:rPr>
                        <w:rFonts w:ascii="Cambria Math" w:hAnsi="Cambria Math"/>
                      </w:rPr>
                    </m:ctrlPr>
                  </m:sSubPr>
                  <m:e>
                    <m:r>
                      <w:rPr>
                        <w:rFonts w:ascii="Cambria Math" w:hAnsi="Cambria Math"/>
                      </w:rPr>
                      <m:t>a</m:t>
                    </m:r>
                  </m:e>
                  <m:sub>
                    <m:r>
                      <w:rPr>
                        <w:rFonts w:ascii="Cambria Math" w:hAnsi="Cambria Math"/>
                      </w:rPr>
                      <m:t>t</m:t>
                    </m:r>
                  </m:sub>
                </m:sSub>
                <m:r>
                  <m:rPr>
                    <m:sty m:val="p"/>
                  </m:rPr>
                  <w:rPr>
                    <w:rFonts w:ascii="Cambria Math" w:hAnsi="Cambria Math"/>
                  </w:rPr>
                  <m:t>=</m:t>
                </m:r>
                <m:r>
                  <m:rPr>
                    <m:nor/>
                  </m:rPr>
                  <m:t>clip</m:t>
                </m:r>
                <m:d>
                  <m:dPr>
                    <m:begChr m:val="["/>
                    <m:endChr m:val="]"/>
                    <m:ctrlPr>
                      <w:rPr>
                        <w:rFonts w:ascii="Cambria Math" w:hAnsi="Cambria Math"/>
                      </w:rPr>
                    </m:ctrlPr>
                  </m:dPr>
                  <m:e>
                    <m:r>
                      <w:rPr>
                        <w:rFonts w:ascii="Cambria Math" w:hAnsi="Cambria Math"/>
                      </w:rPr>
                      <m:t>0.86</m:t>
                    </m:r>
                    <m:r>
                      <m:rPr>
                        <m:sty m:val="p"/>
                      </m:rPr>
                      <w:rPr>
                        <w:rFonts w:ascii="Cambria Math" w:hAnsi="Cambria Math"/>
                      </w:rPr>
                      <m:t>-</m:t>
                    </m:r>
                    <m:r>
                      <w:rPr>
                        <w:rFonts w:ascii="Cambria Math" w:hAnsi="Cambria Math"/>
                      </w:rPr>
                      <m:t>0.18</m:t>
                    </m:r>
                    <m:f>
                      <m:fPr>
                        <m:ctrlPr>
                          <w:rPr>
                            <w:rFonts w:ascii="Cambria Math" w:hAnsi="Cambria Math"/>
                          </w:rPr>
                        </m:ctrlPr>
                      </m:fPr>
                      <m:num>
                        <m:sSub>
                          <m:sSubPr>
                            <m:ctrlPr>
                              <w:rPr>
                                <w:rFonts w:ascii="Cambria Math" w:hAnsi="Cambria Math"/>
                              </w:rPr>
                            </m:ctrlPr>
                          </m:sSubPr>
                          <m:e>
                            <m:r>
                              <w:rPr>
                                <w:rFonts w:ascii="Cambria Math" w:hAnsi="Cambria Math"/>
                              </w:rPr>
                              <m:t>D</m:t>
                            </m:r>
                          </m:e>
                          <m:sub>
                            <m:r>
                              <w:rPr>
                                <w:rFonts w:ascii="Cambria Math" w:hAnsi="Cambria Math"/>
                              </w:rPr>
                              <m:t>t</m:t>
                            </m:r>
                          </m:sub>
                        </m:sSub>
                      </m:num>
                      <m:den>
                        <m:sSub>
                          <m:sSubPr>
                            <m:ctrlPr>
                              <w:rPr>
                                <w:rFonts w:ascii="Cambria Math" w:hAnsi="Cambria Math"/>
                              </w:rPr>
                            </m:ctrlPr>
                          </m:sSubPr>
                          <m:e>
                            <m:r>
                              <w:rPr>
                                <w:rFonts w:ascii="Cambria Math" w:hAnsi="Cambria Math"/>
                              </w:rPr>
                              <m:t>D</m:t>
                            </m:r>
                          </m:e>
                          <m:sub>
                            <m:r>
                              <w:rPr>
                                <w:rFonts w:ascii="Cambria Math" w:hAnsi="Cambria Math"/>
                              </w:rPr>
                              <m:t>t</m:t>
                            </m:r>
                          </m:sub>
                        </m:sSub>
                        <m:r>
                          <m:rPr>
                            <m:sty m:val="p"/>
                          </m:rPr>
                          <w:rPr>
                            <w:rFonts w:ascii="Cambria Math" w:hAnsi="Cambria Math"/>
                          </w:rPr>
                          <m:t>+</m:t>
                        </m:r>
                        <m:r>
                          <w:rPr>
                            <w:rFonts w:ascii="Cambria Math" w:hAnsi="Cambria Math"/>
                          </w:rPr>
                          <m:t>3.0</m:t>
                        </m:r>
                      </m:den>
                    </m:f>
                    <m:r>
                      <m:rPr>
                        <m:sty m:val="p"/>
                      </m:rPr>
                      <w:rPr>
                        <w:rFonts w:ascii="Cambria Math" w:hAnsi="Cambria Math"/>
                      </w:rPr>
                      <m:t>-</m:t>
                    </m:r>
                    <m:r>
                      <w:rPr>
                        <w:rFonts w:ascii="Cambria Math" w:hAnsi="Cambria Math"/>
                      </w:rPr>
                      <m:t>0.10</m:t>
                    </m:r>
                    <m:sSub>
                      <m:sSubPr>
                        <m:ctrlPr>
                          <w:rPr>
                            <w:rFonts w:ascii="Cambria Math" w:hAnsi="Cambria Math"/>
                          </w:rPr>
                        </m:ctrlPr>
                      </m:sSubPr>
                      <m:e>
                        <m:r>
                          <w:rPr>
                            <w:rFonts w:ascii="Cambria Math" w:hAnsi="Cambria Math"/>
                          </w:rPr>
                          <m:t>u</m:t>
                        </m:r>
                      </m:e>
                      <m:sub>
                        <m:r>
                          <w:rPr>
                            <w:rFonts w:ascii="Cambria Math" w:hAnsi="Cambria Math"/>
                          </w:rPr>
                          <m:t>t</m:t>
                        </m:r>
                      </m:sub>
                    </m:sSub>
                    <m:r>
                      <m:rPr>
                        <m:sty m:val="p"/>
                      </m:rPr>
                      <w:rPr>
                        <w:rFonts w:ascii="Cambria Math" w:hAnsi="Cambria Math"/>
                      </w:rPr>
                      <m:t>+</m:t>
                    </m:r>
                    <m:r>
                      <w:rPr>
                        <w:rFonts w:ascii="Cambria Math" w:hAnsi="Cambria Math"/>
                      </w:rPr>
                      <m:t>0.05</m:t>
                    </m:r>
                    <m:d>
                      <m:dPr>
                        <m:ctrlPr>
                          <w:rPr>
                            <w:rFonts w:ascii="Cambria Math" w:hAnsi="Cambria Math"/>
                          </w:rPr>
                        </m:ctrlPr>
                      </m:dPr>
                      <m:e>
                        <m:sSub>
                          <m:sSubPr>
                            <m:ctrlPr>
                              <w:rPr>
                                <w:rFonts w:ascii="Cambria Math" w:hAnsi="Cambria Math"/>
                              </w:rPr>
                            </m:ctrlPr>
                          </m:sSubPr>
                          <m:e>
                            <m:r>
                              <w:rPr>
                                <w:rFonts w:ascii="Cambria Math" w:hAnsi="Cambria Math"/>
                              </w:rPr>
                              <m:t>R</m:t>
                            </m:r>
                          </m:e>
                          <m:sub>
                            <m:r>
                              <w:rPr>
                                <w:rFonts w:ascii="Cambria Math" w:hAnsi="Cambria Math"/>
                              </w:rPr>
                              <m:t>t</m:t>
                            </m:r>
                          </m:sub>
                        </m:sSub>
                        <m:r>
                          <m:rPr>
                            <m:sty m:val="p"/>
                          </m:rPr>
                          <w:rPr>
                            <w:rFonts w:ascii="Cambria Math" w:hAnsi="Cambria Math"/>
                          </w:rPr>
                          <m:t>-</m:t>
                        </m:r>
                        <m:r>
                          <w:rPr>
                            <w:rFonts w:ascii="Cambria Math" w:hAnsi="Cambria Math"/>
                          </w:rPr>
                          <m:t>0.5</m:t>
                        </m:r>
                      </m:e>
                    </m:d>
                    <m:r>
                      <m:rPr>
                        <m:sty m:val="p"/>
                      </m:rPr>
                      <w:rPr>
                        <w:rFonts w:ascii="Cambria Math" w:hAnsi="Cambria Math"/>
                      </w:rPr>
                      <m:t>,</m:t>
                    </m:r>
                    <m:r>
                      <w:rPr>
                        <w:rFonts w:ascii="Cambria Math" w:hAnsi="Cambria Math"/>
                      </w:rPr>
                      <m:t>0.35</m:t>
                    </m:r>
                    <m:r>
                      <m:rPr>
                        <m:sty m:val="p"/>
                      </m:rPr>
                      <w:rPr>
                        <w:rFonts w:ascii="Cambria Math" w:hAnsi="Cambria Math"/>
                      </w:rPr>
                      <m:t>,</m:t>
                    </m:r>
                    <m:r>
                      <w:rPr>
                        <w:rFonts w:ascii="Cambria Math" w:hAnsi="Cambria Math"/>
                      </w:rPr>
                      <m:t>0.90</m:t>
                    </m:r>
                  </m:e>
                </m:d>
                <m:r>
                  <m:rPr>
                    <m:sty m:val="p"/>
                  </m:rPr>
                  <w:rPr>
                    <w:rFonts w:ascii="Cambria Math" w:hAnsi="Cambria Math"/>
                  </w:rPr>
                  <m:t>.</m:t>
                </m:r>
              </m:oMath>
            </m:oMathPara>
          </w:p>
        </w:tc>
        <w:tc>
          <w:tcPr>
            <w:tcW w:w="840" w:type="dxa"/>
            <w:tcMar>
              <w:top w:w="45" w:type="dxa"/>
              <w:left w:w="55" w:type="dxa"/>
              <w:bottom w:w="45" w:type="dxa"/>
              <w:right w:w="55" w:type="dxa"/>
            </w:tcMar>
            <w:vAlign w:val="center"/>
          </w:tcPr>
          <w:p w14:paraId="09382690" w14:textId="77777777" w:rsidR="00235BC0" w:rsidRPr="00A46D13" w:rsidRDefault="00000000">
            <w:pPr>
              <w:spacing w:after="0"/>
              <w:jc w:val="right"/>
            </w:pPr>
            <w:r w:rsidRPr="00A46D13">
              <w:t>(15)</w:t>
            </w:r>
          </w:p>
        </w:tc>
      </w:tr>
    </w:tbl>
    <w:p w14:paraId="1B4C3587" w14:textId="77777777" w:rsidR="00235BC0" w:rsidRPr="00A46D13" w:rsidRDefault="00000000">
      <w:r w:rsidRPr="00A46D13">
        <w:t xml:space="preserve">This policy is intentionally simple and interpretable. It does not </w:t>
      </w:r>
      <w:proofErr w:type="spellStart"/>
      <w:r w:rsidRPr="00A46D13">
        <w:t>optimise</w:t>
      </w:r>
      <w:proofErr w:type="spellEnd"/>
      <w:r w:rsidRPr="00A46D13">
        <w:t xml:space="preserve"> using foresight. It behaves as a feedback controller: debt and uncertainty trigger stronger governance and verification, while automation is moderated when debt rises or resilience weakens.</w:t>
      </w:r>
    </w:p>
    <w:p w14:paraId="55AE3B48" w14:textId="77777777" w:rsidR="00235BC0" w:rsidRPr="00A46D13" w:rsidRDefault="00000000">
      <w:pPr>
        <w:keepNext/>
        <w:spacing w:before="120"/>
        <w:jc w:val="left"/>
      </w:pPr>
      <w:r w:rsidRPr="00A46D13">
        <w:rPr>
          <w:b/>
          <w:bCs/>
          <w:sz w:val="22"/>
        </w:rPr>
        <w:t xml:space="preserve">3.10 </w:t>
      </w:r>
      <w:proofErr w:type="spellStart"/>
      <w:r w:rsidRPr="00A46D13">
        <w:rPr>
          <w:b/>
          <w:bCs/>
          <w:sz w:val="22"/>
        </w:rPr>
        <w:t>Parameterisation</w:t>
      </w:r>
      <w:proofErr w:type="spellEnd"/>
      <w:r w:rsidRPr="00A46D13">
        <w:rPr>
          <w:b/>
          <w:bCs/>
          <w:sz w:val="22"/>
        </w:rPr>
        <w:t xml:space="preserve"> and Stochastic Inputs</w:t>
      </w:r>
    </w:p>
    <w:p w14:paraId="18251EB0" w14:textId="77777777" w:rsidR="00235BC0" w:rsidRPr="00A46D13" w:rsidRDefault="00000000">
      <w:r w:rsidRPr="00A46D13">
        <w:t xml:space="preserve">Table 3 reports all coefficients and distributions needed to reconstruct the base model. Values were selected to generate internally coherent dynamics across the admissible state space, not to reproduce a specific industry. Initial conditions were </w:t>
      </w:r>
      <m:oMath>
        <m:sSub>
          <m:sSubPr>
            <m:ctrlPr>
              <w:rPr>
                <w:rFonts w:ascii="Cambria Math" w:hAnsi="Cambria Math"/>
              </w:rPr>
            </m:ctrlPr>
          </m:sSubPr>
          <m:e>
            <m:r>
              <w:rPr>
                <w:rFonts w:ascii="Cambria Math" w:hAnsi="Cambria Math"/>
              </w:rPr>
              <m:t>D</m:t>
            </m:r>
          </m:e>
          <m:sub>
            <m:r>
              <w:rPr>
                <w:rFonts w:ascii="Cambria Math" w:hAnsi="Cambria Math"/>
              </w:rPr>
              <m:t>0</m:t>
            </m:r>
          </m:sub>
        </m:sSub>
        <m:r>
          <m:rPr>
            <m:sty m:val="p"/>
          </m:rPr>
          <w:rPr>
            <w:rFonts w:ascii="Cambria Math" w:hAnsi="Cambria Math"/>
          </w:rPr>
          <m:t>=</m:t>
        </m:r>
        <m:r>
          <w:rPr>
            <w:rFonts w:ascii="Cambria Math" w:hAnsi="Cambria Math"/>
          </w:rPr>
          <m:t>0.35</m:t>
        </m:r>
      </m:oMath>
      <w:r w:rsidRPr="00A46D13">
        <w:t xml:space="preserve">, </w:t>
      </w:r>
      <m:oMath>
        <m:sSub>
          <m:sSubPr>
            <m:ctrlPr>
              <w:rPr>
                <w:rFonts w:ascii="Cambria Math" w:hAnsi="Cambria Math"/>
              </w:rPr>
            </m:ctrlPr>
          </m:sSubPr>
          <m:e>
            <m:r>
              <w:rPr>
                <w:rFonts w:ascii="Cambria Math" w:hAnsi="Cambria Math"/>
              </w:rPr>
              <m:t>H</m:t>
            </m:r>
          </m:e>
          <m:sub>
            <m:r>
              <w:rPr>
                <w:rFonts w:ascii="Cambria Math" w:hAnsi="Cambria Math"/>
              </w:rPr>
              <m:t>0</m:t>
            </m:r>
          </m:sub>
        </m:sSub>
        <m:r>
          <m:rPr>
            <m:sty m:val="p"/>
          </m:rPr>
          <w:rPr>
            <w:rFonts w:ascii="Cambria Math" w:hAnsi="Cambria Math"/>
          </w:rPr>
          <m:t>=</m:t>
        </m:r>
        <m:r>
          <w:rPr>
            <w:rFonts w:ascii="Cambria Math" w:hAnsi="Cambria Math"/>
          </w:rPr>
          <m:t>0.82</m:t>
        </m:r>
      </m:oMath>
      <w:r w:rsidRPr="00A46D13">
        <w:t xml:space="preserve">, and </w:t>
      </w:r>
      <m:oMath>
        <m:sSub>
          <m:sSubPr>
            <m:ctrlPr>
              <w:rPr>
                <w:rFonts w:ascii="Cambria Math" w:hAnsi="Cambria Math"/>
              </w:rPr>
            </m:ctrlPr>
          </m:sSubPr>
          <m:e>
            <m:r>
              <w:rPr>
                <w:rFonts w:ascii="Cambria Math" w:hAnsi="Cambria Math"/>
              </w:rPr>
              <m:t>R</m:t>
            </m:r>
          </m:e>
          <m:sub>
            <m:r>
              <w:rPr>
                <w:rFonts w:ascii="Cambria Math" w:hAnsi="Cambria Math"/>
              </w:rPr>
              <m:t>0</m:t>
            </m:r>
          </m:sub>
        </m:sSub>
        <m:r>
          <m:rPr>
            <m:sty m:val="p"/>
          </m:rPr>
          <w:rPr>
            <w:rFonts w:ascii="Cambria Math" w:hAnsi="Cambria Math"/>
          </w:rPr>
          <m:t>=</m:t>
        </m:r>
        <m:r>
          <w:rPr>
            <w:rFonts w:ascii="Cambria Math" w:hAnsi="Cambria Math"/>
          </w:rPr>
          <m:t>0.72</m:t>
        </m:r>
      </m:oMath>
      <w:r w:rsidRPr="00A46D13">
        <w:t xml:space="preserve">. Task fit followed </w:t>
      </w:r>
      <m:oMath>
        <m:r>
          <m:rPr>
            <m:nor/>
          </m:rPr>
          <m:t>Beta</m:t>
        </m:r>
        <m:d>
          <m:dPr>
            <m:ctrlPr>
              <w:rPr>
                <w:rFonts w:ascii="Cambria Math" w:hAnsi="Cambria Math"/>
              </w:rPr>
            </m:ctrlPr>
          </m:dPr>
          <m:e>
            <m:r>
              <w:rPr>
                <w:rFonts w:ascii="Cambria Math" w:hAnsi="Cambria Math"/>
              </w:rPr>
              <m:t>5.0</m:t>
            </m:r>
            <m:r>
              <m:rPr>
                <m:sty m:val="p"/>
              </m:rPr>
              <w:rPr>
                <w:rFonts w:ascii="Cambria Math" w:hAnsi="Cambria Math"/>
              </w:rPr>
              <m:t>,</m:t>
            </m:r>
            <m:r>
              <w:rPr>
                <w:rFonts w:ascii="Cambria Math" w:hAnsi="Cambria Math"/>
              </w:rPr>
              <m:t>2.2</m:t>
            </m:r>
          </m:e>
        </m:d>
      </m:oMath>
      <w:r w:rsidRPr="00A46D13">
        <w:t xml:space="preserve">, environmental uncertainty followed </w:t>
      </w:r>
      <m:oMath>
        <m:r>
          <m:rPr>
            <m:nor/>
          </m:rPr>
          <m:t>Beta</m:t>
        </m:r>
        <m:d>
          <m:dPr>
            <m:ctrlPr>
              <w:rPr>
                <w:rFonts w:ascii="Cambria Math" w:hAnsi="Cambria Math"/>
              </w:rPr>
            </m:ctrlPr>
          </m:dPr>
          <m:e>
            <m:r>
              <w:rPr>
                <w:rFonts w:ascii="Cambria Math" w:hAnsi="Cambria Math"/>
              </w:rPr>
              <m:t>2.2</m:t>
            </m:r>
            <m:r>
              <m:rPr>
                <m:sty m:val="p"/>
              </m:rPr>
              <w:rPr>
                <w:rFonts w:ascii="Cambria Math" w:hAnsi="Cambria Math"/>
              </w:rPr>
              <m:t>,</m:t>
            </m:r>
            <m:r>
              <w:rPr>
                <w:rFonts w:ascii="Cambria Math" w:hAnsi="Cambria Math"/>
              </w:rPr>
              <m:t>5.0</m:t>
            </m:r>
          </m:e>
        </m:d>
      </m:oMath>
      <w:r w:rsidRPr="00A46D13">
        <w:t xml:space="preserve">, shock severity followed </w:t>
      </w:r>
      <m:oMath>
        <m:r>
          <m:rPr>
            <m:nor/>
          </m:rPr>
          <m:t>Lognormal</m:t>
        </m:r>
        <m:d>
          <m:dPr>
            <m:ctrlPr>
              <w:rPr>
                <w:rFonts w:ascii="Cambria Math" w:hAnsi="Cambria Math"/>
              </w:rPr>
            </m:ctrlPr>
          </m:dPr>
          <m:e>
            <m:r>
              <m:rPr>
                <m:sty m:val="p"/>
              </m:rPr>
              <w:rPr>
                <w:rFonts w:ascii="Cambria Math" w:hAnsi="Cambria Math"/>
              </w:rPr>
              <m:t>-</m:t>
            </m:r>
            <m:r>
              <w:rPr>
                <w:rFonts w:ascii="Cambria Math" w:hAnsi="Cambria Math"/>
              </w:rPr>
              <m:t>0.15</m:t>
            </m:r>
            <m:r>
              <m:rPr>
                <m:sty m:val="p"/>
              </m:rPr>
              <w:rPr>
                <w:rFonts w:ascii="Cambria Math" w:hAnsi="Cambria Math"/>
              </w:rPr>
              <m:t>,</m:t>
            </m:r>
            <m:r>
              <w:rPr>
                <w:rFonts w:ascii="Cambria Math" w:hAnsi="Cambria Math"/>
              </w:rPr>
              <m:t>0.55</m:t>
            </m:r>
          </m:e>
        </m:d>
      </m:oMath>
      <w:r w:rsidRPr="00A46D13">
        <w:t xml:space="preserve"> on the log scale, and productivity noise followed </w:t>
      </w:r>
      <m:oMath>
        <m:r>
          <m:rPr>
            <m:scr m:val="script"/>
            <m:sty m:val="p"/>
          </m:rPr>
          <w:rPr>
            <w:rFonts w:ascii="Cambria Math" w:hAnsi="Cambria Math"/>
          </w:rPr>
          <m:t>N</m:t>
        </m:r>
        <m:d>
          <m:dPr>
            <m:ctrlPr>
              <w:rPr>
                <w:rFonts w:ascii="Cambria Math" w:hAnsi="Cambria Math"/>
              </w:rPr>
            </m:ctrlPr>
          </m:dPr>
          <m:e>
            <m:r>
              <w:rPr>
                <w:rFonts w:ascii="Cambria Math" w:hAnsi="Cambria Math"/>
              </w:rPr>
              <m:t>0</m:t>
            </m:r>
            <m:r>
              <m:rPr>
                <m:sty m:val="p"/>
              </m:rPr>
              <w:rPr>
                <w:rFonts w:ascii="Cambria Math" w:hAnsi="Cambria Math"/>
              </w:rPr>
              <m:t>,</m:t>
            </m:r>
            <m:sSup>
              <m:sSupPr>
                <m:ctrlPr>
                  <w:rPr>
                    <w:rFonts w:ascii="Cambria Math" w:hAnsi="Cambria Math"/>
                  </w:rPr>
                </m:ctrlPr>
              </m:sSupPr>
              <m:e>
                <m:r>
                  <w:rPr>
                    <w:rFonts w:ascii="Cambria Math" w:hAnsi="Cambria Math"/>
                  </w:rPr>
                  <m:t>0.70</m:t>
                </m:r>
              </m:e>
              <m:sup>
                <m:r>
                  <w:rPr>
                    <w:rFonts w:ascii="Cambria Math" w:hAnsi="Cambria Math"/>
                  </w:rPr>
                  <m:t>2</m:t>
                </m:r>
              </m:sup>
            </m:sSup>
          </m:e>
        </m:d>
      </m:oMath>
      <w:r w:rsidRPr="00A46D13">
        <w:t>.</w:t>
      </w:r>
    </w:p>
    <w:p w14:paraId="6316FE22" w14:textId="77777777" w:rsidR="00235BC0" w:rsidRPr="00A46D13" w:rsidRDefault="00000000">
      <w:pPr>
        <w:keepNext/>
        <w:spacing w:before="100" w:after="40"/>
        <w:jc w:val="left"/>
      </w:pPr>
      <w:r w:rsidRPr="00A46D13">
        <w:rPr>
          <w:b/>
          <w:bCs/>
        </w:rPr>
        <w:t xml:space="preserve">Table 3. Complete base-model </w:t>
      </w:r>
      <w:proofErr w:type="spellStart"/>
      <w:r w:rsidRPr="00A46D13">
        <w:rPr>
          <w:b/>
          <w:bCs/>
        </w:rPr>
        <w:t>parameterisation</w:t>
      </w:r>
      <w:proofErr w:type="spellEnd"/>
    </w:p>
    <w:tbl>
      <w:tblPr>
        <w:tblW w:w="936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20" w:firstRow="1" w:lastRow="0" w:firstColumn="0" w:lastColumn="0" w:noHBand="0" w:noVBand="0"/>
      </w:tblPr>
      <w:tblGrid>
        <w:gridCol w:w="1600"/>
        <w:gridCol w:w="2050"/>
        <w:gridCol w:w="2150"/>
        <w:gridCol w:w="3560"/>
      </w:tblGrid>
      <w:tr w:rsidR="00235BC0" w:rsidRPr="00A46D13" w14:paraId="3A012B3E" w14:textId="77777777">
        <w:trPr>
          <w:cantSplit/>
          <w:tblHeader/>
          <w:jc w:val="center"/>
        </w:trPr>
        <w:tc>
          <w:tcPr>
            <w:tcW w:w="1600" w:type="dxa"/>
            <w:shd w:val="clear" w:color="auto" w:fill="E7E6E6"/>
            <w:tcMar>
              <w:top w:w="45" w:type="dxa"/>
              <w:left w:w="55" w:type="dxa"/>
              <w:bottom w:w="45" w:type="dxa"/>
              <w:right w:w="55" w:type="dxa"/>
            </w:tcMar>
            <w:vAlign w:val="center"/>
          </w:tcPr>
          <w:p w14:paraId="04204109" w14:textId="77777777" w:rsidR="00235BC0" w:rsidRPr="00A46D13" w:rsidRDefault="00000000">
            <w:pPr>
              <w:spacing w:after="0"/>
              <w:jc w:val="left"/>
            </w:pPr>
            <w:r w:rsidRPr="00A46D13">
              <w:rPr>
                <w:b/>
                <w:bCs/>
                <w:sz w:val="16"/>
              </w:rPr>
              <w:t>Component</w:t>
            </w:r>
          </w:p>
        </w:tc>
        <w:tc>
          <w:tcPr>
            <w:tcW w:w="2050" w:type="dxa"/>
            <w:shd w:val="clear" w:color="auto" w:fill="E7E6E6"/>
            <w:tcMar>
              <w:top w:w="45" w:type="dxa"/>
              <w:left w:w="55" w:type="dxa"/>
              <w:bottom w:w="45" w:type="dxa"/>
              <w:right w:w="55" w:type="dxa"/>
            </w:tcMar>
            <w:vAlign w:val="center"/>
          </w:tcPr>
          <w:p w14:paraId="646BB236" w14:textId="77777777" w:rsidR="00235BC0" w:rsidRPr="00A46D13" w:rsidRDefault="00000000">
            <w:pPr>
              <w:spacing w:after="0"/>
              <w:jc w:val="center"/>
            </w:pPr>
            <w:r w:rsidRPr="00A46D13">
              <w:rPr>
                <w:b/>
                <w:bCs/>
                <w:sz w:val="16"/>
              </w:rPr>
              <w:t>Symbol or rule</w:t>
            </w:r>
          </w:p>
        </w:tc>
        <w:tc>
          <w:tcPr>
            <w:tcW w:w="2150" w:type="dxa"/>
            <w:shd w:val="clear" w:color="auto" w:fill="E7E6E6"/>
            <w:tcMar>
              <w:top w:w="45" w:type="dxa"/>
              <w:left w:w="55" w:type="dxa"/>
              <w:bottom w:w="45" w:type="dxa"/>
              <w:right w:w="55" w:type="dxa"/>
            </w:tcMar>
            <w:vAlign w:val="center"/>
          </w:tcPr>
          <w:p w14:paraId="12A0A773" w14:textId="77777777" w:rsidR="00235BC0" w:rsidRPr="00A46D13" w:rsidRDefault="00000000">
            <w:pPr>
              <w:spacing w:after="0"/>
              <w:jc w:val="center"/>
            </w:pPr>
            <w:r w:rsidRPr="00A46D13">
              <w:rPr>
                <w:b/>
                <w:bCs/>
                <w:sz w:val="16"/>
              </w:rPr>
              <w:t>Value</w:t>
            </w:r>
          </w:p>
        </w:tc>
        <w:tc>
          <w:tcPr>
            <w:tcW w:w="3560" w:type="dxa"/>
            <w:shd w:val="clear" w:color="auto" w:fill="E7E6E6"/>
            <w:tcMar>
              <w:top w:w="45" w:type="dxa"/>
              <w:left w:w="55" w:type="dxa"/>
              <w:bottom w:w="45" w:type="dxa"/>
              <w:right w:w="55" w:type="dxa"/>
            </w:tcMar>
            <w:vAlign w:val="center"/>
          </w:tcPr>
          <w:p w14:paraId="3844947C" w14:textId="77777777" w:rsidR="00235BC0" w:rsidRPr="00A46D13" w:rsidRDefault="00000000">
            <w:pPr>
              <w:spacing w:after="0"/>
              <w:jc w:val="center"/>
            </w:pPr>
            <w:r w:rsidRPr="00A46D13">
              <w:rPr>
                <w:b/>
                <w:bCs/>
                <w:sz w:val="16"/>
              </w:rPr>
              <w:t>Role</w:t>
            </w:r>
          </w:p>
        </w:tc>
      </w:tr>
      <w:tr w:rsidR="00235BC0" w:rsidRPr="00A46D13" w14:paraId="52621CB3" w14:textId="77777777">
        <w:trPr>
          <w:cantSplit/>
          <w:jc w:val="center"/>
        </w:trPr>
        <w:tc>
          <w:tcPr>
            <w:tcW w:w="1600" w:type="dxa"/>
            <w:tcMar>
              <w:top w:w="45" w:type="dxa"/>
              <w:left w:w="55" w:type="dxa"/>
              <w:bottom w:w="45" w:type="dxa"/>
              <w:right w:w="55" w:type="dxa"/>
            </w:tcMar>
            <w:vAlign w:val="center"/>
          </w:tcPr>
          <w:p w14:paraId="59E4CD54" w14:textId="77777777" w:rsidR="00235BC0" w:rsidRPr="00A46D13" w:rsidRDefault="00000000">
            <w:pPr>
              <w:spacing w:after="0"/>
              <w:jc w:val="left"/>
            </w:pPr>
            <w:r w:rsidRPr="00A46D13">
              <w:rPr>
                <w:sz w:val="16"/>
              </w:rPr>
              <w:t>Baseline output</w:t>
            </w:r>
          </w:p>
        </w:tc>
        <w:tc>
          <w:tcPr>
            <w:tcW w:w="2050" w:type="dxa"/>
            <w:tcMar>
              <w:top w:w="45" w:type="dxa"/>
              <w:left w:w="55" w:type="dxa"/>
              <w:bottom w:w="45" w:type="dxa"/>
              <w:right w:w="55" w:type="dxa"/>
            </w:tcMar>
            <w:vAlign w:val="center"/>
          </w:tcPr>
          <w:p w14:paraId="39A5E742" w14:textId="77777777" w:rsidR="00235BC0" w:rsidRPr="00A46D13" w:rsidRDefault="00000000">
            <w:pPr>
              <w:spacing w:after="0"/>
              <w:jc w:val="center"/>
            </w:pPr>
            <m:oMathPara>
              <m:oMath>
                <m:sSub>
                  <m:sSubPr>
                    <m:ctrlPr>
                      <w:rPr>
                        <w:rFonts w:ascii="Cambria Math" w:hAnsi="Cambria Math"/>
                      </w:rPr>
                    </m:ctrlPr>
                  </m:sSubPr>
                  <m:e>
                    <m:r>
                      <w:rPr>
                        <w:rFonts w:ascii="Cambria Math" w:hAnsi="Cambria Math"/>
                      </w:rPr>
                      <m:t>Y</m:t>
                    </m:r>
                  </m:e>
                  <m:sub>
                    <m:r>
                      <w:rPr>
                        <w:rFonts w:ascii="Cambria Math" w:hAnsi="Cambria Math"/>
                      </w:rPr>
                      <m:t>0</m:t>
                    </m:r>
                  </m:sub>
                </m:sSub>
              </m:oMath>
            </m:oMathPara>
          </w:p>
        </w:tc>
        <w:tc>
          <w:tcPr>
            <w:tcW w:w="2150" w:type="dxa"/>
            <w:tcMar>
              <w:top w:w="45" w:type="dxa"/>
              <w:left w:w="55" w:type="dxa"/>
              <w:bottom w:w="45" w:type="dxa"/>
              <w:right w:w="55" w:type="dxa"/>
            </w:tcMar>
            <w:vAlign w:val="center"/>
          </w:tcPr>
          <w:p w14:paraId="2CA59D5A" w14:textId="77777777" w:rsidR="00235BC0" w:rsidRPr="00A46D13" w:rsidRDefault="00000000">
            <w:pPr>
              <w:spacing w:after="0"/>
              <w:jc w:val="center"/>
            </w:pPr>
            <w:r w:rsidRPr="00A46D13">
              <w:rPr>
                <w:sz w:val="16"/>
              </w:rPr>
              <w:t>100.000</w:t>
            </w:r>
          </w:p>
        </w:tc>
        <w:tc>
          <w:tcPr>
            <w:tcW w:w="3560" w:type="dxa"/>
            <w:tcMar>
              <w:top w:w="45" w:type="dxa"/>
              <w:left w:w="55" w:type="dxa"/>
              <w:bottom w:w="45" w:type="dxa"/>
              <w:right w:w="55" w:type="dxa"/>
            </w:tcMar>
            <w:vAlign w:val="center"/>
          </w:tcPr>
          <w:p w14:paraId="68925F62" w14:textId="77777777" w:rsidR="00235BC0" w:rsidRPr="00A46D13" w:rsidRDefault="00000000">
            <w:pPr>
              <w:spacing w:after="0"/>
              <w:jc w:val="center"/>
            </w:pPr>
            <w:r w:rsidRPr="00A46D13">
              <w:rPr>
                <w:sz w:val="16"/>
              </w:rPr>
              <w:t>Output index per period</w:t>
            </w:r>
          </w:p>
        </w:tc>
      </w:tr>
      <w:tr w:rsidR="00235BC0" w:rsidRPr="00A46D13" w14:paraId="27C12C51" w14:textId="77777777">
        <w:trPr>
          <w:cantSplit/>
          <w:jc w:val="center"/>
        </w:trPr>
        <w:tc>
          <w:tcPr>
            <w:tcW w:w="1600" w:type="dxa"/>
            <w:tcMar>
              <w:top w:w="45" w:type="dxa"/>
              <w:left w:w="55" w:type="dxa"/>
              <w:bottom w:w="45" w:type="dxa"/>
              <w:right w:w="55" w:type="dxa"/>
            </w:tcMar>
            <w:vAlign w:val="center"/>
          </w:tcPr>
          <w:p w14:paraId="18F3E0A9" w14:textId="77777777" w:rsidR="00235BC0" w:rsidRPr="00A46D13" w:rsidRDefault="00000000">
            <w:pPr>
              <w:spacing w:after="0"/>
              <w:jc w:val="left"/>
            </w:pPr>
            <w:r w:rsidRPr="00A46D13">
              <w:rPr>
                <w:sz w:val="16"/>
              </w:rPr>
              <w:t>Compression</w:t>
            </w:r>
          </w:p>
        </w:tc>
        <w:tc>
          <w:tcPr>
            <w:tcW w:w="2050" w:type="dxa"/>
            <w:tcMar>
              <w:top w:w="45" w:type="dxa"/>
              <w:left w:w="55" w:type="dxa"/>
              <w:bottom w:w="45" w:type="dxa"/>
              <w:right w:w="55" w:type="dxa"/>
            </w:tcMar>
            <w:vAlign w:val="center"/>
          </w:tcPr>
          <w:p w14:paraId="5EFE80DE" w14:textId="77777777" w:rsidR="00235BC0" w:rsidRPr="00A46D13" w:rsidRDefault="00000000">
            <w:pPr>
              <w:spacing w:after="0"/>
              <w:jc w:val="center"/>
            </w:pPr>
            <m:oMathPara>
              <m:oMath>
                <m:sSub>
                  <m:sSubPr>
                    <m:ctrlPr>
                      <w:rPr>
                        <w:rFonts w:ascii="Cambria Math" w:hAnsi="Cambria Math"/>
                      </w:rPr>
                    </m:ctrlPr>
                  </m:sSubPr>
                  <m:e>
                    <m:r>
                      <w:rPr>
                        <w:rFonts w:ascii="Cambria Math" w:hAnsi="Cambria Math"/>
                      </w:rPr>
                      <m:t>α</m:t>
                    </m:r>
                  </m:e>
                  <m:sub>
                    <m: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H</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G</m:t>
                    </m:r>
                  </m:sub>
                </m:sSub>
              </m:oMath>
            </m:oMathPara>
          </w:p>
        </w:tc>
        <w:tc>
          <w:tcPr>
            <w:tcW w:w="2150" w:type="dxa"/>
            <w:tcMar>
              <w:top w:w="45" w:type="dxa"/>
              <w:left w:w="55" w:type="dxa"/>
              <w:bottom w:w="45" w:type="dxa"/>
              <w:right w:w="55" w:type="dxa"/>
            </w:tcMar>
            <w:vAlign w:val="center"/>
          </w:tcPr>
          <w:p w14:paraId="64A2BDCE" w14:textId="77777777" w:rsidR="00235BC0" w:rsidRPr="00A46D13" w:rsidRDefault="00000000">
            <w:pPr>
              <w:spacing w:after="0"/>
              <w:jc w:val="center"/>
            </w:pPr>
            <w:r w:rsidRPr="00A46D13">
              <w:rPr>
                <w:sz w:val="16"/>
              </w:rPr>
              <w:t>0.620, 0.380, 0.130</w:t>
            </w:r>
          </w:p>
        </w:tc>
        <w:tc>
          <w:tcPr>
            <w:tcW w:w="3560" w:type="dxa"/>
            <w:tcMar>
              <w:top w:w="45" w:type="dxa"/>
              <w:left w:w="55" w:type="dxa"/>
              <w:bottom w:w="45" w:type="dxa"/>
              <w:right w:w="55" w:type="dxa"/>
            </w:tcMar>
            <w:vAlign w:val="center"/>
          </w:tcPr>
          <w:p w14:paraId="52587D06" w14:textId="77777777" w:rsidR="00235BC0" w:rsidRPr="00A46D13" w:rsidRDefault="00000000">
            <w:pPr>
              <w:spacing w:after="0"/>
              <w:jc w:val="center"/>
            </w:pPr>
            <w:r w:rsidRPr="00A46D13">
              <w:rPr>
                <w:sz w:val="16"/>
              </w:rPr>
              <w:t>Base, expertise, and governance effects</w:t>
            </w:r>
          </w:p>
        </w:tc>
      </w:tr>
      <w:tr w:rsidR="00235BC0" w:rsidRPr="00A46D13" w14:paraId="1D481A85" w14:textId="77777777">
        <w:trPr>
          <w:cantSplit/>
          <w:jc w:val="center"/>
        </w:trPr>
        <w:tc>
          <w:tcPr>
            <w:tcW w:w="1600" w:type="dxa"/>
            <w:tcMar>
              <w:top w:w="45" w:type="dxa"/>
              <w:left w:w="55" w:type="dxa"/>
              <w:bottom w:w="45" w:type="dxa"/>
              <w:right w:w="55" w:type="dxa"/>
            </w:tcMar>
            <w:vAlign w:val="center"/>
          </w:tcPr>
          <w:p w14:paraId="38CDF0CC" w14:textId="77777777" w:rsidR="00235BC0" w:rsidRPr="00A46D13" w:rsidRDefault="00000000">
            <w:pPr>
              <w:spacing w:after="0"/>
              <w:jc w:val="left"/>
            </w:pPr>
            <w:r w:rsidRPr="00A46D13">
              <w:rPr>
                <w:sz w:val="16"/>
              </w:rPr>
              <w:t>Productivity</w:t>
            </w:r>
          </w:p>
        </w:tc>
        <w:tc>
          <w:tcPr>
            <w:tcW w:w="2050" w:type="dxa"/>
            <w:tcMar>
              <w:top w:w="45" w:type="dxa"/>
              <w:left w:w="55" w:type="dxa"/>
              <w:bottom w:w="45" w:type="dxa"/>
              <w:right w:w="55" w:type="dxa"/>
            </w:tcMar>
            <w:vAlign w:val="center"/>
          </w:tcPr>
          <w:p w14:paraId="4F9BA5FD" w14:textId="77777777" w:rsidR="00235BC0" w:rsidRPr="00A46D13" w:rsidRDefault="00000000">
            <w:pPr>
              <w:spacing w:after="0"/>
              <w:jc w:val="center"/>
            </w:pPr>
            <m:oMathPara>
              <m:oMath>
                <m:sSub>
                  <m:sSubPr>
                    <m:ctrlPr>
                      <w:rPr>
                        <w:rFonts w:ascii="Cambria Math" w:hAnsi="Cambria Math"/>
                      </w:rPr>
                    </m:ctrlPr>
                  </m:sSubPr>
                  <m:e>
                    <m:r>
                      <w:rPr>
                        <w:rFonts w:ascii="Cambria Math" w:hAnsi="Cambria Math"/>
                      </w:rPr>
                      <m:t>β</m:t>
                    </m:r>
                  </m:e>
                  <m:sub>
                    <m:r>
                      <w:rPr>
                        <w:rFonts w:ascii="Cambria Math" w:hAnsi="Cambria Math"/>
                      </w:rPr>
                      <m:t>C</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H</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A</m:t>
                    </m:r>
                  </m:sub>
                </m:sSub>
              </m:oMath>
            </m:oMathPara>
          </w:p>
        </w:tc>
        <w:tc>
          <w:tcPr>
            <w:tcW w:w="2150" w:type="dxa"/>
            <w:tcMar>
              <w:top w:w="45" w:type="dxa"/>
              <w:left w:w="55" w:type="dxa"/>
              <w:bottom w:w="45" w:type="dxa"/>
              <w:right w:w="55" w:type="dxa"/>
            </w:tcMar>
            <w:vAlign w:val="center"/>
          </w:tcPr>
          <w:p w14:paraId="213BB99F" w14:textId="77777777" w:rsidR="00235BC0" w:rsidRPr="00A46D13" w:rsidRDefault="00000000">
            <w:pPr>
              <w:spacing w:after="0"/>
              <w:jc w:val="center"/>
            </w:pPr>
            <w:r w:rsidRPr="00A46D13">
              <w:rPr>
                <w:sz w:val="16"/>
              </w:rPr>
              <w:t>0.155, 0.055, 0.028</w:t>
            </w:r>
          </w:p>
        </w:tc>
        <w:tc>
          <w:tcPr>
            <w:tcW w:w="3560" w:type="dxa"/>
            <w:tcMar>
              <w:top w:w="45" w:type="dxa"/>
              <w:left w:w="55" w:type="dxa"/>
              <w:bottom w:w="45" w:type="dxa"/>
              <w:right w:w="55" w:type="dxa"/>
            </w:tcMar>
            <w:vAlign w:val="center"/>
          </w:tcPr>
          <w:p w14:paraId="0B4CD305" w14:textId="77777777" w:rsidR="00235BC0" w:rsidRPr="00A46D13" w:rsidRDefault="00000000">
            <w:pPr>
              <w:spacing w:after="0"/>
              <w:jc w:val="center"/>
            </w:pPr>
            <w:r w:rsidRPr="00A46D13">
              <w:rPr>
                <w:sz w:val="16"/>
              </w:rPr>
              <w:t>Compression, complementarity, and assurance-enabled scale</w:t>
            </w:r>
          </w:p>
        </w:tc>
      </w:tr>
      <w:tr w:rsidR="00235BC0" w:rsidRPr="00A46D13" w14:paraId="2F9B091B" w14:textId="77777777">
        <w:trPr>
          <w:cantSplit/>
          <w:jc w:val="center"/>
        </w:trPr>
        <w:tc>
          <w:tcPr>
            <w:tcW w:w="1600" w:type="dxa"/>
            <w:tcMar>
              <w:top w:w="45" w:type="dxa"/>
              <w:left w:w="55" w:type="dxa"/>
              <w:bottom w:w="45" w:type="dxa"/>
              <w:right w:w="55" w:type="dxa"/>
            </w:tcMar>
            <w:vAlign w:val="center"/>
          </w:tcPr>
          <w:p w14:paraId="722E2087" w14:textId="77777777" w:rsidR="00235BC0" w:rsidRPr="00A46D13" w:rsidRDefault="00000000">
            <w:pPr>
              <w:spacing w:after="0"/>
              <w:jc w:val="left"/>
            </w:pPr>
            <w:r w:rsidRPr="00A46D13">
              <w:rPr>
                <w:sz w:val="16"/>
              </w:rPr>
              <w:t>Operating cost</w:t>
            </w:r>
          </w:p>
        </w:tc>
        <w:tc>
          <w:tcPr>
            <w:tcW w:w="2050" w:type="dxa"/>
            <w:tcMar>
              <w:top w:w="45" w:type="dxa"/>
              <w:left w:w="55" w:type="dxa"/>
              <w:bottom w:w="45" w:type="dxa"/>
              <w:right w:w="55" w:type="dxa"/>
            </w:tcMar>
            <w:vAlign w:val="center"/>
          </w:tcPr>
          <w:p w14:paraId="6EA2CE6E" w14:textId="77777777" w:rsidR="00235BC0" w:rsidRPr="00A46D13" w:rsidRDefault="00000000">
            <w:pPr>
              <w:spacing w:after="0"/>
              <w:jc w:val="center"/>
            </w:pPr>
            <m:oMathPara>
              <m:oMath>
                <m:sSub>
                  <m:sSubPr>
                    <m:ctrlPr>
                      <w:rPr>
                        <w:rFonts w:ascii="Cambria Math" w:hAnsi="Cambria Math"/>
                      </w:rPr>
                    </m:ctrlPr>
                  </m:sSubPr>
                  <m:e>
                    <m:r>
                      <w:rPr>
                        <w:rFonts w:ascii="Cambria Math" w:hAnsi="Cambria Math"/>
                      </w:rPr>
                      <m:t>c</m:t>
                    </m:r>
                  </m:e>
                  <m:sub>
                    <m:r>
                      <w:rPr>
                        <w:rFonts w:ascii="Cambria Math" w:hAnsi="Cambria Math"/>
                      </w:rPr>
                      <m:t>a2</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a4</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g</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v</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av</m:t>
                    </m:r>
                  </m:sub>
                </m:sSub>
              </m:oMath>
            </m:oMathPara>
          </w:p>
        </w:tc>
        <w:tc>
          <w:tcPr>
            <w:tcW w:w="2150" w:type="dxa"/>
            <w:tcMar>
              <w:top w:w="45" w:type="dxa"/>
              <w:left w:w="55" w:type="dxa"/>
              <w:bottom w:w="45" w:type="dxa"/>
              <w:right w:w="55" w:type="dxa"/>
            </w:tcMar>
            <w:vAlign w:val="center"/>
          </w:tcPr>
          <w:p w14:paraId="76D647AC" w14:textId="77777777" w:rsidR="00235BC0" w:rsidRPr="00A46D13" w:rsidRDefault="00000000">
            <w:pPr>
              <w:spacing w:after="0"/>
              <w:jc w:val="center"/>
            </w:pPr>
            <w:r w:rsidRPr="00A46D13">
              <w:rPr>
                <w:sz w:val="16"/>
              </w:rPr>
              <w:t>0.022, 0.008, 0.022, 0.026, 0.012</w:t>
            </w:r>
          </w:p>
        </w:tc>
        <w:tc>
          <w:tcPr>
            <w:tcW w:w="3560" w:type="dxa"/>
            <w:tcMar>
              <w:top w:w="45" w:type="dxa"/>
              <w:left w:w="55" w:type="dxa"/>
              <w:bottom w:w="45" w:type="dxa"/>
              <w:right w:w="55" w:type="dxa"/>
            </w:tcMar>
            <w:vAlign w:val="center"/>
          </w:tcPr>
          <w:p w14:paraId="1588791D" w14:textId="77777777" w:rsidR="00235BC0" w:rsidRPr="00A46D13" w:rsidRDefault="00000000">
            <w:pPr>
              <w:spacing w:after="0"/>
              <w:jc w:val="center"/>
            </w:pPr>
            <w:r w:rsidRPr="00A46D13">
              <w:rPr>
                <w:sz w:val="16"/>
              </w:rPr>
              <w:t>Automation, scaling, governance, verification, and interaction costs</w:t>
            </w:r>
          </w:p>
        </w:tc>
      </w:tr>
      <w:tr w:rsidR="00235BC0" w:rsidRPr="00A46D13" w14:paraId="42C852AD" w14:textId="77777777">
        <w:trPr>
          <w:cantSplit/>
          <w:jc w:val="center"/>
        </w:trPr>
        <w:tc>
          <w:tcPr>
            <w:tcW w:w="1600" w:type="dxa"/>
            <w:tcMar>
              <w:top w:w="45" w:type="dxa"/>
              <w:left w:w="55" w:type="dxa"/>
              <w:bottom w:w="45" w:type="dxa"/>
              <w:right w:w="55" w:type="dxa"/>
            </w:tcMar>
            <w:vAlign w:val="center"/>
          </w:tcPr>
          <w:p w14:paraId="69B913CB" w14:textId="77777777" w:rsidR="00235BC0" w:rsidRPr="00A46D13" w:rsidRDefault="00000000">
            <w:pPr>
              <w:spacing w:after="0"/>
              <w:jc w:val="left"/>
            </w:pPr>
            <w:r w:rsidRPr="00A46D13">
              <w:rPr>
                <w:sz w:val="16"/>
              </w:rPr>
              <w:t>Routine debt loss</w:t>
            </w:r>
          </w:p>
        </w:tc>
        <w:tc>
          <w:tcPr>
            <w:tcW w:w="2050" w:type="dxa"/>
            <w:tcMar>
              <w:top w:w="45" w:type="dxa"/>
              <w:left w:w="55" w:type="dxa"/>
              <w:bottom w:w="45" w:type="dxa"/>
              <w:right w:w="55" w:type="dxa"/>
            </w:tcMar>
            <w:vAlign w:val="center"/>
          </w:tcPr>
          <w:p w14:paraId="7C393B6B" w14:textId="77777777" w:rsidR="00235BC0" w:rsidRPr="00A46D13" w:rsidRDefault="00000000">
            <w:pPr>
              <w:spacing w:after="0"/>
              <w:jc w:val="center"/>
            </w:pPr>
            <m:oMathPara>
              <m:oMath>
                <m:sSub>
                  <m:sSubPr>
                    <m:ctrlPr>
                      <w:rPr>
                        <w:rFonts w:ascii="Cambria Math" w:hAnsi="Cambria Math"/>
                      </w:rPr>
                    </m:ctrlPr>
                  </m:sSubPr>
                  <m:e>
                    <m:r>
                      <w:rPr>
                        <w:rFonts w:ascii="Cambria Math" w:hAnsi="Cambria Math"/>
                      </w:rPr>
                      <m:t>κ</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κ</m:t>
                    </m:r>
                  </m:e>
                  <m:sub>
                    <m:r>
                      <w:rPr>
                        <w:rFonts w:ascii="Cambria Math" w:hAnsi="Cambria Math"/>
                      </w:rPr>
                      <m:t>2</m:t>
                    </m:r>
                  </m:sub>
                </m:sSub>
              </m:oMath>
            </m:oMathPara>
          </w:p>
        </w:tc>
        <w:tc>
          <w:tcPr>
            <w:tcW w:w="2150" w:type="dxa"/>
            <w:tcMar>
              <w:top w:w="45" w:type="dxa"/>
              <w:left w:w="55" w:type="dxa"/>
              <w:bottom w:w="45" w:type="dxa"/>
              <w:right w:w="55" w:type="dxa"/>
            </w:tcMar>
            <w:vAlign w:val="center"/>
          </w:tcPr>
          <w:p w14:paraId="3AA96E8F" w14:textId="77777777" w:rsidR="00235BC0" w:rsidRPr="00A46D13" w:rsidRDefault="00000000">
            <w:pPr>
              <w:spacing w:after="0"/>
              <w:jc w:val="center"/>
            </w:pPr>
            <w:r w:rsidRPr="00A46D13">
              <w:rPr>
                <w:sz w:val="16"/>
              </w:rPr>
              <w:t>0.010, 0.006</w:t>
            </w:r>
          </w:p>
        </w:tc>
        <w:tc>
          <w:tcPr>
            <w:tcW w:w="3560" w:type="dxa"/>
            <w:tcMar>
              <w:top w:w="45" w:type="dxa"/>
              <w:left w:w="55" w:type="dxa"/>
              <w:bottom w:w="45" w:type="dxa"/>
              <w:right w:w="55" w:type="dxa"/>
            </w:tcMar>
            <w:vAlign w:val="center"/>
          </w:tcPr>
          <w:p w14:paraId="11033300" w14:textId="77777777" w:rsidR="00235BC0" w:rsidRPr="00A46D13" w:rsidRDefault="00000000">
            <w:pPr>
              <w:spacing w:after="0"/>
              <w:jc w:val="center"/>
            </w:pPr>
            <w:r w:rsidRPr="00A46D13">
              <w:rPr>
                <w:sz w:val="16"/>
              </w:rPr>
              <w:t>Linear and quadratic debt-loss coefficients</w:t>
            </w:r>
          </w:p>
        </w:tc>
      </w:tr>
      <w:tr w:rsidR="00235BC0" w:rsidRPr="00A46D13" w14:paraId="4D9E1ABB" w14:textId="77777777">
        <w:trPr>
          <w:cantSplit/>
          <w:jc w:val="center"/>
        </w:trPr>
        <w:tc>
          <w:tcPr>
            <w:tcW w:w="1600" w:type="dxa"/>
            <w:tcMar>
              <w:top w:w="45" w:type="dxa"/>
              <w:left w:w="55" w:type="dxa"/>
              <w:bottom w:w="45" w:type="dxa"/>
              <w:right w:w="55" w:type="dxa"/>
            </w:tcMar>
            <w:vAlign w:val="center"/>
          </w:tcPr>
          <w:p w14:paraId="1A18A239" w14:textId="77777777" w:rsidR="00235BC0" w:rsidRPr="00A46D13" w:rsidRDefault="00000000">
            <w:pPr>
              <w:spacing w:after="0"/>
              <w:jc w:val="left"/>
            </w:pPr>
            <w:r w:rsidRPr="00A46D13">
              <w:rPr>
                <w:sz w:val="16"/>
              </w:rPr>
              <w:t>Debt dynamics</w:t>
            </w:r>
          </w:p>
        </w:tc>
        <w:tc>
          <w:tcPr>
            <w:tcW w:w="2050" w:type="dxa"/>
            <w:tcMar>
              <w:top w:w="45" w:type="dxa"/>
              <w:left w:w="55" w:type="dxa"/>
              <w:bottom w:w="45" w:type="dxa"/>
              <w:right w:w="55" w:type="dxa"/>
            </w:tcMar>
            <w:vAlign w:val="center"/>
          </w:tcPr>
          <w:p w14:paraId="3E142359" w14:textId="77777777" w:rsidR="00235BC0" w:rsidRPr="00A46D13" w:rsidRDefault="00000000">
            <w:pPr>
              <w:spacing w:after="0"/>
              <w:jc w:val="center"/>
            </w:pPr>
            <m:oMathPara>
              <m:oMath>
                <m:sSub>
                  <m:sSubPr>
                    <m:ctrlPr>
                      <w:rPr>
                        <w:rFonts w:ascii="Cambria Math" w:hAnsi="Cambria Math"/>
                      </w:rPr>
                    </m:ctrlPr>
                  </m:sSubPr>
                  <m:e>
                    <m:r>
                      <w:rPr>
                        <w:rFonts w:ascii="Cambria Math" w:hAnsi="Cambria Math"/>
                      </w:rPr>
                      <m:t>δ</m:t>
                    </m:r>
                  </m:e>
                  <m:sub>
                    <m:r>
                      <w:rPr>
                        <w:rFonts w:ascii="Cambria Math" w:hAnsi="Cambria Math"/>
                      </w:rPr>
                      <m:t>D</m:t>
                    </m:r>
                  </m:sub>
                </m:sSub>
                <m:r>
                  <m:rPr>
                    <m:sty m:val="p"/>
                  </m:rPr>
                  <w:rPr>
                    <w:rFonts w:ascii="Cambria Math" w:hAnsi="Cambria Math"/>
                  </w:rPr>
                  <m:t>,</m:t>
                </m:r>
                <m:r>
                  <w:rPr>
                    <w:rFonts w:ascii="Cambria Math" w:hAnsi="Cambria Math"/>
                  </w:rPr>
                  <m:t>λ</m:t>
                </m:r>
                <m:r>
                  <m:rPr>
                    <m:sty m:val="p"/>
                  </m:rPr>
                  <w:rPr>
                    <w:rFonts w:ascii="Cambria Math" w:hAnsi="Cambria Math"/>
                  </w:rPr>
                  <m:t>,</m:t>
                </m:r>
                <m:r>
                  <w:rPr>
                    <w:rFonts w:ascii="Cambria Math" w:hAnsi="Cambria Math"/>
                  </w:rPr>
                  <m:t>ρ</m:t>
                </m:r>
                <m:r>
                  <m:rPr>
                    <m:sty m:val="p"/>
                  </m:rPr>
                  <w:rPr>
                    <w:rFonts w:ascii="Cambria Math" w:hAnsi="Cambria Math"/>
                  </w:rPr>
                  <m:t>,</m:t>
                </m:r>
                <m:r>
                  <w:rPr>
                    <w:rFonts w:ascii="Cambria Math" w:hAnsi="Cambria Math"/>
                  </w:rPr>
                  <m:t>σ</m:t>
                </m:r>
                <m:r>
                  <m:rPr>
                    <m:sty m:val="p"/>
                  </m:rPr>
                  <w:rPr>
                    <w:rFonts w:ascii="Cambria Math" w:hAnsi="Cambria Math"/>
                  </w:rPr>
                  <m:t>,</m:t>
                </m:r>
                <m:r>
                  <w:rPr>
                    <w:rFonts w:ascii="Cambria Math" w:hAnsi="Cambria Math"/>
                  </w:rPr>
                  <m:t>ω</m:t>
                </m:r>
                <m:r>
                  <m:rPr>
                    <m:sty m:val="p"/>
                  </m:rPr>
                  <w:rPr>
                    <w:rFonts w:ascii="Cambria Math" w:hAnsi="Cambria Math"/>
                  </w:rPr>
                  <m:t>,</m:t>
                </m:r>
                <m:r>
                  <w:rPr>
                    <w:rFonts w:ascii="Cambria Math" w:hAnsi="Cambria Math"/>
                  </w:rPr>
                  <m:t>ϕ</m:t>
                </m:r>
                <m:r>
                  <m:rPr>
                    <m:sty m:val="p"/>
                  </m:rPr>
                  <w:rPr>
                    <w:rFonts w:ascii="Cambria Math" w:hAnsi="Cambria Math"/>
                  </w:rPr>
                  <m:t>,</m:t>
                </m:r>
                <m:r>
                  <w:rPr>
                    <w:rFonts w:ascii="Cambria Math" w:hAnsi="Cambria Math"/>
                  </w:rPr>
                  <m:t>μ</m:t>
                </m:r>
              </m:oMath>
            </m:oMathPara>
          </w:p>
        </w:tc>
        <w:tc>
          <w:tcPr>
            <w:tcW w:w="2150" w:type="dxa"/>
            <w:tcMar>
              <w:top w:w="45" w:type="dxa"/>
              <w:left w:w="55" w:type="dxa"/>
              <w:bottom w:w="45" w:type="dxa"/>
              <w:right w:w="55" w:type="dxa"/>
            </w:tcMar>
            <w:vAlign w:val="center"/>
          </w:tcPr>
          <w:p w14:paraId="259CE17A" w14:textId="77777777" w:rsidR="00235BC0" w:rsidRPr="00A46D13" w:rsidRDefault="00000000">
            <w:pPr>
              <w:spacing w:after="0"/>
              <w:jc w:val="center"/>
            </w:pPr>
            <w:r w:rsidRPr="00A46D13">
              <w:rPr>
                <w:sz w:val="16"/>
              </w:rPr>
              <w:t>0.085, 0.440, 1.650, 1.350, 1.150, 1.150, 0.240</w:t>
            </w:r>
          </w:p>
        </w:tc>
        <w:tc>
          <w:tcPr>
            <w:tcW w:w="3560" w:type="dxa"/>
            <w:tcMar>
              <w:top w:w="45" w:type="dxa"/>
              <w:left w:w="55" w:type="dxa"/>
              <w:bottom w:w="45" w:type="dxa"/>
              <w:right w:w="55" w:type="dxa"/>
            </w:tcMar>
            <w:vAlign w:val="center"/>
          </w:tcPr>
          <w:p w14:paraId="0E82DE7D" w14:textId="77777777" w:rsidR="00235BC0" w:rsidRPr="00A46D13" w:rsidRDefault="00000000">
            <w:pPr>
              <w:spacing w:after="0"/>
              <w:jc w:val="center"/>
            </w:pPr>
            <w:r w:rsidRPr="00A46D13">
              <w:rPr>
                <w:sz w:val="16"/>
              </w:rPr>
              <w:t>Decay, inflow, nonlinearities, uncertainty, and repayment</w:t>
            </w:r>
          </w:p>
        </w:tc>
      </w:tr>
      <w:tr w:rsidR="00235BC0" w:rsidRPr="00A46D13" w14:paraId="347E61DC" w14:textId="77777777">
        <w:trPr>
          <w:cantSplit/>
          <w:jc w:val="center"/>
        </w:trPr>
        <w:tc>
          <w:tcPr>
            <w:tcW w:w="1600" w:type="dxa"/>
            <w:tcMar>
              <w:top w:w="45" w:type="dxa"/>
              <w:left w:w="55" w:type="dxa"/>
              <w:bottom w:w="45" w:type="dxa"/>
              <w:right w:w="55" w:type="dxa"/>
            </w:tcMar>
            <w:vAlign w:val="center"/>
          </w:tcPr>
          <w:p w14:paraId="4574500D" w14:textId="77777777" w:rsidR="00235BC0" w:rsidRPr="00A46D13" w:rsidRDefault="00000000">
            <w:pPr>
              <w:spacing w:after="0"/>
              <w:jc w:val="left"/>
            </w:pPr>
            <w:r w:rsidRPr="00A46D13">
              <w:rPr>
                <w:sz w:val="16"/>
              </w:rPr>
              <w:t>Expertise dynamics</w:t>
            </w:r>
          </w:p>
        </w:tc>
        <w:tc>
          <w:tcPr>
            <w:tcW w:w="2050" w:type="dxa"/>
            <w:tcMar>
              <w:top w:w="45" w:type="dxa"/>
              <w:left w:w="55" w:type="dxa"/>
              <w:bottom w:w="45" w:type="dxa"/>
              <w:right w:w="55" w:type="dxa"/>
            </w:tcMar>
            <w:vAlign w:val="center"/>
          </w:tcPr>
          <w:p w14:paraId="1A2FCD94" w14:textId="77777777" w:rsidR="00235BC0" w:rsidRPr="00A46D13" w:rsidRDefault="00000000">
            <w:pPr>
              <w:spacing w:after="0"/>
              <w:jc w:val="center"/>
            </w:pPr>
            <m:oMathPara>
              <m:oMath>
                <m:sSub>
                  <m:sSubPr>
                    <m:ctrlPr>
                      <w:rPr>
                        <w:rFonts w:ascii="Cambria Math" w:hAnsi="Cambria Math"/>
                      </w:rPr>
                    </m:ctrlPr>
                  </m:sSubPr>
                  <m:e>
                    <m:r>
                      <w:rPr>
                        <w:rFonts w:ascii="Cambria Math" w:hAnsi="Cambria Math"/>
                      </w:rPr>
                      <m:t>τ</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3</m:t>
                    </m:r>
                  </m:sub>
                </m:sSub>
                <m:r>
                  <m:rPr>
                    <m:sty m:val="p"/>
                  </m:rPr>
                  <w:rPr>
                    <w:rFonts w:ascii="Cambria Math" w:hAnsi="Cambria Math"/>
                  </w:rPr>
                  <m:t>,</m:t>
                </m:r>
                <m:r>
                  <w:rPr>
                    <w:rFonts w:ascii="Cambria Math" w:hAnsi="Cambria Math"/>
                  </w:rPr>
                  <m:t>χ</m:t>
                </m:r>
                <m:r>
                  <m:rPr>
                    <m:sty m:val="p"/>
                  </m:rP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H</m:t>
                    </m:r>
                  </m:sub>
                </m:sSub>
                <m:r>
                  <m:rPr>
                    <m:sty m:val="p"/>
                  </m:rPr>
                  <w:rPr>
                    <w:rFonts w:ascii="Cambria Math" w:hAnsi="Cambria Math"/>
                  </w:rPr>
                  <m:t>,</m:t>
                </m:r>
                <m:acc>
                  <m:accPr>
                    <m:chr m:val="‾"/>
                    <m:ctrlPr>
                      <w:rPr>
                        <w:rFonts w:ascii="Cambria Math" w:hAnsi="Cambria Math"/>
                      </w:rPr>
                    </m:ctrlPr>
                  </m:accPr>
                  <m:e>
                    <m:r>
                      <w:rPr>
                        <w:rFonts w:ascii="Cambria Math" w:hAnsi="Cambria Math"/>
                      </w:rPr>
                      <m:t>H</m:t>
                    </m:r>
                  </m:e>
                </m:acc>
              </m:oMath>
            </m:oMathPara>
          </w:p>
        </w:tc>
        <w:tc>
          <w:tcPr>
            <w:tcW w:w="2150" w:type="dxa"/>
            <w:tcMar>
              <w:top w:w="45" w:type="dxa"/>
              <w:left w:w="55" w:type="dxa"/>
              <w:bottom w:w="45" w:type="dxa"/>
              <w:right w:w="55" w:type="dxa"/>
            </w:tcMar>
            <w:vAlign w:val="center"/>
          </w:tcPr>
          <w:p w14:paraId="36EE6BDA" w14:textId="77777777" w:rsidR="00235BC0" w:rsidRPr="00A46D13" w:rsidRDefault="00000000">
            <w:pPr>
              <w:spacing w:after="0"/>
              <w:jc w:val="center"/>
            </w:pPr>
            <w:r w:rsidRPr="00A46D13">
              <w:rPr>
                <w:sz w:val="16"/>
              </w:rPr>
              <w:t>0.030, 0.012, 0.052, 0.150, 0.010, 0.650</w:t>
            </w:r>
          </w:p>
        </w:tc>
        <w:tc>
          <w:tcPr>
            <w:tcW w:w="3560" w:type="dxa"/>
            <w:tcMar>
              <w:top w:w="45" w:type="dxa"/>
              <w:left w:w="55" w:type="dxa"/>
              <w:bottom w:w="45" w:type="dxa"/>
              <w:right w:w="55" w:type="dxa"/>
            </w:tcMar>
            <w:vAlign w:val="center"/>
          </w:tcPr>
          <w:p w14:paraId="73AC4FCD" w14:textId="77777777" w:rsidR="00235BC0" w:rsidRPr="00A46D13" w:rsidRDefault="00000000">
            <w:pPr>
              <w:spacing w:after="0"/>
              <w:jc w:val="center"/>
            </w:pPr>
            <w:r w:rsidRPr="00A46D13">
              <w:rPr>
                <w:sz w:val="16"/>
              </w:rPr>
              <w:t>Verified learning, maintenance, deskilling, attenuation, and mean reversion</w:t>
            </w:r>
          </w:p>
        </w:tc>
      </w:tr>
      <w:tr w:rsidR="00235BC0" w:rsidRPr="00A46D13" w14:paraId="3A474734" w14:textId="77777777">
        <w:trPr>
          <w:cantSplit/>
          <w:jc w:val="center"/>
        </w:trPr>
        <w:tc>
          <w:tcPr>
            <w:tcW w:w="1600" w:type="dxa"/>
            <w:tcMar>
              <w:top w:w="45" w:type="dxa"/>
              <w:left w:w="55" w:type="dxa"/>
              <w:bottom w:w="45" w:type="dxa"/>
              <w:right w:w="55" w:type="dxa"/>
            </w:tcMar>
            <w:vAlign w:val="center"/>
          </w:tcPr>
          <w:p w14:paraId="6F7D0E75" w14:textId="77777777" w:rsidR="00235BC0" w:rsidRPr="00A46D13" w:rsidRDefault="00000000">
            <w:pPr>
              <w:spacing w:after="0"/>
              <w:jc w:val="left"/>
            </w:pPr>
            <w:r w:rsidRPr="00A46D13">
              <w:rPr>
                <w:sz w:val="16"/>
              </w:rPr>
              <w:t>Expertise bounds</w:t>
            </w:r>
          </w:p>
        </w:tc>
        <w:tc>
          <w:tcPr>
            <w:tcW w:w="2050" w:type="dxa"/>
            <w:tcMar>
              <w:top w:w="45" w:type="dxa"/>
              <w:left w:w="55" w:type="dxa"/>
              <w:bottom w:w="45" w:type="dxa"/>
              <w:right w:w="55" w:type="dxa"/>
            </w:tcMar>
            <w:vAlign w:val="center"/>
          </w:tcPr>
          <w:p w14:paraId="2BA0A108" w14:textId="77777777" w:rsidR="00235BC0" w:rsidRPr="00A46D13" w:rsidRDefault="00000000">
            <w:pPr>
              <w:spacing w:after="0"/>
              <w:jc w:val="center"/>
            </w:pPr>
            <m:oMathPara>
              <m:oMath>
                <m:d>
                  <m:dPr>
                    <m:begChr m:val="["/>
                    <m:endChr m:val="]"/>
                    <m:ctrlPr>
                      <w:rPr>
                        <w:rFonts w:ascii="Cambria Math" w:hAnsi="Cambria Math"/>
                      </w:rPr>
                    </m:ctrlPr>
                  </m:dPr>
                  <m:e>
                    <m:sSub>
                      <m:sSubPr>
                        <m:ctrlPr>
                          <w:rPr>
                            <w:rFonts w:ascii="Cambria Math" w:hAnsi="Cambria Math"/>
                          </w:rPr>
                        </m:ctrlPr>
                      </m:sSubPr>
                      <m:e>
                        <m:r>
                          <w:rPr>
                            <w:rFonts w:ascii="Cambria Math" w:hAnsi="Cambria Math"/>
                          </w:rPr>
                          <m:t>H</m:t>
                        </m:r>
                      </m:e>
                      <m:sub>
                        <m:r>
                          <w:rPr>
                            <w:rFonts w:ascii="Cambria Math" w:hAnsi="Cambria Math"/>
                          </w:rPr>
                          <m:t>min</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max</m:t>
                        </m:r>
                      </m:sub>
                    </m:sSub>
                  </m:e>
                </m:d>
              </m:oMath>
            </m:oMathPara>
          </w:p>
        </w:tc>
        <w:tc>
          <w:tcPr>
            <w:tcW w:w="2150" w:type="dxa"/>
            <w:tcMar>
              <w:top w:w="45" w:type="dxa"/>
              <w:left w:w="55" w:type="dxa"/>
              <w:bottom w:w="45" w:type="dxa"/>
              <w:right w:w="55" w:type="dxa"/>
            </w:tcMar>
            <w:vAlign w:val="center"/>
          </w:tcPr>
          <w:p w14:paraId="4C4E7391" w14:textId="77777777" w:rsidR="00235BC0" w:rsidRPr="00A46D13" w:rsidRDefault="00000000">
            <w:pPr>
              <w:spacing w:after="0"/>
              <w:jc w:val="center"/>
            </w:pPr>
            <w:r w:rsidRPr="00A46D13">
              <w:rPr>
                <w:sz w:val="16"/>
              </w:rPr>
              <w:t>[0.18, 0.98]</w:t>
            </w:r>
          </w:p>
        </w:tc>
        <w:tc>
          <w:tcPr>
            <w:tcW w:w="3560" w:type="dxa"/>
            <w:tcMar>
              <w:top w:w="45" w:type="dxa"/>
              <w:left w:w="55" w:type="dxa"/>
              <w:bottom w:w="45" w:type="dxa"/>
              <w:right w:w="55" w:type="dxa"/>
            </w:tcMar>
            <w:vAlign w:val="center"/>
          </w:tcPr>
          <w:p w14:paraId="78B45C56" w14:textId="77777777" w:rsidR="00235BC0" w:rsidRPr="00A46D13" w:rsidRDefault="00000000">
            <w:pPr>
              <w:spacing w:after="0"/>
              <w:jc w:val="center"/>
            </w:pPr>
            <w:r w:rsidRPr="00A46D13">
              <w:rPr>
                <w:sz w:val="16"/>
              </w:rPr>
              <w:t>Admissible expertise range</w:t>
            </w:r>
          </w:p>
        </w:tc>
      </w:tr>
      <w:tr w:rsidR="00235BC0" w:rsidRPr="00A46D13" w14:paraId="0BE45135" w14:textId="77777777">
        <w:trPr>
          <w:cantSplit/>
          <w:jc w:val="center"/>
        </w:trPr>
        <w:tc>
          <w:tcPr>
            <w:tcW w:w="1600" w:type="dxa"/>
            <w:tcMar>
              <w:top w:w="45" w:type="dxa"/>
              <w:left w:w="55" w:type="dxa"/>
              <w:bottom w:w="45" w:type="dxa"/>
              <w:right w:w="55" w:type="dxa"/>
            </w:tcMar>
            <w:vAlign w:val="center"/>
          </w:tcPr>
          <w:p w14:paraId="5B836863" w14:textId="77777777" w:rsidR="00235BC0" w:rsidRPr="00A46D13" w:rsidRDefault="00000000">
            <w:pPr>
              <w:spacing w:after="0"/>
              <w:jc w:val="left"/>
            </w:pPr>
            <w:r w:rsidRPr="00A46D13">
              <w:rPr>
                <w:sz w:val="16"/>
              </w:rPr>
              <w:t>Resilience target</w:t>
            </w:r>
          </w:p>
        </w:tc>
        <w:tc>
          <w:tcPr>
            <w:tcW w:w="2050" w:type="dxa"/>
            <w:tcMar>
              <w:top w:w="45" w:type="dxa"/>
              <w:left w:w="55" w:type="dxa"/>
              <w:bottom w:w="45" w:type="dxa"/>
              <w:right w:w="55" w:type="dxa"/>
            </w:tcMar>
            <w:vAlign w:val="center"/>
          </w:tcPr>
          <w:p w14:paraId="5B487747" w14:textId="77777777" w:rsidR="00235BC0" w:rsidRPr="00A46D13" w:rsidRDefault="00000000">
            <w:pPr>
              <w:spacing w:after="0"/>
              <w:jc w:val="center"/>
            </w:pPr>
            <w:r w:rsidRPr="00A46D13">
              <w:rPr>
                <w:sz w:val="16"/>
              </w:rPr>
              <w:t xml:space="preserve">intercept, </w:t>
            </w:r>
            <m:oMath>
              <m:r>
                <w:rPr>
                  <w:rFonts w:ascii="Cambria Math" w:hAnsi="Cambria Math"/>
                </w:rPr>
                <m:t>H</m:t>
              </m:r>
            </m:oMath>
            <w:r w:rsidRPr="00A46D13">
              <w:rPr>
                <w:sz w:val="16"/>
              </w:rPr>
              <w:t xml:space="preserve">, </w:t>
            </w:r>
            <m:oMath>
              <m:r>
                <w:rPr>
                  <w:rFonts w:ascii="Cambria Math" w:hAnsi="Cambria Math"/>
                </w:rPr>
                <m:t>gv</m:t>
              </m:r>
            </m:oMath>
            <w:r w:rsidRPr="00A46D13">
              <w:rPr>
                <w:sz w:val="16"/>
              </w:rPr>
              <w:t>, debt</w:t>
            </w:r>
          </w:p>
        </w:tc>
        <w:tc>
          <w:tcPr>
            <w:tcW w:w="2150" w:type="dxa"/>
            <w:tcMar>
              <w:top w:w="45" w:type="dxa"/>
              <w:left w:w="55" w:type="dxa"/>
              <w:bottom w:w="45" w:type="dxa"/>
              <w:right w:w="55" w:type="dxa"/>
            </w:tcMar>
            <w:vAlign w:val="center"/>
          </w:tcPr>
          <w:p w14:paraId="0614CC6B" w14:textId="77777777" w:rsidR="00235BC0" w:rsidRPr="00A46D13" w:rsidRDefault="00000000">
            <w:pPr>
              <w:spacing w:after="0"/>
              <w:jc w:val="center"/>
            </w:pPr>
            <w:r w:rsidRPr="00A46D13">
              <w:rPr>
                <w:sz w:val="16"/>
              </w:rPr>
              <w:t>0.340, 0.340, 0.270, -0.055</w:t>
            </w:r>
          </w:p>
        </w:tc>
        <w:tc>
          <w:tcPr>
            <w:tcW w:w="3560" w:type="dxa"/>
            <w:tcMar>
              <w:top w:w="45" w:type="dxa"/>
              <w:left w:w="55" w:type="dxa"/>
              <w:bottom w:w="45" w:type="dxa"/>
              <w:right w:w="55" w:type="dxa"/>
            </w:tcMar>
            <w:vAlign w:val="center"/>
          </w:tcPr>
          <w:p w14:paraId="66F2CE61" w14:textId="77777777" w:rsidR="00235BC0" w:rsidRPr="00A46D13" w:rsidRDefault="00000000">
            <w:pPr>
              <w:spacing w:after="0"/>
              <w:jc w:val="center"/>
            </w:pPr>
            <w:r w:rsidRPr="00A46D13">
              <w:rPr>
                <w:sz w:val="16"/>
              </w:rPr>
              <w:t>Desired resilience function</w:t>
            </w:r>
          </w:p>
        </w:tc>
      </w:tr>
      <w:tr w:rsidR="00235BC0" w:rsidRPr="00A46D13" w14:paraId="69C7A478" w14:textId="77777777">
        <w:trPr>
          <w:cantSplit/>
          <w:jc w:val="center"/>
        </w:trPr>
        <w:tc>
          <w:tcPr>
            <w:tcW w:w="1600" w:type="dxa"/>
            <w:tcMar>
              <w:top w:w="45" w:type="dxa"/>
              <w:left w:w="55" w:type="dxa"/>
              <w:bottom w:w="45" w:type="dxa"/>
              <w:right w:w="55" w:type="dxa"/>
            </w:tcMar>
            <w:vAlign w:val="center"/>
          </w:tcPr>
          <w:p w14:paraId="510C1C4B" w14:textId="77777777" w:rsidR="00235BC0" w:rsidRPr="00A46D13" w:rsidRDefault="00000000">
            <w:pPr>
              <w:spacing w:after="0"/>
              <w:jc w:val="left"/>
            </w:pPr>
            <w:r w:rsidRPr="00A46D13">
              <w:rPr>
                <w:sz w:val="16"/>
              </w:rPr>
              <w:t>Resilience adjustment</w:t>
            </w:r>
          </w:p>
        </w:tc>
        <w:tc>
          <w:tcPr>
            <w:tcW w:w="2050" w:type="dxa"/>
            <w:tcMar>
              <w:top w:w="45" w:type="dxa"/>
              <w:left w:w="55" w:type="dxa"/>
              <w:bottom w:w="45" w:type="dxa"/>
              <w:right w:w="55" w:type="dxa"/>
            </w:tcMar>
            <w:vAlign w:val="center"/>
          </w:tcPr>
          <w:p w14:paraId="58A6525F" w14:textId="77777777" w:rsidR="00235BC0" w:rsidRPr="00A46D13" w:rsidRDefault="00000000">
            <w:pPr>
              <w:spacing w:after="0"/>
              <w:jc w:val="center"/>
            </w:pPr>
            <w:r w:rsidRPr="00A46D13">
              <w:rPr>
                <w:sz w:val="16"/>
              </w:rPr>
              <w:t>speed, shock erosion</w:t>
            </w:r>
          </w:p>
        </w:tc>
        <w:tc>
          <w:tcPr>
            <w:tcW w:w="2150" w:type="dxa"/>
            <w:tcMar>
              <w:top w:w="45" w:type="dxa"/>
              <w:left w:w="55" w:type="dxa"/>
              <w:bottom w:w="45" w:type="dxa"/>
              <w:right w:w="55" w:type="dxa"/>
            </w:tcMar>
            <w:vAlign w:val="center"/>
          </w:tcPr>
          <w:p w14:paraId="7FB2DA47" w14:textId="77777777" w:rsidR="00235BC0" w:rsidRPr="00A46D13" w:rsidRDefault="00000000">
            <w:pPr>
              <w:spacing w:after="0"/>
              <w:jc w:val="center"/>
            </w:pPr>
            <w:r w:rsidRPr="00A46D13">
              <w:rPr>
                <w:sz w:val="16"/>
              </w:rPr>
              <w:t>0.120, 0.055</w:t>
            </w:r>
          </w:p>
        </w:tc>
        <w:tc>
          <w:tcPr>
            <w:tcW w:w="3560" w:type="dxa"/>
            <w:tcMar>
              <w:top w:w="45" w:type="dxa"/>
              <w:left w:w="55" w:type="dxa"/>
              <w:bottom w:w="45" w:type="dxa"/>
              <w:right w:w="55" w:type="dxa"/>
            </w:tcMar>
            <w:vAlign w:val="center"/>
          </w:tcPr>
          <w:p w14:paraId="0B6CD8D9" w14:textId="77777777" w:rsidR="00235BC0" w:rsidRPr="00A46D13" w:rsidRDefault="00000000">
            <w:pPr>
              <w:spacing w:after="0"/>
              <w:jc w:val="center"/>
            </w:pPr>
            <w:r w:rsidRPr="00A46D13">
              <w:rPr>
                <w:sz w:val="16"/>
              </w:rPr>
              <w:t xml:space="preserve">Adjustment and </w:t>
            </w:r>
            <w:proofErr w:type="spellStart"/>
            <w:r w:rsidRPr="00A46D13">
              <w:rPr>
                <w:sz w:val="16"/>
              </w:rPr>
              <w:t>realised</w:t>
            </w:r>
            <w:proofErr w:type="spellEnd"/>
            <w:r w:rsidRPr="00A46D13">
              <w:rPr>
                <w:sz w:val="16"/>
              </w:rPr>
              <w:t>-shock effect</w:t>
            </w:r>
          </w:p>
        </w:tc>
      </w:tr>
      <w:tr w:rsidR="00235BC0" w:rsidRPr="00A46D13" w14:paraId="2648E6ED" w14:textId="77777777">
        <w:trPr>
          <w:cantSplit/>
          <w:jc w:val="center"/>
        </w:trPr>
        <w:tc>
          <w:tcPr>
            <w:tcW w:w="1600" w:type="dxa"/>
            <w:tcMar>
              <w:top w:w="45" w:type="dxa"/>
              <w:left w:w="55" w:type="dxa"/>
              <w:bottom w:w="45" w:type="dxa"/>
              <w:right w:w="55" w:type="dxa"/>
            </w:tcMar>
            <w:vAlign w:val="center"/>
          </w:tcPr>
          <w:p w14:paraId="2AFD6CCE" w14:textId="77777777" w:rsidR="00235BC0" w:rsidRPr="00A46D13" w:rsidRDefault="00000000">
            <w:pPr>
              <w:spacing w:after="0"/>
              <w:jc w:val="left"/>
            </w:pPr>
            <w:r w:rsidRPr="00A46D13">
              <w:rPr>
                <w:sz w:val="16"/>
              </w:rPr>
              <w:t>Resilience bounds</w:t>
            </w:r>
          </w:p>
        </w:tc>
        <w:tc>
          <w:tcPr>
            <w:tcW w:w="2050" w:type="dxa"/>
            <w:tcMar>
              <w:top w:w="45" w:type="dxa"/>
              <w:left w:w="55" w:type="dxa"/>
              <w:bottom w:w="45" w:type="dxa"/>
              <w:right w:w="55" w:type="dxa"/>
            </w:tcMar>
            <w:vAlign w:val="center"/>
          </w:tcPr>
          <w:p w14:paraId="5743F32D" w14:textId="77777777" w:rsidR="00235BC0" w:rsidRPr="00A46D13" w:rsidRDefault="00000000">
            <w:pPr>
              <w:spacing w:after="0"/>
              <w:jc w:val="center"/>
            </w:pPr>
            <m:oMathPara>
              <m:oMath>
                <m:d>
                  <m:dPr>
                    <m:begChr m:val="["/>
                    <m:endChr m:val="]"/>
                    <m:ctrlPr>
                      <w:rPr>
                        <w:rFonts w:ascii="Cambria Math" w:hAnsi="Cambria Math"/>
                      </w:rPr>
                    </m:ctrlPr>
                  </m:dPr>
                  <m:e>
                    <m:sSub>
                      <m:sSubPr>
                        <m:ctrlPr>
                          <w:rPr>
                            <w:rFonts w:ascii="Cambria Math" w:hAnsi="Cambria Math"/>
                          </w:rPr>
                        </m:ctrlPr>
                      </m:sSubPr>
                      <m:e>
                        <m:r>
                          <w:rPr>
                            <w:rFonts w:ascii="Cambria Math" w:hAnsi="Cambria Math"/>
                          </w:rPr>
                          <m:t>R</m:t>
                        </m:r>
                      </m:e>
                      <m:sub>
                        <m:r>
                          <w:rPr>
                            <w:rFonts w:ascii="Cambria Math" w:hAnsi="Cambria Math"/>
                          </w:rPr>
                          <m:t>min</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max</m:t>
                        </m:r>
                      </m:sub>
                    </m:sSub>
                  </m:e>
                </m:d>
              </m:oMath>
            </m:oMathPara>
          </w:p>
        </w:tc>
        <w:tc>
          <w:tcPr>
            <w:tcW w:w="2150" w:type="dxa"/>
            <w:tcMar>
              <w:top w:w="45" w:type="dxa"/>
              <w:left w:w="55" w:type="dxa"/>
              <w:bottom w:w="45" w:type="dxa"/>
              <w:right w:w="55" w:type="dxa"/>
            </w:tcMar>
            <w:vAlign w:val="center"/>
          </w:tcPr>
          <w:p w14:paraId="64D4E51B" w14:textId="77777777" w:rsidR="00235BC0" w:rsidRPr="00A46D13" w:rsidRDefault="00000000">
            <w:pPr>
              <w:spacing w:after="0"/>
              <w:jc w:val="center"/>
            </w:pPr>
            <w:r w:rsidRPr="00A46D13">
              <w:rPr>
                <w:sz w:val="16"/>
              </w:rPr>
              <w:t>[0.05, 0.98]</w:t>
            </w:r>
          </w:p>
        </w:tc>
        <w:tc>
          <w:tcPr>
            <w:tcW w:w="3560" w:type="dxa"/>
            <w:tcMar>
              <w:top w:w="45" w:type="dxa"/>
              <w:left w:w="55" w:type="dxa"/>
              <w:bottom w:w="45" w:type="dxa"/>
              <w:right w:w="55" w:type="dxa"/>
            </w:tcMar>
            <w:vAlign w:val="center"/>
          </w:tcPr>
          <w:p w14:paraId="56661BE4" w14:textId="77777777" w:rsidR="00235BC0" w:rsidRPr="00A46D13" w:rsidRDefault="00000000">
            <w:pPr>
              <w:spacing w:after="0"/>
              <w:jc w:val="center"/>
            </w:pPr>
            <w:r w:rsidRPr="00A46D13">
              <w:rPr>
                <w:sz w:val="16"/>
              </w:rPr>
              <w:t>Admissible resilience range</w:t>
            </w:r>
          </w:p>
        </w:tc>
      </w:tr>
      <w:tr w:rsidR="00235BC0" w:rsidRPr="00A46D13" w14:paraId="421CA945" w14:textId="77777777">
        <w:trPr>
          <w:cantSplit/>
          <w:jc w:val="center"/>
        </w:trPr>
        <w:tc>
          <w:tcPr>
            <w:tcW w:w="1600" w:type="dxa"/>
            <w:tcMar>
              <w:top w:w="45" w:type="dxa"/>
              <w:left w:w="55" w:type="dxa"/>
              <w:bottom w:w="45" w:type="dxa"/>
              <w:right w:w="55" w:type="dxa"/>
            </w:tcMar>
            <w:vAlign w:val="center"/>
          </w:tcPr>
          <w:p w14:paraId="55CFD78E" w14:textId="77777777" w:rsidR="00235BC0" w:rsidRPr="00A46D13" w:rsidRDefault="00000000">
            <w:pPr>
              <w:spacing w:after="0"/>
              <w:jc w:val="left"/>
            </w:pPr>
            <w:r w:rsidRPr="00A46D13">
              <w:rPr>
                <w:sz w:val="16"/>
              </w:rPr>
              <w:t>Shock probability</w:t>
            </w:r>
          </w:p>
        </w:tc>
        <w:tc>
          <w:tcPr>
            <w:tcW w:w="2050" w:type="dxa"/>
            <w:tcMar>
              <w:top w:w="45" w:type="dxa"/>
              <w:left w:w="55" w:type="dxa"/>
              <w:bottom w:w="45" w:type="dxa"/>
              <w:right w:w="55" w:type="dxa"/>
            </w:tcMar>
            <w:vAlign w:val="center"/>
          </w:tcPr>
          <w:p w14:paraId="218D4B0A" w14:textId="77777777" w:rsidR="00235BC0" w:rsidRPr="00A46D13" w:rsidRDefault="00000000">
            <w:pPr>
              <w:spacing w:after="0"/>
              <w:jc w:val="center"/>
            </w:pPr>
            <w:r w:rsidRPr="00A46D13">
              <w:rPr>
                <w:sz w:val="16"/>
              </w:rPr>
              <w:t>intercept, uncertainty, automation-governance</w:t>
            </w:r>
          </w:p>
        </w:tc>
        <w:tc>
          <w:tcPr>
            <w:tcW w:w="2150" w:type="dxa"/>
            <w:tcMar>
              <w:top w:w="45" w:type="dxa"/>
              <w:left w:w="55" w:type="dxa"/>
              <w:bottom w:w="45" w:type="dxa"/>
              <w:right w:w="55" w:type="dxa"/>
            </w:tcMar>
            <w:vAlign w:val="center"/>
          </w:tcPr>
          <w:p w14:paraId="44847A0D" w14:textId="77777777" w:rsidR="00235BC0" w:rsidRPr="00A46D13" w:rsidRDefault="00000000">
            <w:pPr>
              <w:spacing w:after="0"/>
              <w:jc w:val="center"/>
            </w:pPr>
            <w:r w:rsidRPr="00A46D13">
              <w:rPr>
                <w:sz w:val="16"/>
              </w:rPr>
              <w:t>0.035, 0.130, 0.018</w:t>
            </w:r>
          </w:p>
        </w:tc>
        <w:tc>
          <w:tcPr>
            <w:tcW w:w="3560" w:type="dxa"/>
            <w:tcMar>
              <w:top w:w="45" w:type="dxa"/>
              <w:left w:w="55" w:type="dxa"/>
              <w:bottom w:w="45" w:type="dxa"/>
              <w:right w:w="55" w:type="dxa"/>
            </w:tcMar>
            <w:vAlign w:val="center"/>
          </w:tcPr>
          <w:p w14:paraId="294B2023" w14:textId="77777777" w:rsidR="00235BC0" w:rsidRPr="00A46D13" w:rsidRDefault="00000000">
            <w:pPr>
              <w:spacing w:after="0"/>
              <w:jc w:val="center"/>
            </w:pPr>
            <w:r w:rsidRPr="00A46D13">
              <w:rPr>
                <w:sz w:val="16"/>
              </w:rPr>
              <w:t>Shock-arrival rule, clipped to [0, 0.25]</w:t>
            </w:r>
          </w:p>
        </w:tc>
      </w:tr>
      <w:tr w:rsidR="00235BC0" w:rsidRPr="00A46D13" w14:paraId="7681C78C" w14:textId="77777777">
        <w:trPr>
          <w:cantSplit/>
          <w:jc w:val="center"/>
        </w:trPr>
        <w:tc>
          <w:tcPr>
            <w:tcW w:w="1600" w:type="dxa"/>
            <w:tcMar>
              <w:top w:w="45" w:type="dxa"/>
              <w:left w:w="55" w:type="dxa"/>
              <w:bottom w:w="45" w:type="dxa"/>
              <w:right w:w="55" w:type="dxa"/>
            </w:tcMar>
            <w:vAlign w:val="center"/>
          </w:tcPr>
          <w:p w14:paraId="60968BA3" w14:textId="77777777" w:rsidR="00235BC0" w:rsidRPr="00A46D13" w:rsidRDefault="00000000">
            <w:pPr>
              <w:spacing w:after="0"/>
              <w:jc w:val="left"/>
            </w:pPr>
            <w:r w:rsidRPr="00A46D13">
              <w:rPr>
                <w:sz w:val="16"/>
              </w:rPr>
              <w:t>Shock loss</w:t>
            </w:r>
          </w:p>
        </w:tc>
        <w:tc>
          <w:tcPr>
            <w:tcW w:w="2050" w:type="dxa"/>
            <w:tcMar>
              <w:top w:w="45" w:type="dxa"/>
              <w:left w:w="55" w:type="dxa"/>
              <w:bottom w:w="45" w:type="dxa"/>
              <w:right w:w="55" w:type="dxa"/>
            </w:tcMar>
            <w:vAlign w:val="center"/>
          </w:tcPr>
          <w:p w14:paraId="0A77E8AD" w14:textId="77777777" w:rsidR="00235BC0" w:rsidRPr="00A46D13" w:rsidRDefault="00000000">
            <w:pPr>
              <w:spacing w:after="0"/>
              <w:jc w:val="center"/>
            </w:pPr>
            <w:r w:rsidRPr="00A46D13">
              <w:rPr>
                <w:sz w:val="16"/>
              </w:rPr>
              <w:t>base, debt, debt exponent, resilience exponent</w:t>
            </w:r>
          </w:p>
        </w:tc>
        <w:tc>
          <w:tcPr>
            <w:tcW w:w="2150" w:type="dxa"/>
            <w:tcMar>
              <w:top w:w="45" w:type="dxa"/>
              <w:left w:w="55" w:type="dxa"/>
              <w:bottom w:w="45" w:type="dxa"/>
              <w:right w:w="55" w:type="dxa"/>
            </w:tcMar>
            <w:vAlign w:val="center"/>
          </w:tcPr>
          <w:p w14:paraId="3525DD03" w14:textId="77777777" w:rsidR="00235BC0" w:rsidRPr="00A46D13" w:rsidRDefault="00000000">
            <w:pPr>
              <w:spacing w:after="0"/>
              <w:jc w:val="center"/>
            </w:pPr>
            <w:r w:rsidRPr="00A46D13">
              <w:rPr>
                <w:sz w:val="16"/>
              </w:rPr>
              <w:t>0.055, 0.045, 1.350, 1.150</w:t>
            </w:r>
          </w:p>
        </w:tc>
        <w:tc>
          <w:tcPr>
            <w:tcW w:w="3560" w:type="dxa"/>
            <w:tcMar>
              <w:top w:w="45" w:type="dxa"/>
              <w:left w:w="55" w:type="dxa"/>
              <w:bottom w:w="45" w:type="dxa"/>
              <w:right w:w="55" w:type="dxa"/>
            </w:tcMar>
            <w:vAlign w:val="center"/>
          </w:tcPr>
          <w:p w14:paraId="089C7D5B" w14:textId="77777777" w:rsidR="00235BC0" w:rsidRPr="00A46D13" w:rsidRDefault="00000000">
            <w:pPr>
              <w:spacing w:after="0"/>
              <w:jc w:val="center"/>
            </w:pPr>
            <w:r w:rsidRPr="00A46D13">
              <w:rPr>
                <w:sz w:val="16"/>
              </w:rPr>
              <w:t>Shock-loss amplification</w:t>
            </w:r>
          </w:p>
        </w:tc>
      </w:tr>
      <w:tr w:rsidR="00235BC0" w:rsidRPr="00A46D13" w14:paraId="089193EC" w14:textId="77777777">
        <w:trPr>
          <w:cantSplit/>
          <w:jc w:val="center"/>
        </w:trPr>
        <w:tc>
          <w:tcPr>
            <w:tcW w:w="1600" w:type="dxa"/>
            <w:tcMar>
              <w:top w:w="45" w:type="dxa"/>
              <w:left w:w="55" w:type="dxa"/>
              <w:bottom w:w="45" w:type="dxa"/>
              <w:right w:w="55" w:type="dxa"/>
            </w:tcMar>
            <w:vAlign w:val="center"/>
          </w:tcPr>
          <w:p w14:paraId="6BD14E9A" w14:textId="77777777" w:rsidR="00235BC0" w:rsidRPr="00A46D13" w:rsidRDefault="00000000">
            <w:pPr>
              <w:spacing w:after="0"/>
              <w:jc w:val="left"/>
            </w:pPr>
            <w:r w:rsidRPr="00A46D13">
              <w:rPr>
                <w:sz w:val="16"/>
              </w:rPr>
              <w:lastRenderedPageBreak/>
              <w:t>Initial states</w:t>
            </w:r>
          </w:p>
        </w:tc>
        <w:tc>
          <w:tcPr>
            <w:tcW w:w="2050" w:type="dxa"/>
            <w:tcMar>
              <w:top w:w="45" w:type="dxa"/>
              <w:left w:w="55" w:type="dxa"/>
              <w:bottom w:w="45" w:type="dxa"/>
              <w:right w:w="55" w:type="dxa"/>
            </w:tcMar>
            <w:vAlign w:val="center"/>
          </w:tcPr>
          <w:p w14:paraId="57C156D1" w14:textId="77777777" w:rsidR="00235BC0" w:rsidRPr="00A46D13" w:rsidRDefault="00000000">
            <w:pPr>
              <w:spacing w:after="0"/>
              <w:jc w:val="center"/>
            </w:pPr>
            <m:oMathPara>
              <m:oMath>
                <m:sSub>
                  <m:sSubPr>
                    <m:ctrlPr>
                      <w:rPr>
                        <w:rFonts w:ascii="Cambria Math" w:hAnsi="Cambria Math"/>
                      </w:rPr>
                    </m:ctrlPr>
                  </m:sSubPr>
                  <m:e>
                    <m:r>
                      <w:rPr>
                        <w:rFonts w:ascii="Cambria Math" w:hAnsi="Cambria Math"/>
                      </w:rPr>
                      <m:t>D</m:t>
                    </m:r>
                  </m:e>
                  <m:sub>
                    <m: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0</m:t>
                    </m:r>
                  </m:sub>
                </m:sSub>
              </m:oMath>
            </m:oMathPara>
          </w:p>
        </w:tc>
        <w:tc>
          <w:tcPr>
            <w:tcW w:w="2150" w:type="dxa"/>
            <w:tcMar>
              <w:top w:w="45" w:type="dxa"/>
              <w:left w:w="55" w:type="dxa"/>
              <w:bottom w:w="45" w:type="dxa"/>
              <w:right w:w="55" w:type="dxa"/>
            </w:tcMar>
            <w:vAlign w:val="center"/>
          </w:tcPr>
          <w:p w14:paraId="2F2C66EB" w14:textId="77777777" w:rsidR="00235BC0" w:rsidRPr="00A46D13" w:rsidRDefault="00000000">
            <w:pPr>
              <w:spacing w:after="0"/>
              <w:jc w:val="center"/>
            </w:pPr>
            <w:r w:rsidRPr="00A46D13">
              <w:rPr>
                <w:sz w:val="16"/>
              </w:rPr>
              <w:t>0.350, 0.820, 0.720</w:t>
            </w:r>
          </w:p>
        </w:tc>
        <w:tc>
          <w:tcPr>
            <w:tcW w:w="3560" w:type="dxa"/>
            <w:tcMar>
              <w:top w:w="45" w:type="dxa"/>
              <w:left w:w="55" w:type="dxa"/>
              <w:bottom w:w="45" w:type="dxa"/>
              <w:right w:w="55" w:type="dxa"/>
            </w:tcMar>
            <w:vAlign w:val="center"/>
          </w:tcPr>
          <w:p w14:paraId="55751ACA" w14:textId="77777777" w:rsidR="00235BC0" w:rsidRPr="00A46D13" w:rsidRDefault="00000000">
            <w:pPr>
              <w:spacing w:after="0"/>
              <w:jc w:val="center"/>
            </w:pPr>
            <w:r w:rsidRPr="00A46D13">
              <w:rPr>
                <w:sz w:val="16"/>
              </w:rPr>
              <w:t>Base starting values</w:t>
            </w:r>
          </w:p>
        </w:tc>
      </w:tr>
      <w:tr w:rsidR="00235BC0" w:rsidRPr="00A46D13" w14:paraId="0EE4B6E9" w14:textId="77777777">
        <w:trPr>
          <w:cantSplit/>
          <w:jc w:val="center"/>
        </w:trPr>
        <w:tc>
          <w:tcPr>
            <w:tcW w:w="1600" w:type="dxa"/>
            <w:tcMar>
              <w:top w:w="45" w:type="dxa"/>
              <w:left w:w="55" w:type="dxa"/>
              <w:bottom w:w="45" w:type="dxa"/>
              <w:right w:w="55" w:type="dxa"/>
            </w:tcMar>
            <w:vAlign w:val="center"/>
          </w:tcPr>
          <w:p w14:paraId="53E484B9" w14:textId="77777777" w:rsidR="00235BC0" w:rsidRPr="00A46D13" w:rsidRDefault="00000000">
            <w:pPr>
              <w:spacing w:after="0"/>
              <w:jc w:val="left"/>
            </w:pPr>
            <w:r w:rsidRPr="00A46D13">
              <w:rPr>
                <w:sz w:val="16"/>
              </w:rPr>
              <w:t>Task fit</w:t>
            </w:r>
          </w:p>
        </w:tc>
        <w:tc>
          <w:tcPr>
            <w:tcW w:w="2050" w:type="dxa"/>
            <w:tcMar>
              <w:top w:w="45" w:type="dxa"/>
              <w:left w:w="55" w:type="dxa"/>
              <w:bottom w:w="45" w:type="dxa"/>
              <w:right w:w="55" w:type="dxa"/>
            </w:tcMar>
            <w:vAlign w:val="center"/>
          </w:tcPr>
          <w:p w14:paraId="00C48BB2" w14:textId="77777777" w:rsidR="00235BC0" w:rsidRPr="00A46D13" w:rsidRDefault="00000000">
            <w:pPr>
              <w:spacing w:after="0"/>
              <w:jc w:val="center"/>
            </w:pPr>
            <m:oMathPara>
              <m:oMath>
                <m:sSub>
                  <m:sSubPr>
                    <m:ctrlPr>
                      <w:rPr>
                        <w:rFonts w:ascii="Cambria Math" w:hAnsi="Cambria Math"/>
                      </w:rPr>
                    </m:ctrlPr>
                  </m:sSubPr>
                  <m:e>
                    <m:r>
                      <w:rPr>
                        <w:rFonts w:ascii="Cambria Math" w:hAnsi="Cambria Math"/>
                      </w:rPr>
                      <m:t>f</m:t>
                    </m:r>
                  </m:e>
                  <m:sub>
                    <m:r>
                      <w:rPr>
                        <w:rFonts w:ascii="Cambria Math" w:hAnsi="Cambria Math"/>
                      </w:rPr>
                      <m:t>t</m:t>
                    </m:r>
                  </m:sub>
                </m:sSub>
              </m:oMath>
            </m:oMathPara>
          </w:p>
        </w:tc>
        <w:tc>
          <w:tcPr>
            <w:tcW w:w="2150" w:type="dxa"/>
            <w:tcMar>
              <w:top w:w="45" w:type="dxa"/>
              <w:left w:w="55" w:type="dxa"/>
              <w:bottom w:w="45" w:type="dxa"/>
              <w:right w:w="55" w:type="dxa"/>
            </w:tcMar>
            <w:vAlign w:val="center"/>
          </w:tcPr>
          <w:p w14:paraId="0F2FE104" w14:textId="77777777" w:rsidR="00235BC0" w:rsidRPr="00A46D13" w:rsidRDefault="00000000">
            <w:pPr>
              <w:spacing w:after="0"/>
              <w:jc w:val="center"/>
            </w:pPr>
            <w:r w:rsidRPr="00A46D13">
              <w:rPr>
                <w:sz w:val="16"/>
              </w:rPr>
              <w:t>Beta (5.0, 2.2)</w:t>
            </w:r>
          </w:p>
        </w:tc>
        <w:tc>
          <w:tcPr>
            <w:tcW w:w="3560" w:type="dxa"/>
            <w:tcMar>
              <w:top w:w="45" w:type="dxa"/>
              <w:left w:w="55" w:type="dxa"/>
              <w:bottom w:w="45" w:type="dxa"/>
              <w:right w:w="55" w:type="dxa"/>
            </w:tcMar>
            <w:vAlign w:val="center"/>
          </w:tcPr>
          <w:p w14:paraId="3AD81685" w14:textId="77777777" w:rsidR="00235BC0" w:rsidRPr="00A46D13" w:rsidRDefault="00000000">
            <w:pPr>
              <w:spacing w:after="0"/>
              <w:jc w:val="center"/>
            </w:pPr>
            <w:r w:rsidRPr="00A46D13">
              <w:rPr>
                <w:sz w:val="16"/>
              </w:rPr>
              <w:t>Stochastic task suitability</w:t>
            </w:r>
          </w:p>
        </w:tc>
      </w:tr>
      <w:tr w:rsidR="00235BC0" w:rsidRPr="00A46D13" w14:paraId="5D8896EE" w14:textId="77777777">
        <w:trPr>
          <w:cantSplit/>
          <w:jc w:val="center"/>
        </w:trPr>
        <w:tc>
          <w:tcPr>
            <w:tcW w:w="1600" w:type="dxa"/>
            <w:tcMar>
              <w:top w:w="45" w:type="dxa"/>
              <w:left w:w="55" w:type="dxa"/>
              <w:bottom w:w="45" w:type="dxa"/>
              <w:right w:w="55" w:type="dxa"/>
            </w:tcMar>
            <w:vAlign w:val="center"/>
          </w:tcPr>
          <w:p w14:paraId="7749C87B" w14:textId="77777777" w:rsidR="00235BC0" w:rsidRPr="00A46D13" w:rsidRDefault="00000000">
            <w:pPr>
              <w:spacing w:after="0"/>
              <w:jc w:val="left"/>
            </w:pPr>
            <w:r w:rsidRPr="00A46D13">
              <w:rPr>
                <w:sz w:val="16"/>
              </w:rPr>
              <w:t>Uncertainty</w:t>
            </w:r>
          </w:p>
        </w:tc>
        <w:tc>
          <w:tcPr>
            <w:tcW w:w="2050" w:type="dxa"/>
            <w:tcMar>
              <w:top w:w="45" w:type="dxa"/>
              <w:left w:w="55" w:type="dxa"/>
              <w:bottom w:w="45" w:type="dxa"/>
              <w:right w:w="55" w:type="dxa"/>
            </w:tcMar>
            <w:vAlign w:val="center"/>
          </w:tcPr>
          <w:p w14:paraId="649D0D98" w14:textId="77777777" w:rsidR="00235BC0" w:rsidRPr="00A46D13" w:rsidRDefault="00000000">
            <w:pPr>
              <w:spacing w:after="0"/>
              <w:jc w:val="center"/>
            </w:pPr>
            <m:oMathPara>
              <m:oMath>
                <m:sSub>
                  <m:sSubPr>
                    <m:ctrlPr>
                      <w:rPr>
                        <w:rFonts w:ascii="Cambria Math" w:hAnsi="Cambria Math"/>
                      </w:rPr>
                    </m:ctrlPr>
                  </m:sSubPr>
                  <m:e>
                    <m:r>
                      <w:rPr>
                        <w:rFonts w:ascii="Cambria Math" w:hAnsi="Cambria Math"/>
                      </w:rPr>
                      <m:t>u</m:t>
                    </m:r>
                  </m:e>
                  <m:sub>
                    <m:r>
                      <w:rPr>
                        <w:rFonts w:ascii="Cambria Math" w:hAnsi="Cambria Math"/>
                      </w:rPr>
                      <m:t>t</m:t>
                    </m:r>
                  </m:sub>
                </m:sSub>
              </m:oMath>
            </m:oMathPara>
          </w:p>
        </w:tc>
        <w:tc>
          <w:tcPr>
            <w:tcW w:w="2150" w:type="dxa"/>
            <w:tcMar>
              <w:top w:w="45" w:type="dxa"/>
              <w:left w:w="55" w:type="dxa"/>
              <w:bottom w:w="45" w:type="dxa"/>
              <w:right w:w="55" w:type="dxa"/>
            </w:tcMar>
            <w:vAlign w:val="center"/>
          </w:tcPr>
          <w:p w14:paraId="781F643F" w14:textId="77777777" w:rsidR="00235BC0" w:rsidRPr="00A46D13" w:rsidRDefault="00000000">
            <w:pPr>
              <w:spacing w:after="0"/>
              <w:jc w:val="center"/>
            </w:pPr>
            <w:r w:rsidRPr="00A46D13">
              <w:rPr>
                <w:sz w:val="16"/>
              </w:rPr>
              <w:t>Beta (2.2, 5.0)</w:t>
            </w:r>
          </w:p>
        </w:tc>
        <w:tc>
          <w:tcPr>
            <w:tcW w:w="3560" w:type="dxa"/>
            <w:tcMar>
              <w:top w:w="45" w:type="dxa"/>
              <w:left w:w="55" w:type="dxa"/>
              <w:bottom w:w="45" w:type="dxa"/>
              <w:right w:w="55" w:type="dxa"/>
            </w:tcMar>
            <w:vAlign w:val="center"/>
          </w:tcPr>
          <w:p w14:paraId="6755B188" w14:textId="77777777" w:rsidR="00235BC0" w:rsidRPr="00A46D13" w:rsidRDefault="00000000">
            <w:pPr>
              <w:spacing w:after="0"/>
              <w:jc w:val="center"/>
            </w:pPr>
            <w:r w:rsidRPr="00A46D13">
              <w:rPr>
                <w:sz w:val="16"/>
              </w:rPr>
              <w:t>Stochastic environmental uncertainty</w:t>
            </w:r>
          </w:p>
        </w:tc>
      </w:tr>
      <w:tr w:rsidR="00235BC0" w:rsidRPr="00A46D13" w14:paraId="40ED94FE" w14:textId="77777777">
        <w:trPr>
          <w:cantSplit/>
          <w:jc w:val="center"/>
        </w:trPr>
        <w:tc>
          <w:tcPr>
            <w:tcW w:w="1600" w:type="dxa"/>
            <w:tcMar>
              <w:top w:w="45" w:type="dxa"/>
              <w:left w:w="55" w:type="dxa"/>
              <w:bottom w:w="45" w:type="dxa"/>
              <w:right w:w="55" w:type="dxa"/>
            </w:tcMar>
            <w:vAlign w:val="center"/>
          </w:tcPr>
          <w:p w14:paraId="5C131136" w14:textId="77777777" w:rsidR="00235BC0" w:rsidRPr="00A46D13" w:rsidRDefault="00000000">
            <w:pPr>
              <w:spacing w:after="0"/>
              <w:jc w:val="left"/>
            </w:pPr>
            <w:r w:rsidRPr="00A46D13">
              <w:rPr>
                <w:sz w:val="16"/>
              </w:rPr>
              <w:t>Shock severity</w:t>
            </w:r>
          </w:p>
        </w:tc>
        <w:tc>
          <w:tcPr>
            <w:tcW w:w="2050" w:type="dxa"/>
            <w:tcMar>
              <w:top w:w="45" w:type="dxa"/>
              <w:left w:w="55" w:type="dxa"/>
              <w:bottom w:w="45" w:type="dxa"/>
              <w:right w:w="55" w:type="dxa"/>
            </w:tcMar>
            <w:vAlign w:val="center"/>
          </w:tcPr>
          <w:p w14:paraId="62881BE8" w14:textId="77777777" w:rsidR="00235BC0" w:rsidRPr="00A46D13" w:rsidRDefault="00000000">
            <w:pPr>
              <w:spacing w:after="0"/>
              <w:jc w:val="center"/>
            </w:pPr>
            <m:oMathPara>
              <m:oMath>
                <m:sSub>
                  <m:sSubPr>
                    <m:ctrlPr>
                      <w:rPr>
                        <w:rFonts w:ascii="Cambria Math" w:hAnsi="Cambria Math"/>
                      </w:rPr>
                    </m:ctrlPr>
                  </m:sSubPr>
                  <m:e>
                    <m:r>
                      <w:rPr>
                        <w:rFonts w:ascii="Cambria Math" w:hAnsi="Cambria Math"/>
                      </w:rPr>
                      <m:t>S</m:t>
                    </m:r>
                  </m:e>
                  <m:sub>
                    <m:r>
                      <w:rPr>
                        <w:rFonts w:ascii="Cambria Math" w:hAnsi="Cambria Math"/>
                      </w:rPr>
                      <m:t>t</m:t>
                    </m:r>
                  </m:sub>
                </m:sSub>
              </m:oMath>
            </m:oMathPara>
          </w:p>
        </w:tc>
        <w:tc>
          <w:tcPr>
            <w:tcW w:w="2150" w:type="dxa"/>
            <w:tcMar>
              <w:top w:w="45" w:type="dxa"/>
              <w:left w:w="55" w:type="dxa"/>
              <w:bottom w:w="45" w:type="dxa"/>
              <w:right w:w="55" w:type="dxa"/>
            </w:tcMar>
            <w:vAlign w:val="center"/>
          </w:tcPr>
          <w:p w14:paraId="1AA38493" w14:textId="77777777" w:rsidR="00235BC0" w:rsidRPr="00A46D13" w:rsidRDefault="00000000">
            <w:pPr>
              <w:spacing w:after="0"/>
              <w:jc w:val="center"/>
            </w:pPr>
            <w:r w:rsidRPr="00A46D13">
              <w:rPr>
                <w:sz w:val="16"/>
              </w:rPr>
              <w:t>Lognormal (-0.15, 0.55)</w:t>
            </w:r>
          </w:p>
        </w:tc>
        <w:tc>
          <w:tcPr>
            <w:tcW w:w="3560" w:type="dxa"/>
            <w:tcMar>
              <w:top w:w="45" w:type="dxa"/>
              <w:left w:w="55" w:type="dxa"/>
              <w:bottom w:w="45" w:type="dxa"/>
              <w:right w:w="55" w:type="dxa"/>
            </w:tcMar>
            <w:vAlign w:val="center"/>
          </w:tcPr>
          <w:p w14:paraId="0E21C775" w14:textId="77777777" w:rsidR="00235BC0" w:rsidRPr="00A46D13" w:rsidRDefault="00000000">
            <w:pPr>
              <w:spacing w:after="0"/>
              <w:jc w:val="center"/>
            </w:pPr>
            <w:r w:rsidRPr="00A46D13">
              <w:rPr>
                <w:sz w:val="16"/>
              </w:rPr>
              <w:t>Conditional shock severity</w:t>
            </w:r>
          </w:p>
        </w:tc>
      </w:tr>
      <w:tr w:rsidR="00235BC0" w:rsidRPr="00A46D13" w14:paraId="44AF1EE1" w14:textId="77777777">
        <w:trPr>
          <w:cantSplit/>
          <w:jc w:val="center"/>
        </w:trPr>
        <w:tc>
          <w:tcPr>
            <w:tcW w:w="1600" w:type="dxa"/>
            <w:tcMar>
              <w:top w:w="45" w:type="dxa"/>
              <w:left w:w="55" w:type="dxa"/>
              <w:bottom w:w="45" w:type="dxa"/>
              <w:right w:w="55" w:type="dxa"/>
            </w:tcMar>
            <w:vAlign w:val="center"/>
          </w:tcPr>
          <w:p w14:paraId="7579A4AB" w14:textId="77777777" w:rsidR="00235BC0" w:rsidRPr="00A46D13" w:rsidRDefault="00000000">
            <w:pPr>
              <w:spacing w:after="0"/>
              <w:jc w:val="left"/>
            </w:pPr>
            <w:r w:rsidRPr="00A46D13">
              <w:rPr>
                <w:sz w:val="16"/>
              </w:rPr>
              <w:t>Productivity noise</w:t>
            </w:r>
          </w:p>
        </w:tc>
        <w:tc>
          <w:tcPr>
            <w:tcW w:w="2050" w:type="dxa"/>
            <w:tcMar>
              <w:top w:w="45" w:type="dxa"/>
              <w:left w:w="55" w:type="dxa"/>
              <w:bottom w:w="45" w:type="dxa"/>
              <w:right w:w="55" w:type="dxa"/>
            </w:tcMar>
            <w:vAlign w:val="center"/>
          </w:tcPr>
          <w:p w14:paraId="56AF3080" w14:textId="77777777" w:rsidR="00235BC0" w:rsidRPr="00A46D13" w:rsidRDefault="00000000">
            <w:pPr>
              <w:spacing w:after="0"/>
              <w:jc w:val="center"/>
            </w:pPr>
            <m:oMathPara>
              <m:oMath>
                <m:sSub>
                  <m:sSubPr>
                    <m:ctrlPr>
                      <w:rPr>
                        <w:rFonts w:ascii="Cambria Math" w:hAnsi="Cambria Math"/>
                      </w:rPr>
                    </m:ctrlPr>
                  </m:sSubPr>
                  <m:e>
                    <m:r>
                      <w:rPr>
                        <w:rFonts w:ascii="Cambria Math" w:hAnsi="Cambria Math"/>
                      </w:rPr>
                      <m:t>ϵ</m:t>
                    </m:r>
                  </m:e>
                  <m:sub>
                    <m:r>
                      <w:rPr>
                        <w:rFonts w:ascii="Cambria Math" w:hAnsi="Cambria Math"/>
                      </w:rPr>
                      <m:t>t</m:t>
                    </m:r>
                  </m:sub>
                </m:sSub>
              </m:oMath>
            </m:oMathPara>
          </w:p>
        </w:tc>
        <w:tc>
          <w:tcPr>
            <w:tcW w:w="2150" w:type="dxa"/>
            <w:tcMar>
              <w:top w:w="45" w:type="dxa"/>
              <w:left w:w="55" w:type="dxa"/>
              <w:bottom w:w="45" w:type="dxa"/>
              <w:right w:w="55" w:type="dxa"/>
            </w:tcMar>
            <w:vAlign w:val="center"/>
          </w:tcPr>
          <w:p w14:paraId="19E48C6C" w14:textId="77777777" w:rsidR="00235BC0" w:rsidRPr="00A46D13" w:rsidRDefault="00000000">
            <w:pPr>
              <w:spacing w:after="0"/>
              <w:jc w:val="center"/>
            </w:pPr>
            <m:oMathPara>
              <m:oMath>
                <m:r>
                  <m:rPr>
                    <m:scr m:val="script"/>
                    <m:sty m:val="p"/>
                  </m:rPr>
                  <w:rPr>
                    <w:rFonts w:ascii="Cambria Math" w:hAnsi="Cambria Math"/>
                  </w:rPr>
                  <m:t>N</m:t>
                </m:r>
                <m:d>
                  <m:dPr>
                    <m:ctrlPr>
                      <w:rPr>
                        <w:rFonts w:ascii="Cambria Math" w:hAnsi="Cambria Math"/>
                      </w:rPr>
                    </m:ctrlPr>
                  </m:dPr>
                  <m:e>
                    <m:r>
                      <w:rPr>
                        <w:rFonts w:ascii="Cambria Math" w:hAnsi="Cambria Math"/>
                      </w:rPr>
                      <m:t>0</m:t>
                    </m:r>
                    <m:r>
                      <m:rPr>
                        <m:sty m:val="p"/>
                      </m:rPr>
                      <w:rPr>
                        <w:rFonts w:ascii="Cambria Math" w:hAnsi="Cambria Math"/>
                      </w:rPr>
                      <m:t>,</m:t>
                    </m:r>
                    <m:sSup>
                      <m:sSupPr>
                        <m:ctrlPr>
                          <w:rPr>
                            <w:rFonts w:ascii="Cambria Math" w:hAnsi="Cambria Math"/>
                          </w:rPr>
                        </m:ctrlPr>
                      </m:sSupPr>
                      <m:e>
                        <m:r>
                          <w:rPr>
                            <w:rFonts w:ascii="Cambria Math" w:hAnsi="Cambria Math"/>
                          </w:rPr>
                          <m:t>0.70</m:t>
                        </m:r>
                      </m:e>
                      <m:sup>
                        <m:r>
                          <w:rPr>
                            <w:rFonts w:ascii="Cambria Math" w:hAnsi="Cambria Math"/>
                          </w:rPr>
                          <m:t>2</m:t>
                        </m:r>
                      </m:sup>
                    </m:sSup>
                  </m:e>
                </m:d>
              </m:oMath>
            </m:oMathPara>
          </w:p>
        </w:tc>
        <w:tc>
          <w:tcPr>
            <w:tcW w:w="3560" w:type="dxa"/>
            <w:tcMar>
              <w:top w:w="45" w:type="dxa"/>
              <w:left w:w="55" w:type="dxa"/>
              <w:bottom w:w="45" w:type="dxa"/>
              <w:right w:w="55" w:type="dxa"/>
            </w:tcMar>
            <w:vAlign w:val="center"/>
          </w:tcPr>
          <w:p w14:paraId="6FEBD09E" w14:textId="77777777" w:rsidR="00235BC0" w:rsidRPr="00A46D13" w:rsidRDefault="00000000">
            <w:pPr>
              <w:spacing w:after="0"/>
              <w:jc w:val="center"/>
            </w:pPr>
            <w:r w:rsidRPr="00A46D13">
              <w:rPr>
                <w:sz w:val="16"/>
              </w:rPr>
              <w:t>Zero-mean period noise</w:t>
            </w:r>
          </w:p>
        </w:tc>
      </w:tr>
      <w:tr w:rsidR="00235BC0" w:rsidRPr="00A46D13" w14:paraId="305DA42D" w14:textId="77777777">
        <w:trPr>
          <w:cantSplit/>
          <w:jc w:val="center"/>
        </w:trPr>
        <w:tc>
          <w:tcPr>
            <w:tcW w:w="1600" w:type="dxa"/>
            <w:tcMar>
              <w:top w:w="45" w:type="dxa"/>
              <w:left w:w="55" w:type="dxa"/>
              <w:bottom w:w="45" w:type="dxa"/>
              <w:right w:w="55" w:type="dxa"/>
            </w:tcMar>
            <w:vAlign w:val="center"/>
          </w:tcPr>
          <w:p w14:paraId="0D4083B8" w14:textId="77777777" w:rsidR="00235BC0" w:rsidRPr="00A46D13" w:rsidRDefault="00000000">
            <w:pPr>
              <w:spacing w:after="0"/>
              <w:jc w:val="left"/>
            </w:pPr>
            <w:r w:rsidRPr="00A46D13">
              <w:rPr>
                <w:sz w:val="16"/>
              </w:rPr>
              <w:t>Fragility rule</w:t>
            </w:r>
          </w:p>
        </w:tc>
        <w:tc>
          <w:tcPr>
            <w:tcW w:w="2050" w:type="dxa"/>
            <w:tcMar>
              <w:top w:w="45" w:type="dxa"/>
              <w:left w:w="55" w:type="dxa"/>
              <w:bottom w:w="45" w:type="dxa"/>
              <w:right w:w="55" w:type="dxa"/>
            </w:tcMar>
            <w:vAlign w:val="center"/>
          </w:tcPr>
          <w:p w14:paraId="7F09E57C" w14:textId="77777777" w:rsidR="00235BC0" w:rsidRPr="00A46D13" w:rsidRDefault="00000000">
            <w:pPr>
              <w:spacing w:after="0"/>
              <w:jc w:val="center"/>
            </w:pPr>
            <w:r w:rsidRPr="00A46D13">
              <w:rPr>
                <w:sz w:val="16"/>
              </w:rPr>
              <w:t>loss, resilience, terminal value</w:t>
            </w:r>
          </w:p>
        </w:tc>
        <w:tc>
          <w:tcPr>
            <w:tcW w:w="2150" w:type="dxa"/>
            <w:tcMar>
              <w:top w:w="45" w:type="dxa"/>
              <w:left w:w="55" w:type="dxa"/>
              <w:bottom w:w="45" w:type="dxa"/>
              <w:right w:w="55" w:type="dxa"/>
            </w:tcMar>
            <w:vAlign w:val="center"/>
          </w:tcPr>
          <w:p w14:paraId="39B5B65D" w14:textId="77777777" w:rsidR="00235BC0" w:rsidRPr="00A46D13" w:rsidRDefault="00000000">
            <w:pPr>
              <w:spacing w:after="0"/>
              <w:jc w:val="center"/>
            </w:pPr>
            <w:r w:rsidRPr="00A46D13">
              <w:rPr>
                <w:sz w:val="16"/>
              </w:rPr>
              <w:t>-15, 0.22, 0</w:t>
            </w:r>
          </w:p>
        </w:tc>
        <w:tc>
          <w:tcPr>
            <w:tcW w:w="3560" w:type="dxa"/>
            <w:tcMar>
              <w:top w:w="45" w:type="dxa"/>
              <w:left w:w="55" w:type="dxa"/>
              <w:bottom w:w="45" w:type="dxa"/>
              <w:right w:w="55" w:type="dxa"/>
            </w:tcMar>
            <w:vAlign w:val="center"/>
          </w:tcPr>
          <w:p w14:paraId="0B21F26B" w14:textId="77777777" w:rsidR="00235BC0" w:rsidRPr="00A46D13" w:rsidRDefault="00000000">
            <w:pPr>
              <w:spacing w:after="0"/>
              <w:jc w:val="center"/>
            </w:pPr>
            <w:r w:rsidRPr="00A46D13">
              <w:rPr>
                <w:sz w:val="16"/>
              </w:rPr>
              <w:t>Composite thresholds</w:t>
            </w:r>
          </w:p>
        </w:tc>
      </w:tr>
      <w:tr w:rsidR="00235BC0" w:rsidRPr="00A46D13" w14:paraId="6020BD1C" w14:textId="77777777">
        <w:trPr>
          <w:cantSplit/>
          <w:jc w:val="center"/>
        </w:trPr>
        <w:tc>
          <w:tcPr>
            <w:tcW w:w="1600" w:type="dxa"/>
            <w:tcMar>
              <w:top w:w="45" w:type="dxa"/>
              <w:left w:w="55" w:type="dxa"/>
              <w:bottom w:w="45" w:type="dxa"/>
              <w:right w:w="55" w:type="dxa"/>
            </w:tcMar>
            <w:vAlign w:val="center"/>
          </w:tcPr>
          <w:p w14:paraId="137019C2" w14:textId="77777777" w:rsidR="00235BC0" w:rsidRPr="00A46D13" w:rsidRDefault="00000000">
            <w:pPr>
              <w:spacing w:after="0"/>
              <w:jc w:val="left"/>
            </w:pPr>
            <w:r w:rsidRPr="00A46D13">
              <w:rPr>
                <w:sz w:val="16"/>
              </w:rPr>
              <w:t>Simulation design</w:t>
            </w:r>
          </w:p>
        </w:tc>
        <w:tc>
          <w:tcPr>
            <w:tcW w:w="2050" w:type="dxa"/>
            <w:tcMar>
              <w:top w:w="45" w:type="dxa"/>
              <w:left w:w="55" w:type="dxa"/>
              <w:bottom w:w="45" w:type="dxa"/>
              <w:right w:w="55" w:type="dxa"/>
            </w:tcMar>
            <w:vAlign w:val="center"/>
          </w:tcPr>
          <w:p w14:paraId="4E98DEEC" w14:textId="77777777" w:rsidR="00235BC0" w:rsidRPr="00A46D13" w:rsidRDefault="00000000">
            <w:pPr>
              <w:spacing w:after="0"/>
              <w:jc w:val="center"/>
            </w:pPr>
            <m:oMath>
              <m:r>
                <w:rPr>
                  <w:rFonts w:ascii="Cambria Math" w:hAnsi="Cambria Math"/>
                </w:rPr>
                <m:t>N</m:t>
              </m:r>
              <m:r>
                <m:rPr>
                  <m:sty m:val="p"/>
                </m:rPr>
                <w:rPr>
                  <w:rFonts w:ascii="Cambria Math" w:hAnsi="Cambria Math"/>
                </w:rPr>
                <m:t>,</m:t>
              </m:r>
              <m:r>
                <w:rPr>
                  <w:rFonts w:ascii="Cambria Math" w:hAnsi="Cambria Math"/>
                </w:rPr>
                <m:t>T</m:t>
              </m:r>
            </m:oMath>
            <w:r w:rsidRPr="00A46D13">
              <w:rPr>
                <w:sz w:val="16"/>
              </w:rPr>
              <w:t>, seed</w:t>
            </w:r>
          </w:p>
        </w:tc>
        <w:tc>
          <w:tcPr>
            <w:tcW w:w="2150" w:type="dxa"/>
            <w:tcMar>
              <w:top w:w="45" w:type="dxa"/>
              <w:left w:w="55" w:type="dxa"/>
              <w:bottom w:w="45" w:type="dxa"/>
              <w:right w:w="55" w:type="dxa"/>
            </w:tcMar>
            <w:vAlign w:val="center"/>
          </w:tcPr>
          <w:p w14:paraId="59ACED75" w14:textId="77777777" w:rsidR="00235BC0" w:rsidRPr="00A46D13" w:rsidRDefault="00000000">
            <w:pPr>
              <w:spacing w:after="0"/>
              <w:jc w:val="center"/>
            </w:pPr>
            <w:r w:rsidRPr="00A46D13">
              <w:rPr>
                <w:sz w:val="16"/>
              </w:rPr>
              <w:t>5,000, 60, 20260730</w:t>
            </w:r>
          </w:p>
        </w:tc>
        <w:tc>
          <w:tcPr>
            <w:tcW w:w="3560" w:type="dxa"/>
            <w:tcMar>
              <w:top w:w="45" w:type="dxa"/>
              <w:left w:w="55" w:type="dxa"/>
              <w:bottom w:w="45" w:type="dxa"/>
              <w:right w:w="55" w:type="dxa"/>
            </w:tcMar>
            <w:vAlign w:val="center"/>
          </w:tcPr>
          <w:p w14:paraId="5A1E86A8" w14:textId="77777777" w:rsidR="00235BC0" w:rsidRPr="00A46D13" w:rsidRDefault="00000000">
            <w:pPr>
              <w:spacing w:after="0"/>
              <w:jc w:val="center"/>
            </w:pPr>
            <w:r w:rsidRPr="00A46D13">
              <w:rPr>
                <w:sz w:val="16"/>
              </w:rPr>
              <w:t>Firms, periods, and fixed random seed</w:t>
            </w:r>
          </w:p>
        </w:tc>
      </w:tr>
    </w:tbl>
    <w:p w14:paraId="6303D275" w14:textId="77777777" w:rsidR="00235BC0" w:rsidRPr="00A46D13" w:rsidRDefault="00000000">
      <w:pPr>
        <w:keepNext/>
        <w:spacing w:before="120"/>
        <w:jc w:val="left"/>
      </w:pPr>
      <w:r w:rsidRPr="00A46D13">
        <w:rPr>
          <w:b/>
          <w:bCs/>
          <w:sz w:val="22"/>
        </w:rPr>
        <w:t>3.11 Simulation Protocol, Policy Search, and Robustness Extensions</w:t>
      </w:r>
    </w:p>
    <w:p w14:paraId="24ADB2F0" w14:textId="77777777" w:rsidR="00235BC0" w:rsidRPr="00A46D13" w:rsidRDefault="00000000">
      <w:r w:rsidRPr="00A46D13">
        <w:t>The base experiment simulated 5,000 firms under each of five regimes for 60 periods, producing 25,000 firm-regime trajectories and 1.5 million firm-period observations. A fixed seed of 20260730 generated common arrays for task fit, uncertainty, shock occurrence, shock severity, and productivity noise. Common random numbers ensured that the regimes faced identical stochastic sequences. This design supports paired firm-by-firm contrasts and reduces comparison noise.</w:t>
      </w:r>
    </w:p>
    <w:p w14:paraId="36B67243" w14:textId="77777777" w:rsidR="00235BC0" w:rsidRPr="00A46D13" w:rsidRDefault="00000000">
      <w:r w:rsidRPr="00A46D13">
        <w:t>The primary outcome was cumulative incremental value. Secondary outcomes were final and cumulative verification debt, cumulative debt cost, cumulative shock loss, expertise, resilience, maximum drawdown, and negative terminal value. A trajectory was classified as fragile when the minimum one-period net value fell below -15 units, the minimum resilience fell below 0.22, or terminal cumulative value was negative. Percentile intervals are descriptive simulation intervals, not confidence intervals from observed data.</w:t>
      </w:r>
    </w:p>
    <w:p w14:paraId="104A3C59" w14:textId="77777777" w:rsidR="00235BC0" w:rsidRPr="00A46D13" w:rsidRDefault="00000000">
      <w:r w:rsidRPr="00A46D13">
        <w:t xml:space="preserve">Three additional analyses were conducted. First, a full fixed-policy search allowed automation, governance, and verification to vary independently. The coarse grid evaluated </w:t>
      </w:r>
      <m:oMath>
        <m:sSup>
          <m:sSupPr>
            <m:ctrlPr>
              <w:rPr>
                <w:rFonts w:ascii="Cambria Math" w:hAnsi="Cambria Math"/>
              </w:rPr>
            </m:ctrlPr>
          </m:sSupPr>
          <m:e>
            <m:r>
              <w:rPr>
                <w:rFonts w:ascii="Cambria Math" w:hAnsi="Cambria Math"/>
              </w:rPr>
              <m:t>15</m:t>
            </m:r>
          </m:e>
          <m:sup>
            <m:r>
              <w:rPr>
                <w:rFonts w:ascii="Cambria Math" w:hAnsi="Cambria Math"/>
              </w:rPr>
              <m:t>3</m:t>
            </m:r>
          </m:sup>
        </m:sSup>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375</m:t>
        </m:r>
      </m:oMath>
      <w:r w:rsidRPr="00A46D13">
        <w:t xml:space="preserve"> configurations over </w:t>
      </w:r>
      <m:oMath>
        <m:r>
          <w:rPr>
            <w:rFonts w:ascii="Cambria Math" w:hAnsi="Cambria Math"/>
          </w:rPr>
          <m:t>a</m:t>
        </m:r>
        <m:r>
          <m:rPr>
            <m:sty m:val="p"/>
          </m:rPr>
          <w:rPr>
            <w:rFonts w:ascii="Cambria Math" w:hAnsi="Cambria Math"/>
          </w:rPr>
          <m:t>∈</m:t>
        </m:r>
        <m:d>
          <m:dPr>
            <m:begChr m:val="["/>
            <m:endChr m:val="]"/>
            <m:ctrlPr>
              <w:rPr>
                <w:rFonts w:ascii="Cambria Math" w:hAnsi="Cambria Math"/>
              </w:rPr>
            </m:ctrlPr>
          </m:dPr>
          <m:e>
            <m:r>
              <w:rPr>
                <w:rFonts w:ascii="Cambria Math" w:hAnsi="Cambria Math"/>
              </w:rPr>
              <m:t>0.25</m:t>
            </m:r>
            <m:r>
              <m:rPr>
                <m:sty m:val="p"/>
              </m:rPr>
              <w:rPr>
                <w:rFonts w:ascii="Cambria Math" w:hAnsi="Cambria Math"/>
              </w:rPr>
              <m:t>,</m:t>
            </m:r>
            <m:r>
              <w:rPr>
                <w:rFonts w:ascii="Cambria Math" w:hAnsi="Cambria Math"/>
              </w:rPr>
              <m:t>0.95</m:t>
            </m:r>
          </m:e>
        </m:d>
      </m:oMath>
      <w:r w:rsidRPr="00A46D13">
        <w:t xml:space="preserve">, </w:t>
      </w:r>
      <m:oMath>
        <m:r>
          <w:rPr>
            <w:rFonts w:ascii="Cambria Math" w:hAnsi="Cambria Math"/>
          </w:rPr>
          <m:t>g</m:t>
        </m:r>
        <m:r>
          <m:rPr>
            <m:sty m:val="p"/>
          </m:rPr>
          <w:rPr>
            <w:rFonts w:ascii="Cambria Math" w:hAnsi="Cambria Math"/>
          </w:rPr>
          <m:t>∈</m:t>
        </m:r>
        <m:d>
          <m:dPr>
            <m:begChr m:val="["/>
            <m:endChr m:val="]"/>
            <m:ctrlPr>
              <w:rPr>
                <w:rFonts w:ascii="Cambria Math" w:hAnsi="Cambria Math"/>
              </w:rPr>
            </m:ctrlPr>
          </m:dPr>
          <m:e>
            <m:r>
              <w:rPr>
                <w:rFonts w:ascii="Cambria Math" w:hAnsi="Cambria Math"/>
              </w:rPr>
              <m:t>0.20</m:t>
            </m:r>
            <m:r>
              <m:rPr>
                <m:sty m:val="p"/>
              </m:rPr>
              <w:rPr>
                <w:rFonts w:ascii="Cambria Math" w:hAnsi="Cambria Math"/>
              </w:rPr>
              <m:t>,</m:t>
            </m:r>
            <m:r>
              <w:rPr>
                <w:rFonts w:ascii="Cambria Math" w:hAnsi="Cambria Math"/>
              </w:rPr>
              <m:t>0.90</m:t>
            </m:r>
          </m:e>
        </m:d>
      </m:oMath>
      <w:r w:rsidRPr="00A46D13">
        <w:t xml:space="preserve">, and </w:t>
      </w:r>
      <m:oMath>
        <m:r>
          <w:rPr>
            <w:rFonts w:ascii="Cambria Math" w:hAnsi="Cambria Math"/>
          </w:rPr>
          <m:t>v</m:t>
        </m:r>
        <m:r>
          <m:rPr>
            <m:sty m:val="p"/>
          </m:rPr>
          <w:rPr>
            <w:rFonts w:ascii="Cambria Math" w:hAnsi="Cambria Math"/>
          </w:rPr>
          <m:t>∈</m:t>
        </m:r>
        <m:d>
          <m:dPr>
            <m:begChr m:val="["/>
            <m:endChr m:val="]"/>
            <m:ctrlPr>
              <w:rPr>
                <w:rFonts w:ascii="Cambria Math" w:hAnsi="Cambria Math"/>
              </w:rPr>
            </m:ctrlPr>
          </m:dPr>
          <m:e>
            <m:r>
              <w:rPr>
                <w:rFonts w:ascii="Cambria Math" w:hAnsi="Cambria Math"/>
              </w:rPr>
              <m:t>0.20</m:t>
            </m:r>
            <m:r>
              <m:rPr>
                <m:sty m:val="p"/>
              </m:rPr>
              <w:rPr>
                <w:rFonts w:ascii="Cambria Math" w:hAnsi="Cambria Math"/>
              </w:rPr>
              <m:t>,</m:t>
            </m:r>
            <m:r>
              <w:rPr>
                <w:rFonts w:ascii="Cambria Math" w:hAnsi="Cambria Math"/>
              </w:rPr>
              <m:t>0.90</m:t>
            </m:r>
          </m:e>
        </m:d>
      </m:oMath>
      <w:r w:rsidRPr="00A46D13">
        <w:t xml:space="preserve">. A local boundary refinement then examined </w:t>
      </w:r>
      <m:oMath>
        <m:r>
          <w:rPr>
            <w:rFonts w:ascii="Cambria Math" w:hAnsi="Cambria Math"/>
          </w:rPr>
          <m:t>a</m:t>
        </m:r>
      </m:oMath>
      <w:r w:rsidRPr="00A46D13">
        <w:t xml:space="preserve"> up to 1.00 at 0.0125 increments around the best coarse region. The selected configuration was re-evaluated with 5,000 firms. The result is a grid optimum conditional on the model and search domain, not a universal empirical optimum.</w:t>
      </w:r>
    </w:p>
    <w:p w14:paraId="0AF9EB2A" w14:textId="77777777" w:rsidR="00235BC0" w:rsidRPr="00A46D13" w:rsidRDefault="00000000">
      <w:r w:rsidRPr="00A46D13">
        <w:t>Second, the structural-heterogeneity extension assigned each firm fixed multipliers for productivity potential, debt propensity, shock exposure, governance cost, verification cost, and learning, together with heterogeneous initial states. Multipliers were drawn from mean-one lognormal distributions with coefficients of variation of approximately 10% to 20% and were moderately truncated. Initial debt, expertise, and resilience were drawn from truncated normal distributions. These distributions are transparent robustness assumptions, not estimates of real firms.</w:t>
      </w:r>
    </w:p>
    <w:p w14:paraId="30BF7304" w14:textId="77777777" w:rsidR="00235BC0" w:rsidRPr="00A46D13" w:rsidRDefault="00000000">
      <w:r w:rsidRPr="00A46D13">
        <w:t xml:space="preserve">Third, paired differences were calculated for every synthetic firm because the same random sequences and, in the heterogeneity extension, the same structural profile were used under each regime. One-way sensitivity analysis retained the plus-or-minus 20% perturbations for debt accumulation, shock loss, governance cost, verification cost, verified learning, and coordination-compression productivity. State-boundary diagnostics recorded the proportion of firm-periods at the debt floor or expertise ceiling and the proportion for which repayment </w:t>
      </w:r>
      <w:proofErr w:type="spellStart"/>
      <w:r w:rsidRPr="00A46D13">
        <w:t>equalled</w:t>
      </w:r>
      <w:proofErr w:type="spellEnd"/>
      <w:r w:rsidRPr="00A46D13">
        <w:t xml:space="preserve"> or exceeded current debt inflow.</w:t>
      </w:r>
    </w:p>
    <w:p w14:paraId="3BAC223E" w14:textId="77777777" w:rsidR="00235BC0" w:rsidRPr="00A46D13" w:rsidRDefault="00000000">
      <w:pPr>
        <w:pStyle w:val="Heading1"/>
      </w:pPr>
      <w:bookmarkStart w:id="5" w:name="results-and-discussion"/>
      <w:bookmarkEnd w:id="4"/>
      <w:r w:rsidRPr="00A46D13">
        <w:rPr>
          <w:bCs/>
        </w:rPr>
        <w:t>4. RESULTS AND DISCUSSION</w:t>
      </w:r>
    </w:p>
    <w:p w14:paraId="55AA6A6E" w14:textId="77777777" w:rsidR="00235BC0" w:rsidRPr="00A46D13" w:rsidRDefault="00000000">
      <w:pPr>
        <w:keepNext/>
        <w:spacing w:before="120"/>
        <w:jc w:val="left"/>
      </w:pPr>
      <w:r w:rsidRPr="00A46D13">
        <w:rPr>
          <w:b/>
          <w:bCs/>
          <w:sz w:val="22"/>
        </w:rPr>
        <w:t xml:space="preserve">4.1 Base-Case Comparison of Five </w:t>
      </w:r>
      <w:proofErr w:type="spellStart"/>
      <w:r w:rsidRPr="00A46D13">
        <w:rPr>
          <w:b/>
          <w:bCs/>
          <w:sz w:val="22"/>
        </w:rPr>
        <w:t>Stylised</w:t>
      </w:r>
      <w:proofErr w:type="spellEnd"/>
      <w:r w:rsidRPr="00A46D13">
        <w:rPr>
          <w:b/>
          <w:bCs/>
          <w:sz w:val="22"/>
        </w:rPr>
        <w:t xml:space="preserve"> Regimes</w:t>
      </w:r>
    </w:p>
    <w:p w14:paraId="05C1E9DD" w14:textId="77777777" w:rsidR="00235BC0" w:rsidRPr="00A46D13" w:rsidRDefault="00000000">
      <w:r w:rsidRPr="00A46D13">
        <w:t>Table 4A reports the controlled base-case comparison. Verified autonomy generated the largest mean cumulative value among the five pre-specified regimes at 454.93 units. Debt-responsive governance ranked second at 419.97 units, followed by human-</w:t>
      </w:r>
      <w:proofErr w:type="spellStart"/>
      <w:r w:rsidRPr="00A46D13">
        <w:t>centred</w:t>
      </w:r>
      <w:proofErr w:type="spellEnd"/>
      <w:r w:rsidRPr="00A46D13">
        <w:t xml:space="preserve"> augmentation at 343.98 and compliance-heavy governance at 264.02. Acceleration-first adoption ended at only 3.77 units and produced a negative terminal value in 41.40% of trajectories. These are comparisons among the selected regimes and should not be interpreted as </w:t>
      </w:r>
      <w:proofErr w:type="spellStart"/>
      <w:r w:rsidRPr="00A46D13">
        <w:t>optimisation</w:t>
      </w:r>
      <w:proofErr w:type="spellEnd"/>
      <w:r w:rsidRPr="00A46D13">
        <w:t xml:space="preserve"> over all feasible policies.</w:t>
      </w:r>
    </w:p>
    <w:p w14:paraId="7B3565F9" w14:textId="77777777" w:rsidR="00235BC0" w:rsidRPr="00A46D13" w:rsidRDefault="00000000">
      <w:pPr>
        <w:keepNext/>
        <w:spacing w:before="100" w:after="40"/>
        <w:jc w:val="left"/>
      </w:pPr>
      <w:r w:rsidRPr="00A46D13">
        <w:rPr>
          <w:b/>
          <w:bCs/>
        </w:rPr>
        <w:lastRenderedPageBreak/>
        <w:t>Table 4A. Base-case cumulative value and risk outcomes</w:t>
      </w:r>
    </w:p>
    <w:tbl>
      <w:tblPr>
        <w:tblW w:w="936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20" w:firstRow="1" w:lastRow="0" w:firstColumn="0" w:lastColumn="0" w:noHBand="0" w:noVBand="0"/>
      </w:tblPr>
      <w:tblGrid>
        <w:gridCol w:w="1900"/>
        <w:gridCol w:w="1243"/>
        <w:gridCol w:w="1243"/>
        <w:gridCol w:w="1243"/>
        <w:gridCol w:w="1243"/>
        <w:gridCol w:w="1243"/>
        <w:gridCol w:w="1245"/>
      </w:tblGrid>
      <w:tr w:rsidR="00235BC0" w:rsidRPr="00A46D13" w14:paraId="1FCC1966" w14:textId="77777777">
        <w:trPr>
          <w:cantSplit/>
          <w:tblHeader/>
          <w:jc w:val="center"/>
        </w:trPr>
        <w:tc>
          <w:tcPr>
            <w:tcW w:w="1900" w:type="dxa"/>
            <w:shd w:val="clear" w:color="auto" w:fill="E7E6E6"/>
            <w:tcMar>
              <w:top w:w="45" w:type="dxa"/>
              <w:left w:w="55" w:type="dxa"/>
              <w:bottom w:w="45" w:type="dxa"/>
              <w:right w:w="55" w:type="dxa"/>
            </w:tcMar>
            <w:vAlign w:val="center"/>
          </w:tcPr>
          <w:p w14:paraId="4A96057B" w14:textId="77777777" w:rsidR="00235BC0" w:rsidRPr="00A46D13" w:rsidRDefault="00000000">
            <w:pPr>
              <w:spacing w:after="0"/>
              <w:jc w:val="left"/>
            </w:pPr>
            <w:r w:rsidRPr="00A46D13">
              <w:rPr>
                <w:b/>
                <w:bCs/>
                <w:sz w:val="15"/>
              </w:rPr>
              <w:t>Regime</w:t>
            </w:r>
          </w:p>
        </w:tc>
        <w:tc>
          <w:tcPr>
            <w:tcW w:w="1243" w:type="dxa"/>
            <w:shd w:val="clear" w:color="auto" w:fill="E7E6E6"/>
            <w:tcMar>
              <w:top w:w="45" w:type="dxa"/>
              <w:left w:w="55" w:type="dxa"/>
              <w:bottom w:w="45" w:type="dxa"/>
              <w:right w:w="55" w:type="dxa"/>
            </w:tcMar>
            <w:vAlign w:val="center"/>
          </w:tcPr>
          <w:p w14:paraId="785D1B9E" w14:textId="77777777" w:rsidR="00235BC0" w:rsidRPr="00A46D13" w:rsidRDefault="00000000">
            <w:pPr>
              <w:spacing w:after="0"/>
              <w:jc w:val="center"/>
            </w:pPr>
            <w:r w:rsidRPr="00A46D13">
              <w:rPr>
                <w:b/>
                <w:bCs/>
                <w:sz w:val="15"/>
              </w:rPr>
              <w:t>Mean cumulative value</w:t>
            </w:r>
          </w:p>
        </w:tc>
        <w:tc>
          <w:tcPr>
            <w:tcW w:w="1243" w:type="dxa"/>
            <w:shd w:val="clear" w:color="auto" w:fill="E7E6E6"/>
            <w:tcMar>
              <w:top w:w="45" w:type="dxa"/>
              <w:left w:w="55" w:type="dxa"/>
              <w:bottom w:w="45" w:type="dxa"/>
              <w:right w:w="55" w:type="dxa"/>
            </w:tcMar>
            <w:vAlign w:val="center"/>
          </w:tcPr>
          <w:p w14:paraId="26F977BB" w14:textId="77777777" w:rsidR="00235BC0" w:rsidRPr="00A46D13" w:rsidRDefault="00000000">
            <w:pPr>
              <w:spacing w:after="0"/>
              <w:jc w:val="center"/>
            </w:pPr>
            <w:r w:rsidRPr="00A46D13">
              <w:rPr>
                <w:b/>
                <w:bCs/>
                <w:sz w:val="15"/>
              </w:rPr>
              <w:t>2.5th percentile</w:t>
            </w:r>
          </w:p>
        </w:tc>
        <w:tc>
          <w:tcPr>
            <w:tcW w:w="1243" w:type="dxa"/>
            <w:shd w:val="clear" w:color="auto" w:fill="E7E6E6"/>
            <w:tcMar>
              <w:top w:w="45" w:type="dxa"/>
              <w:left w:w="55" w:type="dxa"/>
              <w:bottom w:w="45" w:type="dxa"/>
              <w:right w:w="55" w:type="dxa"/>
            </w:tcMar>
            <w:vAlign w:val="center"/>
          </w:tcPr>
          <w:p w14:paraId="4B731A2C" w14:textId="77777777" w:rsidR="00235BC0" w:rsidRPr="00A46D13" w:rsidRDefault="00000000">
            <w:pPr>
              <w:spacing w:after="0"/>
              <w:jc w:val="center"/>
            </w:pPr>
            <w:r w:rsidRPr="00A46D13">
              <w:rPr>
                <w:b/>
                <w:bCs/>
                <w:sz w:val="15"/>
              </w:rPr>
              <w:t>97.5th percentile</w:t>
            </w:r>
          </w:p>
        </w:tc>
        <w:tc>
          <w:tcPr>
            <w:tcW w:w="1243" w:type="dxa"/>
            <w:shd w:val="clear" w:color="auto" w:fill="E7E6E6"/>
            <w:tcMar>
              <w:top w:w="45" w:type="dxa"/>
              <w:left w:w="55" w:type="dxa"/>
              <w:bottom w:w="45" w:type="dxa"/>
              <w:right w:w="55" w:type="dxa"/>
            </w:tcMar>
            <w:vAlign w:val="center"/>
          </w:tcPr>
          <w:p w14:paraId="19BFF0A4" w14:textId="77777777" w:rsidR="00235BC0" w:rsidRPr="00A46D13" w:rsidRDefault="00000000">
            <w:pPr>
              <w:spacing w:after="0"/>
              <w:jc w:val="center"/>
            </w:pPr>
            <w:r w:rsidRPr="00A46D13">
              <w:rPr>
                <w:b/>
                <w:bCs/>
                <w:sz w:val="15"/>
              </w:rPr>
              <w:t>Mean maximum drawdown</w:t>
            </w:r>
          </w:p>
        </w:tc>
        <w:tc>
          <w:tcPr>
            <w:tcW w:w="1243" w:type="dxa"/>
            <w:shd w:val="clear" w:color="auto" w:fill="E7E6E6"/>
            <w:tcMar>
              <w:top w:w="45" w:type="dxa"/>
              <w:left w:w="55" w:type="dxa"/>
              <w:bottom w:w="45" w:type="dxa"/>
              <w:right w:w="55" w:type="dxa"/>
            </w:tcMar>
            <w:vAlign w:val="center"/>
          </w:tcPr>
          <w:p w14:paraId="737F7135" w14:textId="77777777" w:rsidR="00235BC0" w:rsidRPr="00A46D13" w:rsidRDefault="00000000">
            <w:pPr>
              <w:spacing w:after="0"/>
              <w:jc w:val="center"/>
            </w:pPr>
            <w:r w:rsidRPr="00A46D13">
              <w:rPr>
                <w:b/>
                <w:bCs/>
                <w:sz w:val="15"/>
              </w:rPr>
              <w:t>Fragility incidence (%)</w:t>
            </w:r>
          </w:p>
        </w:tc>
        <w:tc>
          <w:tcPr>
            <w:tcW w:w="1245" w:type="dxa"/>
            <w:shd w:val="clear" w:color="auto" w:fill="E7E6E6"/>
            <w:tcMar>
              <w:top w:w="45" w:type="dxa"/>
              <w:left w:w="55" w:type="dxa"/>
              <w:bottom w:w="45" w:type="dxa"/>
              <w:right w:w="55" w:type="dxa"/>
            </w:tcMar>
            <w:vAlign w:val="center"/>
          </w:tcPr>
          <w:p w14:paraId="7B26EFD8" w14:textId="77777777" w:rsidR="00235BC0" w:rsidRPr="00A46D13" w:rsidRDefault="00000000">
            <w:pPr>
              <w:spacing w:after="0"/>
              <w:jc w:val="center"/>
            </w:pPr>
            <w:r w:rsidRPr="00A46D13">
              <w:rPr>
                <w:b/>
                <w:bCs/>
                <w:sz w:val="15"/>
              </w:rPr>
              <w:t>Negative value (%)</w:t>
            </w:r>
          </w:p>
        </w:tc>
      </w:tr>
      <w:tr w:rsidR="00235BC0" w:rsidRPr="00A46D13" w14:paraId="56747DD6" w14:textId="77777777">
        <w:trPr>
          <w:cantSplit/>
          <w:jc w:val="center"/>
        </w:trPr>
        <w:tc>
          <w:tcPr>
            <w:tcW w:w="1900" w:type="dxa"/>
            <w:tcMar>
              <w:top w:w="45" w:type="dxa"/>
              <w:left w:w="55" w:type="dxa"/>
              <w:bottom w:w="45" w:type="dxa"/>
              <w:right w:w="55" w:type="dxa"/>
            </w:tcMar>
            <w:vAlign w:val="center"/>
          </w:tcPr>
          <w:p w14:paraId="73F70F21" w14:textId="77777777" w:rsidR="00235BC0" w:rsidRPr="00A46D13" w:rsidRDefault="00000000">
            <w:pPr>
              <w:spacing w:after="0"/>
              <w:jc w:val="left"/>
            </w:pPr>
            <w:r w:rsidRPr="00A46D13">
              <w:rPr>
                <w:sz w:val="15"/>
              </w:rPr>
              <w:t>Acceleration-first</w:t>
            </w:r>
          </w:p>
        </w:tc>
        <w:tc>
          <w:tcPr>
            <w:tcW w:w="1243" w:type="dxa"/>
            <w:tcMar>
              <w:top w:w="45" w:type="dxa"/>
              <w:left w:w="55" w:type="dxa"/>
              <w:bottom w:w="45" w:type="dxa"/>
              <w:right w:w="55" w:type="dxa"/>
            </w:tcMar>
            <w:vAlign w:val="center"/>
          </w:tcPr>
          <w:p w14:paraId="680C6437" w14:textId="77777777" w:rsidR="00235BC0" w:rsidRPr="00A46D13" w:rsidRDefault="00000000">
            <w:pPr>
              <w:spacing w:after="0"/>
              <w:jc w:val="center"/>
            </w:pPr>
            <w:r w:rsidRPr="00A46D13">
              <w:rPr>
                <w:sz w:val="15"/>
              </w:rPr>
              <w:t>3.77</w:t>
            </w:r>
          </w:p>
        </w:tc>
        <w:tc>
          <w:tcPr>
            <w:tcW w:w="1243" w:type="dxa"/>
            <w:tcMar>
              <w:top w:w="45" w:type="dxa"/>
              <w:left w:w="55" w:type="dxa"/>
              <w:bottom w:w="45" w:type="dxa"/>
              <w:right w:w="55" w:type="dxa"/>
            </w:tcMar>
            <w:vAlign w:val="center"/>
          </w:tcPr>
          <w:p w14:paraId="3E6D7C4E" w14:textId="77777777" w:rsidR="00235BC0" w:rsidRPr="00A46D13" w:rsidRDefault="00000000">
            <w:pPr>
              <w:spacing w:after="0"/>
              <w:jc w:val="center"/>
            </w:pPr>
            <w:r w:rsidRPr="00A46D13">
              <w:rPr>
                <w:sz w:val="15"/>
              </w:rPr>
              <w:t>-86.91</w:t>
            </w:r>
          </w:p>
        </w:tc>
        <w:tc>
          <w:tcPr>
            <w:tcW w:w="1243" w:type="dxa"/>
            <w:tcMar>
              <w:top w:w="45" w:type="dxa"/>
              <w:left w:w="55" w:type="dxa"/>
              <w:bottom w:w="45" w:type="dxa"/>
              <w:right w:w="55" w:type="dxa"/>
            </w:tcMar>
            <w:vAlign w:val="center"/>
          </w:tcPr>
          <w:p w14:paraId="09468C83" w14:textId="77777777" w:rsidR="00235BC0" w:rsidRPr="00A46D13" w:rsidRDefault="00000000">
            <w:pPr>
              <w:spacing w:after="0"/>
              <w:jc w:val="center"/>
            </w:pPr>
            <w:r w:rsidRPr="00A46D13">
              <w:rPr>
                <w:sz w:val="15"/>
              </w:rPr>
              <w:t>71.27</w:t>
            </w:r>
          </w:p>
        </w:tc>
        <w:tc>
          <w:tcPr>
            <w:tcW w:w="1243" w:type="dxa"/>
            <w:tcMar>
              <w:top w:w="45" w:type="dxa"/>
              <w:left w:w="55" w:type="dxa"/>
              <w:bottom w:w="45" w:type="dxa"/>
              <w:right w:w="55" w:type="dxa"/>
            </w:tcMar>
            <w:vAlign w:val="center"/>
          </w:tcPr>
          <w:p w14:paraId="72893EB3" w14:textId="77777777" w:rsidR="00235BC0" w:rsidRPr="00A46D13" w:rsidRDefault="00000000">
            <w:pPr>
              <w:spacing w:after="0"/>
              <w:jc w:val="center"/>
            </w:pPr>
            <w:r w:rsidRPr="00A46D13">
              <w:rPr>
                <w:sz w:val="15"/>
              </w:rPr>
              <w:t>106.14</w:t>
            </w:r>
          </w:p>
        </w:tc>
        <w:tc>
          <w:tcPr>
            <w:tcW w:w="1243" w:type="dxa"/>
            <w:tcMar>
              <w:top w:w="45" w:type="dxa"/>
              <w:left w:w="55" w:type="dxa"/>
              <w:bottom w:w="45" w:type="dxa"/>
              <w:right w:w="55" w:type="dxa"/>
            </w:tcMar>
            <w:vAlign w:val="center"/>
          </w:tcPr>
          <w:p w14:paraId="16375350" w14:textId="77777777" w:rsidR="00235BC0" w:rsidRPr="00A46D13" w:rsidRDefault="00000000">
            <w:pPr>
              <w:spacing w:after="0"/>
              <w:jc w:val="center"/>
            </w:pPr>
            <w:r w:rsidRPr="00A46D13">
              <w:rPr>
                <w:sz w:val="15"/>
              </w:rPr>
              <w:t>82.94</w:t>
            </w:r>
          </w:p>
        </w:tc>
        <w:tc>
          <w:tcPr>
            <w:tcW w:w="1245" w:type="dxa"/>
            <w:tcMar>
              <w:top w:w="45" w:type="dxa"/>
              <w:left w:w="55" w:type="dxa"/>
              <w:bottom w:w="45" w:type="dxa"/>
              <w:right w:w="55" w:type="dxa"/>
            </w:tcMar>
            <w:vAlign w:val="center"/>
          </w:tcPr>
          <w:p w14:paraId="6383E852" w14:textId="77777777" w:rsidR="00235BC0" w:rsidRPr="00A46D13" w:rsidRDefault="00000000">
            <w:pPr>
              <w:spacing w:after="0"/>
              <w:jc w:val="center"/>
            </w:pPr>
            <w:r w:rsidRPr="00A46D13">
              <w:rPr>
                <w:sz w:val="15"/>
              </w:rPr>
              <w:t>41.40</w:t>
            </w:r>
          </w:p>
        </w:tc>
      </w:tr>
      <w:tr w:rsidR="00235BC0" w:rsidRPr="00A46D13" w14:paraId="12396D8E" w14:textId="77777777">
        <w:trPr>
          <w:cantSplit/>
          <w:jc w:val="center"/>
        </w:trPr>
        <w:tc>
          <w:tcPr>
            <w:tcW w:w="1900" w:type="dxa"/>
            <w:tcMar>
              <w:top w:w="45" w:type="dxa"/>
              <w:left w:w="55" w:type="dxa"/>
              <w:bottom w:w="45" w:type="dxa"/>
              <w:right w:w="55" w:type="dxa"/>
            </w:tcMar>
            <w:vAlign w:val="center"/>
          </w:tcPr>
          <w:p w14:paraId="4E0C51BC" w14:textId="77777777" w:rsidR="00235BC0" w:rsidRPr="00A46D13" w:rsidRDefault="00000000">
            <w:pPr>
              <w:spacing w:after="0"/>
              <w:jc w:val="left"/>
            </w:pPr>
            <w:r w:rsidRPr="00A46D13">
              <w:rPr>
                <w:sz w:val="15"/>
              </w:rPr>
              <w:t>Compliance-heavy</w:t>
            </w:r>
          </w:p>
        </w:tc>
        <w:tc>
          <w:tcPr>
            <w:tcW w:w="1243" w:type="dxa"/>
            <w:tcMar>
              <w:top w:w="45" w:type="dxa"/>
              <w:left w:w="55" w:type="dxa"/>
              <w:bottom w:w="45" w:type="dxa"/>
              <w:right w:w="55" w:type="dxa"/>
            </w:tcMar>
            <w:vAlign w:val="center"/>
          </w:tcPr>
          <w:p w14:paraId="49A86EB7" w14:textId="77777777" w:rsidR="00235BC0" w:rsidRPr="00A46D13" w:rsidRDefault="00000000">
            <w:pPr>
              <w:spacing w:after="0"/>
              <w:jc w:val="center"/>
            </w:pPr>
            <w:r w:rsidRPr="00A46D13">
              <w:rPr>
                <w:sz w:val="15"/>
              </w:rPr>
              <w:t>264.02</w:t>
            </w:r>
          </w:p>
        </w:tc>
        <w:tc>
          <w:tcPr>
            <w:tcW w:w="1243" w:type="dxa"/>
            <w:tcMar>
              <w:top w:w="45" w:type="dxa"/>
              <w:left w:w="55" w:type="dxa"/>
              <w:bottom w:w="45" w:type="dxa"/>
              <w:right w:w="55" w:type="dxa"/>
            </w:tcMar>
            <w:vAlign w:val="center"/>
          </w:tcPr>
          <w:p w14:paraId="5DAC3F04" w14:textId="77777777" w:rsidR="00235BC0" w:rsidRPr="00A46D13" w:rsidRDefault="00000000">
            <w:pPr>
              <w:spacing w:after="0"/>
              <w:jc w:val="center"/>
            </w:pPr>
            <w:r w:rsidRPr="00A46D13">
              <w:rPr>
                <w:sz w:val="15"/>
              </w:rPr>
              <w:t>241.27</w:t>
            </w:r>
          </w:p>
        </w:tc>
        <w:tc>
          <w:tcPr>
            <w:tcW w:w="1243" w:type="dxa"/>
            <w:tcMar>
              <w:top w:w="45" w:type="dxa"/>
              <w:left w:w="55" w:type="dxa"/>
              <w:bottom w:w="45" w:type="dxa"/>
              <w:right w:w="55" w:type="dxa"/>
            </w:tcMar>
            <w:vAlign w:val="center"/>
          </w:tcPr>
          <w:p w14:paraId="33FA62CE" w14:textId="77777777" w:rsidR="00235BC0" w:rsidRPr="00A46D13" w:rsidRDefault="00000000">
            <w:pPr>
              <w:spacing w:after="0"/>
              <w:jc w:val="center"/>
            </w:pPr>
            <w:r w:rsidRPr="00A46D13">
              <w:rPr>
                <w:sz w:val="15"/>
              </w:rPr>
              <w:t>286.07</w:t>
            </w:r>
          </w:p>
        </w:tc>
        <w:tc>
          <w:tcPr>
            <w:tcW w:w="1243" w:type="dxa"/>
            <w:tcMar>
              <w:top w:w="45" w:type="dxa"/>
              <w:left w:w="55" w:type="dxa"/>
              <w:bottom w:w="45" w:type="dxa"/>
              <w:right w:w="55" w:type="dxa"/>
            </w:tcMar>
            <w:vAlign w:val="center"/>
          </w:tcPr>
          <w:p w14:paraId="27AD5753" w14:textId="77777777" w:rsidR="00235BC0" w:rsidRPr="00A46D13" w:rsidRDefault="00000000">
            <w:pPr>
              <w:spacing w:after="0"/>
              <w:jc w:val="center"/>
            </w:pPr>
            <w:r w:rsidRPr="00A46D13">
              <w:rPr>
                <w:sz w:val="15"/>
              </w:rPr>
              <w:t>0.22</w:t>
            </w:r>
          </w:p>
        </w:tc>
        <w:tc>
          <w:tcPr>
            <w:tcW w:w="1243" w:type="dxa"/>
            <w:tcMar>
              <w:top w:w="45" w:type="dxa"/>
              <w:left w:w="55" w:type="dxa"/>
              <w:bottom w:w="45" w:type="dxa"/>
              <w:right w:w="55" w:type="dxa"/>
            </w:tcMar>
            <w:vAlign w:val="center"/>
          </w:tcPr>
          <w:p w14:paraId="3FFBC080" w14:textId="77777777" w:rsidR="00235BC0" w:rsidRPr="00A46D13" w:rsidRDefault="00000000">
            <w:pPr>
              <w:spacing w:after="0"/>
              <w:jc w:val="center"/>
            </w:pPr>
            <w:r w:rsidRPr="00A46D13">
              <w:rPr>
                <w:sz w:val="15"/>
              </w:rPr>
              <w:t>0.00</w:t>
            </w:r>
          </w:p>
        </w:tc>
        <w:tc>
          <w:tcPr>
            <w:tcW w:w="1245" w:type="dxa"/>
            <w:tcMar>
              <w:top w:w="45" w:type="dxa"/>
              <w:left w:w="55" w:type="dxa"/>
              <w:bottom w:w="45" w:type="dxa"/>
              <w:right w:w="55" w:type="dxa"/>
            </w:tcMar>
            <w:vAlign w:val="center"/>
          </w:tcPr>
          <w:p w14:paraId="3814D4EE" w14:textId="77777777" w:rsidR="00235BC0" w:rsidRPr="00A46D13" w:rsidRDefault="00000000">
            <w:pPr>
              <w:spacing w:after="0"/>
              <w:jc w:val="center"/>
            </w:pPr>
            <w:r w:rsidRPr="00A46D13">
              <w:rPr>
                <w:sz w:val="15"/>
              </w:rPr>
              <w:t>0.00</w:t>
            </w:r>
          </w:p>
        </w:tc>
      </w:tr>
      <w:tr w:rsidR="00235BC0" w:rsidRPr="00A46D13" w14:paraId="320B9F6F" w14:textId="77777777">
        <w:trPr>
          <w:cantSplit/>
          <w:jc w:val="center"/>
        </w:trPr>
        <w:tc>
          <w:tcPr>
            <w:tcW w:w="1900" w:type="dxa"/>
            <w:tcMar>
              <w:top w:w="45" w:type="dxa"/>
              <w:left w:w="55" w:type="dxa"/>
              <w:bottom w:w="45" w:type="dxa"/>
              <w:right w:w="55" w:type="dxa"/>
            </w:tcMar>
            <w:vAlign w:val="center"/>
          </w:tcPr>
          <w:p w14:paraId="402C91D0" w14:textId="77777777" w:rsidR="00235BC0" w:rsidRPr="00A46D13" w:rsidRDefault="00000000">
            <w:pPr>
              <w:spacing w:after="0"/>
              <w:jc w:val="left"/>
            </w:pPr>
            <w:r w:rsidRPr="00A46D13">
              <w:rPr>
                <w:sz w:val="15"/>
              </w:rPr>
              <w:t>Verified autonomy</w:t>
            </w:r>
          </w:p>
        </w:tc>
        <w:tc>
          <w:tcPr>
            <w:tcW w:w="1243" w:type="dxa"/>
            <w:tcMar>
              <w:top w:w="45" w:type="dxa"/>
              <w:left w:w="55" w:type="dxa"/>
              <w:bottom w:w="45" w:type="dxa"/>
              <w:right w:w="55" w:type="dxa"/>
            </w:tcMar>
            <w:vAlign w:val="center"/>
          </w:tcPr>
          <w:p w14:paraId="08E2BF5E" w14:textId="77777777" w:rsidR="00235BC0" w:rsidRPr="00A46D13" w:rsidRDefault="00000000">
            <w:pPr>
              <w:spacing w:after="0"/>
              <w:jc w:val="center"/>
            </w:pPr>
            <w:r w:rsidRPr="00A46D13">
              <w:rPr>
                <w:sz w:val="15"/>
              </w:rPr>
              <w:t>454.93</w:t>
            </w:r>
          </w:p>
        </w:tc>
        <w:tc>
          <w:tcPr>
            <w:tcW w:w="1243" w:type="dxa"/>
            <w:tcMar>
              <w:top w:w="45" w:type="dxa"/>
              <w:left w:w="55" w:type="dxa"/>
              <w:bottom w:w="45" w:type="dxa"/>
              <w:right w:w="55" w:type="dxa"/>
            </w:tcMar>
            <w:vAlign w:val="center"/>
          </w:tcPr>
          <w:p w14:paraId="7DD434B7" w14:textId="77777777" w:rsidR="00235BC0" w:rsidRPr="00A46D13" w:rsidRDefault="00000000">
            <w:pPr>
              <w:spacing w:after="0"/>
              <w:jc w:val="center"/>
            </w:pPr>
            <w:r w:rsidRPr="00A46D13">
              <w:rPr>
                <w:sz w:val="15"/>
              </w:rPr>
              <w:t>424.64</w:t>
            </w:r>
          </w:p>
        </w:tc>
        <w:tc>
          <w:tcPr>
            <w:tcW w:w="1243" w:type="dxa"/>
            <w:tcMar>
              <w:top w:w="45" w:type="dxa"/>
              <w:left w:w="55" w:type="dxa"/>
              <w:bottom w:w="45" w:type="dxa"/>
              <w:right w:w="55" w:type="dxa"/>
            </w:tcMar>
            <w:vAlign w:val="center"/>
          </w:tcPr>
          <w:p w14:paraId="50F739D4" w14:textId="77777777" w:rsidR="00235BC0" w:rsidRPr="00A46D13" w:rsidRDefault="00000000">
            <w:pPr>
              <w:spacing w:after="0"/>
              <w:jc w:val="center"/>
            </w:pPr>
            <w:r w:rsidRPr="00A46D13">
              <w:rPr>
                <w:sz w:val="15"/>
              </w:rPr>
              <w:t>484.46</w:t>
            </w:r>
          </w:p>
        </w:tc>
        <w:tc>
          <w:tcPr>
            <w:tcW w:w="1243" w:type="dxa"/>
            <w:tcMar>
              <w:top w:w="45" w:type="dxa"/>
              <w:left w:w="55" w:type="dxa"/>
              <w:bottom w:w="45" w:type="dxa"/>
              <w:right w:w="55" w:type="dxa"/>
            </w:tcMar>
            <w:vAlign w:val="center"/>
          </w:tcPr>
          <w:p w14:paraId="377262D7" w14:textId="77777777" w:rsidR="00235BC0" w:rsidRPr="00A46D13" w:rsidRDefault="00000000">
            <w:pPr>
              <w:spacing w:after="0"/>
              <w:jc w:val="center"/>
            </w:pPr>
            <w:r w:rsidRPr="00A46D13">
              <w:rPr>
                <w:sz w:val="15"/>
              </w:rPr>
              <w:t>0.05</w:t>
            </w:r>
          </w:p>
        </w:tc>
        <w:tc>
          <w:tcPr>
            <w:tcW w:w="1243" w:type="dxa"/>
            <w:tcMar>
              <w:top w:w="45" w:type="dxa"/>
              <w:left w:w="55" w:type="dxa"/>
              <w:bottom w:w="45" w:type="dxa"/>
              <w:right w:w="55" w:type="dxa"/>
            </w:tcMar>
            <w:vAlign w:val="center"/>
          </w:tcPr>
          <w:p w14:paraId="3A46B05E" w14:textId="77777777" w:rsidR="00235BC0" w:rsidRPr="00A46D13" w:rsidRDefault="00000000">
            <w:pPr>
              <w:spacing w:after="0"/>
              <w:jc w:val="center"/>
            </w:pPr>
            <w:r w:rsidRPr="00A46D13">
              <w:rPr>
                <w:sz w:val="15"/>
              </w:rPr>
              <w:t>0.00</w:t>
            </w:r>
          </w:p>
        </w:tc>
        <w:tc>
          <w:tcPr>
            <w:tcW w:w="1245" w:type="dxa"/>
            <w:tcMar>
              <w:top w:w="45" w:type="dxa"/>
              <w:left w:w="55" w:type="dxa"/>
              <w:bottom w:w="45" w:type="dxa"/>
              <w:right w:w="55" w:type="dxa"/>
            </w:tcMar>
            <w:vAlign w:val="center"/>
          </w:tcPr>
          <w:p w14:paraId="44E8CCF5" w14:textId="77777777" w:rsidR="00235BC0" w:rsidRPr="00A46D13" w:rsidRDefault="00000000">
            <w:pPr>
              <w:spacing w:after="0"/>
              <w:jc w:val="center"/>
            </w:pPr>
            <w:r w:rsidRPr="00A46D13">
              <w:rPr>
                <w:sz w:val="15"/>
              </w:rPr>
              <w:t>0.00</w:t>
            </w:r>
          </w:p>
        </w:tc>
      </w:tr>
      <w:tr w:rsidR="00235BC0" w:rsidRPr="00A46D13" w14:paraId="6A41309B" w14:textId="77777777">
        <w:trPr>
          <w:cantSplit/>
          <w:jc w:val="center"/>
        </w:trPr>
        <w:tc>
          <w:tcPr>
            <w:tcW w:w="1900" w:type="dxa"/>
            <w:tcMar>
              <w:top w:w="45" w:type="dxa"/>
              <w:left w:w="55" w:type="dxa"/>
              <w:bottom w:w="45" w:type="dxa"/>
              <w:right w:w="55" w:type="dxa"/>
            </w:tcMar>
            <w:vAlign w:val="center"/>
          </w:tcPr>
          <w:p w14:paraId="02F0234B" w14:textId="77777777" w:rsidR="00235BC0" w:rsidRPr="00A46D13" w:rsidRDefault="00000000">
            <w:pPr>
              <w:spacing w:after="0"/>
              <w:jc w:val="left"/>
            </w:pPr>
            <w:r w:rsidRPr="00A46D13">
              <w:rPr>
                <w:sz w:val="15"/>
              </w:rPr>
              <w:t>Human-</w:t>
            </w:r>
            <w:proofErr w:type="spellStart"/>
            <w:r w:rsidRPr="00A46D13">
              <w:rPr>
                <w:sz w:val="15"/>
              </w:rPr>
              <w:t>centred</w:t>
            </w:r>
            <w:proofErr w:type="spellEnd"/>
            <w:r w:rsidRPr="00A46D13">
              <w:rPr>
                <w:sz w:val="15"/>
              </w:rPr>
              <w:t xml:space="preserve"> augmentation</w:t>
            </w:r>
          </w:p>
        </w:tc>
        <w:tc>
          <w:tcPr>
            <w:tcW w:w="1243" w:type="dxa"/>
            <w:tcMar>
              <w:top w:w="45" w:type="dxa"/>
              <w:left w:w="55" w:type="dxa"/>
              <w:bottom w:w="45" w:type="dxa"/>
              <w:right w:w="55" w:type="dxa"/>
            </w:tcMar>
            <w:vAlign w:val="center"/>
          </w:tcPr>
          <w:p w14:paraId="5186B00A" w14:textId="77777777" w:rsidR="00235BC0" w:rsidRPr="00A46D13" w:rsidRDefault="00000000">
            <w:pPr>
              <w:spacing w:after="0"/>
              <w:jc w:val="center"/>
            </w:pPr>
            <w:r w:rsidRPr="00A46D13">
              <w:rPr>
                <w:sz w:val="15"/>
              </w:rPr>
              <w:t>343.98</w:t>
            </w:r>
          </w:p>
        </w:tc>
        <w:tc>
          <w:tcPr>
            <w:tcW w:w="1243" w:type="dxa"/>
            <w:tcMar>
              <w:top w:w="45" w:type="dxa"/>
              <w:left w:w="55" w:type="dxa"/>
              <w:bottom w:w="45" w:type="dxa"/>
              <w:right w:w="55" w:type="dxa"/>
            </w:tcMar>
            <w:vAlign w:val="center"/>
          </w:tcPr>
          <w:p w14:paraId="371C4787" w14:textId="77777777" w:rsidR="00235BC0" w:rsidRPr="00A46D13" w:rsidRDefault="00000000">
            <w:pPr>
              <w:spacing w:after="0"/>
              <w:jc w:val="center"/>
            </w:pPr>
            <w:r w:rsidRPr="00A46D13">
              <w:rPr>
                <w:sz w:val="15"/>
              </w:rPr>
              <w:t>318.46</w:t>
            </w:r>
          </w:p>
        </w:tc>
        <w:tc>
          <w:tcPr>
            <w:tcW w:w="1243" w:type="dxa"/>
            <w:tcMar>
              <w:top w:w="45" w:type="dxa"/>
              <w:left w:w="55" w:type="dxa"/>
              <w:bottom w:w="45" w:type="dxa"/>
              <w:right w:w="55" w:type="dxa"/>
            </w:tcMar>
            <w:vAlign w:val="center"/>
          </w:tcPr>
          <w:p w14:paraId="52F0D2FE" w14:textId="77777777" w:rsidR="00235BC0" w:rsidRPr="00A46D13" w:rsidRDefault="00000000">
            <w:pPr>
              <w:spacing w:after="0"/>
              <w:jc w:val="center"/>
            </w:pPr>
            <w:r w:rsidRPr="00A46D13">
              <w:rPr>
                <w:sz w:val="15"/>
              </w:rPr>
              <w:t>368.85</w:t>
            </w:r>
          </w:p>
        </w:tc>
        <w:tc>
          <w:tcPr>
            <w:tcW w:w="1243" w:type="dxa"/>
            <w:tcMar>
              <w:top w:w="45" w:type="dxa"/>
              <w:left w:w="55" w:type="dxa"/>
              <w:bottom w:w="45" w:type="dxa"/>
              <w:right w:w="55" w:type="dxa"/>
            </w:tcMar>
            <w:vAlign w:val="center"/>
          </w:tcPr>
          <w:p w14:paraId="7BDB4904" w14:textId="77777777" w:rsidR="00235BC0" w:rsidRPr="00A46D13" w:rsidRDefault="00000000">
            <w:pPr>
              <w:spacing w:after="0"/>
              <w:jc w:val="center"/>
            </w:pPr>
            <w:r w:rsidRPr="00A46D13">
              <w:rPr>
                <w:sz w:val="15"/>
              </w:rPr>
              <w:t>0.12</w:t>
            </w:r>
          </w:p>
        </w:tc>
        <w:tc>
          <w:tcPr>
            <w:tcW w:w="1243" w:type="dxa"/>
            <w:tcMar>
              <w:top w:w="45" w:type="dxa"/>
              <w:left w:w="55" w:type="dxa"/>
              <w:bottom w:w="45" w:type="dxa"/>
              <w:right w:w="55" w:type="dxa"/>
            </w:tcMar>
            <w:vAlign w:val="center"/>
          </w:tcPr>
          <w:p w14:paraId="268D0A21" w14:textId="77777777" w:rsidR="00235BC0" w:rsidRPr="00A46D13" w:rsidRDefault="00000000">
            <w:pPr>
              <w:spacing w:after="0"/>
              <w:jc w:val="center"/>
            </w:pPr>
            <w:r w:rsidRPr="00A46D13">
              <w:rPr>
                <w:sz w:val="15"/>
              </w:rPr>
              <w:t>0.00</w:t>
            </w:r>
          </w:p>
        </w:tc>
        <w:tc>
          <w:tcPr>
            <w:tcW w:w="1245" w:type="dxa"/>
            <w:tcMar>
              <w:top w:w="45" w:type="dxa"/>
              <w:left w:w="55" w:type="dxa"/>
              <w:bottom w:w="45" w:type="dxa"/>
              <w:right w:w="55" w:type="dxa"/>
            </w:tcMar>
            <w:vAlign w:val="center"/>
          </w:tcPr>
          <w:p w14:paraId="0BCA4838" w14:textId="77777777" w:rsidR="00235BC0" w:rsidRPr="00A46D13" w:rsidRDefault="00000000">
            <w:pPr>
              <w:spacing w:after="0"/>
              <w:jc w:val="center"/>
            </w:pPr>
            <w:r w:rsidRPr="00A46D13">
              <w:rPr>
                <w:sz w:val="15"/>
              </w:rPr>
              <w:t>0.00</w:t>
            </w:r>
          </w:p>
        </w:tc>
      </w:tr>
      <w:tr w:rsidR="00235BC0" w:rsidRPr="00A46D13" w14:paraId="098E2860" w14:textId="77777777">
        <w:trPr>
          <w:cantSplit/>
          <w:jc w:val="center"/>
        </w:trPr>
        <w:tc>
          <w:tcPr>
            <w:tcW w:w="1900" w:type="dxa"/>
            <w:tcMar>
              <w:top w:w="45" w:type="dxa"/>
              <w:left w:w="55" w:type="dxa"/>
              <w:bottom w:w="45" w:type="dxa"/>
              <w:right w:w="55" w:type="dxa"/>
            </w:tcMar>
            <w:vAlign w:val="center"/>
          </w:tcPr>
          <w:p w14:paraId="61F2A736" w14:textId="77777777" w:rsidR="00235BC0" w:rsidRPr="00A46D13" w:rsidRDefault="00000000">
            <w:pPr>
              <w:spacing w:after="0"/>
              <w:jc w:val="left"/>
            </w:pPr>
            <w:r w:rsidRPr="00A46D13">
              <w:rPr>
                <w:sz w:val="15"/>
              </w:rPr>
              <w:t>Debt-responsive governance</w:t>
            </w:r>
          </w:p>
        </w:tc>
        <w:tc>
          <w:tcPr>
            <w:tcW w:w="1243" w:type="dxa"/>
            <w:tcMar>
              <w:top w:w="45" w:type="dxa"/>
              <w:left w:w="55" w:type="dxa"/>
              <w:bottom w:w="45" w:type="dxa"/>
              <w:right w:w="55" w:type="dxa"/>
            </w:tcMar>
            <w:vAlign w:val="center"/>
          </w:tcPr>
          <w:p w14:paraId="3505BAF4" w14:textId="77777777" w:rsidR="00235BC0" w:rsidRPr="00A46D13" w:rsidRDefault="00000000">
            <w:pPr>
              <w:spacing w:after="0"/>
              <w:jc w:val="center"/>
            </w:pPr>
            <w:r w:rsidRPr="00A46D13">
              <w:rPr>
                <w:sz w:val="15"/>
              </w:rPr>
              <w:t>419.97</w:t>
            </w:r>
          </w:p>
        </w:tc>
        <w:tc>
          <w:tcPr>
            <w:tcW w:w="1243" w:type="dxa"/>
            <w:tcMar>
              <w:top w:w="45" w:type="dxa"/>
              <w:left w:w="55" w:type="dxa"/>
              <w:bottom w:w="45" w:type="dxa"/>
              <w:right w:w="55" w:type="dxa"/>
            </w:tcMar>
            <w:vAlign w:val="center"/>
          </w:tcPr>
          <w:p w14:paraId="37E1F18A" w14:textId="77777777" w:rsidR="00235BC0" w:rsidRPr="00A46D13" w:rsidRDefault="00000000">
            <w:pPr>
              <w:spacing w:after="0"/>
              <w:jc w:val="center"/>
            </w:pPr>
            <w:r w:rsidRPr="00A46D13">
              <w:rPr>
                <w:sz w:val="15"/>
              </w:rPr>
              <w:t>388.05</w:t>
            </w:r>
          </w:p>
        </w:tc>
        <w:tc>
          <w:tcPr>
            <w:tcW w:w="1243" w:type="dxa"/>
            <w:tcMar>
              <w:top w:w="45" w:type="dxa"/>
              <w:left w:w="55" w:type="dxa"/>
              <w:bottom w:w="45" w:type="dxa"/>
              <w:right w:w="55" w:type="dxa"/>
            </w:tcMar>
            <w:vAlign w:val="center"/>
          </w:tcPr>
          <w:p w14:paraId="71FC1F3C" w14:textId="77777777" w:rsidR="00235BC0" w:rsidRPr="00A46D13" w:rsidRDefault="00000000">
            <w:pPr>
              <w:spacing w:after="0"/>
              <w:jc w:val="center"/>
            </w:pPr>
            <w:r w:rsidRPr="00A46D13">
              <w:rPr>
                <w:sz w:val="15"/>
              </w:rPr>
              <w:t>450.33</w:t>
            </w:r>
          </w:p>
        </w:tc>
        <w:tc>
          <w:tcPr>
            <w:tcW w:w="1243" w:type="dxa"/>
            <w:tcMar>
              <w:top w:w="45" w:type="dxa"/>
              <w:left w:w="55" w:type="dxa"/>
              <w:bottom w:w="45" w:type="dxa"/>
              <w:right w:w="55" w:type="dxa"/>
            </w:tcMar>
            <w:vAlign w:val="center"/>
          </w:tcPr>
          <w:p w14:paraId="70473469" w14:textId="77777777" w:rsidR="00235BC0" w:rsidRPr="00A46D13" w:rsidRDefault="00000000">
            <w:pPr>
              <w:spacing w:after="0"/>
              <w:jc w:val="center"/>
            </w:pPr>
            <w:r w:rsidRPr="00A46D13">
              <w:rPr>
                <w:sz w:val="15"/>
              </w:rPr>
              <w:t>0.29</w:t>
            </w:r>
          </w:p>
        </w:tc>
        <w:tc>
          <w:tcPr>
            <w:tcW w:w="1243" w:type="dxa"/>
            <w:tcMar>
              <w:top w:w="45" w:type="dxa"/>
              <w:left w:w="55" w:type="dxa"/>
              <w:bottom w:w="45" w:type="dxa"/>
              <w:right w:w="55" w:type="dxa"/>
            </w:tcMar>
            <w:vAlign w:val="center"/>
          </w:tcPr>
          <w:p w14:paraId="76B28478" w14:textId="77777777" w:rsidR="00235BC0" w:rsidRPr="00A46D13" w:rsidRDefault="00000000">
            <w:pPr>
              <w:spacing w:after="0"/>
              <w:jc w:val="center"/>
            </w:pPr>
            <w:r w:rsidRPr="00A46D13">
              <w:rPr>
                <w:sz w:val="15"/>
              </w:rPr>
              <w:t>0.02</w:t>
            </w:r>
          </w:p>
        </w:tc>
        <w:tc>
          <w:tcPr>
            <w:tcW w:w="1245" w:type="dxa"/>
            <w:tcMar>
              <w:top w:w="45" w:type="dxa"/>
              <w:left w:w="55" w:type="dxa"/>
              <w:bottom w:w="45" w:type="dxa"/>
              <w:right w:w="55" w:type="dxa"/>
            </w:tcMar>
            <w:vAlign w:val="center"/>
          </w:tcPr>
          <w:p w14:paraId="3990F830" w14:textId="77777777" w:rsidR="00235BC0" w:rsidRPr="00A46D13" w:rsidRDefault="00000000">
            <w:pPr>
              <w:spacing w:after="0"/>
              <w:jc w:val="center"/>
            </w:pPr>
            <w:r w:rsidRPr="00A46D13">
              <w:rPr>
                <w:sz w:val="15"/>
              </w:rPr>
              <w:t>0.00</w:t>
            </w:r>
          </w:p>
        </w:tc>
      </w:tr>
    </w:tbl>
    <w:p w14:paraId="2DAFA3AC" w14:textId="77777777" w:rsidR="00235BC0" w:rsidRPr="00A46D13" w:rsidRDefault="00000000">
      <w:r w:rsidRPr="00A46D13">
        <w:t>Figure 2 shows the timing of the reversal. Acceleration-first reached a mean peak of 103.92 units in period 23, then declined to 3.77 by period 60. The initial gain was therefore real, not an artefact of presentation, but it was not durable. Verified autonomy and debt-responsive governance created value throughout the horizon. The adaptive regime led at periods 12, 24, and 36, but its reactive policy later allowed the fixed verified-autonomy regime to overtake it.</w:t>
      </w:r>
    </w:p>
    <w:p w14:paraId="4626CB2F" w14:textId="77777777" w:rsidR="00235BC0" w:rsidRPr="00A46D13" w:rsidRDefault="00000000">
      <w:pPr>
        <w:spacing w:before="60" w:after="40"/>
        <w:jc w:val="center"/>
      </w:pPr>
      <w:r w:rsidRPr="00A46D13">
        <w:rPr>
          <w:noProof/>
        </w:rPr>
        <w:drawing>
          <wp:inline distT="0" distB="0" distL="0" distR="0" wp14:anchorId="2C334655" wp14:editId="461DFE20">
            <wp:extent cx="5207000" cy="3186529"/>
            <wp:effectExtent l="0" t="0" r="0" b="0"/>
            <wp:docPr id="29" name="Picture" descr="Figure 2 supporting the manuscript analysis"/>
            <wp:cNvGraphicFramePr/>
            <a:graphic xmlns:a="http://schemas.openxmlformats.org/drawingml/2006/main">
              <a:graphicData uri="http://schemas.openxmlformats.org/drawingml/2006/picture">
                <pic:pic xmlns:pic="http://schemas.openxmlformats.org/drawingml/2006/picture">
                  <pic:nvPicPr>
                    <pic:cNvPr id="30" name="Picture" descr="/mnt/data/JGEMBR_Revision/figures/figure2_cumulative_value.png"/>
                    <pic:cNvPicPr>
                      <a:picLocks noChangeAspect="1" noChangeArrowheads="1"/>
                    </pic:cNvPicPr>
                  </pic:nvPicPr>
                  <pic:blipFill>
                    <a:blip r:embed="rId8"/>
                    <a:stretch>
                      <a:fillRect/>
                    </a:stretch>
                  </pic:blipFill>
                  <pic:spPr bwMode="auto">
                    <a:xfrm>
                      <a:off x="0" y="0"/>
                      <a:ext cx="5207000" cy="3186529"/>
                    </a:xfrm>
                    <a:prstGeom prst="rect">
                      <a:avLst/>
                    </a:prstGeom>
                    <a:noFill/>
                    <a:ln w="9525">
                      <a:noFill/>
                      <a:headEnd/>
                      <a:tailEnd/>
                    </a:ln>
                  </pic:spPr>
                </pic:pic>
              </a:graphicData>
            </a:graphic>
          </wp:inline>
        </w:drawing>
      </w:r>
    </w:p>
    <w:p w14:paraId="594DB1C6" w14:textId="77777777" w:rsidR="00235BC0" w:rsidRPr="00A46D13" w:rsidRDefault="00000000">
      <w:pPr>
        <w:spacing w:before="40" w:after="100"/>
        <w:jc w:val="center"/>
      </w:pPr>
      <w:r w:rsidRPr="00A46D13">
        <w:rPr>
          <w:b/>
          <w:bCs/>
          <w:sz w:val="19"/>
        </w:rPr>
        <w:t>Figure 2. Mean cumulative incremental value by governance regime. Shaded bands represent the 2.5th to 97.5th percentile interval across synthetic firms.</w:t>
      </w:r>
    </w:p>
    <w:p w14:paraId="14A9E1C2" w14:textId="77777777" w:rsidR="00235BC0" w:rsidRPr="00A46D13" w:rsidRDefault="00000000">
      <w:r w:rsidRPr="00A46D13">
        <w:t>The result supports a conditional coordination compression trap. High automation is not itself sufficient for reversal. Reversal occurs when delegated scope expands while verification and governance remain too weak to contain debt, preserve expertise, and limit shock amplification. The compliance-heavy regime demonstrates the opposite inefficiency: very strong controls preserve states but impose costs and forgo productive delegation.</w:t>
      </w:r>
    </w:p>
    <w:p w14:paraId="5446875F" w14:textId="77777777" w:rsidR="00235BC0" w:rsidRPr="00A46D13" w:rsidRDefault="00000000">
      <w:pPr>
        <w:keepNext/>
        <w:spacing w:before="120"/>
        <w:jc w:val="left"/>
      </w:pPr>
      <w:r w:rsidRPr="00A46D13">
        <w:rPr>
          <w:b/>
          <w:bCs/>
          <w:sz w:val="22"/>
        </w:rPr>
        <w:t>4.2 State Trajectories and Boundary Diagnostics</w:t>
      </w:r>
    </w:p>
    <w:p w14:paraId="30C434AF" w14:textId="77777777" w:rsidR="00235BC0" w:rsidRPr="00A46D13" w:rsidRDefault="00000000">
      <w:r w:rsidRPr="00A46D13">
        <w:t>Tables 4B and 4C report terminal states together with path-integrated diagnostics. The three strongly assured fixed regimes reach zero terminal debt and the expertise ceiling, which confirms that terminal states alone cannot distinguish their mechanisms. The revised analysis therefore reports cumulative debt exposure, cumulative debt cost, assurance-flow adequacy, and the share of firm-periods at each boundary.</w:t>
      </w:r>
    </w:p>
    <w:p w14:paraId="7225EA00" w14:textId="77777777" w:rsidR="00235BC0" w:rsidRPr="00A46D13" w:rsidRDefault="00000000">
      <w:pPr>
        <w:keepNext/>
        <w:spacing w:before="100" w:after="40"/>
        <w:jc w:val="left"/>
      </w:pPr>
      <w:r w:rsidRPr="00A46D13">
        <w:rPr>
          <w:b/>
          <w:bCs/>
        </w:rPr>
        <w:lastRenderedPageBreak/>
        <w:t>Table 4B. Verification-debt exposure and accumulated loss diagnostics</w:t>
      </w:r>
    </w:p>
    <w:tbl>
      <w:tblPr>
        <w:tblW w:w="936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20" w:firstRow="1" w:lastRow="0" w:firstColumn="0" w:lastColumn="0" w:noHBand="0" w:noVBand="0"/>
      </w:tblPr>
      <w:tblGrid>
        <w:gridCol w:w="2000"/>
        <w:gridCol w:w="1472"/>
        <w:gridCol w:w="1472"/>
        <w:gridCol w:w="1472"/>
        <w:gridCol w:w="1472"/>
        <w:gridCol w:w="1472"/>
      </w:tblGrid>
      <w:tr w:rsidR="00235BC0" w:rsidRPr="00A46D13" w14:paraId="69D788C5" w14:textId="77777777">
        <w:trPr>
          <w:cantSplit/>
          <w:tblHeader/>
          <w:jc w:val="center"/>
        </w:trPr>
        <w:tc>
          <w:tcPr>
            <w:tcW w:w="2000" w:type="dxa"/>
            <w:shd w:val="clear" w:color="auto" w:fill="E7E6E6"/>
            <w:tcMar>
              <w:top w:w="45" w:type="dxa"/>
              <w:left w:w="55" w:type="dxa"/>
              <w:bottom w:w="45" w:type="dxa"/>
              <w:right w:w="55" w:type="dxa"/>
            </w:tcMar>
            <w:vAlign w:val="center"/>
          </w:tcPr>
          <w:p w14:paraId="338EE654" w14:textId="77777777" w:rsidR="00235BC0" w:rsidRPr="00A46D13" w:rsidRDefault="00000000">
            <w:pPr>
              <w:spacing w:after="0"/>
              <w:jc w:val="left"/>
            </w:pPr>
            <w:r w:rsidRPr="00A46D13">
              <w:rPr>
                <w:b/>
                <w:bCs/>
                <w:sz w:val="16"/>
              </w:rPr>
              <w:t>Regime</w:t>
            </w:r>
          </w:p>
        </w:tc>
        <w:tc>
          <w:tcPr>
            <w:tcW w:w="1472" w:type="dxa"/>
            <w:shd w:val="clear" w:color="auto" w:fill="E7E6E6"/>
            <w:tcMar>
              <w:top w:w="45" w:type="dxa"/>
              <w:left w:w="55" w:type="dxa"/>
              <w:bottom w:w="45" w:type="dxa"/>
              <w:right w:w="55" w:type="dxa"/>
            </w:tcMar>
            <w:vAlign w:val="center"/>
          </w:tcPr>
          <w:p w14:paraId="0C2706C0" w14:textId="77777777" w:rsidR="00235BC0" w:rsidRPr="00A46D13" w:rsidRDefault="00000000">
            <w:pPr>
              <w:spacing w:after="0"/>
              <w:jc w:val="center"/>
            </w:pPr>
            <w:r w:rsidRPr="00A46D13">
              <w:rPr>
                <w:b/>
                <w:bCs/>
                <w:sz w:val="16"/>
              </w:rPr>
              <w:t>Final debt</w:t>
            </w:r>
          </w:p>
        </w:tc>
        <w:tc>
          <w:tcPr>
            <w:tcW w:w="1472" w:type="dxa"/>
            <w:shd w:val="clear" w:color="auto" w:fill="E7E6E6"/>
            <w:tcMar>
              <w:top w:w="45" w:type="dxa"/>
              <w:left w:w="55" w:type="dxa"/>
              <w:bottom w:w="45" w:type="dxa"/>
              <w:right w:w="55" w:type="dxa"/>
            </w:tcMar>
            <w:vAlign w:val="center"/>
          </w:tcPr>
          <w:p w14:paraId="503AAC3F" w14:textId="77777777" w:rsidR="00235BC0" w:rsidRPr="00A46D13" w:rsidRDefault="00000000">
            <w:pPr>
              <w:spacing w:after="0"/>
              <w:jc w:val="center"/>
            </w:pPr>
            <w:r w:rsidRPr="00A46D13">
              <w:rPr>
                <w:b/>
                <w:bCs/>
                <w:sz w:val="16"/>
              </w:rPr>
              <w:t>Cumulative debt exposure</w:t>
            </w:r>
          </w:p>
        </w:tc>
        <w:tc>
          <w:tcPr>
            <w:tcW w:w="1472" w:type="dxa"/>
            <w:shd w:val="clear" w:color="auto" w:fill="E7E6E6"/>
            <w:tcMar>
              <w:top w:w="45" w:type="dxa"/>
              <w:left w:w="55" w:type="dxa"/>
              <w:bottom w:w="45" w:type="dxa"/>
              <w:right w:w="55" w:type="dxa"/>
            </w:tcMar>
            <w:vAlign w:val="center"/>
          </w:tcPr>
          <w:p w14:paraId="75EEC513" w14:textId="77777777" w:rsidR="00235BC0" w:rsidRPr="00A46D13" w:rsidRDefault="00000000">
            <w:pPr>
              <w:spacing w:after="0"/>
              <w:jc w:val="center"/>
            </w:pPr>
            <w:r w:rsidRPr="00A46D13">
              <w:rPr>
                <w:b/>
                <w:bCs/>
                <w:sz w:val="16"/>
              </w:rPr>
              <w:t>Debt cost</w:t>
            </w:r>
          </w:p>
        </w:tc>
        <w:tc>
          <w:tcPr>
            <w:tcW w:w="1472" w:type="dxa"/>
            <w:shd w:val="clear" w:color="auto" w:fill="E7E6E6"/>
            <w:tcMar>
              <w:top w:w="45" w:type="dxa"/>
              <w:left w:w="55" w:type="dxa"/>
              <w:bottom w:w="45" w:type="dxa"/>
              <w:right w:w="55" w:type="dxa"/>
            </w:tcMar>
            <w:vAlign w:val="center"/>
          </w:tcPr>
          <w:p w14:paraId="640B6216" w14:textId="77777777" w:rsidR="00235BC0" w:rsidRPr="00A46D13" w:rsidRDefault="00000000">
            <w:pPr>
              <w:spacing w:after="0"/>
              <w:jc w:val="center"/>
            </w:pPr>
            <w:r w:rsidRPr="00A46D13">
              <w:rPr>
                <w:b/>
                <w:bCs/>
                <w:sz w:val="16"/>
              </w:rPr>
              <w:t>Shock loss</w:t>
            </w:r>
          </w:p>
        </w:tc>
        <w:tc>
          <w:tcPr>
            <w:tcW w:w="1472" w:type="dxa"/>
            <w:shd w:val="clear" w:color="auto" w:fill="E7E6E6"/>
            <w:tcMar>
              <w:top w:w="45" w:type="dxa"/>
              <w:left w:w="55" w:type="dxa"/>
              <w:bottom w:w="45" w:type="dxa"/>
              <w:right w:w="55" w:type="dxa"/>
            </w:tcMar>
            <w:vAlign w:val="center"/>
          </w:tcPr>
          <w:p w14:paraId="23BECD52" w14:textId="77777777" w:rsidR="00235BC0" w:rsidRPr="00A46D13" w:rsidRDefault="00000000">
            <w:pPr>
              <w:spacing w:after="0"/>
              <w:jc w:val="center"/>
            </w:pPr>
            <w:r w:rsidRPr="00A46D13">
              <w:rPr>
                <w:b/>
                <w:bCs/>
                <w:sz w:val="16"/>
              </w:rPr>
              <w:t>Flow adequate (%)</w:t>
            </w:r>
          </w:p>
        </w:tc>
      </w:tr>
      <w:tr w:rsidR="00235BC0" w:rsidRPr="00A46D13" w14:paraId="7B880531" w14:textId="77777777">
        <w:trPr>
          <w:cantSplit/>
          <w:jc w:val="center"/>
        </w:trPr>
        <w:tc>
          <w:tcPr>
            <w:tcW w:w="2000" w:type="dxa"/>
            <w:tcMar>
              <w:top w:w="45" w:type="dxa"/>
              <w:left w:w="55" w:type="dxa"/>
              <w:bottom w:w="45" w:type="dxa"/>
              <w:right w:w="55" w:type="dxa"/>
            </w:tcMar>
            <w:vAlign w:val="center"/>
          </w:tcPr>
          <w:p w14:paraId="0CA6E06F" w14:textId="77777777" w:rsidR="00235BC0" w:rsidRPr="00A46D13" w:rsidRDefault="00000000">
            <w:pPr>
              <w:spacing w:after="0"/>
              <w:jc w:val="left"/>
            </w:pPr>
            <w:r w:rsidRPr="00A46D13">
              <w:rPr>
                <w:sz w:val="16"/>
              </w:rPr>
              <w:t>Acceleration-first</w:t>
            </w:r>
          </w:p>
        </w:tc>
        <w:tc>
          <w:tcPr>
            <w:tcW w:w="1472" w:type="dxa"/>
            <w:tcMar>
              <w:top w:w="45" w:type="dxa"/>
              <w:left w:w="55" w:type="dxa"/>
              <w:bottom w:w="45" w:type="dxa"/>
              <w:right w:w="55" w:type="dxa"/>
            </w:tcMar>
            <w:vAlign w:val="center"/>
          </w:tcPr>
          <w:p w14:paraId="78FCC741" w14:textId="77777777" w:rsidR="00235BC0" w:rsidRPr="00A46D13" w:rsidRDefault="00000000">
            <w:pPr>
              <w:spacing w:after="0"/>
              <w:jc w:val="center"/>
            </w:pPr>
            <w:r w:rsidRPr="00A46D13">
              <w:rPr>
                <w:sz w:val="16"/>
              </w:rPr>
              <w:t>2.551</w:t>
            </w:r>
          </w:p>
        </w:tc>
        <w:tc>
          <w:tcPr>
            <w:tcW w:w="1472" w:type="dxa"/>
            <w:tcMar>
              <w:top w:w="45" w:type="dxa"/>
              <w:left w:w="55" w:type="dxa"/>
              <w:bottom w:w="45" w:type="dxa"/>
              <w:right w:w="55" w:type="dxa"/>
            </w:tcMar>
            <w:vAlign w:val="center"/>
          </w:tcPr>
          <w:p w14:paraId="14750D04" w14:textId="77777777" w:rsidR="00235BC0" w:rsidRPr="00A46D13" w:rsidRDefault="00000000">
            <w:pPr>
              <w:spacing w:after="0"/>
              <w:jc w:val="center"/>
            </w:pPr>
            <w:r w:rsidRPr="00A46D13">
              <w:rPr>
                <w:sz w:val="16"/>
              </w:rPr>
              <w:t>119.602</w:t>
            </w:r>
          </w:p>
        </w:tc>
        <w:tc>
          <w:tcPr>
            <w:tcW w:w="1472" w:type="dxa"/>
            <w:tcMar>
              <w:top w:w="45" w:type="dxa"/>
              <w:left w:w="55" w:type="dxa"/>
              <w:bottom w:w="45" w:type="dxa"/>
              <w:right w:w="55" w:type="dxa"/>
            </w:tcMar>
            <w:vAlign w:val="center"/>
          </w:tcPr>
          <w:p w14:paraId="6981046E" w14:textId="77777777" w:rsidR="00235BC0" w:rsidRPr="00A46D13" w:rsidRDefault="00000000">
            <w:pPr>
              <w:spacing w:after="0"/>
              <w:jc w:val="center"/>
            </w:pPr>
            <w:r w:rsidRPr="00A46D13">
              <w:rPr>
                <w:sz w:val="16"/>
              </w:rPr>
              <w:t>276.193</w:t>
            </w:r>
          </w:p>
        </w:tc>
        <w:tc>
          <w:tcPr>
            <w:tcW w:w="1472" w:type="dxa"/>
            <w:tcMar>
              <w:top w:w="45" w:type="dxa"/>
              <w:left w:w="55" w:type="dxa"/>
              <w:bottom w:w="45" w:type="dxa"/>
              <w:right w:w="55" w:type="dxa"/>
            </w:tcMar>
            <w:vAlign w:val="center"/>
          </w:tcPr>
          <w:p w14:paraId="1593CFB9" w14:textId="77777777" w:rsidR="00235BC0" w:rsidRPr="00A46D13" w:rsidRDefault="00000000">
            <w:pPr>
              <w:spacing w:after="0"/>
              <w:jc w:val="center"/>
            </w:pPr>
            <w:r w:rsidRPr="00A46D13">
              <w:rPr>
                <w:sz w:val="16"/>
              </w:rPr>
              <w:t>66.448</w:t>
            </w:r>
          </w:p>
        </w:tc>
        <w:tc>
          <w:tcPr>
            <w:tcW w:w="1472" w:type="dxa"/>
            <w:tcMar>
              <w:top w:w="45" w:type="dxa"/>
              <w:left w:w="55" w:type="dxa"/>
              <w:bottom w:w="45" w:type="dxa"/>
              <w:right w:w="55" w:type="dxa"/>
            </w:tcMar>
            <w:vAlign w:val="center"/>
          </w:tcPr>
          <w:p w14:paraId="6294A4ED" w14:textId="77777777" w:rsidR="00235BC0" w:rsidRPr="00A46D13" w:rsidRDefault="00000000">
            <w:pPr>
              <w:spacing w:after="0"/>
              <w:jc w:val="center"/>
            </w:pPr>
            <w:r w:rsidRPr="00A46D13">
              <w:rPr>
                <w:sz w:val="16"/>
              </w:rPr>
              <w:t>0.00</w:t>
            </w:r>
          </w:p>
        </w:tc>
      </w:tr>
      <w:tr w:rsidR="00235BC0" w:rsidRPr="00A46D13" w14:paraId="692C3BFF" w14:textId="77777777">
        <w:trPr>
          <w:cantSplit/>
          <w:jc w:val="center"/>
        </w:trPr>
        <w:tc>
          <w:tcPr>
            <w:tcW w:w="2000" w:type="dxa"/>
            <w:tcMar>
              <w:top w:w="45" w:type="dxa"/>
              <w:left w:w="55" w:type="dxa"/>
              <w:bottom w:w="45" w:type="dxa"/>
              <w:right w:w="55" w:type="dxa"/>
            </w:tcMar>
            <w:vAlign w:val="center"/>
          </w:tcPr>
          <w:p w14:paraId="2C3C14A0" w14:textId="77777777" w:rsidR="00235BC0" w:rsidRPr="00A46D13" w:rsidRDefault="00000000">
            <w:pPr>
              <w:spacing w:after="0"/>
              <w:jc w:val="left"/>
            </w:pPr>
            <w:r w:rsidRPr="00A46D13">
              <w:rPr>
                <w:sz w:val="16"/>
              </w:rPr>
              <w:t>Compliance-heavy</w:t>
            </w:r>
          </w:p>
        </w:tc>
        <w:tc>
          <w:tcPr>
            <w:tcW w:w="1472" w:type="dxa"/>
            <w:tcMar>
              <w:top w:w="45" w:type="dxa"/>
              <w:left w:w="55" w:type="dxa"/>
              <w:bottom w:w="45" w:type="dxa"/>
              <w:right w:w="55" w:type="dxa"/>
            </w:tcMar>
            <w:vAlign w:val="center"/>
          </w:tcPr>
          <w:p w14:paraId="17F0004A" w14:textId="77777777" w:rsidR="00235BC0" w:rsidRPr="00A46D13" w:rsidRDefault="00000000">
            <w:pPr>
              <w:spacing w:after="0"/>
              <w:jc w:val="center"/>
            </w:pPr>
            <w:r w:rsidRPr="00A46D13">
              <w:rPr>
                <w:sz w:val="16"/>
              </w:rPr>
              <w:t>0.000</w:t>
            </w:r>
          </w:p>
        </w:tc>
        <w:tc>
          <w:tcPr>
            <w:tcW w:w="1472" w:type="dxa"/>
            <w:tcMar>
              <w:top w:w="45" w:type="dxa"/>
              <w:left w:w="55" w:type="dxa"/>
              <w:bottom w:w="45" w:type="dxa"/>
              <w:right w:w="55" w:type="dxa"/>
            </w:tcMar>
            <w:vAlign w:val="center"/>
          </w:tcPr>
          <w:p w14:paraId="6D47D944" w14:textId="77777777" w:rsidR="00235BC0" w:rsidRPr="00A46D13" w:rsidRDefault="00000000">
            <w:pPr>
              <w:spacing w:after="0"/>
              <w:jc w:val="center"/>
            </w:pPr>
            <w:r w:rsidRPr="00A46D13">
              <w:rPr>
                <w:sz w:val="16"/>
              </w:rPr>
              <w:t>0.520</w:t>
            </w:r>
          </w:p>
        </w:tc>
        <w:tc>
          <w:tcPr>
            <w:tcW w:w="1472" w:type="dxa"/>
            <w:tcMar>
              <w:top w:w="45" w:type="dxa"/>
              <w:left w:w="55" w:type="dxa"/>
              <w:bottom w:w="45" w:type="dxa"/>
              <w:right w:w="55" w:type="dxa"/>
            </w:tcMar>
            <w:vAlign w:val="center"/>
          </w:tcPr>
          <w:p w14:paraId="7867035B" w14:textId="77777777" w:rsidR="00235BC0" w:rsidRPr="00A46D13" w:rsidRDefault="00000000">
            <w:pPr>
              <w:spacing w:after="0"/>
              <w:jc w:val="center"/>
            </w:pPr>
            <w:r w:rsidRPr="00A46D13">
              <w:rPr>
                <w:sz w:val="16"/>
              </w:rPr>
              <w:t>0.611</w:t>
            </w:r>
          </w:p>
        </w:tc>
        <w:tc>
          <w:tcPr>
            <w:tcW w:w="1472" w:type="dxa"/>
            <w:tcMar>
              <w:top w:w="45" w:type="dxa"/>
              <w:left w:w="55" w:type="dxa"/>
              <w:bottom w:w="45" w:type="dxa"/>
              <w:right w:w="55" w:type="dxa"/>
            </w:tcMar>
            <w:vAlign w:val="center"/>
          </w:tcPr>
          <w:p w14:paraId="22F8AB6D" w14:textId="77777777" w:rsidR="00235BC0" w:rsidRPr="00A46D13" w:rsidRDefault="00000000">
            <w:pPr>
              <w:spacing w:after="0"/>
              <w:jc w:val="center"/>
            </w:pPr>
            <w:r w:rsidRPr="00A46D13">
              <w:rPr>
                <w:sz w:val="16"/>
              </w:rPr>
              <w:t>6.390</w:t>
            </w:r>
          </w:p>
        </w:tc>
        <w:tc>
          <w:tcPr>
            <w:tcW w:w="1472" w:type="dxa"/>
            <w:tcMar>
              <w:top w:w="45" w:type="dxa"/>
              <w:left w:w="55" w:type="dxa"/>
              <w:bottom w:w="45" w:type="dxa"/>
              <w:right w:w="55" w:type="dxa"/>
            </w:tcMar>
            <w:vAlign w:val="center"/>
          </w:tcPr>
          <w:p w14:paraId="38D547B2" w14:textId="77777777" w:rsidR="00235BC0" w:rsidRPr="00A46D13" w:rsidRDefault="00000000">
            <w:pPr>
              <w:spacing w:after="0"/>
              <w:jc w:val="center"/>
            </w:pPr>
            <w:r w:rsidRPr="00A46D13">
              <w:rPr>
                <w:sz w:val="16"/>
              </w:rPr>
              <w:t>100.00</w:t>
            </w:r>
          </w:p>
        </w:tc>
      </w:tr>
      <w:tr w:rsidR="00235BC0" w:rsidRPr="00A46D13" w14:paraId="6AA9AEED" w14:textId="77777777">
        <w:trPr>
          <w:cantSplit/>
          <w:jc w:val="center"/>
        </w:trPr>
        <w:tc>
          <w:tcPr>
            <w:tcW w:w="2000" w:type="dxa"/>
            <w:tcMar>
              <w:top w:w="45" w:type="dxa"/>
              <w:left w:w="55" w:type="dxa"/>
              <w:bottom w:w="45" w:type="dxa"/>
              <w:right w:w="55" w:type="dxa"/>
            </w:tcMar>
            <w:vAlign w:val="center"/>
          </w:tcPr>
          <w:p w14:paraId="610698A6" w14:textId="77777777" w:rsidR="00235BC0" w:rsidRPr="00A46D13" w:rsidRDefault="00000000">
            <w:pPr>
              <w:spacing w:after="0"/>
              <w:jc w:val="left"/>
            </w:pPr>
            <w:r w:rsidRPr="00A46D13">
              <w:rPr>
                <w:sz w:val="16"/>
              </w:rPr>
              <w:t>Verified autonomy</w:t>
            </w:r>
          </w:p>
        </w:tc>
        <w:tc>
          <w:tcPr>
            <w:tcW w:w="1472" w:type="dxa"/>
            <w:tcMar>
              <w:top w:w="45" w:type="dxa"/>
              <w:left w:w="55" w:type="dxa"/>
              <w:bottom w:w="45" w:type="dxa"/>
              <w:right w:w="55" w:type="dxa"/>
            </w:tcMar>
            <w:vAlign w:val="center"/>
          </w:tcPr>
          <w:p w14:paraId="551B118A" w14:textId="77777777" w:rsidR="00235BC0" w:rsidRPr="00A46D13" w:rsidRDefault="00000000">
            <w:pPr>
              <w:spacing w:after="0"/>
              <w:jc w:val="center"/>
            </w:pPr>
            <w:r w:rsidRPr="00A46D13">
              <w:rPr>
                <w:sz w:val="16"/>
              </w:rPr>
              <w:t>0.000</w:t>
            </w:r>
          </w:p>
        </w:tc>
        <w:tc>
          <w:tcPr>
            <w:tcW w:w="1472" w:type="dxa"/>
            <w:tcMar>
              <w:top w:w="45" w:type="dxa"/>
              <w:left w:w="55" w:type="dxa"/>
              <w:bottom w:w="45" w:type="dxa"/>
              <w:right w:w="55" w:type="dxa"/>
            </w:tcMar>
            <w:vAlign w:val="center"/>
          </w:tcPr>
          <w:p w14:paraId="0A7CB0EE" w14:textId="77777777" w:rsidR="00235BC0" w:rsidRPr="00A46D13" w:rsidRDefault="00000000">
            <w:pPr>
              <w:spacing w:after="0"/>
              <w:jc w:val="center"/>
            </w:pPr>
            <w:r w:rsidRPr="00A46D13">
              <w:rPr>
                <w:sz w:val="16"/>
              </w:rPr>
              <w:t>0.707</w:t>
            </w:r>
          </w:p>
        </w:tc>
        <w:tc>
          <w:tcPr>
            <w:tcW w:w="1472" w:type="dxa"/>
            <w:tcMar>
              <w:top w:w="45" w:type="dxa"/>
              <w:left w:w="55" w:type="dxa"/>
              <w:bottom w:w="45" w:type="dxa"/>
              <w:right w:w="55" w:type="dxa"/>
            </w:tcMar>
            <w:vAlign w:val="center"/>
          </w:tcPr>
          <w:p w14:paraId="6C9C4D1C" w14:textId="77777777" w:rsidR="00235BC0" w:rsidRPr="00A46D13" w:rsidRDefault="00000000">
            <w:pPr>
              <w:spacing w:after="0"/>
              <w:jc w:val="center"/>
            </w:pPr>
            <w:r w:rsidRPr="00A46D13">
              <w:rPr>
                <w:sz w:val="16"/>
              </w:rPr>
              <w:t>0.819</w:t>
            </w:r>
          </w:p>
        </w:tc>
        <w:tc>
          <w:tcPr>
            <w:tcW w:w="1472" w:type="dxa"/>
            <w:tcMar>
              <w:top w:w="45" w:type="dxa"/>
              <w:left w:w="55" w:type="dxa"/>
              <w:bottom w:w="45" w:type="dxa"/>
              <w:right w:w="55" w:type="dxa"/>
            </w:tcMar>
            <w:vAlign w:val="center"/>
          </w:tcPr>
          <w:p w14:paraId="43472348" w14:textId="77777777" w:rsidR="00235BC0" w:rsidRPr="00A46D13" w:rsidRDefault="00000000">
            <w:pPr>
              <w:spacing w:after="0"/>
              <w:jc w:val="center"/>
            </w:pPr>
            <w:r w:rsidRPr="00A46D13">
              <w:rPr>
                <w:sz w:val="16"/>
              </w:rPr>
              <w:t>8.246</w:t>
            </w:r>
          </w:p>
        </w:tc>
        <w:tc>
          <w:tcPr>
            <w:tcW w:w="1472" w:type="dxa"/>
            <w:tcMar>
              <w:top w:w="45" w:type="dxa"/>
              <w:left w:w="55" w:type="dxa"/>
              <w:bottom w:w="45" w:type="dxa"/>
              <w:right w:w="55" w:type="dxa"/>
            </w:tcMar>
            <w:vAlign w:val="center"/>
          </w:tcPr>
          <w:p w14:paraId="1B216197" w14:textId="77777777" w:rsidR="00235BC0" w:rsidRPr="00A46D13" w:rsidRDefault="00000000">
            <w:pPr>
              <w:spacing w:after="0"/>
              <w:jc w:val="center"/>
            </w:pPr>
            <w:r w:rsidRPr="00A46D13">
              <w:rPr>
                <w:sz w:val="16"/>
              </w:rPr>
              <w:t>100.00</w:t>
            </w:r>
          </w:p>
        </w:tc>
      </w:tr>
      <w:tr w:rsidR="00235BC0" w:rsidRPr="00A46D13" w14:paraId="44D32170" w14:textId="77777777">
        <w:trPr>
          <w:cantSplit/>
          <w:jc w:val="center"/>
        </w:trPr>
        <w:tc>
          <w:tcPr>
            <w:tcW w:w="2000" w:type="dxa"/>
            <w:tcMar>
              <w:top w:w="45" w:type="dxa"/>
              <w:left w:w="55" w:type="dxa"/>
              <w:bottom w:w="45" w:type="dxa"/>
              <w:right w:w="55" w:type="dxa"/>
            </w:tcMar>
            <w:vAlign w:val="center"/>
          </w:tcPr>
          <w:p w14:paraId="0AA8A878" w14:textId="77777777" w:rsidR="00235BC0" w:rsidRPr="00A46D13" w:rsidRDefault="00000000">
            <w:pPr>
              <w:spacing w:after="0"/>
              <w:jc w:val="left"/>
            </w:pPr>
            <w:r w:rsidRPr="00A46D13">
              <w:rPr>
                <w:sz w:val="16"/>
              </w:rPr>
              <w:t>Human-</w:t>
            </w:r>
            <w:proofErr w:type="spellStart"/>
            <w:r w:rsidRPr="00A46D13">
              <w:rPr>
                <w:sz w:val="16"/>
              </w:rPr>
              <w:t>centred</w:t>
            </w:r>
            <w:proofErr w:type="spellEnd"/>
            <w:r w:rsidRPr="00A46D13">
              <w:rPr>
                <w:sz w:val="16"/>
              </w:rPr>
              <w:t xml:space="preserve"> augmentation</w:t>
            </w:r>
          </w:p>
        </w:tc>
        <w:tc>
          <w:tcPr>
            <w:tcW w:w="1472" w:type="dxa"/>
            <w:tcMar>
              <w:top w:w="45" w:type="dxa"/>
              <w:left w:w="55" w:type="dxa"/>
              <w:bottom w:w="45" w:type="dxa"/>
              <w:right w:w="55" w:type="dxa"/>
            </w:tcMar>
            <w:vAlign w:val="center"/>
          </w:tcPr>
          <w:p w14:paraId="0353CC6E" w14:textId="77777777" w:rsidR="00235BC0" w:rsidRPr="00A46D13" w:rsidRDefault="00000000">
            <w:pPr>
              <w:spacing w:after="0"/>
              <w:jc w:val="center"/>
            </w:pPr>
            <w:r w:rsidRPr="00A46D13">
              <w:rPr>
                <w:sz w:val="16"/>
              </w:rPr>
              <w:t>0.000</w:t>
            </w:r>
          </w:p>
        </w:tc>
        <w:tc>
          <w:tcPr>
            <w:tcW w:w="1472" w:type="dxa"/>
            <w:tcMar>
              <w:top w:w="45" w:type="dxa"/>
              <w:left w:w="55" w:type="dxa"/>
              <w:bottom w:w="45" w:type="dxa"/>
              <w:right w:w="55" w:type="dxa"/>
            </w:tcMar>
            <w:vAlign w:val="center"/>
          </w:tcPr>
          <w:p w14:paraId="40D63A5A" w14:textId="77777777" w:rsidR="00235BC0" w:rsidRPr="00A46D13" w:rsidRDefault="00000000">
            <w:pPr>
              <w:spacing w:after="0"/>
              <w:jc w:val="center"/>
            </w:pPr>
            <w:r w:rsidRPr="00A46D13">
              <w:rPr>
                <w:sz w:val="16"/>
              </w:rPr>
              <w:t>0.648</w:t>
            </w:r>
          </w:p>
        </w:tc>
        <w:tc>
          <w:tcPr>
            <w:tcW w:w="1472" w:type="dxa"/>
            <w:tcMar>
              <w:top w:w="45" w:type="dxa"/>
              <w:left w:w="55" w:type="dxa"/>
              <w:bottom w:w="45" w:type="dxa"/>
              <w:right w:w="55" w:type="dxa"/>
            </w:tcMar>
            <w:vAlign w:val="center"/>
          </w:tcPr>
          <w:p w14:paraId="758976D8" w14:textId="77777777" w:rsidR="00235BC0" w:rsidRPr="00A46D13" w:rsidRDefault="00000000">
            <w:pPr>
              <w:spacing w:after="0"/>
              <w:jc w:val="center"/>
            </w:pPr>
            <w:r w:rsidRPr="00A46D13">
              <w:rPr>
                <w:sz w:val="16"/>
              </w:rPr>
              <w:t>0.753</w:t>
            </w:r>
          </w:p>
        </w:tc>
        <w:tc>
          <w:tcPr>
            <w:tcW w:w="1472" w:type="dxa"/>
            <w:tcMar>
              <w:top w:w="45" w:type="dxa"/>
              <w:left w:w="55" w:type="dxa"/>
              <w:bottom w:w="45" w:type="dxa"/>
              <w:right w:w="55" w:type="dxa"/>
            </w:tcMar>
            <w:vAlign w:val="center"/>
          </w:tcPr>
          <w:p w14:paraId="35A13FBE" w14:textId="77777777" w:rsidR="00235BC0" w:rsidRPr="00A46D13" w:rsidRDefault="00000000">
            <w:pPr>
              <w:spacing w:after="0"/>
              <w:jc w:val="center"/>
            </w:pPr>
            <w:r w:rsidRPr="00A46D13">
              <w:rPr>
                <w:sz w:val="16"/>
              </w:rPr>
              <w:t>7.733</w:t>
            </w:r>
          </w:p>
        </w:tc>
        <w:tc>
          <w:tcPr>
            <w:tcW w:w="1472" w:type="dxa"/>
            <w:tcMar>
              <w:top w:w="45" w:type="dxa"/>
              <w:left w:w="55" w:type="dxa"/>
              <w:bottom w:w="45" w:type="dxa"/>
              <w:right w:w="55" w:type="dxa"/>
            </w:tcMar>
            <w:vAlign w:val="center"/>
          </w:tcPr>
          <w:p w14:paraId="06173EDC" w14:textId="77777777" w:rsidR="00235BC0" w:rsidRPr="00A46D13" w:rsidRDefault="00000000">
            <w:pPr>
              <w:spacing w:after="0"/>
              <w:jc w:val="center"/>
            </w:pPr>
            <w:r w:rsidRPr="00A46D13">
              <w:rPr>
                <w:sz w:val="16"/>
              </w:rPr>
              <w:t>100.00</w:t>
            </w:r>
          </w:p>
        </w:tc>
      </w:tr>
      <w:tr w:rsidR="00235BC0" w:rsidRPr="00A46D13" w14:paraId="1D03A7F0" w14:textId="77777777">
        <w:trPr>
          <w:cantSplit/>
          <w:jc w:val="center"/>
        </w:trPr>
        <w:tc>
          <w:tcPr>
            <w:tcW w:w="2000" w:type="dxa"/>
            <w:tcMar>
              <w:top w:w="45" w:type="dxa"/>
              <w:left w:w="55" w:type="dxa"/>
              <w:bottom w:w="45" w:type="dxa"/>
              <w:right w:w="55" w:type="dxa"/>
            </w:tcMar>
            <w:vAlign w:val="center"/>
          </w:tcPr>
          <w:p w14:paraId="72B6A345" w14:textId="77777777" w:rsidR="00235BC0" w:rsidRPr="00A46D13" w:rsidRDefault="00000000">
            <w:pPr>
              <w:spacing w:after="0"/>
              <w:jc w:val="left"/>
            </w:pPr>
            <w:r w:rsidRPr="00A46D13">
              <w:rPr>
                <w:sz w:val="16"/>
              </w:rPr>
              <w:t>Debt-responsive governance</w:t>
            </w:r>
          </w:p>
        </w:tc>
        <w:tc>
          <w:tcPr>
            <w:tcW w:w="1472" w:type="dxa"/>
            <w:tcMar>
              <w:top w:w="45" w:type="dxa"/>
              <w:left w:w="55" w:type="dxa"/>
              <w:bottom w:w="45" w:type="dxa"/>
              <w:right w:w="55" w:type="dxa"/>
            </w:tcMar>
            <w:vAlign w:val="center"/>
          </w:tcPr>
          <w:p w14:paraId="63A2893F" w14:textId="77777777" w:rsidR="00235BC0" w:rsidRPr="00A46D13" w:rsidRDefault="00000000">
            <w:pPr>
              <w:spacing w:after="0"/>
              <w:jc w:val="center"/>
            </w:pPr>
            <w:r w:rsidRPr="00A46D13">
              <w:rPr>
                <w:sz w:val="16"/>
              </w:rPr>
              <w:t>0.049</w:t>
            </w:r>
          </w:p>
        </w:tc>
        <w:tc>
          <w:tcPr>
            <w:tcW w:w="1472" w:type="dxa"/>
            <w:tcMar>
              <w:top w:w="45" w:type="dxa"/>
              <w:left w:w="55" w:type="dxa"/>
              <w:bottom w:w="45" w:type="dxa"/>
              <w:right w:w="55" w:type="dxa"/>
            </w:tcMar>
            <w:vAlign w:val="center"/>
          </w:tcPr>
          <w:p w14:paraId="6D782767" w14:textId="77777777" w:rsidR="00235BC0" w:rsidRPr="00A46D13" w:rsidRDefault="00000000">
            <w:pPr>
              <w:spacing w:after="0"/>
              <w:jc w:val="center"/>
            </w:pPr>
            <w:r w:rsidRPr="00A46D13">
              <w:rPr>
                <w:sz w:val="16"/>
              </w:rPr>
              <w:t>3.001</w:t>
            </w:r>
          </w:p>
        </w:tc>
        <w:tc>
          <w:tcPr>
            <w:tcW w:w="1472" w:type="dxa"/>
            <w:tcMar>
              <w:top w:w="45" w:type="dxa"/>
              <w:left w:w="55" w:type="dxa"/>
              <w:bottom w:w="45" w:type="dxa"/>
              <w:right w:w="55" w:type="dxa"/>
            </w:tcMar>
            <w:vAlign w:val="center"/>
          </w:tcPr>
          <w:p w14:paraId="358C7B60" w14:textId="77777777" w:rsidR="00235BC0" w:rsidRPr="00A46D13" w:rsidRDefault="00000000">
            <w:pPr>
              <w:spacing w:after="0"/>
              <w:jc w:val="center"/>
            </w:pPr>
            <w:r w:rsidRPr="00A46D13">
              <w:rPr>
                <w:sz w:val="16"/>
              </w:rPr>
              <w:t>3.260</w:t>
            </w:r>
          </w:p>
        </w:tc>
        <w:tc>
          <w:tcPr>
            <w:tcW w:w="1472" w:type="dxa"/>
            <w:tcMar>
              <w:top w:w="45" w:type="dxa"/>
              <w:left w:w="55" w:type="dxa"/>
              <w:bottom w:w="45" w:type="dxa"/>
              <w:right w:w="55" w:type="dxa"/>
            </w:tcMar>
            <w:vAlign w:val="center"/>
          </w:tcPr>
          <w:p w14:paraId="6965ED83" w14:textId="77777777" w:rsidR="00235BC0" w:rsidRPr="00A46D13" w:rsidRDefault="00000000">
            <w:pPr>
              <w:spacing w:after="0"/>
              <w:jc w:val="center"/>
            </w:pPr>
            <w:r w:rsidRPr="00A46D13">
              <w:rPr>
                <w:sz w:val="16"/>
              </w:rPr>
              <w:t>11.953</w:t>
            </w:r>
          </w:p>
        </w:tc>
        <w:tc>
          <w:tcPr>
            <w:tcW w:w="1472" w:type="dxa"/>
            <w:tcMar>
              <w:top w:w="45" w:type="dxa"/>
              <w:left w:w="55" w:type="dxa"/>
              <w:bottom w:w="45" w:type="dxa"/>
              <w:right w:w="55" w:type="dxa"/>
            </w:tcMar>
            <w:vAlign w:val="center"/>
          </w:tcPr>
          <w:p w14:paraId="06559A0D" w14:textId="77777777" w:rsidR="00235BC0" w:rsidRPr="00A46D13" w:rsidRDefault="00000000">
            <w:pPr>
              <w:spacing w:after="0"/>
              <w:jc w:val="center"/>
            </w:pPr>
            <w:r w:rsidRPr="00A46D13">
              <w:rPr>
                <w:sz w:val="16"/>
              </w:rPr>
              <w:t>45.82</w:t>
            </w:r>
          </w:p>
        </w:tc>
      </w:tr>
    </w:tbl>
    <w:p w14:paraId="304E530B" w14:textId="77777777" w:rsidR="00235BC0" w:rsidRPr="00A46D13" w:rsidRDefault="00000000">
      <w:pPr>
        <w:keepNext/>
        <w:spacing w:before="100" w:after="40"/>
        <w:jc w:val="left"/>
      </w:pPr>
      <w:r w:rsidRPr="00A46D13">
        <w:rPr>
          <w:b/>
          <w:bCs/>
        </w:rPr>
        <w:t xml:space="preserve">Table 4C. Terminal </w:t>
      </w:r>
      <w:proofErr w:type="spellStart"/>
      <w:r w:rsidRPr="00A46D13">
        <w:rPr>
          <w:b/>
          <w:bCs/>
        </w:rPr>
        <w:t>organisational</w:t>
      </w:r>
      <w:proofErr w:type="spellEnd"/>
      <w:r w:rsidRPr="00A46D13">
        <w:rPr>
          <w:b/>
          <w:bCs/>
        </w:rPr>
        <w:t xml:space="preserve"> states and boundary diagnostics</w:t>
      </w:r>
    </w:p>
    <w:tbl>
      <w:tblPr>
        <w:tblW w:w="936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20" w:firstRow="1" w:lastRow="0" w:firstColumn="0" w:lastColumn="0" w:noHBand="0" w:noVBand="0"/>
      </w:tblPr>
      <w:tblGrid>
        <w:gridCol w:w="2200"/>
        <w:gridCol w:w="1790"/>
        <w:gridCol w:w="1790"/>
        <w:gridCol w:w="1790"/>
        <w:gridCol w:w="1790"/>
      </w:tblGrid>
      <w:tr w:rsidR="00235BC0" w:rsidRPr="00A46D13" w14:paraId="2E8F4071" w14:textId="77777777">
        <w:trPr>
          <w:cantSplit/>
          <w:tblHeader/>
          <w:jc w:val="center"/>
        </w:trPr>
        <w:tc>
          <w:tcPr>
            <w:tcW w:w="2200" w:type="dxa"/>
            <w:shd w:val="clear" w:color="auto" w:fill="E7E6E6"/>
            <w:tcMar>
              <w:top w:w="45" w:type="dxa"/>
              <w:left w:w="55" w:type="dxa"/>
              <w:bottom w:w="45" w:type="dxa"/>
              <w:right w:w="55" w:type="dxa"/>
            </w:tcMar>
            <w:vAlign w:val="center"/>
          </w:tcPr>
          <w:p w14:paraId="47D490F5" w14:textId="77777777" w:rsidR="00235BC0" w:rsidRPr="00A46D13" w:rsidRDefault="00000000">
            <w:pPr>
              <w:spacing w:after="0"/>
              <w:jc w:val="left"/>
            </w:pPr>
            <w:r w:rsidRPr="00A46D13">
              <w:rPr>
                <w:b/>
                <w:bCs/>
                <w:sz w:val="16"/>
              </w:rPr>
              <w:t>Regime</w:t>
            </w:r>
          </w:p>
        </w:tc>
        <w:tc>
          <w:tcPr>
            <w:tcW w:w="1790" w:type="dxa"/>
            <w:shd w:val="clear" w:color="auto" w:fill="E7E6E6"/>
            <w:tcMar>
              <w:top w:w="45" w:type="dxa"/>
              <w:left w:w="55" w:type="dxa"/>
              <w:bottom w:w="45" w:type="dxa"/>
              <w:right w:w="55" w:type="dxa"/>
            </w:tcMar>
            <w:vAlign w:val="center"/>
          </w:tcPr>
          <w:p w14:paraId="40C9D72D" w14:textId="77777777" w:rsidR="00235BC0" w:rsidRPr="00A46D13" w:rsidRDefault="00000000">
            <w:pPr>
              <w:spacing w:after="0"/>
              <w:jc w:val="center"/>
            </w:pPr>
            <w:r w:rsidRPr="00A46D13">
              <w:rPr>
                <w:b/>
                <w:bCs/>
                <w:sz w:val="16"/>
              </w:rPr>
              <w:t>Final expertise</w:t>
            </w:r>
          </w:p>
        </w:tc>
        <w:tc>
          <w:tcPr>
            <w:tcW w:w="1790" w:type="dxa"/>
            <w:shd w:val="clear" w:color="auto" w:fill="E7E6E6"/>
            <w:tcMar>
              <w:top w:w="45" w:type="dxa"/>
              <w:left w:w="55" w:type="dxa"/>
              <w:bottom w:w="45" w:type="dxa"/>
              <w:right w:w="55" w:type="dxa"/>
            </w:tcMar>
            <w:vAlign w:val="center"/>
          </w:tcPr>
          <w:p w14:paraId="1A50C0D4" w14:textId="77777777" w:rsidR="00235BC0" w:rsidRPr="00A46D13" w:rsidRDefault="00000000">
            <w:pPr>
              <w:spacing w:after="0"/>
              <w:jc w:val="center"/>
            </w:pPr>
            <w:r w:rsidRPr="00A46D13">
              <w:rPr>
                <w:b/>
                <w:bCs/>
                <w:sz w:val="16"/>
              </w:rPr>
              <w:t>Final resilience</w:t>
            </w:r>
          </w:p>
        </w:tc>
        <w:tc>
          <w:tcPr>
            <w:tcW w:w="1790" w:type="dxa"/>
            <w:shd w:val="clear" w:color="auto" w:fill="E7E6E6"/>
            <w:tcMar>
              <w:top w:w="45" w:type="dxa"/>
              <w:left w:w="55" w:type="dxa"/>
              <w:bottom w:w="45" w:type="dxa"/>
              <w:right w:w="55" w:type="dxa"/>
            </w:tcMar>
            <w:vAlign w:val="center"/>
          </w:tcPr>
          <w:p w14:paraId="27023293" w14:textId="77777777" w:rsidR="00235BC0" w:rsidRPr="00A46D13" w:rsidRDefault="00000000">
            <w:pPr>
              <w:spacing w:after="0"/>
              <w:jc w:val="center"/>
            </w:pPr>
            <w:r w:rsidRPr="00A46D13">
              <w:rPr>
                <w:b/>
                <w:bCs/>
                <w:sz w:val="16"/>
              </w:rPr>
              <w:t>Debt floor (%)</w:t>
            </w:r>
          </w:p>
        </w:tc>
        <w:tc>
          <w:tcPr>
            <w:tcW w:w="1790" w:type="dxa"/>
            <w:shd w:val="clear" w:color="auto" w:fill="E7E6E6"/>
            <w:tcMar>
              <w:top w:w="45" w:type="dxa"/>
              <w:left w:w="55" w:type="dxa"/>
              <w:bottom w:w="45" w:type="dxa"/>
              <w:right w:w="55" w:type="dxa"/>
            </w:tcMar>
            <w:vAlign w:val="center"/>
          </w:tcPr>
          <w:p w14:paraId="1A5AF5AA" w14:textId="77777777" w:rsidR="00235BC0" w:rsidRPr="00A46D13" w:rsidRDefault="00000000">
            <w:pPr>
              <w:spacing w:after="0"/>
              <w:jc w:val="center"/>
            </w:pPr>
            <w:r w:rsidRPr="00A46D13">
              <w:rPr>
                <w:b/>
                <w:bCs/>
                <w:sz w:val="16"/>
              </w:rPr>
              <w:t>Expertise ceiling (%)</w:t>
            </w:r>
          </w:p>
        </w:tc>
      </w:tr>
      <w:tr w:rsidR="00235BC0" w:rsidRPr="00A46D13" w14:paraId="25841B88" w14:textId="77777777">
        <w:trPr>
          <w:cantSplit/>
          <w:jc w:val="center"/>
        </w:trPr>
        <w:tc>
          <w:tcPr>
            <w:tcW w:w="2200" w:type="dxa"/>
            <w:tcMar>
              <w:top w:w="45" w:type="dxa"/>
              <w:left w:w="55" w:type="dxa"/>
              <w:bottom w:w="45" w:type="dxa"/>
              <w:right w:w="55" w:type="dxa"/>
            </w:tcMar>
            <w:vAlign w:val="center"/>
          </w:tcPr>
          <w:p w14:paraId="48A8060B" w14:textId="77777777" w:rsidR="00235BC0" w:rsidRPr="00A46D13" w:rsidRDefault="00000000">
            <w:pPr>
              <w:spacing w:after="0"/>
              <w:jc w:val="left"/>
            </w:pPr>
            <w:r w:rsidRPr="00A46D13">
              <w:rPr>
                <w:sz w:val="16"/>
              </w:rPr>
              <w:t>Acceleration-first</w:t>
            </w:r>
          </w:p>
        </w:tc>
        <w:tc>
          <w:tcPr>
            <w:tcW w:w="1790" w:type="dxa"/>
            <w:tcMar>
              <w:top w:w="45" w:type="dxa"/>
              <w:left w:w="55" w:type="dxa"/>
              <w:bottom w:w="45" w:type="dxa"/>
              <w:right w:w="55" w:type="dxa"/>
            </w:tcMar>
            <w:vAlign w:val="center"/>
          </w:tcPr>
          <w:p w14:paraId="70FCA969" w14:textId="77777777" w:rsidR="00235BC0" w:rsidRPr="00A46D13" w:rsidRDefault="00000000">
            <w:pPr>
              <w:spacing w:after="0"/>
              <w:jc w:val="center"/>
            </w:pPr>
            <w:r w:rsidRPr="00A46D13">
              <w:rPr>
                <w:sz w:val="16"/>
              </w:rPr>
              <w:t>0.180</w:t>
            </w:r>
          </w:p>
        </w:tc>
        <w:tc>
          <w:tcPr>
            <w:tcW w:w="1790" w:type="dxa"/>
            <w:tcMar>
              <w:top w:w="45" w:type="dxa"/>
              <w:left w:w="55" w:type="dxa"/>
              <w:bottom w:w="45" w:type="dxa"/>
              <w:right w:w="55" w:type="dxa"/>
            </w:tcMar>
            <w:vAlign w:val="center"/>
          </w:tcPr>
          <w:p w14:paraId="27FC240C" w14:textId="77777777" w:rsidR="00235BC0" w:rsidRPr="00A46D13" w:rsidRDefault="00000000">
            <w:pPr>
              <w:spacing w:after="0"/>
              <w:jc w:val="center"/>
            </w:pPr>
            <w:r w:rsidRPr="00A46D13">
              <w:rPr>
                <w:sz w:val="16"/>
              </w:rPr>
              <w:t>0.254</w:t>
            </w:r>
          </w:p>
        </w:tc>
        <w:tc>
          <w:tcPr>
            <w:tcW w:w="1790" w:type="dxa"/>
            <w:tcMar>
              <w:top w:w="45" w:type="dxa"/>
              <w:left w:w="55" w:type="dxa"/>
              <w:bottom w:w="45" w:type="dxa"/>
              <w:right w:w="55" w:type="dxa"/>
            </w:tcMar>
            <w:vAlign w:val="center"/>
          </w:tcPr>
          <w:p w14:paraId="0EFFA06D" w14:textId="77777777" w:rsidR="00235BC0" w:rsidRPr="00A46D13" w:rsidRDefault="00000000">
            <w:pPr>
              <w:spacing w:after="0"/>
              <w:jc w:val="center"/>
            </w:pPr>
            <w:r w:rsidRPr="00A46D13">
              <w:rPr>
                <w:sz w:val="16"/>
              </w:rPr>
              <w:t>0.00</w:t>
            </w:r>
          </w:p>
        </w:tc>
        <w:tc>
          <w:tcPr>
            <w:tcW w:w="1790" w:type="dxa"/>
            <w:tcMar>
              <w:top w:w="45" w:type="dxa"/>
              <w:left w:w="55" w:type="dxa"/>
              <w:bottom w:w="45" w:type="dxa"/>
              <w:right w:w="55" w:type="dxa"/>
            </w:tcMar>
            <w:vAlign w:val="center"/>
          </w:tcPr>
          <w:p w14:paraId="7FBA34AF" w14:textId="77777777" w:rsidR="00235BC0" w:rsidRPr="00A46D13" w:rsidRDefault="00000000">
            <w:pPr>
              <w:spacing w:after="0"/>
              <w:jc w:val="center"/>
            </w:pPr>
            <w:r w:rsidRPr="00A46D13">
              <w:rPr>
                <w:sz w:val="16"/>
              </w:rPr>
              <w:t>0.00</w:t>
            </w:r>
          </w:p>
        </w:tc>
      </w:tr>
      <w:tr w:rsidR="00235BC0" w:rsidRPr="00A46D13" w14:paraId="19B8D740" w14:textId="77777777">
        <w:trPr>
          <w:cantSplit/>
          <w:jc w:val="center"/>
        </w:trPr>
        <w:tc>
          <w:tcPr>
            <w:tcW w:w="2200" w:type="dxa"/>
            <w:tcMar>
              <w:top w:w="45" w:type="dxa"/>
              <w:left w:w="55" w:type="dxa"/>
              <w:bottom w:w="45" w:type="dxa"/>
              <w:right w:w="55" w:type="dxa"/>
            </w:tcMar>
            <w:vAlign w:val="center"/>
          </w:tcPr>
          <w:p w14:paraId="5820F0EB" w14:textId="77777777" w:rsidR="00235BC0" w:rsidRPr="00A46D13" w:rsidRDefault="00000000">
            <w:pPr>
              <w:spacing w:after="0"/>
              <w:jc w:val="left"/>
            </w:pPr>
            <w:r w:rsidRPr="00A46D13">
              <w:rPr>
                <w:sz w:val="16"/>
              </w:rPr>
              <w:t>Compliance-heavy</w:t>
            </w:r>
          </w:p>
        </w:tc>
        <w:tc>
          <w:tcPr>
            <w:tcW w:w="1790" w:type="dxa"/>
            <w:tcMar>
              <w:top w:w="45" w:type="dxa"/>
              <w:left w:w="55" w:type="dxa"/>
              <w:bottom w:w="45" w:type="dxa"/>
              <w:right w:w="55" w:type="dxa"/>
            </w:tcMar>
            <w:vAlign w:val="center"/>
          </w:tcPr>
          <w:p w14:paraId="02C75046" w14:textId="77777777" w:rsidR="00235BC0" w:rsidRPr="00A46D13" w:rsidRDefault="00000000">
            <w:pPr>
              <w:spacing w:after="0"/>
              <w:jc w:val="center"/>
            </w:pPr>
            <w:r w:rsidRPr="00A46D13">
              <w:rPr>
                <w:sz w:val="16"/>
              </w:rPr>
              <w:t>0.980</w:t>
            </w:r>
          </w:p>
        </w:tc>
        <w:tc>
          <w:tcPr>
            <w:tcW w:w="1790" w:type="dxa"/>
            <w:tcMar>
              <w:top w:w="45" w:type="dxa"/>
              <w:left w:w="55" w:type="dxa"/>
              <w:bottom w:w="45" w:type="dxa"/>
              <w:right w:w="55" w:type="dxa"/>
            </w:tcMar>
            <w:vAlign w:val="center"/>
          </w:tcPr>
          <w:p w14:paraId="335F4C4C" w14:textId="77777777" w:rsidR="00235BC0" w:rsidRPr="00A46D13" w:rsidRDefault="00000000">
            <w:pPr>
              <w:spacing w:after="0"/>
              <w:jc w:val="center"/>
            </w:pPr>
            <w:r w:rsidRPr="00A46D13">
              <w:rPr>
                <w:sz w:val="16"/>
              </w:rPr>
              <w:t>0.844</w:t>
            </w:r>
          </w:p>
        </w:tc>
        <w:tc>
          <w:tcPr>
            <w:tcW w:w="1790" w:type="dxa"/>
            <w:tcMar>
              <w:top w:w="45" w:type="dxa"/>
              <w:left w:w="55" w:type="dxa"/>
              <w:bottom w:w="45" w:type="dxa"/>
              <w:right w:w="55" w:type="dxa"/>
            </w:tcMar>
            <w:vAlign w:val="center"/>
          </w:tcPr>
          <w:p w14:paraId="69FEC24C" w14:textId="77777777" w:rsidR="00235BC0" w:rsidRPr="00A46D13" w:rsidRDefault="00000000">
            <w:pPr>
              <w:spacing w:after="0"/>
              <w:jc w:val="center"/>
            </w:pPr>
            <w:r w:rsidRPr="00A46D13">
              <w:rPr>
                <w:sz w:val="16"/>
              </w:rPr>
              <w:t>96.67</w:t>
            </w:r>
          </w:p>
        </w:tc>
        <w:tc>
          <w:tcPr>
            <w:tcW w:w="1790" w:type="dxa"/>
            <w:tcMar>
              <w:top w:w="45" w:type="dxa"/>
              <w:left w:w="55" w:type="dxa"/>
              <w:bottom w:w="45" w:type="dxa"/>
              <w:right w:w="55" w:type="dxa"/>
            </w:tcMar>
            <w:vAlign w:val="center"/>
          </w:tcPr>
          <w:p w14:paraId="6D70C169" w14:textId="77777777" w:rsidR="00235BC0" w:rsidRPr="00A46D13" w:rsidRDefault="00000000">
            <w:pPr>
              <w:spacing w:after="0"/>
              <w:jc w:val="center"/>
            </w:pPr>
            <w:r w:rsidRPr="00A46D13">
              <w:rPr>
                <w:sz w:val="16"/>
              </w:rPr>
              <w:t>70.00</w:t>
            </w:r>
          </w:p>
        </w:tc>
      </w:tr>
      <w:tr w:rsidR="00235BC0" w:rsidRPr="00A46D13" w14:paraId="08D6D099" w14:textId="77777777">
        <w:trPr>
          <w:cantSplit/>
          <w:jc w:val="center"/>
        </w:trPr>
        <w:tc>
          <w:tcPr>
            <w:tcW w:w="2200" w:type="dxa"/>
            <w:tcMar>
              <w:top w:w="45" w:type="dxa"/>
              <w:left w:w="55" w:type="dxa"/>
              <w:bottom w:w="45" w:type="dxa"/>
              <w:right w:w="55" w:type="dxa"/>
            </w:tcMar>
            <w:vAlign w:val="center"/>
          </w:tcPr>
          <w:p w14:paraId="632680B3" w14:textId="77777777" w:rsidR="00235BC0" w:rsidRPr="00A46D13" w:rsidRDefault="00000000">
            <w:pPr>
              <w:spacing w:after="0"/>
              <w:jc w:val="left"/>
            </w:pPr>
            <w:r w:rsidRPr="00A46D13">
              <w:rPr>
                <w:sz w:val="16"/>
              </w:rPr>
              <w:t>Verified autonomy</w:t>
            </w:r>
          </w:p>
        </w:tc>
        <w:tc>
          <w:tcPr>
            <w:tcW w:w="1790" w:type="dxa"/>
            <w:tcMar>
              <w:top w:w="45" w:type="dxa"/>
              <w:left w:w="55" w:type="dxa"/>
              <w:bottom w:w="45" w:type="dxa"/>
              <w:right w:w="55" w:type="dxa"/>
            </w:tcMar>
            <w:vAlign w:val="center"/>
          </w:tcPr>
          <w:p w14:paraId="572433AF" w14:textId="77777777" w:rsidR="00235BC0" w:rsidRPr="00A46D13" w:rsidRDefault="00000000">
            <w:pPr>
              <w:spacing w:after="0"/>
              <w:jc w:val="center"/>
            </w:pPr>
            <w:r w:rsidRPr="00A46D13">
              <w:rPr>
                <w:sz w:val="16"/>
              </w:rPr>
              <w:t>0.980</w:t>
            </w:r>
          </w:p>
        </w:tc>
        <w:tc>
          <w:tcPr>
            <w:tcW w:w="1790" w:type="dxa"/>
            <w:tcMar>
              <w:top w:w="45" w:type="dxa"/>
              <w:left w:w="55" w:type="dxa"/>
              <w:bottom w:w="45" w:type="dxa"/>
              <w:right w:w="55" w:type="dxa"/>
            </w:tcMar>
            <w:vAlign w:val="center"/>
          </w:tcPr>
          <w:p w14:paraId="22DFA68E" w14:textId="77777777" w:rsidR="00235BC0" w:rsidRPr="00A46D13" w:rsidRDefault="00000000">
            <w:pPr>
              <w:spacing w:after="0"/>
              <w:jc w:val="center"/>
            </w:pPr>
            <w:r w:rsidRPr="00A46D13">
              <w:rPr>
                <w:sz w:val="16"/>
              </w:rPr>
              <w:t>0.785</w:t>
            </w:r>
          </w:p>
        </w:tc>
        <w:tc>
          <w:tcPr>
            <w:tcW w:w="1790" w:type="dxa"/>
            <w:tcMar>
              <w:top w:w="45" w:type="dxa"/>
              <w:left w:w="55" w:type="dxa"/>
              <w:bottom w:w="45" w:type="dxa"/>
              <w:right w:w="55" w:type="dxa"/>
            </w:tcMar>
            <w:vAlign w:val="center"/>
          </w:tcPr>
          <w:p w14:paraId="7905513A" w14:textId="77777777" w:rsidR="00235BC0" w:rsidRPr="00A46D13" w:rsidRDefault="00000000">
            <w:pPr>
              <w:spacing w:after="0"/>
              <w:jc w:val="center"/>
            </w:pPr>
            <w:r w:rsidRPr="00A46D13">
              <w:rPr>
                <w:sz w:val="16"/>
              </w:rPr>
              <w:t>95.00</w:t>
            </w:r>
          </w:p>
        </w:tc>
        <w:tc>
          <w:tcPr>
            <w:tcW w:w="1790" w:type="dxa"/>
            <w:tcMar>
              <w:top w:w="45" w:type="dxa"/>
              <w:left w:w="55" w:type="dxa"/>
              <w:bottom w:w="45" w:type="dxa"/>
              <w:right w:w="55" w:type="dxa"/>
            </w:tcMar>
            <w:vAlign w:val="center"/>
          </w:tcPr>
          <w:p w14:paraId="5C0A0E63" w14:textId="77777777" w:rsidR="00235BC0" w:rsidRPr="00A46D13" w:rsidRDefault="00000000">
            <w:pPr>
              <w:spacing w:after="0"/>
              <w:jc w:val="center"/>
            </w:pPr>
            <w:r w:rsidRPr="00A46D13">
              <w:rPr>
                <w:sz w:val="16"/>
              </w:rPr>
              <w:t>15.00</w:t>
            </w:r>
          </w:p>
        </w:tc>
      </w:tr>
      <w:tr w:rsidR="00235BC0" w:rsidRPr="00A46D13" w14:paraId="3135CFC1" w14:textId="77777777">
        <w:trPr>
          <w:cantSplit/>
          <w:jc w:val="center"/>
        </w:trPr>
        <w:tc>
          <w:tcPr>
            <w:tcW w:w="2200" w:type="dxa"/>
            <w:tcMar>
              <w:top w:w="45" w:type="dxa"/>
              <w:left w:w="55" w:type="dxa"/>
              <w:bottom w:w="45" w:type="dxa"/>
              <w:right w:w="55" w:type="dxa"/>
            </w:tcMar>
            <w:vAlign w:val="center"/>
          </w:tcPr>
          <w:p w14:paraId="340D2EE3" w14:textId="77777777" w:rsidR="00235BC0" w:rsidRPr="00A46D13" w:rsidRDefault="00000000">
            <w:pPr>
              <w:spacing w:after="0"/>
              <w:jc w:val="left"/>
            </w:pPr>
            <w:r w:rsidRPr="00A46D13">
              <w:rPr>
                <w:sz w:val="16"/>
              </w:rPr>
              <w:t>Human-</w:t>
            </w:r>
            <w:proofErr w:type="spellStart"/>
            <w:r w:rsidRPr="00A46D13">
              <w:rPr>
                <w:sz w:val="16"/>
              </w:rPr>
              <w:t>centred</w:t>
            </w:r>
            <w:proofErr w:type="spellEnd"/>
            <w:r w:rsidRPr="00A46D13">
              <w:rPr>
                <w:sz w:val="16"/>
              </w:rPr>
              <w:t xml:space="preserve"> augmentation</w:t>
            </w:r>
          </w:p>
        </w:tc>
        <w:tc>
          <w:tcPr>
            <w:tcW w:w="1790" w:type="dxa"/>
            <w:tcMar>
              <w:top w:w="45" w:type="dxa"/>
              <w:left w:w="55" w:type="dxa"/>
              <w:bottom w:w="45" w:type="dxa"/>
              <w:right w:w="55" w:type="dxa"/>
            </w:tcMar>
            <w:vAlign w:val="center"/>
          </w:tcPr>
          <w:p w14:paraId="78CC81DE" w14:textId="77777777" w:rsidR="00235BC0" w:rsidRPr="00A46D13" w:rsidRDefault="00000000">
            <w:pPr>
              <w:spacing w:after="0"/>
              <w:jc w:val="center"/>
            </w:pPr>
            <w:r w:rsidRPr="00A46D13">
              <w:rPr>
                <w:sz w:val="16"/>
              </w:rPr>
              <w:t>0.980</w:t>
            </w:r>
          </w:p>
        </w:tc>
        <w:tc>
          <w:tcPr>
            <w:tcW w:w="1790" w:type="dxa"/>
            <w:tcMar>
              <w:top w:w="45" w:type="dxa"/>
              <w:left w:w="55" w:type="dxa"/>
              <w:bottom w:w="45" w:type="dxa"/>
              <w:right w:w="55" w:type="dxa"/>
            </w:tcMar>
            <w:vAlign w:val="center"/>
          </w:tcPr>
          <w:p w14:paraId="589F25D2" w14:textId="77777777" w:rsidR="00235BC0" w:rsidRPr="00A46D13" w:rsidRDefault="00000000">
            <w:pPr>
              <w:spacing w:after="0"/>
              <w:jc w:val="center"/>
            </w:pPr>
            <w:r w:rsidRPr="00A46D13">
              <w:rPr>
                <w:sz w:val="16"/>
              </w:rPr>
              <w:t>0.793</w:t>
            </w:r>
          </w:p>
        </w:tc>
        <w:tc>
          <w:tcPr>
            <w:tcW w:w="1790" w:type="dxa"/>
            <w:tcMar>
              <w:top w:w="45" w:type="dxa"/>
              <w:left w:w="55" w:type="dxa"/>
              <w:bottom w:w="45" w:type="dxa"/>
              <w:right w:w="55" w:type="dxa"/>
            </w:tcMar>
            <w:vAlign w:val="center"/>
          </w:tcPr>
          <w:p w14:paraId="6C7AD303" w14:textId="77777777" w:rsidR="00235BC0" w:rsidRPr="00A46D13" w:rsidRDefault="00000000">
            <w:pPr>
              <w:spacing w:after="0"/>
              <w:jc w:val="center"/>
            </w:pPr>
            <w:r w:rsidRPr="00A46D13">
              <w:rPr>
                <w:sz w:val="16"/>
              </w:rPr>
              <w:t>96.67</w:t>
            </w:r>
          </w:p>
        </w:tc>
        <w:tc>
          <w:tcPr>
            <w:tcW w:w="1790" w:type="dxa"/>
            <w:tcMar>
              <w:top w:w="45" w:type="dxa"/>
              <w:left w:w="55" w:type="dxa"/>
              <w:bottom w:w="45" w:type="dxa"/>
              <w:right w:w="55" w:type="dxa"/>
            </w:tcMar>
            <w:vAlign w:val="center"/>
          </w:tcPr>
          <w:p w14:paraId="3EFDFF3E" w14:textId="77777777" w:rsidR="00235BC0" w:rsidRPr="00A46D13" w:rsidRDefault="00000000">
            <w:pPr>
              <w:spacing w:after="0"/>
              <w:jc w:val="center"/>
            </w:pPr>
            <w:r w:rsidRPr="00A46D13">
              <w:rPr>
                <w:sz w:val="16"/>
              </w:rPr>
              <w:t>80.00</w:t>
            </w:r>
          </w:p>
        </w:tc>
      </w:tr>
      <w:tr w:rsidR="00235BC0" w:rsidRPr="00A46D13" w14:paraId="2609BB98" w14:textId="77777777">
        <w:trPr>
          <w:cantSplit/>
          <w:jc w:val="center"/>
        </w:trPr>
        <w:tc>
          <w:tcPr>
            <w:tcW w:w="2200" w:type="dxa"/>
            <w:tcMar>
              <w:top w:w="45" w:type="dxa"/>
              <w:left w:w="55" w:type="dxa"/>
              <w:bottom w:w="45" w:type="dxa"/>
              <w:right w:w="55" w:type="dxa"/>
            </w:tcMar>
            <w:vAlign w:val="center"/>
          </w:tcPr>
          <w:p w14:paraId="786FFDF8" w14:textId="77777777" w:rsidR="00235BC0" w:rsidRPr="00A46D13" w:rsidRDefault="00000000">
            <w:pPr>
              <w:spacing w:after="0"/>
              <w:jc w:val="left"/>
            </w:pPr>
            <w:r w:rsidRPr="00A46D13">
              <w:rPr>
                <w:sz w:val="16"/>
              </w:rPr>
              <w:t>Debt-responsive governance</w:t>
            </w:r>
          </w:p>
        </w:tc>
        <w:tc>
          <w:tcPr>
            <w:tcW w:w="1790" w:type="dxa"/>
            <w:tcMar>
              <w:top w:w="45" w:type="dxa"/>
              <w:left w:w="55" w:type="dxa"/>
              <w:bottom w:w="45" w:type="dxa"/>
              <w:right w:w="55" w:type="dxa"/>
            </w:tcMar>
            <w:vAlign w:val="center"/>
          </w:tcPr>
          <w:p w14:paraId="7B6F11A5" w14:textId="77777777" w:rsidR="00235BC0" w:rsidRPr="00A46D13" w:rsidRDefault="00000000">
            <w:pPr>
              <w:spacing w:after="0"/>
              <w:jc w:val="center"/>
            </w:pPr>
            <w:r w:rsidRPr="00A46D13">
              <w:rPr>
                <w:sz w:val="16"/>
              </w:rPr>
              <w:t>0.545</w:t>
            </w:r>
          </w:p>
        </w:tc>
        <w:tc>
          <w:tcPr>
            <w:tcW w:w="1790" w:type="dxa"/>
            <w:tcMar>
              <w:top w:w="45" w:type="dxa"/>
              <w:left w:w="55" w:type="dxa"/>
              <w:bottom w:w="45" w:type="dxa"/>
              <w:right w:w="55" w:type="dxa"/>
            </w:tcMar>
            <w:vAlign w:val="center"/>
          </w:tcPr>
          <w:p w14:paraId="6F04DF33" w14:textId="77777777" w:rsidR="00235BC0" w:rsidRPr="00A46D13" w:rsidRDefault="00000000">
            <w:pPr>
              <w:spacing w:after="0"/>
              <w:jc w:val="center"/>
            </w:pPr>
            <w:r w:rsidRPr="00A46D13">
              <w:rPr>
                <w:sz w:val="16"/>
              </w:rPr>
              <w:t>0.588</w:t>
            </w:r>
          </w:p>
        </w:tc>
        <w:tc>
          <w:tcPr>
            <w:tcW w:w="1790" w:type="dxa"/>
            <w:tcMar>
              <w:top w:w="45" w:type="dxa"/>
              <w:left w:w="55" w:type="dxa"/>
              <w:bottom w:w="45" w:type="dxa"/>
              <w:right w:w="55" w:type="dxa"/>
            </w:tcMar>
            <w:vAlign w:val="center"/>
          </w:tcPr>
          <w:p w14:paraId="28F395E6" w14:textId="77777777" w:rsidR="00235BC0" w:rsidRPr="00A46D13" w:rsidRDefault="00000000">
            <w:pPr>
              <w:spacing w:after="0"/>
              <w:jc w:val="center"/>
            </w:pPr>
            <w:r w:rsidRPr="00A46D13">
              <w:rPr>
                <w:sz w:val="16"/>
              </w:rPr>
              <w:t>6.55</w:t>
            </w:r>
          </w:p>
        </w:tc>
        <w:tc>
          <w:tcPr>
            <w:tcW w:w="1790" w:type="dxa"/>
            <w:tcMar>
              <w:top w:w="45" w:type="dxa"/>
              <w:left w:w="55" w:type="dxa"/>
              <w:bottom w:w="45" w:type="dxa"/>
              <w:right w:w="55" w:type="dxa"/>
            </w:tcMar>
            <w:vAlign w:val="center"/>
          </w:tcPr>
          <w:p w14:paraId="23CA6176" w14:textId="77777777" w:rsidR="00235BC0" w:rsidRPr="00A46D13" w:rsidRDefault="00000000">
            <w:pPr>
              <w:spacing w:after="0"/>
              <w:jc w:val="center"/>
            </w:pPr>
            <w:r w:rsidRPr="00A46D13">
              <w:rPr>
                <w:sz w:val="16"/>
              </w:rPr>
              <w:t>0.00</w:t>
            </w:r>
          </w:p>
        </w:tc>
      </w:tr>
    </w:tbl>
    <w:p w14:paraId="5E6E73E2" w14:textId="77777777" w:rsidR="00235BC0" w:rsidRPr="00A46D13" w:rsidRDefault="00000000">
      <w:pPr>
        <w:spacing w:before="60" w:after="40"/>
        <w:jc w:val="center"/>
      </w:pPr>
      <w:r w:rsidRPr="00A46D13">
        <w:rPr>
          <w:noProof/>
        </w:rPr>
        <w:drawing>
          <wp:inline distT="0" distB="0" distL="0" distR="0" wp14:anchorId="07AAE3E6" wp14:editId="41F5B2F7">
            <wp:extent cx="5207000" cy="4974384"/>
            <wp:effectExtent l="0" t="0" r="0" b="0"/>
            <wp:docPr id="32" name="Picture" descr="Figure 3 supporting the manuscript analysis"/>
            <wp:cNvGraphicFramePr/>
            <a:graphic xmlns:a="http://schemas.openxmlformats.org/drawingml/2006/main">
              <a:graphicData uri="http://schemas.openxmlformats.org/drawingml/2006/picture">
                <pic:pic xmlns:pic="http://schemas.openxmlformats.org/drawingml/2006/picture">
                  <pic:nvPicPr>
                    <pic:cNvPr id="33" name="Picture" descr="/mnt/data/JGEMBR_Revision/figures/figure3_state_trajectories.png"/>
                    <pic:cNvPicPr>
                      <a:picLocks noChangeAspect="1" noChangeArrowheads="1"/>
                    </pic:cNvPicPr>
                  </pic:nvPicPr>
                  <pic:blipFill>
                    <a:blip r:embed="rId9"/>
                    <a:stretch>
                      <a:fillRect/>
                    </a:stretch>
                  </pic:blipFill>
                  <pic:spPr bwMode="auto">
                    <a:xfrm>
                      <a:off x="0" y="0"/>
                      <a:ext cx="5207000" cy="4974384"/>
                    </a:xfrm>
                    <a:prstGeom prst="rect">
                      <a:avLst/>
                    </a:prstGeom>
                    <a:noFill/>
                    <a:ln w="9525">
                      <a:noFill/>
                      <a:headEnd/>
                      <a:tailEnd/>
                    </a:ln>
                  </pic:spPr>
                </pic:pic>
              </a:graphicData>
            </a:graphic>
          </wp:inline>
        </w:drawing>
      </w:r>
    </w:p>
    <w:p w14:paraId="4E6091BF" w14:textId="77777777" w:rsidR="00235BC0" w:rsidRPr="00A46D13" w:rsidRDefault="00000000">
      <w:pPr>
        <w:spacing w:before="40" w:after="100"/>
        <w:jc w:val="center"/>
      </w:pPr>
      <w:r w:rsidRPr="00A46D13">
        <w:rPr>
          <w:b/>
          <w:bCs/>
          <w:sz w:val="19"/>
        </w:rPr>
        <w:t xml:space="preserve">Figure 3. Mean trajectories of verification debt, human expertise, and </w:t>
      </w:r>
      <w:proofErr w:type="spellStart"/>
      <w:r w:rsidRPr="00A46D13">
        <w:rPr>
          <w:b/>
          <w:bCs/>
          <w:sz w:val="19"/>
        </w:rPr>
        <w:t>organisational</w:t>
      </w:r>
      <w:proofErr w:type="spellEnd"/>
      <w:r w:rsidRPr="00A46D13">
        <w:rPr>
          <w:b/>
          <w:bCs/>
          <w:sz w:val="19"/>
        </w:rPr>
        <w:t xml:space="preserve"> resilience.</w:t>
      </w:r>
    </w:p>
    <w:p w14:paraId="69C434C2" w14:textId="77777777" w:rsidR="00235BC0" w:rsidRPr="00A46D13" w:rsidRDefault="00000000">
      <w:r w:rsidRPr="00A46D13">
        <w:lastRenderedPageBreak/>
        <w:t>Boundary saturation does not make all mechanisms identical, but it limits what can be inferred from terminal values. Compliance-heavy governance spends 70% of firm-periods at the expertise ceiling, compared with 15% for verified autonomy, and it carries lower cumulative debt exposure but substantially lower value. Human-</w:t>
      </w:r>
      <w:proofErr w:type="spellStart"/>
      <w:r w:rsidRPr="00A46D13">
        <w:t>centred</w:t>
      </w:r>
      <w:proofErr w:type="spellEnd"/>
      <w:r w:rsidRPr="00A46D13">
        <w:t xml:space="preserve"> augmentation spends 80% of firm-periods at the expertise ceiling, indicating overprovision of learning and verification under the chosen cost function. These findings support reporting path-integrated states and costs rather than attributing value differences to terminal debt alone.</w:t>
      </w:r>
    </w:p>
    <w:p w14:paraId="2728F7A8" w14:textId="77777777" w:rsidR="00235BC0" w:rsidRPr="00A46D13" w:rsidRDefault="00000000">
      <w:r w:rsidRPr="00A46D13">
        <w:t>The adaptive regime’s average governance and verification intensities are below those of verified autonomy, yet it ends with near-zero debt. This does not contradict the threshold logic because its settings are state-contingent. It begins with flow-adequate assurance for all firms, then reduces the proportion of adequate firm-periods as debt and uncertainty evolve. Its 45.82% overall flow-adequacy share and cumulative debt exposure of 3.00 show that averages conceal timing. The policy can repay much of the stock through periods of strong assurance without continuously satisfying current flow balance.</w:t>
      </w:r>
    </w:p>
    <w:p w14:paraId="69B1A133" w14:textId="77777777" w:rsidR="00235BC0" w:rsidRPr="00A46D13" w:rsidRDefault="00000000">
      <w:pPr>
        <w:keepNext/>
        <w:spacing w:before="120"/>
        <w:jc w:val="left"/>
      </w:pPr>
      <w:r w:rsidRPr="00A46D13">
        <w:rPr>
          <w:b/>
          <w:bCs/>
          <w:sz w:val="22"/>
        </w:rPr>
        <w:t>4.3 Full Three-Dimensional Policy-Space Search</w:t>
      </w:r>
    </w:p>
    <w:p w14:paraId="5E821211" w14:textId="77777777" w:rsidR="00235BC0" w:rsidRPr="00A46D13" w:rsidRDefault="00000000">
      <w:r w:rsidRPr="00A46D13">
        <w:t xml:space="preserve">An initial two-dimensional phase diagram imposed </w:t>
      </w:r>
      <m:oMath>
        <m:r>
          <w:rPr>
            <w:rFonts w:ascii="Cambria Math" w:hAnsi="Cambria Math"/>
          </w:rPr>
          <m:t>g</m:t>
        </m:r>
        <m:r>
          <m:rPr>
            <m:sty m:val="p"/>
          </m:rPr>
          <w:rPr>
            <w:rFonts w:ascii="Cambria Math" w:hAnsi="Cambria Math"/>
          </w:rPr>
          <m:t>=</m:t>
        </m:r>
        <m:r>
          <w:rPr>
            <w:rFonts w:ascii="Cambria Math" w:hAnsi="Cambria Math"/>
          </w:rPr>
          <m:t>v</m:t>
        </m:r>
      </m:oMath>
      <w:r w:rsidRPr="00A46D13">
        <w:t xml:space="preserve"> and could not establish whether the best named regime was optimal. The expanded search evaluated automation, governance, and verification independently. The best coarse-grid configuration was </w:t>
      </w:r>
      <m:oMath>
        <m:d>
          <m:dPr>
            <m:ctrlPr>
              <w:rPr>
                <w:rFonts w:ascii="Cambria Math" w:hAnsi="Cambria Math"/>
              </w:rPr>
            </m:ctrlPr>
          </m:dPr>
          <m:e>
            <m:r>
              <w:rPr>
                <w:rFonts w:ascii="Cambria Math" w:hAnsi="Cambria Math"/>
              </w:rPr>
              <m:t>a</m:t>
            </m:r>
            <m:r>
              <m:rPr>
                <m:sty m:val="p"/>
              </m:rPr>
              <w:rPr>
                <w:rFonts w:ascii="Cambria Math" w:hAnsi="Cambria Math"/>
              </w:rPr>
              <m:t>,</m:t>
            </m:r>
            <m:r>
              <w:rPr>
                <w:rFonts w:ascii="Cambria Math" w:hAnsi="Cambria Math"/>
              </w:rPr>
              <m:t>g</m:t>
            </m:r>
            <m:r>
              <m:rPr>
                <m:sty m:val="p"/>
              </m:rPr>
              <w:rPr>
                <w:rFonts w:ascii="Cambria Math" w:hAnsi="Cambria Math"/>
              </w:rPr>
              <m:t>,</m:t>
            </m:r>
            <m:r>
              <w:rPr>
                <w:rFonts w:ascii="Cambria Math" w:hAnsi="Cambria Math"/>
              </w:rPr>
              <m:t>v</m:t>
            </m:r>
          </m:e>
        </m:d>
        <m:r>
          <m:rPr>
            <m:sty m:val="p"/>
          </m:rPr>
          <w:rPr>
            <w:rFonts w:ascii="Cambria Math" w:hAnsi="Cambria Math"/>
          </w:rPr>
          <m:t>=</m:t>
        </m:r>
        <m:d>
          <m:dPr>
            <m:ctrlPr>
              <w:rPr>
                <w:rFonts w:ascii="Cambria Math" w:hAnsi="Cambria Math"/>
              </w:rPr>
            </m:ctrlPr>
          </m:dPr>
          <m:e>
            <m:r>
              <w:rPr>
                <w:rFonts w:ascii="Cambria Math" w:hAnsi="Cambria Math"/>
              </w:rPr>
              <m:t>0.95</m:t>
            </m:r>
            <m:r>
              <m:rPr>
                <m:sty m:val="p"/>
              </m:rPr>
              <w:rPr>
                <w:rFonts w:ascii="Cambria Math" w:hAnsi="Cambria Math"/>
              </w:rPr>
              <m:t>,</m:t>
            </m:r>
            <m:r>
              <w:rPr>
                <w:rFonts w:ascii="Cambria Math" w:hAnsi="Cambria Math"/>
              </w:rPr>
              <m:t>0.30</m:t>
            </m:r>
            <m:r>
              <m:rPr>
                <m:sty m:val="p"/>
              </m:rPr>
              <w:rPr>
                <w:rFonts w:ascii="Cambria Math" w:hAnsi="Cambria Math"/>
              </w:rPr>
              <m:t>,</m:t>
            </m:r>
            <m:r>
              <w:rPr>
                <w:rFonts w:ascii="Cambria Math" w:hAnsi="Cambria Math"/>
              </w:rPr>
              <m:t>0.75</m:t>
            </m:r>
          </m:e>
        </m:d>
      </m:oMath>
      <w:r w:rsidRPr="00A46D13">
        <w:t xml:space="preserve"> with a mean cumulative value of 586.40. Boundary refinement increased automation to the model limit and identified </w:t>
      </w:r>
      <m:oMath>
        <m:d>
          <m:dPr>
            <m:ctrlPr>
              <w:rPr>
                <w:rFonts w:ascii="Cambria Math" w:hAnsi="Cambria Math"/>
              </w:rPr>
            </m:ctrlPr>
          </m:dPr>
          <m:e>
            <m:r>
              <w:rPr>
                <w:rFonts w:ascii="Cambria Math" w:hAnsi="Cambria Math"/>
              </w:rPr>
              <m:t>1.00</m:t>
            </m:r>
            <m:r>
              <m:rPr>
                <m:sty m:val="p"/>
              </m:rPr>
              <w:rPr>
                <w:rFonts w:ascii="Cambria Math" w:hAnsi="Cambria Math"/>
              </w:rPr>
              <m:t>,</m:t>
            </m:r>
            <m:r>
              <w:rPr>
                <w:rFonts w:ascii="Cambria Math" w:hAnsi="Cambria Math"/>
              </w:rPr>
              <m:t>0.30</m:t>
            </m:r>
            <m:r>
              <m:rPr>
                <m:sty m:val="p"/>
              </m:rPr>
              <w:rPr>
                <w:rFonts w:ascii="Cambria Math" w:hAnsi="Cambria Math"/>
              </w:rPr>
              <m:t>,</m:t>
            </m:r>
            <m:r>
              <w:rPr>
                <w:rFonts w:ascii="Cambria Math" w:hAnsi="Cambria Math"/>
              </w:rPr>
              <m:t>0.7625</m:t>
            </m:r>
          </m:e>
        </m:d>
      </m:oMath>
      <w:r w:rsidRPr="00A46D13">
        <w:t xml:space="preserve"> as the highest evaluated fixed policy. Re-evaluation with 5,000 firms produced a mean cumulative value of 608.92, a 2.5th to 97.5th percentile interval of 569.29 to 648.08, and no fragile or negative trajectories.</w:t>
      </w:r>
    </w:p>
    <w:p w14:paraId="3EFC0FA3" w14:textId="77777777" w:rsidR="00235BC0" w:rsidRPr="00A46D13" w:rsidRDefault="00000000">
      <w:pPr>
        <w:keepNext/>
        <w:spacing w:before="100" w:after="40"/>
        <w:jc w:val="left"/>
      </w:pPr>
      <w:r w:rsidRPr="00A46D13">
        <w:rPr>
          <w:b/>
          <w:bCs/>
        </w:rPr>
        <w:t>Table 5A. Policy-space search and cumulative-value benchmarks</w:t>
      </w:r>
    </w:p>
    <w:tbl>
      <w:tblPr>
        <w:tblW w:w="936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20" w:firstRow="1" w:lastRow="0" w:firstColumn="0" w:lastColumn="0" w:noHBand="0" w:noVBand="0"/>
      </w:tblPr>
      <w:tblGrid>
        <w:gridCol w:w="1900"/>
        <w:gridCol w:w="1243"/>
        <w:gridCol w:w="1243"/>
        <w:gridCol w:w="1243"/>
        <w:gridCol w:w="1243"/>
        <w:gridCol w:w="1243"/>
        <w:gridCol w:w="1245"/>
      </w:tblGrid>
      <w:tr w:rsidR="00235BC0" w:rsidRPr="00A46D13" w14:paraId="3386E5A0" w14:textId="77777777">
        <w:trPr>
          <w:cantSplit/>
          <w:tblHeader/>
          <w:jc w:val="center"/>
        </w:trPr>
        <w:tc>
          <w:tcPr>
            <w:tcW w:w="1900" w:type="dxa"/>
            <w:shd w:val="clear" w:color="auto" w:fill="E7E6E6"/>
            <w:tcMar>
              <w:top w:w="45" w:type="dxa"/>
              <w:left w:w="55" w:type="dxa"/>
              <w:bottom w:w="45" w:type="dxa"/>
              <w:right w:w="55" w:type="dxa"/>
            </w:tcMar>
            <w:vAlign w:val="center"/>
          </w:tcPr>
          <w:p w14:paraId="66F0A48C" w14:textId="77777777" w:rsidR="00235BC0" w:rsidRPr="00A46D13" w:rsidRDefault="00000000">
            <w:pPr>
              <w:spacing w:after="0"/>
              <w:jc w:val="left"/>
            </w:pPr>
            <w:r w:rsidRPr="00A46D13">
              <w:rPr>
                <w:b/>
                <w:bCs/>
                <w:sz w:val="15"/>
              </w:rPr>
              <w:t>Configuration</w:t>
            </w:r>
          </w:p>
        </w:tc>
        <w:tc>
          <w:tcPr>
            <w:tcW w:w="1243" w:type="dxa"/>
            <w:shd w:val="clear" w:color="auto" w:fill="E7E6E6"/>
            <w:tcMar>
              <w:top w:w="45" w:type="dxa"/>
              <w:left w:w="55" w:type="dxa"/>
              <w:bottom w:w="45" w:type="dxa"/>
              <w:right w:w="55" w:type="dxa"/>
            </w:tcMar>
            <w:vAlign w:val="center"/>
          </w:tcPr>
          <w:p w14:paraId="38E581E0" w14:textId="77777777" w:rsidR="00235BC0" w:rsidRPr="00A46D13" w:rsidRDefault="00000000">
            <w:pPr>
              <w:spacing w:after="0"/>
              <w:jc w:val="center"/>
            </w:pPr>
            <w:r w:rsidRPr="00A46D13">
              <w:rPr>
                <w:b/>
                <w:bCs/>
                <w:sz w:val="15"/>
              </w:rPr>
              <w:t>Automation</w:t>
            </w:r>
          </w:p>
        </w:tc>
        <w:tc>
          <w:tcPr>
            <w:tcW w:w="1243" w:type="dxa"/>
            <w:shd w:val="clear" w:color="auto" w:fill="E7E6E6"/>
            <w:tcMar>
              <w:top w:w="45" w:type="dxa"/>
              <w:left w:w="55" w:type="dxa"/>
              <w:bottom w:w="45" w:type="dxa"/>
              <w:right w:w="55" w:type="dxa"/>
            </w:tcMar>
            <w:vAlign w:val="center"/>
          </w:tcPr>
          <w:p w14:paraId="57B4413F" w14:textId="77777777" w:rsidR="00235BC0" w:rsidRPr="00A46D13" w:rsidRDefault="00000000">
            <w:pPr>
              <w:spacing w:after="0"/>
              <w:jc w:val="center"/>
            </w:pPr>
            <w:r w:rsidRPr="00A46D13">
              <w:rPr>
                <w:b/>
                <w:bCs/>
                <w:sz w:val="15"/>
              </w:rPr>
              <w:t>Governance</w:t>
            </w:r>
          </w:p>
        </w:tc>
        <w:tc>
          <w:tcPr>
            <w:tcW w:w="1243" w:type="dxa"/>
            <w:shd w:val="clear" w:color="auto" w:fill="E7E6E6"/>
            <w:tcMar>
              <w:top w:w="45" w:type="dxa"/>
              <w:left w:w="55" w:type="dxa"/>
              <w:bottom w:w="45" w:type="dxa"/>
              <w:right w:w="55" w:type="dxa"/>
            </w:tcMar>
            <w:vAlign w:val="center"/>
          </w:tcPr>
          <w:p w14:paraId="3937E3AE" w14:textId="77777777" w:rsidR="00235BC0" w:rsidRPr="00A46D13" w:rsidRDefault="00000000">
            <w:pPr>
              <w:spacing w:after="0"/>
              <w:jc w:val="center"/>
            </w:pPr>
            <w:r w:rsidRPr="00A46D13">
              <w:rPr>
                <w:b/>
                <w:bCs/>
                <w:sz w:val="15"/>
              </w:rPr>
              <w:t>Verification</w:t>
            </w:r>
          </w:p>
        </w:tc>
        <w:tc>
          <w:tcPr>
            <w:tcW w:w="1243" w:type="dxa"/>
            <w:shd w:val="clear" w:color="auto" w:fill="E7E6E6"/>
            <w:tcMar>
              <w:top w:w="45" w:type="dxa"/>
              <w:left w:w="55" w:type="dxa"/>
              <w:bottom w:w="45" w:type="dxa"/>
              <w:right w:w="55" w:type="dxa"/>
            </w:tcMar>
            <w:vAlign w:val="center"/>
          </w:tcPr>
          <w:p w14:paraId="3026633A" w14:textId="77777777" w:rsidR="00235BC0" w:rsidRPr="00A46D13" w:rsidRDefault="00000000">
            <w:pPr>
              <w:spacing w:after="0"/>
              <w:jc w:val="center"/>
            </w:pPr>
            <w:r w:rsidRPr="00A46D13">
              <w:rPr>
                <w:b/>
                <w:bCs/>
                <w:sz w:val="15"/>
              </w:rPr>
              <w:t>Mean value</w:t>
            </w:r>
          </w:p>
        </w:tc>
        <w:tc>
          <w:tcPr>
            <w:tcW w:w="1243" w:type="dxa"/>
            <w:shd w:val="clear" w:color="auto" w:fill="E7E6E6"/>
            <w:tcMar>
              <w:top w:w="45" w:type="dxa"/>
              <w:left w:w="55" w:type="dxa"/>
              <w:bottom w:w="45" w:type="dxa"/>
              <w:right w:w="55" w:type="dxa"/>
            </w:tcMar>
            <w:vAlign w:val="center"/>
          </w:tcPr>
          <w:p w14:paraId="4BB979D1" w14:textId="77777777" w:rsidR="00235BC0" w:rsidRPr="00A46D13" w:rsidRDefault="00000000">
            <w:pPr>
              <w:spacing w:after="0"/>
              <w:jc w:val="center"/>
            </w:pPr>
            <w:r w:rsidRPr="00A46D13">
              <w:rPr>
                <w:b/>
                <w:bCs/>
                <w:sz w:val="15"/>
              </w:rPr>
              <w:t>2.5th percentile</w:t>
            </w:r>
          </w:p>
        </w:tc>
        <w:tc>
          <w:tcPr>
            <w:tcW w:w="1245" w:type="dxa"/>
            <w:shd w:val="clear" w:color="auto" w:fill="E7E6E6"/>
            <w:tcMar>
              <w:top w:w="45" w:type="dxa"/>
              <w:left w:w="55" w:type="dxa"/>
              <w:bottom w:w="45" w:type="dxa"/>
              <w:right w:w="55" w:type="dxa"/>
            </w:tcMar>
            <w:vAlign w:val="center"/>
          </w:tcPr>
          <w:p w14:paraId="25832749" w14:textId="77777777" w:rsidR="00235BC0" w:rsidRPr="00A46D13" w:rsidRDefault="00000000">
            <w:pPr>
              <w:spacing w:after="0"/>
              <w:jc w:val="center"/>
            </w:pPr>
            <w:r w:rsidRPr="00A46D13">
              <w:rPr>
                <w:b/>
                <w:bCs/>
                <w:sz w:val="15"/>
              </w:rPr>
              <w:t>97.5th percentile</w:t>
            </w:r>
          </w:p>
        </w:tc>
      </w:tr>
      <w:tr w:rsidR="00235BC0" w:rsidRPr="00A46D13" w14:paraId="29B831BE" w14:textId="77777777">
        <w:trPr>
          <w:cantSplit/>
          <w:jc w:val="center"/>
        </w:trPr>
        <w:tc>
          <w:tcPr>
            <w:tcW w:w="1900" w:type="dxa"/>
            <w:tcMar>
              <w:top w:w="45" w:type="dxa"/>
              <w:left w:w="55" w:type="dxa"/>
              <w:bottom w:w="45" w:type="dxa"/>
              <w:right w:w="55" w:type="dxa"/>
            </w:tcMar>
            <w:vAlign w:val="center"/>
          </w:tcPr>
          <w:p w14:paraId="5923F740" w14:textId="77777777" w:rsidR="00235BC0" w:rsidRPr="00A46D13" w:rsidRDefault="00000000">
            <w:pPr>
              <w:spacing w:after="0"/>
              <w:jc w:val="left"/>
            </w:pPr>
            <w:r w:rsidRPr="00A46D13">
              <w:rPr>
                <w:sz w:val="15"/>
              </w:rPr>
              <w:t>Best evaluated fixed policy</w:t>
            </w:r>
          </w:p>
        </w:tc>
        <w:tc>
          <w:tcPr>
            <w:tcW w:w="1243" w:type="dxa"/>
            <w:tcMar>
              <w:top w:w="45" w:type="dxa"/>
              <w:left w:w="55" w:type="dxa"/>
              <w:bottom w:w="45" w:type="dxa"/>
              <w:right w:w="55" w:type="dxa"/>
            </w:tcMar>
            <w:vAlign w:val="center"/>
          </w:tcPr>
          <w:p w14:paraId="53D14111" w14:textId="77777777" w:rsidR="00235BC0" w:rsidRPr="00A46D13" w:rsidRDefault="00000000">
            <w:pPr>
              <w:spacing w:after="0"/>
              <w:jc w:val="center"/>
            </w:pPr>
            <w:r w:rsidRPr="00A46D13">
              <w:rPr>
                <w:sz w:val="15"/>
              </w:rPr>
              <w:t>1.000</w:t>
            </w:r>
          </w:p>
        </w:tc>
        <w:tc>
          <w:tcPr>
            <w:tcW w:w="1243" w:type="dxa"/>
            <w:tcMar>
              <w:top w:w="45" w:type="dxa"/>
              <w:left w:w="55" w:type="dxa"/>
              <w:bottom w:w="45" w:type="dxa"/>
              <w:right w:w="55" w:type="dxa"/>
            </w:tcMar>
            <w:vAlign w:val="center"/>
          </w:tcPr>
          <w:p w14:paraId="1DBA1BD2" w14:textId="77777777" w:rsidR="00235BC0" w:rsidRPr="00A46D13" w:rsidRDefault="00000000">
            <w:pPr>
              <w:spacing w:after="0"/>
              <w:jc w:val="center"/>
            </w:pPr>
            <w:r w:rsidRPr="00A46D13">
              <w:rPr>
                <w:sz w:val="15"/>
              </w:rPr>
              <w:t>0.300</w:t>
            </w:r>
          </w:p>
        </w:tc>
        <w:tc>
          <w:tcPr>
            <w:tcW w:w="1243" w:type="dxa"/>
            <w:tcMar>
              <w:top w:w="45" w:type="dxa"/>
              <w:left w:w="55" w:type="dxa"/>
              <w:bottom w:w="45" w:type="dxa"/>
              <w:right w:w="55" w:type="dxa"/>
            </w:tcMar>
            <w:vAlign w:val="center"/>
          </w:tcPr>
          <w:p w14:paraId="07C9F752" w14:textId="77777777" w:rsidR="00235BC0" w:rsidRPr="00A46D13" w:rsidRDefault="00000000">
            <w:pPr>
              <w:spacing w:after="0"/>
              <w:jc w:val="center"/>
            </w:pPr>
            <w:r w:rsidRPr="00A46D13">
              <w:rPr>
                <w:sz w:val="15"/>
              </w:rPr>
              <w:t>0.7625</w:t>
            </w:r>
          </w:p>
        </w:tc>
        <w:tc>
          <w:tcPr>
            <w:tcW w:w="1243" w:type="dxa"/>
            <w:tcMar>
              <w:top w:w="45" w:type="dxa"/>
              <w:left w:w="55" w:type="dxa"/>
              <w:bottom w:w="45" w:type="dxa"/>
              <w:right w:w="55" w:type="dxa"/>
            </w:tcMar>
            <w:vAlign w:val="center"/>
          </w:tcPr>
          <w:p w14:paraId="6A21C8D2" w14:textId="77777777" w:rsidR="00235BC0" w:rsidRPr="00A46D13" w:rsidRDefault="00000000">
            <w:pPr>
              <w:spacing w:after="0"/>
              <w:jc w:val="center"/>
            </w:pPr>
            <w:r w:rsidRPr="00A46D13">
              <w:rPr>
                <w:sz w:val="15"/>
              </w:rPr>
              <w:t>608.92</w:t>
            </w:r>
          </w:p>
        </w:tc>
        <w:tc>
          <w:tcPr>
            <w:tcW w:w="1243" w:type="dxa"/>
            <w:tcMar>
              <w:top w:w="45" w:type="dxa"/>
              <w:left w:w="55" w:type="dxa"/>
              <w:bottom w:w="45" w:type="dxa"/>
              <w:right w:w="55" w:type="dxa"/>
            </w:tcMar>
            <w:vAlign w:val="center"/>
          </w:tcPr>
          <w:p w14:paraId="2D221DCC" w14:textId="77777777" w:rsidR="00235BC0" w:rsidRPr="00A46D13" w:rsidRDefault="00000000">
            <w:pPr>
              <w:spacing w:after="0"/>
              <w:jc w:val="center"/>
            </w:pPr>
            <w:r w:rsidRPr="00A46D13">
              <w:rPr>
                <w:sz w:val="15"/>
              </w:rPr>
              <w:t>569.29</w:t>
            </w:r>
          </w:p>
        </w:tc>
        <w:tc>
          <w:tcPr>
            <w:tcW w:w="1245" w:type="dxa"/>
            <w:tcMar>
              <w:top w:w="45" w:type="dxa"/>
              <w:left w:w="55" w:type="dxa"/>
              <w:bottom w:w="45" w:type="dxa"/>
              <w:right w:w="55" w:type="dxa"/>
            </w:tcMar>
            <w:vAlign w:val="center"/>
          </w:tcPr>
          <w:p w14:paraId="10DDD81B" w14:textId="77777777" w:rsidR="00235BC0" w:rsidRPr="00A46D13" w:rsidRDefault="00000000">
            <w:pPr>
              <w:spacing w:after="0"/>
              <w:jc w:val="center"/>
            </w:pPr>
            <w:r w:rsidRPr="00A46D13">
              <w:rPr>
                <w:sz w:val="15"/>
              </w:rPr>
              <w:t>648.08</w:t>
            </w:r>
          </w:p>
        </w:tc>
      </w:tr>
      <w:tr w:rsidR="00235BC0" w:rsidRPr="00A46D13" w14:paraId="1E14942B" w14:textId="77777777">
        <w:trPr>
          <w:cantSplit/>
          <w:jc w:val="center"/>
        </w:trPr>
        <w:tc>
          <w:tcPr>
            <w:tcW w:w="1900" w:type="dxa"/>
            <w:tcMar>
              <w:top w:w="45" w:type="dxa"/>
              <w:left w:w="55" w:type="dxa"/>
              <w:bottom w:w="45" w:type="dxa"/>
              <w:right w:w="55" w:type="dxa"/>
            </w:tcMar>
            <w:vAlign w:val="center"/>
          </w:tcPr>
          <w:p w14:paraId="1A5906C4" w14:textId="77777777" w:rsidR="00235BC0" w:rsidRPr="00A46D13" w:rsidRDefault="00000000">
            <w:pPr>
              <w:spacing w:after="0"/>
              <w:jc w:val="left"/>
            </w:pPr>
            <w:r w:rsidRPr="00A46D13">
              <w:rPr>
                <w:sz w:val="15"/>
              </w:rPr>
              <w:t>Verified autonomy</w:t>
            </w:r>
          </w:p>
        </w:tc>
        <w:tc>
          <w:tcPr>
            <w:tcW w:w="1243" w:type="dxa"/>
            <w:tcMar>
              <w:top w:w="45" w:type="dxa"/>
              <w:left w:w="55" w:type="dxa"/>
              <w:bottom w:w="45" w:type="dxa"/>
              <w:right w:w="55" w:type="dxa"/>
            </w:tcMar>
            <w:vAlign w:val="center"/>
          </w:tcPr>
          <w:p w14:paraId="64653E47" w14:textId="77777777" w:rsidR="00235BC0" w:rsidRPr="00A46D13" w:rsidRDefault="00000000">
            <w:pPr>
              <w:spacing w:after="0"/>
              <w:jc w:val="center"/>
            </w:pPr>
            <w:r w:rsidRPr="00A46D13">
              <w:rPr>
                <w:sz w:val="15"/>
              </w:rPr>
              <w:t>0.780</w:t>
            </w:r>
          </w:p>
        </w:tc>
        <w:tc>
          <w:tcPr>
            <w:tcW w:w="1243" w:type="dxa"/>
            <w:tcMar>
              <w:top w:w="45" w:type="dxa"/>
              <w:left w:w="55" w:type="dxa"/>
              <w:bottom w:w="45" w:type="dxa"/>
              <w:right w:w="55" w:type="dxa"/>
            </w:tcMar>
            <w:vAlign w:val="center"/>
          </w:tcPr>
          <w:p w14:paraId="1B132906" w14:textId="77777777" w:rsidR="00235BC0" w:rsidRPr="00A46D13" w:rsidRDefault="00000000">
            <w:pPr>
              <w:spacing w:after="0"/>
              <w:jc w:val="center"/>
            </w:pPr>
            <w:r w:rsidRPr="00A46D13">
              <w:rPr>
                <w:sz w:val="15"/>
              </w:rPr>
              <w:t>0.680</w:t>
            </w:r>
          </w:p>
        </w:tc>
        <w:tc>
          <w:tcPr>
            <w:tcW w:w="1243" w:type="dxa"/>
            <w:tcMar>
              <w:top w:w="45" w:type="dxa"/>
              <w:left w:w="55" w:type="dxa"/>
              <w:bottom w:w="45" w:type="dxa"/>
              <w:right w:w="55" w:type="dxa"/>
            </w:tcMar>
            <w:vAlign w:val="center"/>
          </w:tcPr>
          <w:p w14:paraId="49198EFD" w14:textId="77777777" w:rsidR="00235BC0" w:rsidRPr="00A46D13" w:rsidRDefault="00000000">
            <w:pPr>
              <w:spacing w:after="0"/>
              <w:jc w:val="center"/>
            </w:pPr>
            <w:r w:rsidRPr="00A46D13">
              <w:rPr>
                <w:sz w:val="15"/>
              </w:rPr>
              <w:t>0.7200</w:t>
            </w:r>
          </w:p>
        </w:tc>
        <w:tc>
          <w:tcPr>
            <w:tcW w:w="1243" w:type="dxa"/>
            <w:tcMar>
              <w:top w:w="45" w:type="dxa"/>
              <w:left w:w="55" w:type="dxa"/>
              <w:bottom w:w="45" w:type="dxa"/>
              <w:right w:w="55" w:type="dxa"/>
            </w:tcMar>
            <w:vAlign w:val="center"/>
          </w:tcPr>
          <w:p w14:paraId="748F6882" w14:textId="77777777" w:rsidR="00235BC0" w:rsidRPr="00A46D13" w:rsidRDefault="00000000">
            <w:pPr>
              <w:spacing w:after="0"/>
              <w:jc w:val="center"/>
            </w:pPr>
            <w:r w:rsidRPr="00A46D13">
              <w:rPr>
                <w:sz w:val="15"/>
              </w:rPr>
              <w:t>454.93</w:t>
            </w:r>
          </w:p>
        </w:tc>
        <w:tc>
          <w:tcPr>
            <w:tcW w:w="1243" w:type="dxa"/>
            <w:tcMar>
              <w:top w:w="45" w:type="dxa"/>
              <w:left w:w="55" w:type="dxa"/>
              <w:bottom w:w="45" w:type="dxa"/>
              <w:right w:w="55" w:type="dxa"/>
            </w:tcMar>
            <w:vAlign w:val="center"/>
          </w:tcPr>
          <w:p w14:paraId="3CA932F2" w14:textId="77777777" w:rsidR="00235BC0" w:rsidRPr="00A46D13" w:rsidRDefault="00000000">
            <w:pPr>
              <w:spacing w:after="0"/>
              <w:jc w:val="center"/>
            </w:pPr>
            <w:r w:rsidRPr="00A46D13">
              <w:rPr>
                <w:sz w:val="15"/>
              </w:rPr>
              <w:t>424.64</w:t>
            </w:r>
          </w:p>
        </w:tc>
        <w:tc>
          <w:tcPr>
            <w:tcW w:w="1245" w:type="dxa"/>
            <w:tcMar>
              <w:top w:w="45" w:type="dxa"/>
              <w:left w:w="55" w:type="dxa"/>
              <w:bottom w:w="45" w:type="dxa"/>
              <w:right w:w="55" w:type="dxa"/>
            </w:tcMar>
            <w:vAlign w:val="center"/>
          </w:tcPr>
          <w:p w14:paraId="42144129" w14:textId="77777777" w:rsidR="00235BC0" w:rsidRPr="00A46D13" w:rsidRDefault="00000000">
            <w:pPr>
              <w:spacing w:after="0"/>
              <w:jc w:val="center"/>
            </w:pPr>
            <w:r w:rsidRPr="00A46D13">
              <w:rPr>
                <w:sz w:val="15"/>
              </w:rPr>
              <w:t>484.46</w:t>
            </w:r>
          </w:p>
        </w:tc>
      </w:tr>
      <w:tr w:rsidR="00235BC0" w:rsidRPr="00A46D13" w14:paraId="081CAC15" w14:textId="77777777">
        <w:trPr>
          <w:cantSplit/>
          <w:jc w:val="center"/>
        </w:trPr>
        <w:tc>
          <w:tcPr>
            <w:tcW w:w="1900" w:type="dxa"/>
            <w:tcMar>
              <w:top w:w="45" w:type="dxa"/>
              <w:left w:w="55" w:type="dxa"/>
              <w:bottom w:w="45" w:type="dxa"/>
              <w:right w:w="55" w:type="dxa"/>
            </w:tcMar>
            <w:vAlign w:val="center"/>
          </w:tcPr>
          <w:p w14:paraId="1684FA09" w14:textId="77777777" w:rsidR="00235BC0" w:rsidRPr="00A46D13" w:rsidRDefault="00000000">
            <w:pPr>
              <w:spacing w:after="0"/>
              <w:jc w:val="left"/>
            </w:pPr>
            <w:r w:rsidRPr="00A46D13">
              <w:rPr>
                <w:sz w:val="15"/>
              </w:rPr>
              <w:t>Debt-responsive governance</w:t>
            </w:r>
          </w:p>
        </w:tc>
        <w:tc>
          <w:tcPr>
            <w:tcW w:w="1243" w:type="dxa"/>
            <w:tcMar>
              <w:top w:w="45" w:type="dxa"/>
              <w:left w:w="55" w:type="dxa"/>
              <w:bottom w:w="45" w:type="dxa"/>
              <w:right w:w="55" w:type="dxa"/>
            </w:tcMar>
            <w:vAlign w:val="center"/>
          </w:tcPr>
          <w:p w14:paraId="0678D888" w14:textId="77777777" w:rsidR="00235BC0" w:rsidRPr="00A46D13" w:rsidRDefault="00000000">
            <w:pPr>
              <w:spacing w:after="0"/>
              <w:jc w:val="center"/>
            </w:pPr>
            <w:r w:rsidRPr="00A46D13">
              <w:rPr>
                <w:sz w:val="15"/>
              </w:rPr>
              <w:t>Adaptive</w:t>
            </w:r>
          </w:p>
        </w:tc>
        <w:tc>
          <w:tcPr>
            <w:tcW w:w="1243" w:type="dxa"/>
            <w:tcMar>
              <w:top w:w="45" w:type="dxa"/>
              <w:left w:w="55" w:type="dxa"/>
              <w:bottom w:w="45" w:type="dxa"/>
              <w:right w:w="55" w:type="dxa"/>
            </w:tcMar>
            <w:vAlign w:val="center"/>
          </w:tcPr>
          <w:p w14:paraId="651781CA" w14:textId="77777777" w:rsidR="00235BC0" w:rsidRPr="00A46D13" w:rsidRDefault="00000000">
            <w:pPr>
              <w:spacing w:after="0"/>
              <w:jc w:val="center"/>
            </w:pPr>
            <w:r w:rsidRPr="00A46D13">
              <w:rPr>
                <w:sz w:val="15"/>
              </w:rPr>
              <w:t>Adaptive</w:t>
            </w:r>
          </w:p>
        </w:tc>
        <w:tc>
          <w:tcPr>
            <w:tcW w:w="1243" w:type="dxa"/>
            <w:tcMar>
              <w:top w:w="45" w:type="dxa"/>
              <w:left w:w="55" w:type="dxa"/>
              <w:bottom w:w="45" w:type="dxa"/>
              <w:right w:w="55" w:type="dxa"/>
            </w:tcMar>
            <w:vAlign w:val="center"/>
          </w:tcPr>
          <w:p w14:paraId="51DB1EEA" w14:textId="77777777" w:rsidR="00235BC0" w:rsidRPr="00A46D13" w:rsidRDefault="00000000">
            <w:pPr>
              <w:spacing w:after="0"/>
              <w:jc w:val="center"/>
            </w:pPr>
            <w:r w:rsidRPr="00A46D13">
              <w:rPr>
                <w:sz w:val="15"/>
              </w:rPr>
              <w:t>Adaptive</w:t>
            </w:r>
          </w:p>
        </w:tc>
        <w:tc>
          <w:tcPr>
            <w:tcW w:w="1243" w:type="dxa"/>
            <w:tcMar>
              <w:top w:w="45" w:type="dxa"/>
              <w:left w:w="55" w:type="dxa"/>
              <w:bottom w:w="45" w:type="dxa"/>
              <w:right w:w="55" w:type="dxa"/>
            </w:tcMar>
            <w:vAlign w:val="center"/>
          </w:tcPr>
          <w:p w14:paraId="5E3DCC80" w14:textId="77777777" w:rsidR="00235BC0" w:rsidRPr="00A46D13" w:rsidRDefault="00000000">
            <w:pPr>
              <w:spacing w:after="0"/>
              <w:jc w:val="center"/>
            </w:pPr>
            <w:r w:rsidRPr="00A46D13">
              <w:rPr>
                <w:sz w:val="15"/>
              </w:rPr>
              <w:t>419.97</w:t>
            </w:r>
          </w:p>
        </w:tc>
        <w:tc>
          <w:tcPr>
            <w:tcW w:w="1243" w:type="dxa"/>
            <w:tcMar>
              <w:top w:w="45" w:type="dxa"/>
              <w:left w:w="55" w:type="dxa"/>
              <w:bottom w:w="45" w:type="dxa"/>
              <w:right w:w="55" w:type="dxa"/>
            </w:tcMar>
            <w:vAlign w:val="center"/>
          </w:tcPr>
          <w:p w14:paraId="03DB2E02" w14:textId="77777777" w:rsidR="00235BC0" w:rsidRPr="00A46D13" w:rsidRDefault="00000000">
            <w:pPr>
              <w:spacing w:after="0"/>
              <w:jc w:val="center"/>
            </w:pPr>
            <w:r w:rsidRPr="00A46D13">
              <w:rPr>
                <w:sz w:val="15"/>
              </w:rPr>
              <w:t>388.05</w:t>
            </w:r>
          </w:p>
        </w:tc>
        <w:tc>
          <w:tcPr>
            <w:tcW w:w="1245" w:type="dxa"/>
            <w:tcMar>
              <w:top w:w="45" w:type="dxa"/>
              <w:left w:w="55" w:type="dxa"/>
              <w:bottom w:w="45" w:type="dxa"/>
              <w:right w:w="55" w:type="dxa"/>
            </w:tcMar>
            <w:vAlign w:val="center"/>
          </w:tcPr>
          <w:p w14:paraId="0A80BE99" w14:textId="77777777" w:rsidR="00235BC0" w:rsidRPr="00A46D13" w:rsidRDefault="00000000">
            <w:pPr>
              <w:spacing w:after="0"/>
              <w:jc w:val="center"/>
            </w:pPr>
            <w:r w:rsidRPr="00A46D13">
              <w:rPr>
                <w:sz w:val="15"/>
              </w:rPr>
              <w:t>450.33</w:t>
            </w:r>
          </w:p>
        </w:tc>
      </w:tr>
      <w:tr w:rsidR="00235BC0" w:rsidRPr="00A46D13" w14:paraId="7A8BA14F" w14:textId="77777777">
        <w:trPr>
          <w:cantSplit/>
          <w:jc w:val="center"/>
        </w:trPr>
        <w:tc>
          <w:tcPr>
            <w:tcW w:w="1900" w:type="dxa"/>
            <w:tcMar>
              <w:top w:w="45" w:type="dxa"/>
              <w:left w:w="55" w:type="dxa"/>
              <w:bottom w:w="45" w:type="dxa"/>
              <w:right w:w="55" w:type="dxa"/>
            </w:tcMar>
            <w:vAlign w:val="center"/>
          </w:tcPr>
          <w:p w14:paraId="4F025375" w14:textId="77777777" w:rsidR="00235BC0" w:rsidRPr="00A46D13" w:rsidRDefault="00000000">
            <w:pPr>
              <w:spacing w:after="0"/>
              <w:jc w:val="left"/>
            </w:pPr>
            <w:r w:rsidRPr="00A46D13">
              <w:rPr>
                <w:sz w:val="15"/>
              </w:rPr>
              <w:t>Acceleration-first</w:t>
            </w:r>
          </w:p>
        </w:tc>
        <w:tc>
          <w:tcPr>
            <w:tcW w:w="1243" w:type="dxa"/>
            <w:tcMar>
              <w:top w:w="45" w:type="dxa"/>
              <w:left w:w="55" w:type="dxa"/>
              <w:bottom w:w="45" w:type="dxa"/>
              <w:right w:w="55" w:type="dxa"/>
            </w:tcMar>
            <w:vAlign w:val="center"/>
          </w:tcPr>
          <w:p w14:paraId="27488154" w14:textId="77777777" w:rsidR="00235BC0" w:rsidRPr="00A46D13" w:rsidRDefault="00000000">
            <w:pPr>
              <w:spacing w:after="0"/>
              <w:jc w:val="center"/>
            </w:pPr>
            <w:r w:rsidRPr="00A46D13">
              <w:rPr>
                <w:sz w:val="15"/>
              </w:rPr>
              <w:t>0.900</w:t>
            </w:r>
          </w:p>
        </w:tc>
        <w:tc>
          <w:tcPr>
            <w:tcW w:w="1243" w:type="dxa"/>
            <w:tcMar>
              <w:top w:w="45" w:type="dxa"/>
              <w:left w:w="55" w:type="dxa"/>
              <w:bottom w:w="45" w:type="dxa"/>
              <w:right w:w="55" w:type="dxa"/>
            </w:tcMar>
            <w:vAlign w:val="center"/>
          </w:tcPr>
          <w:p w14:paraId="2396347B" w14:textId="77777777" w:rsidR="00235BC0" w:rsidRPr="00A46D13" w:rsidRDefault="00000000">
            <w:pPr>
              <w:spacing w:after="0"/>
              <w:jc w:val="center"/>
            </w:pPr>
            <w:r w:rsidRPr="00A46D13">
              <w:rPr>
                <w:sz w:val="15"/>
              </w:rPr>
              <w:t>0.250</w:t>
            </w:r>
          </w:p>
        </w:tc>
        <w:tc>
          <w:tcPr>
            <w:tcW w:w="1243" w:type="dxa"/>
            <w:tcMar>
              <w:top w:w="45" w:type="dxa"/>
              <w:left w:w="55" w:type="dxa"/>
              <w:bottom w:w="45" w:type="dxa"/>
              <w:right w:w="55" w:type="dxa"/>
            </w:tcMar>
            <w:vAlign w:val="center"/>
          </w:tcPr>
          <w:p w14:paraId="546818AA" w14:textId="77777777" w:rsidR="00235BC0" w:rsidRPr="00A46D13" w:rsidRDefault="00000000">
            <w:pPr>
              <w:spacing w:after="0"/>
              <w:jc w:val="center"/>
            </w:pPr>
            <w:r w:rsidRPr="00A46D13">
              <w:rPr>
                <w:sz w:val="15"/>
              </w:rPr>
              <w:t>0.3000</w:t>
            </w:r>
          </w:p>
        </w:tc>
        <w:tc>
          <w:tcPr>
            <w:tcW w:w="1243" w:type="dxa"/>
            <w:tcMar>
              <w:top w:w="45" w:type="dxa"/>
              <w:left w:w="55" w:type="dxa"/>
              <w:bottom w:w="45" w:type="dxa"/>
              <w:right w:w="55" w:type="dxa"/>
            </w:tcMar>
            <w:vAlign w:val="center"/>
          </w:tcPr>
          <w:p w14:paraId="388724A0" w14:textId="77777777" w:rsidR="00235BC0" w:rsidRPr="00A46D13" w:rsidRDefault="00000000">
            <w:pPr>
              <w:spacing w:after="0"/>
              <w:jc w:val="center"/>
            </w:pPr>
            <w:r w:rsidRPr="00A46D13">
              <w:rPr>
                <w:sz w:val="15"/>
              </w:rPr>
              <w:t>3.77</w:t>
            </w:r>
          </w:p>
        </w:tc>
        <w:tc>
          <w:tcPr>
            <w:tcW w:w="1243" w:type="dxa"/>
            <w:tcMar>
              <w:top w:w="45" w:type="dxa"/>
              <w:left w:w="55" w:type="dxa"/>
              <w:bottom w:w="45" w:type="dxa"/>
              <w:right w:w="55" w:type="dxa"/>
            </w:tcMar>
            <w:vAlign w:val="center"/>
          </w:tcPr>
          <w:p w14:paraId="3394D30F" w14:textId="77777777" w:rsidR="00235BC0" w:rsidRPr="00A46D13" w:rsidRDefault="00000000">
            <w:pPr>
              <w:spacing w:after="0"/>
              <w:jc w:val="center"/>
            </w:pPr>
            <w:r w:rsidRPr="00A46D13">
              <w:rPr>
                <w:sz w:val="15"/>
              </w:rPr>
              <w:t>-86.91</w:t>
            </w:r>
          </w:p>
        </w:tc>
        <w:tc>
          <w:tcPr>
            <w:tcW w:w="1245" w:type="dxa"/>
            <w:tcMar>
              <w:top w:w="45" w:type="dxa"/>
              <w:left w:w="55" w:type="dxa"/>
              <w:bottom w:w="45" w:type="dxa"/>
              <w:right w:w="55" w:type="dxa"/>
            </w:tcMar>
            <w:vAlign w:val="center"/>
          </w:tcPr>
          <w:p w14:paraId="6F71C47B" w14:textId="77777777" w:rsidR="00235BC0" w:rsidRPr="00A46D13" w:rsidRDefault="00000000">
            <w:pPr>
              <w:spacing w:after="0"/>
              <w:jc w:val="center"/>
            </w:pPr>
            <w:r w:rsidRPr="00A46D13">
              <w:rPr>
                <w:sz w:val="15"/>
              </w:rPr>
              <w:t>71.27</w:t>
            </w:r>
          </w:p>
        </w:tc>
      </w:tr>
    </w:tbl>
    <w:p w14:paraId="59B85300" w14:textId="77777777" w:rsidR="00235BC0" w:rsidRPr="00A46D13" w:rsidRDefault="00000000">
      <w:pPr>
        <w:keepNext/>
        <w:spacing w:before="100" w:after="40"/>
        <w:jc w:val="left"/>
      </w:pPr>
      <w:r w:rsidRPr="00A46D13">
        <w:rPr>
          <w:b/>
          <w:bCs/>
        </w:rPr>
        <w:t>Table 5B. State and assurance diagnostics for policy benchmarks</w:t>
      </w:r>
    </w:p>
    <w:tbl>
      <w:tblPr>
        <w:tblW w:w="936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20" w:firstRow="1" w:lastRow="0" w:firstColumn="0" w:lastColumn="0" w:noHBand="0" w:noVBand="0"/>
      </w:tblPr>
      <w:tblGrid>
        <w:gridCol w:w="2000"/>
        <w:gridCol w:w="1472"/>
        <w:gridCol w:w="1472"/>
        <w:gridCol w:w="1472"/>
        <w:gridCol w:w="1472"/>
        <w:gridCol w:w="1472"/>
      </w:tblGrid>
      <w:tr w:rsidR="00235BC0" w:rsidRPr="00A46D13" w14:paraId="00CBFD70" w14:textId="77777777">
        <w:trPr>
          <w:cantSplit/>
          <w:tblHeader/>
          <w:jc w:val="center"/>
        </w:trPr>
        <w:tc>
          <w:tcPr>
            <w:tcW w:w="2000" w:type="dxa"/>
            <w:shd w:val="clear" w:color="auto" w:fill="E7E6E6"/>
            <w:tcMar>
              <w:top w:w="45" w:type="dxa"/>
              <w:left w:w="55" w:type="dxa"/>
              <w:bottom w:w="45" w:type="dxa"/>
              <w:right w:w="55" w:type="dxa"/>
            </w:tcMar>
            <w:vAlign w:val="center"/>
          </w:tcPr>
          <w:p w14:paraId="0F551838" w14:textId="77777777" w:rsidR="00235BC0" w:rsidRPr="00A46D13" w:rsidRDefault="00000000">
            <w:pPr>
              <w:spacing w:after="0"/>
              <w:jc w:val="left"/>
            </w:pPr>
            <w:r w:rsidRPr="00A46D13">
              <w:rPr>
                <w:b/>
                <w:bCs/>
                <w:sz w:val="16"/>
              </w:rPr>
              <w:t>Configuration</w:t>
            </w:r>
          </w:p>
        </w:tc>
        <w:tc>
          <w:tcPr>
            <w:tcW w:w="1472" w:type="dxa"/>
            <w:shd w:val="clear" w:color="auto" w:fill="E7E6E6"/>
            <w:tcMar>
              <w:top w:w="45" w:type="dxa"/>
              <w:left w:w="55" w:type="dxa"/>
              <w:bottom w:w="45" w:type="dxa"/>
              <w:right w:w="55" w:type="dxa"/>
            </w:tcMar>
            <w:vAlign w:val="center"/>
          </w:tcPr>
          <w:p w14:paraId="4E8EE16D" w14:textId="77777777" w:rsidR="00235BC0" w:rsidRPr="00A46D13" w:rsidRDefault="00000000">
            <w:pPr>
              <w:spacing w:after="0"/>
              <w:jc w:val="center"/>
            </w:pPr>
            <w:r w:rsidRPr="00A46D13">
              <w:rPr>
                <w:b/>
                <w:bCs/>
                <w:sz w:val="16"/>
              </w:rPr>
              <w:t>Final debt</w:t>
            </w:r>
          </w:p>
        </w:tc>
        <w:tc>
          <w:tcPr>
            <w:tcW w:w="1472" w:type="dxa"/>
            <w:shd w:val="clear" w:color="auto" w:fill="E7E6E6"/>
            <w:tcMar>
              <w:top w:w="45" w:type="dxa"/>
              <w:left w:w="55" w:type="dxa"/>
              <w:bottom w:w="45" w:type="dxa"/>
              <w:right w:w="55" w:type="dxa"/>
            </w:tcMar>
            <w:vAlign w:val="center"/>
          </w:tcPr>
          <w:p w14:paraId="5A6AFE91" w14:textId="77777777" w:rsidR="00235BC0" w:rsidRPr="00A46D13" w:rsidRDefault="00000000">
            <w:pPr>
              <w:spacing w:after="0"/>
              <w:jc w:val="center"/>
            </w:pPr>
            <w:r w:rsidRPr="00A46D13">
              <w:rPr>
                <w:b/>
                <w:bCs/>
                <w:sz w:val="16"/>
              </w:rPr>
              <w:t>Final expertise</w:t>
            </w:r>
          </w:p>
        </w:tc>
        <w:tc>
          <w:tcPr>
            <w:tcW w:w="1472" w:type="dxa"/>
            <w:shd w:val="clear" w:color="auto" w:fill="E7E6E6"/>
            <w:tcMar>
              <w:top w:w="45" w:type="dxa"/>
              <w:left w:w="55" w:type="dxa"/>
              <w:bottom w:w="45" w:type="dxa"/>
              <w:right w:w="55" w:type="dxa"/>
            </w:tcMar>
            <w:vAlign w:val="center"/>
          </w:tcPr>
          <w:p w14:paraId="55B4F710" w14:textId="77777777" w:rsidR="00235BC0" w:rsidRPr="00A46D13" w:rsidRDefault="00000000">
            <w:pPr>
              <w:spacing w:after="0"/>
              <w:jc w:val="center"/>
            </w:pPr>
            <w:r w:rsidRPr="00A46D13">
              <w:rPr>
                <w:b/>
                <w:bCs/>
                <w:sz w:val="16"/>
              </w:rPr>
              <w:t>Final resilience</w:t>
            </w:r>
          </w:p>
        </w:tc>
        <w:tc>
          <w:tcPr>
            <w:tcW w:w="1472" w:type="dxa"/>
            <w:shd w:val="clear" w:color="auto" w:fill="E7E6E6"/>
            <w:tcMar>
              <w:top w:w="45" w:type="dxa"/>
              <w:left w:w="55" w:type="dxa"/>
              <w:bottom w:w="45" w:type="dxa"/>
              <w:right w:w="55" w:type="dxa"/>
            </w:tcMar>
            <w:vAlign w:val="center"/>
          </w:tcPr>
          <w:p w14:paraId="1A76FA5B" w14:textId="77777777" w:rsidR="00235BC0" w:rsidRPr="00A46D13" w:rsidRDefault="00000000">
            <w:pPr>
              <w:spacing w:after="0"/>
              <w:jc w:val="center"/>
            </w:pPr>
            <w:r w:rsidRPr="00A46D13">
              <w:rPr>
                <w:b/>
                <w:bCs/>
                <w:sz w:val="16"/>
              </w:rPr>
              <w:t>Flow adequate (%)</w:t>
            </w:r>
          </w:p>
        </w:tc>
        <w:tc>
          <w:tcPr>
            <w:tcW w:w="1472" w:type="dxa"/>
            <w:shd w:val="clear" w:color="auto" w:fill="E7E6E6"/>
            <w:tcMar>
              <w:top w:w="45" w:type="dxa"/>
              <w:left w:w="55" w:type="dxa"/>
              <w:bottom w:w="45" w:type="dxa"/>
              <w:right w:w="55" w:type="dxa"/>
            </w:tcMar>
            <w:vAlign w:val="center"/>
          </w:tcPr>
          <w:p w14:paraId="616F2ADB" w14:textId="77777777" w:rsidR="00235BC0" w:rsidRPr="00A46D13" w:rsidRDefault="00000000">
            <w:pPr>
              <w:spacing w:after="0"/>
              <w:jc w:val="center"/>
            </w:pPr>
            <w:r w:rsidRPr="00A46D13">
              <w:rPr>
                <w:b/>
                <w:bCs/>
                <w:sz w:val="16"/>
              </w:rPr>
              <w:t>Fragility (%)</w:t>
            </w:r>
          </w:p>
        </w:tc>
      </w:tr>
      <w:tr w:rsidR="00235BC0" w:rsidRPr="00A46D13" w14:paraId="58D2A95B" w14:textId="77777777">
        <w:trPr>
          <w:cantSplit/>
          <w:jc w:val="center"/>
        </w:trPr>
        <w:tc>
          <w:tcPr>
            <w:tcW w:w="2000" w:type="dxa"/>
            <w:tcMar>
              <w:top w:w="45" w:type="dxa"/>
              <w:left w:w="55" w:type="dxa"/>
              <w:bottom w:w="45" w:type="dxa"/>
              <w:right w:w="55" w:type="dxa"/>
            </w:tcMar>
            <w:vAlign w:val="center"/>
          </w:tcPr>
          <w:p w14:paraId="2CC6580D" w14:textId="77777777" w:rsidR="00235BC0" w:rsidRPr="00A46D13" w:rsidRDefault="00000000">
            <w:pPr>
              <w:spacing w:after="0"/>
              <w:jc w:val="left"/>
            </w:pPr>
            <w:r w:rsidRPr="00A46D13">
              <w:rPr>
                <w:sz w:val="16"/>
              </w:rPr>
              <w:t>Best evaluated fixed policy</w:t>
            </w:r>
          </w:p>
        </w:tc>
        <w:tc>
          <w:tcPr>
            <w:tcW w:w="1472" w:type="dxa"/>
            <w:tcMar>
              <w:top w:w="45" w:type="dxa"/>
              <w:left w:w="55" w:type="dxa"/>
              <w:bottom w:w="45" w:type="dxa"/>
              <w:right w:w="55" w:type="dxa"/>
            </w:tcMar>
            <w:vAlign w:val="center"/>
          </w:tcPr>
          <w:p w14:paraId="502CC490" w14:textId="77777777" w:rsidR="00235BC0" w:rsidRPr="00A46D13" w:rsidRDefault="00000000">
            <w:pPr>
              <w:spacing w:after="0"/>
              <w:jc w:val="center"/>
            </w:pPr>
            <w:r w:rsidRPr="00A46D13">
              <w:rPr>
                <w:sz w:val="16"/>
              </w:rPr>
              <w:t>0.0001</w:t>
            </w:r>
          </w:p>
        </w:tc>
        <w:tc>
          <w:tcPr>
            <w:tcW w:w="1472" w:type="dxa"/>
            <w:tcMar>
              <w:top w:w="45" w:type="dxa"/>
              <w:left w:w="55" w:type="dxa"/>
              <w:bottom w:w="45" w:type="dxa"/>
              <w:right w:w="55" w:type="dxa"/>
            </w:tcMar>
            <w:vAlign w:val="center"/>
          </w:tcPr>
          <w:p w14:paraId="607DA57C" w14:textId="77777777" w:rsidR="00235BC0" w:rsidRPr="00A46D13" w:rsidRDefault="00000000">
            <w:pPr>
              <w:spacing w:after="0"/>
              <w:jc w:val="center"/>
            </w:pPr>
            <w:r w:rsidRPr="00A46D13">
              <w:rPr>
                <w:sz w:val="16"/>
              </w:rPr>
              <w:t>0.980</w:t>
            </w:r>
          </w:p>
        </w:tc>
        <w:tc>
          <w:tcPr>
            <w:tcW w:w="1472" w:type="dxa"/>
            <w:tcMar>
              <w:top w:w="45" w:type="dxa"/>
              <w:left w:w="55" w:type="dxa"/>
              <w:bottom w:w="45" w:type="dxa"/>
              <w:right w:w="55" w:type="dxa"/>
            </w:tcMar>
            <w:vAlign w:val="center"/>
          </w:tcPr>
          <w:p w14:paraId="4F426E0C" w14:textId="77777777" w:rsidR="00235BC0" w:rsidRPr="00A46D13" w:rsidRDefault="00000000">
            <w:pPr>
              <w:spacing w:after="0"/>
              <w:jc w:val="center"/>
            </w:pPr>
            <w:r w:rsidRPr="00A46D13">
              <w:rPr>
                <w:sz w:val="16"/>
              </w:rPr>
              <w:t>0.715</w:t>
            </w:r>
          </w:p>
        </w:tc>
        <w:tc>
          <w:tcPr>
            <w:tcW w:w="1472" w:type="dxa"/>
            <w:tcMar>
              <w:top w:w="45" w:type="dxa"/>
              <w:left w:w="55" w:type="dxa"/>
              <w:bottom w:w="45" w:type="dxa"/>
              <w:right w:w="55" w:type="dxa"/>
            </w:tcMar>
            <w:vAlign w:val="center"/>
          </w:tcPr>
          <w:p w14:paraId="4284A0B2" w14:textId="77777777" w:rsidR="00235BC0" w:rsidRPr="00A46D13" w:rsidRDefault="00000000">
            <w:pPr>
              <w:spacing w:after="0"/>
              <w:jc w:val="center"/>
            </w:pPr>
            <w:r w:rsidRPr="00A46D13">
              <w:rPr>
                <w:sz w:val="16"/>
              </w:rPr>
              <w:t>92.86</w:t>
            </w:r>
          </w:p>
        </w:tc>
        <w:tc>
          <w:tcPr>
            <w:tcW w:w="1472" w:type="dxa"/>
            <w:tcMar>
              <w:top w:w="45" w:type="dxa"/>
              <w:left w:w="55" w:type="dxa"/>
              <w:bottom w:w="45" w:type="dxa"/>
              <w:right w:w="55" w:type="dxa"/>
            </w:tcMar>
            <w:vAlign w:val="center"/>
          </w:tcPr>
          <w:p w14:paraId="75159A70" w14:textId="77777777" w:rsidR="00235BC0" w:rsidRPr="00A46D13" w:rsidRDefault="00000000">
            <w:pPr>
              <w:spacing w:after="0"/>
              <w:jc w:val="center"/>
            </w:pPr>
            <w:r w:rsidRPr="00A46D13">
              <w:rPr>
                <w:sz w:val="16"/>
              </w:rPr>
              <w:t>0.00</w:t>
            </w:r>
          </w:p>
        </w:tc>
      </w:tr>
      <w:tr w:rsidR="00235BC0" w:rsidRPr="00A46D13" w14:paraId="7FA68E41" w14:textId="77777777">
        <w:trPr>
          <w:cantSplit/>
          <w:jc w:val="center"/>
        </w:trPr>
        <w:tc>
          <w:tcPr>
            <w:tcW w:w="2000" w:type="dxa"/>
            <w:tcMar>
              <w:top w:w="45" w:type="dxa"/>
              <w:left w:w="55" w:type="dxa"/>
              <w:bottom w:w="45" w:type="dxa"/>
              <w:right w:w="55" w:type="dxa"/>
            </w:tcMar>
            <w:vAlign w:val="center"/>
          </w:tcPr>
          <w:p w14:paraId="24B7ECD7" w14:textId="77777777" w:rsidR="00235BC0" w:rsidRPr="00A46D13" w:rsidRDefault="00000000">
            <w:pPr>
              <w:spacing w:after="0"/>
              <w:jc w:val="left"/>
            </w:pPr>
            <w:r w:rsidRPr="00A46D13">
              <w:rPr>
                <w:sz w:val="16"/>
              </w:rPr>
              <w:t>Verified autonomy</w:t>
            </w:r>
          </w:p>
        </w:tc>
        <w:tc>
          <w:tcPr>
            <w:tcW w:w="1472" w:type="dxa"/>
            <w:tcMar>
              <w:top w:w="45" w:type="dxa"/>
              <w:left w:w="55" w:type="dxa"/>
              <w:bottom w:w="45" w:type="dxa"/>
              <w:right w:w="55" w:type="dxa"/>
            </w:tcMar>
            <w:vAlign w:val="center"/>
          </w:tcPr>
          <w:p w14:paraId="3F05B358" w14:textId="77777777" w:rsidR="00235BC0" w:rsidRPr="00A46D13" w:rsidRDefault="00000000">
            <w:pPr>
              <w:spacing w:after="0"/>
              <w:jc w:val="center"/>
            </w:pPr>
            <w:r w:rsidRPr="00A46D13">
              <w:rPr>
                <w:sz w:val="16"/>
              </w:rPr>
              <w:t>0.0000</w:t>
            </w:r>
          </w:p>
        </w:tc>
        <w:tc>
          <w:tcPr>
            <w:tcW w:w="1472" w:type="dxa"/>
            <w:tcMar>
              <w:top w:w="45" w:type="dxa"/>
              <w:left w:w="55" w:type="dxa"/>
              <w:bottom w:w="45" w:type="dxa"/>
              <w:right w:w="55" w:type="dxa"/>
            </w:tcMar>
            <w:vAlign w:val="center"/>
          </w:tcPr>
          <w:p w14:paraId="58BE1C7F" w14:textId="77777777" w:rsidR="00235BC0" w:rsidRPr="00A46D13" w:rsidRDefault="00000000">
            <w:pPr>
              <w:spacing w:after="0"/>
              <w:jc w:val="center"/>
            </w:pPr>
            <w:r w:rsidRPr="00A46D13">
              <w:rPr>
                <w:sz w:val="16"/>
              </w:rPr>
              <w:t>0.980</w:t>
            </w:r>
          </w:p>
        </w:tc>
        <w:tc>
          <w:tcPr>
            <w:tcW w:w="1472" w:type="dxa"/>
            <w:tcMar>
              <w:top w:w="45" w:type="dxa"/>
              <w:left w:w="55" w:type="dxa"/>
              <w:bottom w:w="45" w:type="dxa"/>
              <w:right w:w="55" w:type="dxa"/>
            </w:tcMar>
            <w:vAlign w:val="center"/>
          </w:tcPr>
          <w:p w14:paraId="105812B3" w14:textId="77777777" w:rsidR="00235BC0" w:rsidRPr="00A46D13" w:rsidRDefault="00000000">
            <w:pPr>
              <w:spacing w:after="0"/>
              <w:jc w:val="center"/>
            </w:pPr>
            <w:r w:rsidRPr="00A46D13">
              <w:rPr>
                <w:sz w:val="16"/>
              </w:rPr>
              <w:t>0.785</w:t>
            </w:r>
          </w:p>
        </w:tc>
        <w:tc>
          <w:tcPr>
            <w:tcW w:w="1472" w:type="dxa"/>
            <w:tcMar>
              <w:top w:w="45" w:type="dxa"/>
              <w:left w:w="55" w:type="dxa"/>
              <w:bottom w:w="45" w:type="dxa"/>
              <w:right w:w="55" w:type="dxa"/>
            </w:tcMar>
            <w:vAlign w:val="center"/>
          </w:tcPr>
          <w:p w14:paraId="1DD21959" w14:textId="77777777" w:rsidR="00235BC0" w:rsidRPr="00A46D13" w:rsidRDefault="00000000">
            <w:pPr>
              <w:spacing w:after="0"/>
              <w:jc w:val="center"/>
            </w:pPr>
            <w:r w:rsidRPr="00A46D13">
              <w:rPr>
                <w:sz w:val="16"/>
              </w:rPr>
              <w:t>100.00</w:t>
            </w:r>
          </w:p>
        </w:tc>
        <w:tc>
          <w:tcPr>
            <w:tcW w:w="1472" w:type="dxa"/>
            <w:tcMar>
              <w:top w:w="45" w:type="dxa"/>
              <w:left w:w="55" w:type="dxa"/>
              <w:bottom w:w="45" w:type="dxa"/>
              <w:right w:w="55" w:type="dxa"/>
            </w:tcMar>
            <w:vAlign w:val="center"/>
          </w:tcPr>
          <w:p w14:paraId="20232747" w14:textId="77777777" w:rsidR="00235BC0" w:rsidRPr="00A46D13" w:rsidRDefault="00000000">
            <w:pPr>
              <w:spacing w:after="0"/>
              <w:jc w:val="center"/>
            </w:pPr>
            <w:r w:rsidRPr="00A46D13">
              <w:rPr>
                <w:sz w:val="16"/>
              </w:rPr>
              <w:t>0.00</w:t>
            </w:r>
          </w:p>
        </w:tc>
      </w:tr>
      <w:tr w:rsidR="00235BC0" w:rsidRPr="00A46D13" w14:paraId="657D61FB" w14:textId="77777777">
        <w:trPr>
          <w:cantSplit/>
          <w:jc w:val="center"/>
        </w:trPr>
        <w:tc>
          <w:tcPr>
            <w:tcW w:w="2000" w:type="dxa"/>
            <w:tcMar>
              <w:top w:w="45" w:type="dxa"/>
              <w:left w:w="55" w:type="dxa"/>
              <w:bottom w:w="45" w:type="dxa"/>
              <w:right w:w="55" w:type="dxa"/>
            </w:tcMar>
            <w:vAlign w:val="center"/>
          </w:tcPr>
          <w:p w14:paraId="33AC4E0C" w14:textId="77777777" w:rsidR="00235BC0" w:rsidRPr="00A46D13" w:rsidRDefault="00000000">
            <w:pPr>
              <w:spacing w:after="0"/>
              <w:jc w:val="left"/>
            </w:pPr>
            <w:r w:rsidRPr="00A46D13">
              <w:rPr>
                <w:sz w:val="16"/>
              </w:rPr>
              <w:t>Debt-responsive governance</w:t>
            </w:r>
          </w:p>
        </w:tc>
        <w:tc>
          <w:tcPr>
            <w:tcW w:w="1472" w:type="dxa"/>
            <w:tcMar>
              <w:top w:w="45" w:type="dxa"/>
              <w:left w:w="55" w:type="dxa"/>
              <w:bottom w:w="45" w:type="dxa"/>
              <w:right w:w="55" w:type="dxa"/>
            </w:tcMar>
            <w:vAlign w:val="center"/>
          </w:tcPr>
          <w:p w14:paraId="743AF4B4" w14:textId="77777777" w:rsidR="00235BC0" w:rsidRPr="00A46D13" w:rsidRDefault="00000000">
            <w:pPr>
              <w:spacing w:after="0"/>
              <w:jc w:val="center"/>
            </w:pPr>
            <w:r w:rsidRPr="00A46D13">
              <w:rPr>
                <w:sz w:val="16"/>
              </w:rPr>
              <w:t>0.0492</w:t>
            </w:r>
          </w:p>
        </w:tc>
        <w:tc>
          <w:tcPr>
            <w:tcW w:w="1472" w:type="dxa"/>
            <w:tcMar>
              <w:top w:w="45" w:type="dxa"/>
              <w:left w:w="55" w:type="dxa"/>
              <w:bottom w:w="45" w:type="dxa"/>
              <w:right w:w="55" w:type="dxa"/>
            </w:tcMar>
            <w:vAlign w:val="center"/>
          </w:tcPr>
          <w:p w14:paraId="14CA8F22" w14:textId="77777777" w:rsidR="00235BC0" w:rsidRPr="00A46D13" w:rsidRDefault="00000000">
            <w:pPr>
              <w:spacing w:after="0"/>
              <w:jc w:val="center"/>
            </w:pPr>
            <w:r w:rsidRPr="00A46D13">
              <w:rPr>
                <w:sz w:val="16"/>
              </w:rPr>
              <w:t>0.545</w:t>
            </w:r>
          </w:p>
        </w:tc>
        <w:tc>
          <w:tcPr>
            <w:tcW w:w="1472" w:type="dxa"/>
            <w:tcMar>
              <w:top w:w="45" w:type="dxa"/>
              <w:left w:w="55" w:type="dxa"/>
              <w:bottom w:w="45" w:type="dxa"/>
              <w:right w:w="55" w:type="dxa"/>
            </w:tcMar>
            <w:vAlign w:val="center"/>
          </w:tcPr>
          <w:p w14:paraId="39E1DB00" w14:textId="77777777" w:rsidR="00235BC0" w:rsidRPr="00A46D13" w:rsidRDefault="00000000">
            <w:pPr>
              <w:spacing w:after="0"/>
              <w:jc w:val="center"/>
            </w:pPr>
            <w:r w:rsidRPr="00A46D13">
              <w:rPr>
                <w:sz w:val="16"/>
              </w:rPr>
              <w:t>0.588</w:t>
            </w:r>
          </w:p>
        </w:tc>
        <w:tc>
          <w:tcPr>
            <w:tcW w:w="1472" w:type="dxa"/>
            <w:tcMar>
              <w:top w:w="45" w:type="dxa"/>
              <w:left w:w="55" w:type="dxa"/>
              <w:bottom w:w="45" w:type="dxa"/>
              <w:right w:w="55" w:type="dxa"/>
            </w:tcMar>
            <w:vAlign w:val="center"/>
          </w:tcPr>
          <w:p w14:paraId="289B6C10" w14:textId="77777777" w:rsidR="00235BC0" w:rsidRPr="00A46D13" w:rsidRDefault="00000000">
            <w:pPr>
              <w:spacing w:after="0"/>
              <w:jc w:val="center"/>
            </w:pPr>
            <w:r w:rsidRPr="00A46D13">
              <w:rPr>
                <w:sz w:val="16"/>
              </w:rPr>
              <w:t>45.82</w:t>
            </w:r>
          </w:p>
        </w:tc>
        <w:tc>
          <w:tcPr>
            <w:tcW w:w="1472" w:type="dxa"/>
            <w:tcMar>
              <w:top w:w="45" w:type="dxa"/>
              <w:left w:w="55" w:type="dxa"/>
              <w:bottom w:w="45" w:type="dxa"/>
              <w:right w:w="55" w:type="dxa"/>
            </w:tcMar>
            <w:vAlign w:val="center"/>
          </w:tcPr>
          <w:p w14:paraId="6D8D6C37" w14:textId="77777777" w:rsidR="00235BC0" w:rsidRPr="00A46D13" w:rsidRDefault="00000000">
            <w:pPr>
              <w:spacing w:after="0"/>
              <w:jc w:val="center"/>
            </w:pPr>
            <w:r w:rsidRPr="00A46D13">
              <w:rPr>
                <w:sz w:val="16"/>
              </w:rPr>
              <w:t>0.02</w:t>
            </w:r>
          </w:p>
        </w:tc>
      </w:tr>
      <w:tr w:rsidR="00235BC0" w:rsidRPr="00A46D13" w14:paraId="4FA88619" w14:textId="77777777">
        <w:trPr>
          <w:cantSplit/>
          <w:jc w:val="center"/>
        </w:trPr>
        <w:tc>
          <w:tcPr>
            <w:tcW w:w="2000" w:type="dxa"/>
            <w:tcMar>
              <w:top w:w="45" w:type="dxa"/>
              <w:left w:w="55" w:type="dxa"/>
              <w:bottom w:w="45" w:type="dxa"/>
              <w:right w:w="55" w:type="dxa"/>
            </w:tcMar>
            <w:vAlign w:val="center"/>
          </w:tcPr>
          <w:p w14:paraId="1624B885" w14:textId="77777777" w:rsidR="00235BC0" w:rsidRPr="00A46D13" w:rsidRDefault="00000000">
            <w:pPr>
              <w:spacing w:after="0"/>
              <w:jc w:val="left"/>
            </w:pPr>
            <w:r w:rsidRPr="00A46D13">
              <w:rPr>
                <w:sz w:val="16"/>
              </w:rPr>
              <w:t>Acceleration-first</w:t>
            </w:r>
          </w:p>
        </w:tc>
        <w:tc>
          <w:tcPr>
            <w:tcW w:w="1472" w:type="dxa"/>
            <w:tcMar>
              <w:top w:w="45" w:type="dxa"/>
              <w:left w:w="55" w:type="dxa"/>
              <w:bottom w:w="45" w:type="dxa"/>
              <w:right w:w="55" w:type="dxa"/>
            </w:tcMar>
            <w:vAlign w:val="center"/>
          </w:tcPr>
          <w:p w14:paraId="19C79418" w14:textId="77777777" w:rsidR="00235BC0" w:rsidRPr="00A46D13" w:rsidRDefault="00000000">
            <w:pPr>
              <w:spacing w:after="0"/>
              <w:jc w:val="center"/>
            </w:pPr>
            <w:r w:rsidRPr="00A46D13">
              <w:rPr>
                <w:sz w:val="16"/>
              </w:rPr>
              <w:t>2.5509</w:t>
            </w:r>
          </w:p>
        </w:tc>
        <w:tc>
          <w:tcPr>
            <w:tcW w:w="1472" w:type="dxa"/>
            <w:tcMar>
              <w:top w:w="45" w:type="dxa"/>
              <w:left w:w="55" w:type="dxa"/>
              <w:bottom w:w="45" w:type="dxa"/>
              <w:right w:w="55" w:type="dxa"/>
            </w:tcMar>
            <w:vAlign w:val="center"/>
          </w:tcPr>
          <w:p w14:paraId="18892507" w14:textId="77777777" w:rsidR="00235BC0" w:rsidRPr="00A46D13" w:rsidRDefault="00000000">
            <w:pPr>
              <w:spacing w:after="0"/>
              <w:jc w:val="center"/>
            </w:pPr>
            <w:r w:rsidRPr="00A46D13">
              <w:rPr>
                <w:sz w:val="16"/>
              </w:rPr>
              <w:t>0.180</w:t>
            </w:r>
          </w:p>
        </w:tc>
        <w:tc>
          <w:tcPr>
            <w:tcW w:w="1472" w:type="dxa"/>
            <w:tcMar>
              <w:top w:w="45" w:type="dxa"/>
              <w:left w:w="55" w:type="dxa"/>
              <w:bottom w:w="45" w:type="dxa"/>
              <w:right w:w="55" w:type="dxa"/>
            </w:tcMar>
            <w:vAlign w:val="center"/>
          </w:tcPr>
          <w:p w14:paraId="605E3BE2" w14:textId="77777777" w:rsidR="00235BC0" w:rsidRPr="00A46D13" w:rsidRDefault="00000000">
            <w:pPr>
              <w:spacing w:after="0"/>
              <w:jc w:val="center"/>
            </w:pPr>
            <w:r w:rsidRPr="00A46D13">
              <w:rPr>
                <w:sz w:val="16"/>
              </w:rPr>
              <w:t>0.254</w:t>
            </w:r>
          </w:p>
        </w:tc>
        <w:tc>
          <w:tcPr>
            <w:tcW w:w="1472" w:type="dxa"/>
            <w:tcMar>
              <w:top w:w="45" w:type="dxa"/>
              <w:left w:w="55" w:type="dxa"/>
              <w:bottom w:w="45" w:type="dxa"/>
              <w:right w:w="55" w:type="dxa"/>
            </w:tcMar>
            <w:vAlign w:val="center"/>
          </w:tcPr>
          <w:p w14:paraId="1A2C2BBD" w14:textId="77777777" w:rsidR="00235BC0" w:rsidRPr="00A46D13" w:rsidRDefault="00000000">
            <w:pPr>
              <w:spacing w:after="0"/>
              <w:jc w:val="center"/>
            </w:pPr>
            <w:r w:rsidRPr="00A46D13">
              <w:rPr>
                <w:sz w:val="16"/>
              </w:rPr>
              <w:t>0.00</w:t>
            </w:r>
          </w:p>
        </w:tc>
        <w:tc>
          <w:tcPr>
            <w:tcW w:w="1472" w:type="dxa"/>
            <w:tcMar>
              <w:top w:w="45" w:type="dxa"/>
              <w:left w:w="55" w:type="dxa"/>
              <w:bottom w:w="45" w:type="dxa"/>
              <w:right w:w="55" w:type="dxa"/>
            </w:tcMar>
            <w:vAlign w:val="center"/>
          </w:tcPr>
          <w:p w14:paraId="2B96B4F3" w14:textId="77777777" w:rsidR="00235BC0" w:rsidRPr="00A46D13" w:rsidRDefault="00000000">
            <w:pPr>
              <w:spacing w:after="0"/>
              <w:jc w:val="center"/>
            </w:pPr>
            <w:r w:rsidRPr="00A46D13">
              <w:rPr>
                <w:sz w:val="16"/>
              </w:rPr>
              <w:t>82.94</w:t>
            </w:r>
          </w:p>
        </w:tc>
      </w:tr>
    </w:tbl>
    <w:p w14:paraId="0F2D534A" w14:textId="77777777" w:rsidR="00235BC0" w:rsidRPr="00A46D13" w:rsidRDefault="00000000">
      <w:pPr>
        <w:spacing w:before="60" w:after="40"/>
        <w:jc w:val="center"/>
      </w:pPr>
      <w:r w:rsidRPr="00A46D13">
        <w:rPr>
          <w:noProof/>
        </w:rPr>
        <w:lastRenderedPageBreak/>
        <w:drawing>
          <wp:inline distT="0" distB="0" distL="0" distR="0" wp14:anchorId="09DF815B" wp14:editId="5E722872">
            <wp:extent cx="5207000" cy="3929963"/>
            <wp:effectExtent l="0" t="0" r="0" b="0"/>
            <wp:docPr id="35" name="Picture" descr="Figure 4 supporting the manuscript analysis"/>
            <wp:cNvGraphicFramePr/>
            <a:graphic xmlns:a="http://schemas.openxmlformats.org/drawingml/2006/main">
              <a:graphicData uri="http://schemas.openxmlformats.org/drawingml/2006/picture">
                <pic:pic xmlns:pic="http://schemas.openxmlformats.org/drawingml/2006/picture">
                  <pic:nvPicPr>
                    <pic:cNvPr id="36" name="Picture" descr="/mnt/data/JGEMBR_Revision/figures/figure4_full_policy_space.png"/>
                    <pic:cNvPicPr>
                      <a:picLocks noChangeAspect="1" noChangeArrowheads="1"/>
                    </pic:cNvPicPr>
                  </pic:nvPicPr>
                  <pic:blipFill>
                    <a:blip r:embed="rId10"/>
                    <a:stretch>
                      <a:fillRect/>
                    </a:stretch>
                  </pic:blipFill>
                  <pic:spPr bwMode="auto">
                    <a:xfrm>
                      <a:off x="0" y="0"/>
                      <a:ext cx="5207000" cy="3929963"/>
                    </a:xfrm>
                    <a:prstGeom prst="rect">
                      <a:avLst/>
                    </a:prstGeom>
                    <a:noFill/>
                    <a:ln w="9525">
                      <a:noFill/>
                      <a:headEnd/>
                      <a:tailEnd/>
                    </a:ln>
                  </pic:spPr>
                </pic:pic>
              </a:graphicData>
            </a:graphic>
          </wp:inline>
        </w:drawing>
      </w:r>
    </w:p>
    <w:p w14:paraId="58E0E811" w14:textId="77777777" w:rsidR="00235BC0" w:rsidRPr="00A46D13" w:rsidRDefault="00000000">
      <w:pPr>
        <w:spacing w:before="40" w:after="100"/>
        <w:jc w:val="center"/>
      </w:pPr>
      <w:r w:rsidRPr="00A46D13">
        <w:rPr>
          <w:b/>
          <w:bCs/>
          <w:sz w:val="19"/>
        </w:rPr>
        <w:t xml:space="preserve">Figure 4. Profiled fixed-policy search. Each automation-verification cell shows the highest mean cumulative value across the evaluated governance levels; contour labels report the governance level that </w:t>
      </w:r>
      <w:proofErr w:type="spellStart"/>
      <w:r w:rsidRPr="00A46D13">
        <w:rPr>
          <w:b/>
          <w:bCs/>
          <w:sz w:val="19"/>
        </w:rPr>
        <w:t>maximises</w:t>
      </w:r>
      <w:proofErr w:type="spellEnd"/>
      <w:r w:rsidRPr="00A46D13">
        <w:rPr>
          <w:b/>
          <w:bCs/>
          <w:sz w:val="19"/>
        </w:rPr>
        <w:t xml:space="preserve"> value within that cell.</w:t>
      </w:r>
    </w:p>
    <w:p w14:paraId="4733B821" w14:textId="77777777" w:rsidR="00235BC0" w:rsidRPr="00A46D13" w:rsidRDefault="00000000">
      <w:r w:rsidRPr="00A46D13">
        <w:t>The full search changes the interpretation of the model. Verified autonomy is the best of the five named regimes, but it is not the highest-value policy over the expanded grid. Under the base coefficients, the value-</w:t>
      </w:r>
      <w:proofErr w:type="spellStart"/>
      <w:r w:rsidRPr="00A46D13">
        <w:t>maximising</w:t>
      </w:r>
      <w:proofErr w:type="spellEnd"/>
      <w:r w:rsidRPr="00A46D13">
        <w:t xml:space="preserve"> region combines very high automation, high verification, and moderate governance. The objective continues to rise to the automation boundary, so the model does not establish an interior optimum for automation. This is an important negative result. It means the defensible claim is not that maximal automation is inherently inefficient. The defensible claim is that maximal or near-maximal automation becomes destructive when verification is weak, while strong verification can support extensive delegation.</w:t>
      </w:r>
    </w:p>
    <w:p w14:paraId="262BAFAB" w14:textId="77777777" w:rsidR="00235BC0" w:rsidRPr="00A46D13" w:rsidRDefault="00000000">
      <w:r w:rsidRPr="00A46D13">
        <w:t xml:space="preserve">Governance and verification also play different roles. The best evaluated policy uses verification of 0.7625 but governance of only 0.30. In the model, verification directly repays debt and maintains expertise, whereas governance introduces coordination friction and cost while also reducing debt and shocks. The optimum therefore </w:t>
      </w:r>
      <w:proofErr w:type="spellStart"/>
      <w:r w:rsidRPr="00A46D13">
        <w:t>favours</w:t>
      </w:r>
      <w:proofErr w:type="spellEnd"/>
      <w:r w:rsidRPr="00A46D13">
        <w:t xml:space="preserve"> targeted verification over broad procedural intensity. This numerical conclusion is conditional on the cost and effectiveness coefficients and should not be </w:t>
      </w:r>
      <w:proofErr w:type="spellStart"/>
      <w:r w:rsidRPr="00A46D13">
        <w:t>generalised</w:t>
      </w:r>
      <w:proofErr w:type="spellEnd"/>
      <w:r w:rsidRPr="00A46D13">
        <w:t xml:space="preserve"> without empirical calibration.</w:t>
      </w:r>
    </w:p>
    <w:p w14:paraId="74FEF940" w14:textId="77777777" w:rsidR="00235BC0" w:rsidRPr="00A46D13" w:rsidRDefault="00000000">
      <w:pPr>
        <w:keepNext/>
        <w:spacing w:before="120"/>
        <w:jc w:val="left"/>
      </w:pPr>
      <w:r w:rsidRPr="00A46D13">
        <w:rPr>
          <w:b/>
          <w:bCs/>
          <w:sz w:val="22"/>
        </w:rPr>
        <w:t>4.4 Cross-Firm Structural Heterogeneity and Paired Comparisons</w:t>
      </w:r>
    </w:p>
    <w:p w14:paraId="74AD0D0D" w14:textId="77777777" w:rsidR="00235BC0" w:rsidRPr="00A46D13" w:rsidRDefault="00000000">
      <w:r w:rsidRPr="00A46D13">
        <w:t>The base percentile bands represent stochastic outcome dispersion, not parameter uncertainty or observed cross-firm variation. The heterogeneity extension addresses this distinction by assigning persistent firm-specific differences in productivity, debt propensity, shock exposure, control costs, learning, and initial states. Table 6 shows that heterogeneity substantially widens outcome intervals but preserves the ranking of the five named regimes.</w:t>
      </w:r>
    </w:p>
    <w:p w14:paraId="2DDA8EDB" w14:textId="77777777" w:rsidR="00235BC0" w:rsidRPr="00A46D13" w:rsidRDefault="00000000">
      <w:pPr>
        <w:keepNext/>
        <w:spacing w:before="100" w:after="40"/>
        <w:jc w:val="left"/>
      </w:pPr>
      <w:r w:rsidRPr="00A46D13">
        <w:rPr>
          <w:b/>
          <w:bCs/>
        </w:rPr>
        <w:t>Table 6. Results with moderate synthetic cross-firm heterogeneity</w:t>
      </w:r>
    </w:p>
    <w:tbl>
      <w:tblPr>
        <w:tblW w:w="936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20" w:firstRow="1" w:lastRow="0" w:firstColumn="0" w:lastColumn="0" w:noHBand="0" w:noVBand="0"/>
      </w:tblPr>
      <w:tblGrid>
        <w:gridCol w:w="1900"/>
        <w:gridCol w:w="1243"/>
        <w:gridCol w:w="1243"/>
        <w:gridCol w:w="1243"/>
        <w:gridCol w:w="1243"/>
        <w:gridCol w:w="1243"/>
        <w:gridCol w:w="1245"/>
      </w:tblGrid>
      <w:tr w:rsidR="00235BC0" w:rsidRPr="00A46D13" w14:paraId="1C493FD8" w14:textId="77777777">
        <w:trPr>
          <w:cantSplit/>
          <w:tblHeader/>
          <w:jc w:val="center"/>
        </w:trPr>
        <w:tc>
          <w:tcPr>
            <w:tcW w:w="1900" w:type="dxa"/>
            <w:shd w:val="clear" w:color="auto" w:fill="E7E6E6"/>
            <w:tcMar>
              <w:top w:w="45" w:type="dxa"/>
              <w:left w:w="55" w:type="dxa"/>
              <w:bottom w:w="45" w:type="dxa"/>
              <w:right w:w="55" w:type="dxa"/>
            </w:tcMar>
            <w:vAlign w:val="center"/>
          </w:tcPr>
          <w:p w14:paraId="34A72706" w14:textId="77777777" w:rsidR="00235BC0" w:rsidRPr="00A46D13" w:rsidRDefault="00000000">
            <w:pPr>
              <w:spacing w:after="0"/>
              <w:jc w:val="left"/>
            </w:pPr>
            <w:r w:rsidRPr="00A46D13">
              <w:rPr>
                <w:b/>
                <w:bCs/>
                <w:sz w:val="15"/>
              </w:rPr>
              <w:t>Regime</w:t>
            </w:r>
          </w:p>
        </w:tc>
        <w:tc>
          <w:tcPr>
            <w:tcW w:w="1243" w:type="dxa"/>
            <w:shd w:val="clear" w:color="auto" w:fill="E7E6E6"/>
            <w:tcMar>
              <w:top w:w="45" w:type="dxa"/>
              <w:left w:w="55" w:type="dxa"/>
              <w:bottom w:w="45" w:type="dxa"/>
              <w:right w:w="55" w:type="dxa"/>
            </w:tcMar>
            <w:vAlign w:val="center"/>
          </w:tcPr>
          <w:p w14:paraId="0B90E541" w14:textId="77777777" w:rsidR="00235BC0" w:rsidRPr="00A46D13" w:rsidRDefault="00000000">
            <w:pPr>
              <w:spacing w:after="0"/>
              <w:jc w:val="center"/>
            </w:pPr>
            <w:r w:rsidRPr="00A46D13">
              <w:rPr>
                <w:b/>
                <w:bCs/>
                <w:sz w:val="15"/>
              </w:rPr>
              <w:t>Mean value</w:t>
            </w:r>
          </w:p>
        </w:tc>
        <w:tc>
          <w:tcPr>
            <w:tcW w:w="1243" w:type="dxa"/>
            <w:shd w:val="clear" w:color="auto" w:fill="E7E6E6"/>
            <w:tcMar>
              <w:top w:w="45" w:type="dxa"/>
              <w:left w:w="55" w:type="dxa"/>
              <w:bottom w:w="45" w:type="dxa"/>
              <w:right w:w="55" w:type="dxa"/>
            </w:tcMar>
            <w:vAlign w:val="center"/>
          </w:tcPr>
          <w:p w14:paraId="50B79A72" w14:textId="77777777" w:rsidR="00235BC0" w:rsidRPr="00A46D13" w:rsidRDefault="00000000">
            <w:pPr>
              <w:spacing w:after="0"/>
              <w:jc w:val="center"/>
            </w:pPr>
            <w:r w:rsidRPr="00A46D13">
              <w:rPr>
                <w:b/>
                <w:bCs/>
                <w:sz w:val="15"/>
              </w:rPr>
              <w:t>2.5th percentile</w:t>
            </w:r>
          </w:p>
        </w:tc>
        <w:tc>
          <w:tcPr>
            <w:tcW w:w="1243" w:type="dxa"/>
            <w:shd w:val="clear" w:color="auto" w:fill="E7E6E6"/>
            <w:tcMar>
              <w:top w:w="45" w:type="dxa"/>
              <w:left w:w="55" w:type="dxa"/>
              <w:bottom w:w="45" w:type="dxa"/>
              <w:right w:w="55" w:type="dxa"/>
            </w:tcMar>
            <w:vAlign w:val="center"/>
          </w:tcPr>
          <w:p w14:paraId="2EACEB38" w14:textId="77777777" w:rsidR="00235BC0" w:rsidRPr="00A46D13" w:rsidRDefault="00000000">
            <w:pPr>
              <w:spacing w:after="0"/>
              <w:jc w:val="center"/>
            </w:pPr>
            <w:r w:rsidRPr="00A46D13">
              <w:rPr>
                <w:b/>
                <w:bCs/>
                <w:sz w:val="15"/>
              </w:rPr>
              <w:t>97.5th percentile</w:t>
            </w:r>
          </w:p>
        </w:tc>
        <w:tc>
          <w:tcPr>
            <w:tcW w:w="1243" w:type="dxa"/>
            <w:shd w:val="clear" w:color="auto" w:fill="E7E6E6"/>
            <w:tcMar>
              <w:top w:w="45" w:type="dxa"/>
              <w:left w:w="55" w:type="dxa"/>
              <w:bottom w:w="45" w:type="dxa"/>
              <w:right w:w="55" w:type="dxa"/>
            </w:tcMar>
            <w:vAlign w:val="center"/>
          </w:tcPr>
          <w:p w14:paraId="3AC89B16" w14:textId="77777777" w:rsidR="00235BC0" w:rsidRPr="00A46D13" w:rsidRDefault="00000000">
            <w:pPr>
              <w:spacing w:after="0"/>
              <w:jc w:val="center"/>
            </w:pPr>
            <w:r w:rsidRPr="00A46D13">
              <w:rPr>
                <w:b/>
                <w:bCs/>
                <w:sz w:val="15"/>
              </w:rPr>
              <w:t>Final debt</w:t>
            </w:r>
          </w:p>
        </w:tc>
        <w:tc>
          <w:tcPr>
            <w:tcW w:w="1243" w:type="dxa"/>
            <w:shd w:val="clear" w:color="auto" w:fill="E7E6E6"/>
            <w:tcMar>
              <w:top w:w="45" w:type="dxa"/>
              <w:left w:w="55" w:type="dxa"/>
              <w:bottom w:w="45" w:type="dxa"/>
              <w:right w:w="55" w:type="dxa"/>
            </w:tcMar>
            <w:vAlign w:val="center"/>
          </w:tcPr>
          <w:p w14:paraId="3CF2695E" w14:textId="77777777" w:rsidR="00235BC0" w:rsidRPr="00A46D13" w:rsidRDefault="00000000">
            <w:pPr>
              <w:spacing w:after="0"/>
              <w:jc w:val="center"/>
            </w:pPr>
            <w:r w:rsidRPr="00A46D13">
              <w:rPr>
                <w:b/>
                <w:bCs/>
                <w:sz w:val="15"/>
              </w:rPr>
              <w:t>Final expertise</w:t>
            </w:r>
          </w:p>
        </w:tc>
        <w:tc>
          <w:tcPr>
            <w:tcW w:w="1245" w:type="dxa"/>
            <w:shd w:val="clear" w:color="auto" w:fill="E7E6E6"/>
            <w:tcMar>
              <w:top w:w="45" w:type="dxa"/>
              <w:left w:w="55" w:type="dxa"/>
              <w:bottom w:w="45" w:type="dxa"/>
              <w:right w:w="55" w:type="dxa"/>
            </w:tcMar>
            <w:vAlign w:val="center"/>
          </w:tcPr>
          <w:p w14:paraId="3AC114D7" w14:textId="77777777" w:rsidR="00235BC0" w:rsidRPr="00A46D13" w:rsidRDefault="00000000">
            <w:pPr>
              <w:spacing w:after="0"/>
              <w:jc w:val="center"/>
            </w:pPr>
            <w:r w:rsidRPr="00A46D13">
              <w:rPr>
                <w:b/>
                <w:bCs/>
                <w:sz w:val="15"/>
              </w:rPr>
              <w:t>Fragility (%)</w:t>
            </w:r>
          </w:p>
        </w:tc>
      </w:tr>
      <w:tr w:rsidR="00235BC0" w:rsidRPr="00A46D13" w14:paraId="3B640AA1" w14:textId="77777777">
        <w:trPr>
          <w:cantSplit/>
          <w:jc w:val="center"/>
        </w:trPr>
        <w:tc>
          <w:tcPr>
            <w:tcW w:w="1900" w:type="dxa"/>
            <w:tcMar>
              <w:top w:w="45" w:type="dxa"/>
              <w:left w:w="55" w:type="dxa"/>
              <w:bottom w:w="45" w:type="dxa"/>
              <w:right w:w="55" w:type="dxa"/>
            </w:tcMar>
            <w:vAlign w:val="center"/>
          </w:tcPr>
          <w:p w14:paraId="4122FCBD" w14:textId="77777777" w:rsidR="00235BC0" w:rsidRPr="00A46D13" w:rsidRDefault="00000000">
            <w:pPr>
              <w:spacing w:after="0"/>
              <w:jc w:val="left"/>
            </w:pPr>
            <w:r w:rsidRPr="00A46D13">
              <w:rPr>
                <w:sz w:val="15"/>
              </w:rPr>
              <w:t>Acceleration-first</w:t>
            </w:r>
          </w:p>
        </w:tc>
        <w:tc>
          <w:tcPr>
            <w:tcW w:w="1243" w:type="dxa"/>
            <w:tcMar>
              <w:top w:w="45" w:type="dxa"/>
              <w:left w:w="55" w:type="dxa"/>
              <w:bottom w:w="45" w:type="dxa"/>
              <w:right w:w="55" w:type="dxa"/>
            </w:tcMar>
            <w:vAlign w:val="center"/>
          </w:tcPr>
          <w:p w14:paraId="7646AC22" w14:textId="77777777" w:rsidR="00235BC0" w:rsidRPr="00A46D13" w:rsidRDefault="00000000">
            <w:pPr>
              <w:spacing w:after="0"/>
              <w:jc w:val="center"/>
            </w:pPr>
            <w:r w:rsidRPr="00A46D13">
              <w:rPr>
                <w:sz w:val="15"/>
              </w:rPr>
              <w:t>1.10</w:t>
            </w:r>
          </w:p>
        </w:tc>
        <w:tc>
          <w:tcPr>
            <w:tcW w:w="1243" w:type="dxa"/>
            <w:tcMar>
              <w:top w:w="45" w:type="dxa"/>
              <w:left w:w="55" w:type="dxa"/>
              <w:bottom w:w="45" w:type="dxa"/>
              <w:right w:w="55" w:type="dxa"/>
            </w:tcMar>
            <w:vAlign w:val="center"/>
          </w:tcPr>
          <w:p w14:paraId="10468D84" w14:textId="77777777" w:rsidR="00235BC0" w:rsidRPr="00A46D13" w:rsidRDefault="00000000">
            <w:pPr>
              <w:spacing w:after="0"/>
              <w:jc w:val="center"/>
            </w:pPr>
            <w:r w:rsidRPr="00A46D13">
              <w:rPr>
                <w:sz w:val="15"/>
              </w:rPr>
              <w:t>-230.24</w:t>
            </w:r>
          </w:p>
        </w:tc>
        <w:tc>
          <w:tcPr>
            <w:tcW w:w="1243" w:type="dxa"/>
            <w:tcMar>
              <w:top w:w="45" w:type="dxa"/>
              <w:left w:w="55" w:type="dxa"/>
              <w:bottom w:w="45" w:type="dxa"/>
              <w:right w:w="55" w:type="dxa"/>
            </w:tcMar>
            <w:vAlign w:val="center"/>
          </w:tcPr>
          <w:p w14:paraId="7DAFA97C" w14:textId="77777777" w:rsidR="00235BC0" w:rsidRPr="00A46D13" w:rsidRDefault="00000000">
            <w:pPr>
              <w:spacing w:after="0"/>
              <w:jc w:val="center"/>
            </w:pPr>
            <w:r w:rsidRPr="00A46D13">
              <w:rPr>
                <w:sz w:val="15"/>
              </w:rPr>
              <w:t>192.18</w:t>
            </w:r>
          </w:p>
        </w:tc>
        <w:tc>
          <w:tcPr>
            <w:tcW w:w="1243" w:type="dxa"/>
            <w:tcMar>
              <w:top w:w="45" w:type="dxa"/>
              <w:left w:w="55" w:type="dxa"/>
              <w:bottom w:w="45" w:type="dxa"/>
              <w:right w:w="55" w:type="dxa"/>
            </w:tcMar>
            <w:vAlign w:val="center"/>
          </w:tcPr>
          <w:p w14:paraId="57060483" w14:textId="77777777" w:rsidR="00235BC0" w:rsidRPr="00A46D13" w:rsidRDefault="00000000">
            <w:pPr>
              <w:spacing w:after="0"/>
              <w:jc w:val="center"/>
            </w:pPr>
            <w:r w:rsidRPr="00A46D13">
              <w:rPr>
                <w:sz w:val="15"/>
              </w:rPr>
              <w:t>2.550</w:t>
            </w:r>
          </w:p>
        </w:tc>
        <w:tc>
          <w:tcPr>
            <w:tcW w:w="1243" w:type="dxa"/>
            <w:tcMar>
              <w:top w:w="45" w:type="dxa"/>
              <w:left w:w="55" w:type="dxa"/>
              <w:bottom w:w="45" w:type="dxa"/>
              <w:right w:w="55" w:type="dxa"/>
            </w:tcMar>
            <w:vAlign w:val="center"/>
          </w:tcPr>
          <w:p w14:paraId="1CE80935" w14:textId="77777777" w:rsidR="00235BC0" w:rsidRPr="00A46D13" w:rsidRDefault="00000000">
            <w:pPr>
              <w:spacing w:after="0"/>
              <w:jc w:val="center"/>
            </w:pPr>
            <w:r w:rsidRPr="00A46D13">
              <w:rPr>
                <w:sz w:val="15"/>
              </w:rPr>
              <w:t>0.180</w:t>
            </w:r>
          </w:p>
        </w:tc>
        <w:tc>
          <w:tcPr>
            <w:tcW w:w="1245" w:type="dxa"/>
            <w:tcMar>
              <w:top w:w="45" w:type="dxa"/>
              <w:left w:w="55" w:type="dxa"/>
              <w:bottom w:w="45" w:type="dxa"/>
              <w:right w:w="55" w:type="dxa"/>
            </w:tcMar>
            <w:vAlign w:val="center"/>
          </w:tcPr>
          <w:p w14:paraId="0CB5F426" w14:textId="77777777" w:rsidR="00235BC0" w:rsidRPr="00A46D13" w:rsidRDefault="00000000">
            <w:pPr>
              <w:spacing w:after="0"/>
              <w:jc w:val="center"/>
            </w:pPr>
            <w:r w:rsidRPr="00A46D13">
              <w:rPr>
                <w:sz w:val="15"/>
              </w:rPr>
              <w:t>80.82</w:t>
            </w:r>
          </w:p>
        </w:tc>
      </w:tr>
      <w:tr w:rsidR="00235BC0" w:rsidRPr="00A46D13" w14:paraId="585C62F0" w14:textId="77777777">
        <w:trPr>
          <w:cantSplit/>
          <w:jc w:val="center"/>
        </w:trPr>
        <w:tc>
          <w:tcPr>
            <w:tcW w:w="1900" w:type="dxa"/>
            <w:tcMar>
              <w:top w:w="45" w:type="dxa"/>
              <w:left w:w="55" w:type="dxa"/>
              <w:bottom w:w="45" w:type="dxa"/>
              <w:right w:w="55" w:type="dxa"/>
            </w:tcMar>
            <w:vAlign w:val="center"/>
          </w:tcPr>
          <w:p w14:paraId="07F89E81" w14:textId="77777777" w:rsidR="00235BC0" w:rsidRPr="00A46D13" w:rsidRDefault="00000000">
            <w:pPr>
              <w:spacing w:after="0"/>
              <w:jc w:val="left"/>
            </w:pPr>
            <w:r w:rsidRPr="00A46D13">
              <w:rPr>
                <w:sz w:val="15"/>
              </w:rPr>
              <w:lastRenderedPageBreak/>
              <w:t>Compliance-heavy</w:t>
            </w:r>
          </w:p>
        </w:tc>
        <w:tc>
          <w:tcPr>
            <w:tcW w:w="1243" w:type="dxa"/>
            <w:tcMar>
              <w:top w:w="45" w:type="dxa"/>
              <w:left w:w="55" w:type="dxa"/>
              <w:bottom w:w="45" w:type="dxa"/>
              <w:right w:w="55" w:type="dxa"/>
            </w:tcMar>
            <w:vAlign w:val="center"/>
          </w:tcPr>
          <w:p w14:paraId="67E5706F" w14:textId="77777777" w:rsidR="00235BC0" w:rsidRPr="00A46D13" w:rsidRDefault="00000000">
            <w:pPr>
              <w:spacing w:after="0"/>
              <w:jc w:val="center"/>
            </w:pPr>
            <w:r w:rsidRPr="00A46D13">
              <w:rPr>
                <w:sz w:val="15"/>
              </w:rPr>
              <w:t>264.49</w:t>
            </w:r>
          </w:p>
        </w:tc>
        <w:tc>
          <w:tcPr>
            <w:tcW w:w="1243" w:type="dxa"/>
            <w:tcMar>
              <w:top w:w="45" w:type="dxa"/>
              <w:left w:w="55" w:type="dxa"/>
              <w:bottom w:w="45" w:type="dxa"/>
              <w:right w:w="55" w:type="dxa"/>
            </w:tcMar>
            <w:vAlign w:val="center"/>
          </w:tcPr>
          <w:p w14:paraId="68174DA7" w14:textId="77777777" w:rsidR="00235BC0" w:rsidRPr="00A46D13" w:rsidRDefault="00000000">
            <w:pPr>
              <w:spacing w:after="0"/>
              <w:jc w:val="center"/>
            </w:pPr>
            <w:r w:rsidRPr="00A46D13">
              <w:rPr>
                <w:sz w:val="15"/>
              </w:rPr>
              <w:t>156.88</w:t>
            </w:r>
          </w:p>
        </w:tc>
        <w:tc>
          <w:tcPr>
            <w:tcW w:w="1243" w:type="dxa"/>
            <w:tcMar>
              <w:top w:w="45" w:type="dxa"/>
              <w:left w:w="55" w:type="dxa"/>
              <w:bottom w:w="45" w:type="dxa"/>
              <w:right w:w="55" w:type="dxa"/>
            </w:tcMar>
            <w:vAlign w:val="center"/>
          </w:tcPr>
          <w:p w14:paraId="610AFF1F" w14:textId="77777777" w:rsidR="00235BC0" w:rsidRPr="00A46D13" w:rsidRDefault="00000000">
            <w:pPr>
              <w:spacing w:after="0"/>
              <w:jc w:val="center"/>
            </w:pPr>
            <w:r w:rsidRPr="00A46D13">
              <w:rPr>
                <w:sz w:val="15"/>
              </w:rPr>
              <w:t>384.95</w:t>
            </w:r>
          </w:p>
        </w:tc>
        <w:tc>
          <w:tcPr>
            <w:tcW w:w="1243" w:type="dxa"/>
            <w:tcMar>
              <w:top w:w="45" w:type="dxa"/>
              <w:left w:w="55" w:type="dxa"/>
              <w:bottom w:w="45" w:type="dxa"/>
              <w:right w:w="55" w:type="dxa"/>
            </w:tcMar>
            <w:vAlign w:val="center"/>
          </w:tcPr>
          <w:p w14:paraId="7DEA20F9" w14:textId="77777777" w:rsidR="00235BC0" w:rsidRPr="00A46D13" w:rsidRDefault="00000000">
            <w:pPr>
              <w:spacing w:after="0"/>
              <w:jc w:val="center"/>
            </w:pPr>
            <w:r w:rsidRPr="00A46D13">
              <w:rPr>
                <w:sz w:val="15"/>
              </w:rPr>
              <w:t>0.000</w:t>
            </w:r>
          </w:p>
        </w:tc>
        <w:tc>
          <w:tcPr>
            <w:tcW w:w="1243" w:type="dxa"/>
            <w:tcMar>
              <w:top w:w="45" w:type="dxa"/>
              <w:left w:w="55" w:type="dxa"/>
              <w:bottom w:w="45" w:type="dxa"/>
              <w:right w:w="55" w:type="dxa"/>
            </w:tcMar>
            <w:vAlign w:val="center"/>
          </w:tcPr>
          <w:p w14:paraId="19FFF30F" w14:textId="77777777" w:rsidR="00235BC0" w:rsidRPr="00A46D13" w:rsidRDefault="00000000">
            <w:pPr>
              <w:spacing w:after="0"/>
              <w:jc w:val="center"/>
            </w:pPr>
            <w:r w:rsidRPr="00A46D13">
              <w:rPr>
                <w:sz w:val="15"/>
              </w:rPr>
              <w:t>0.980</w:t>
            </w:r>
          </w:p>
        </w:tc>
        <w:tc>
          <w:tcPr>
            <w:tcW w:w="1245" w:type="dxa"/>
            <w:tcMar>
              <w:top w:w="45" w:type="dxa"/>
              <w:left w:w="55" w:type="dxa"/>
              <w:bottom w:w="45" w:type="dxa"/>
              <w:right w:w="55" w:type="dxa"/>
            </w:tcMar>
            <w:vAlign w:val="center"/>
          </w:tcPr>
          <w:p w14:paraId="0B1C5102" w14:textId="77777777" w:rsidR="00235BC0" w:rsidRPr="00A46D13" w:rsidRDefault="00000000">
            <w:pPr>
              <w:spacing w:after="0"/>
              <w:jc w:val="center"/>
            </w:pPr>
            <w:r w:rsidRPr="00A46D13">
              <w:rPr>
                <w:sz w:val="15"/>
              </w:rPr>
              <w:t>0.00</w:t>
            </w:r>
          </w:p>
        </w:tc>
      </w:tr>
      <w:tr w:rsidR="00235BC0" w:rsidRPr="00A46D13" w14:paraId="3F997F66" w14:textId="77777777">
        <w:trPr>
          <w:cantSplit/>
          <w:jc w:val="center"/>
        </w:trPr>
        <w:tc>
          <w:tcPr>
            <w:tcW w:w="1900" w:type="dxa"/>
            <w:tcMar>
              <w:top w:w="45" w:type="dxa"/>
              <w:left w:w="55" w:type="dxa"/>
              <w:bottom w:w="45" w:type="dxa"/>
              <w:right w:w="55" w:type="dxa"/>
            </w:tcMar>
            <w:vAlign w:val="center"/>
          </w:tcPr>
          <w:p w14:paraId="6B4C6747" w14:textId="77777777" w:rsidR="00235BC0" w:rsidRPr="00A46D13" w:rsidRDefault="00000000">
            <w:pPr>
              <w:spacing w:after="0"/>
              <w:jc w:val="left"/>
            </w:pPr>
            <w:r w:rsidRPr="00A46D13">
              <w:rPr>
                <w:sz w:val="15"/>
              </w:rPr>
              <w:t>Verified autonomy</w:t>
            </w:r>
          </w:p>
        </w:tc>
        <w:tc>
          <w:tcPr>
            <w:tcW w:w="1243" w:type="dxa"/>
            <w:tcMar>
              <w:top w:w="45" w:type="dxa"/>
              <w:left w:w="55" w:type="dxa"/>
              <w:bottom w:w="45" w:type="dxa"/>
              <w:right w:w="55" w:type="dxa"/>
            </w:tcMar>
            <w:vAlign w:val="center"/>
          </w:tcPr>
          <w:p w14:paraId="6D2303AE" w14:textId="77777777" w:rsidR="00235BC0" w:rsidRPr="00A46D13" w:rsidRDefault="00000000">
            <w:pPr>
              <w:spacing w:after="0"/>
              <w:jc w:val="center"/>
            </w:pPr>
            <w:r w:rsidRPr="00A46D13">
              <w:rPr>
                <w:sz w:val="15"/>
              </w:rPr>
              <w:t>451.71</w:t>
            </w:r>
          </w:p>
        </w:tc>
        <w:tc>
          <w:tcPr>
            <w:tcW w:w="1243" w:type="dxa"/>
            <w:tcMar>
              <w:top w:w="45" w:type="dxa"/>
              <w:left w:w="55" w:type="dxa"/>
              <w:bottom w:w="45" w:type="dxa"/>
              <w:right w:w="55" w:type="dxa"/>
            </w:tcMar>
            <w:vAlign w:val="center"/>
          </w:tcPr>
          <w:p w14:paraId="735111D5" w14:textId="77777777" w:rsidR="00235BC0" w:rsidRPr="00A46D13" w:rsidRDefault="00000000">
            <w:pPr>
              <w:spacing w:after="0"/>
              <w:jc w:val="center"/>
            </w:pPr>
            <w:r w:rsidRPr="00A46D13">
              <w:rPr>
                <w:sz w:val="15"/>
              </w:rPr>
              <w:t>307.76</w:t>
            </w:r>
          </w:p>
        </w:tc>
        <w:tc>
          <w:tcPr>
            <w:tcW w:w="1243" w:type="dxa"/>
            <w:tcMar>
              <w:top w:w="45" w:type="dxa"/>
              <w:left w:w="55" w:type="dxa"/>
              <w:bottom w:w="45" w:type="dxa"/>
              <w:right w:w="55" w:type="dxa"/>
            </w:tcMar>
            <w:vAlign w:val="center"/>
          </w:tcPr>
          <w:p w14:paraId="082620AD" w14:textId="77777777" w:rsidR="00235BC0" w:rsidRPr="00A46D13" w:rsidRDefault="00000000">
            <w:pPr>
              <w:spacing w:after="0"/>
              <w:jc w:val="center"/>
            </w:pPr>
            <w:r w:rsidRPr="00A46D13">
              <w:rPr>
                <w:sz w:val="15"/>
              </w:rPr>
              <w:t>615.73</w:t>
            </w:r>
          </w:p>
        </w:tc>
        <w:tc>
          <w:tcPr>
            <w:tcW w:w="1243" w:type="dxa"/>
            <w:tcMar>
              <w:top w:w="45" w:type="dxa"/>
              <w:left w:w="55" w:type="dxa"/>
              <w:bottom w:w="45" w:type="dxa"/>
              <w:right w:w="55" w:type="dxa"/>
            </w:tcMar>
            <w:vAlign w:val="center"/>
          </w:tcPr>
          <w:p w14:paraId="39C04FE9" w14:textId="77777777" w:rsidR="00235BC0" w:rsidRPr="00A46D13" w:rsidRDefault="00000000">
            <w:pPr>
              <w:spacing w:after="0"/>
              <w:jc w:val="center"/>
            </w:pPr>
            <w:r w:rsidRPr="00A46D13">
              <w:rPr>
                <w:sz w:val="15"/>
              </w:rPr>
              <w:t>0.000</w:t>
            </w:r>
          </w:p>
        </w:tc>
        <w:tc>
          <w:tcPr>
            <w:tcW w:w="1243" w:type="dxa"/>
            <w:tcMar>
              <w:top w:w="45" w:type="dxa"/>
              <w:left w:w="55" w:type="dxa"/>
              <w:bottom w:w="45" w:type="dxa"/>
              <w:right w:w="55" w:type="dxa"/>
            </w:tcMar>
            <w:vAlign w:val="center"/>
          </w:tcPr>
          <w:p w14:paraId="21C666ED" w14:textId="77777777" w:rsidR="00235BC0" w:rsidRPr="00A46D13" w:rsidRDefault="00000000">
            <w:pPr>
              <w:spacing w:after="0"/>
              <w:jc w:val="center"/>
            </w:pPr>
            <w:r w:rsidRPr="00A46D13">
              <w:rPr>
                <w:sz w:val="15"/>
              </w:rPr>
              <w:t>0.955</w:t>
            </w:r>
          </w:p>
        </w:tc>
        <w:tc>
          <w:tcPr>
            <w:tcW w:w="1245" w:type="dxa"/>
            <w:tcMar>
              <w:top w:w="45" w:type="dxa"/>
              <w:left w:w="55" w:type="dxa"/>
              <w:bottom w:w="45" w:type="dxa"/>
              <w:right w:w="55" w:type="dxa"/>
            </w:tcMar>
            <w:vAlign w:val="center"/>
          </w:tcPr>
          <w:p w14:paraId="53675E4D" w14:textId="77777777" w:rsidR="00235BC0" w:rsidRPr="00A46D13" w:rsidRDefault="00000000">
            <w:pPr>
              <w:spacing w:after="0"/>
              <w:jc w:val="center"/>
            </w:pPr>
            <w:r w:rsidRPr="00A46D13">
              <w:rPr>
                <w:sz w:val="15"/>
              </w:rPr>
              <w:t>0.00</w:t>
            </w:r>
          </w:p>
        </w:tc>
      </w:tr>
      <w:tr w:rsidR="00235BC0" w:rsidRPr="00A46D13" w14:paraId="698DB026" w14:textId="77777777">
        <w:trPr>
          <w:cantSplit/>
          <w:jc w:val="center"/>
        </w:trPr>
        <w:tc>
          <w:tcPr>
            <w:tcW w:w="1900" w:type="dxa"/>
            <w:tcMar>
              <w:top w:w="45" w:type="dxa"/>
              <w:left w:w="55" w:type="dxa"/>
              <w:bottom w:w="45" w:type="dxa"/>
              <w:right w:w="55" w:type="dxa"/>
            </w:tcMar>
            <w:vAlign w:val="center"/>
          </w:tcPr>
          <w:p w14:paraId="7EB93435" w14:textId="77777777" w:rsidR="00235BC0" w:rsidRPr="00A46D13" w:rsidRDefault="00000000">
            <w:pPr>
              <w:spacing w:after="0"/>
              <w:jc w:val="left"/>
            </w:pPr>
            <w:r w:rsidRPr="00A46D13">
              <w:rPr>
                <w:sz w:val="15"/>
              </w:rPr>
              <w:t>Human-</w:t>
            </w:r>
            <w:proofErr w:type="spellStart"/>
            <w:r w:rsidRPr="00A46D13">
              <w:rPr>
                <w:sz w:val="15"/>
              </w:rPr>
              <w:t>centred</w:t>
            </w:r>
            <w:proofErr w:type="spellEnd"/>
            <w:r w:rsidRPr="00A46D13">
              <w:rPr>
                <w:sz w:val="15"/>
              </w:rPr>
              <w:t xml:space="preserve"> augmentation</w:t>
            </w:r>
          </w:p>
        </w:tc>
        <w:tc>
          <w:tcPr>
            <w:tcW w:w="1243" w:type="dxa"/>
            <w:tcMar>
              <w:top w:w="45" w:type="dxa"/>
              <w:left w:w="55" w:type="dxa"/>
              <w:bottom w:w="45" w:type="dxa"/>
              <w:right w:w="55" w:type="dxa"/>
            </w:tcMar>
            <w:vAlign w:val="center"/>
          </w:tcPr>
          <w:p w14:paraId="2214D263" w14:textId="77777777" w:rsidR="00235BC0" w:rsidRPr="00A46D13" w:rsidRDefault="00000000">
            <w:pPr>
              <w:spacing w:after="0"/>
              <w:jc w:val="center"/>
            </w:pPr>
            <w:r w:rsidRPr="00A46D13">
              <w:rPr>
                <w:sz w:val="15"/>
              </w:rPr>
              <w:t>344.84</w:t>
            </w:r>
          </w:p>
        </w:tc>
        <w:tc>
          <w:tcPr>
            <w:tcW w:w="1243" w:type="dxa"/>
            <w:tcMar>
              <w:top w:w="45" w:type="dxa"/>
              <w:left w:w="55" w:type="dxa"/>
              <w:bottom w:w="45" w:type="dxa"/>
              <w:right w:w="55" w:type="dxa"/>
            </w:tcMar>
            <w:vAlign w:val="center"/>
          </w:tcPr>
          <w:p w14:paraId="13D7E0A2" w14:textId="77777777" w:rsidR="00235BC0" w:rsidRPr="00A46D13" w:rsidRDefault="00000000">
            <w:pPr>
              <w:spacing w:after="0"/>
              <w:jc w:val="center"/>
            </w:pPr>
            <w:r w:rsidRPr="00A46D13">
              <w:rPr>
                <w:sz w:val="15"/>
              </w:rPr>
              <w:t>226.58</w:t>
            </w:r>
          </w:p>
        </w:tc>
        <w:tc>
          <w:tcPr>
            <w:tcW w:w="1243" w:type="dxa"/>
            <w:tcMar>
              <w:top w:w="45" w:type="dxa"/>
              <w:left w:w="55" w:type="dxa"/>
              <w:bottom w:w="45" w:type="dxa"/>
              <w:right w:w="55" w:type="dxa"/>
            </w:tcMar>
            <w:vAlign w:val="center"/>
          </w:tcPr>
          <w:p w14:paraId="5BD150F6" w14:textId="77777777" w:rsidR="00235BC0" w:rsidRPr="00A46D13" w:rsidRDefault="00000000">
            <w:pPr>
              <w:spacing w:after="0"/>
              <w:jc w:val="center"/>
            </w:pPr>
            <w:r w:rsidRPr="00A46D13">
              <w:rPr>
                <w:sz w:val="15"/>
              </w:rPr>
              <w:t>480.63</w:t>
            </w:r>
          </w:p>
        </w:tc>
        <w:tc>
          <w:tcPr>
            <w:tcW w:w="1243" w:type="dxa"/>
            <w:tcMar>
              <w:top w:w="45" w:type="dxa"/>
              <w:left w:w="55" w:type="dxa"/>
              <w:bottom w:w="45" w:type="dxa"/>
              <w:right w:w="55" w:type="dxa"/>
            </w:tcMar>
            <w:vAlign w:val="center"/>
          </w:tcPr>
          <w:p w14:paraId="081BCA5B" w14:textId="77777777" w:rsidR="00235BC0" w:rsidRPr="00A46D13" w:rsidRDefault="00000000">
            <w:pPr>
              <w:spacing w:after="0"/>
              <w:jc w:val="center"/>
            </w:pPr>
            <w:r w:rsidRPr="00A46D13">
              <w:rPr>
                <w:sz w:val="15"/>
              </w:rPr>
              <w:t>0.000</w:t>
            </w:r>
          </w:p>
        </w:tc>
        <w:tc>
          <w:tcPr>
            <w:tcW w:w="1243" w:type="dxa"/>
            <w:tcMar>
              <w:top w:w="45" w:type="dxa"/>
              <w:left w:w="55" w:type="dxa"/>
              <w:bottom w:w="45" w:type="dxa"/>
              <w:right w:w="55" w:type="dxa"/>
            </w:tcMar>
            <w:vAlign w:val="center"/>
          </w:tcPr>
          <w:p w14:paraId="2D2EC87F" w14:textId="77777777" w:rsidR="00235BC0" w:rsidRPr="00A46D13" w:rsidRDefault="00000000">
            <w:pPr>
              <w:spacing w:after="0"/>
              <w:jc w:val="center"/>
            </w:pPr>
            <w:r w:rsidRPr="00A46D13">
              <w:rPr>
                <w:sz w:val="15"/>
              </w:rPr>
              <w:t>0.980</w:t>
            </w:r>
          </w:p>
        </w:tc>
        <w:tc>
          <w:tcPr>
            <w:tcW w:w="1245" w:type="dxa"/>
            <w:tcMar>
              <w:top w:w="45" w:type="dxa"/>
              <w:left w:w="55" w:type="dxa"/>
              <w:bottom w:w="45" w:type="dxa"/>
              <w:right w:w="55" w:type="dxa"/>
            </w:tcMar>
            <w:vAlign w:val="center"/>
          </w:tcPr>
          <w:p w14:paraId="76CE75E4" w14:textId="77777777" w:rsidR="00235BC0" w:rsidRPr="00A46D13" w:rsidRDefault="00000000">
            <w:pPr>
              <w:spacing w:after="0"/>
              <w:jc w:val="center"/>
            </w:pPr>
            <w:r w:rsidRPr="00A46D13">
              <w:rPr>
                <w:sz w:val="15"/>
              </w:rPr>
              <w:t>0.00</w:t>
            </w:r>
          </w:p>
        </w:tc>
      </w:tr>
      <w:tr w:rsidR="00235BC0" w:rsidRPr="00A46D13" w14:paraId="7B8FE304" w14:textId="77777777">
        <w:trPr>
          <w:cantSplit/>
          <w:jc w:val="center"/>
        </w:trPr>
        <w:tc>
          <w:tcPr>
            <w:tcW w:w="1900" w:type="dxa"/>
            <w:tcMar>
              <w:top w:w="45" w:type="dxa"/>
              <w:left w:w="55" w:type="dxa"/>
              <w:bottom w:w="45" w:type="dxa"/>
              <w:right w:w="55" w:type="dxa"/>
            </w:tcMar>
            <w:vAlign w:val="center"/>
          </w:tcPr>
          <w:p w14:paraId="7BAB999D" w14:textId="77777777" w:rsidR="00235BC0" w:rsidRPr="00A46D13" w:rsidRDefault="00000000">
            <w:pPr>
              <w:spacing w:after="0"/>
              <w:jc w:val="left"/>
            </w:pPr>
            <w:r w:rsidRPr="00A46D13">
              <w:rPr>
                <w:sz w:val="15"/>
              </w:rPr>
              <w:t>Debt-responsive governance</w:t>
            </w:r>
          </w:p>
        </w:tc>
        <w:tc>
          <w:tcPr>
            <w:tcW w:w="1243" w:type="dxa"/>
            <w:tcMar>
              <w:top w:w="45" w:type="dxa"/>
              <w:left w:w="55" w:type="dxa"/>
              <w:bottom w:w="45" w:type="dxa"/>
              <w:right w:w="55" w:type="dxa"/>
            </w:tcMar>
            <w:vAlign w:val="center"/>
          </w:tcPr>
          <w:p w14:paraId="013106E3" w14:textId="77777777" w:rsidR="00235BC0" w:rsidRPr="00A46D13" w:rsidRDefault="00000000">
            <w:pPr>
              <w:spacing w:after="0"/>
              <w:jc w:val="center"/>
            </w:pPr>
            <w:r w:rsidRPr="00A46D13">
              <w:rPr>
                <w:sz w:val="15"/>
              </w:rPr>
              <w:t>420.89</w:t>
            </w:r>
          </w:p>
        </w:tc>
        <w:tc>
          <w:tcPr>
            <w:tcW w:w="1243" w:type="dxa"/>
            <w:tcMar>
              <w:top w:w="45" w:type="dxa"/>
              <w:left w:w="55" w:type="dxa"/>
              <w:bottom w:w="45" w:type="dxa"/>
              <w:right w:w="55" w:type="dxa"/>
            </w:tcMar>
            <w:vAlign w:val="center"/>
          </w:tcPr>
          <w:p w14:paraId="50E1E6D7" w14:textId="77777777" w:rsidR="00235BC0" w:rsidRPr="00A46D13" w:rsidRDefault="00000000">
            <w:pPr>
              <w:spacing w:after="0"/>
              <w:jc w:val="center"/>
            </w:pPr>
            <w:r w:rsidRPr="00A46D13">
              <w:rPr>
                <w:sz w:val="15"/>
              </w:rPr>
              <w:t>287.16</w:t>
            </w:r>
          </w:p>
        </w:tc>
        <w:tc>
          <w:tcPr>
            <w:tcW w:w="1243" w:type="dxa"/>
            <w:tcMar>
              <w:top w:w="45" w:type="dxa"/>
              <w:left w:w="55" w:type="dxa"/>
              <w:bottom w:w="45" w:type="dxa"/>
              <w:right w:w="55" w:type="dxa"/>
            </w:tcMar>
            <w:vAlign w:val="center"/>
          </w:tcPr>
          <w:p w14:paraId="05619EAD" w14:textId="77777777" w:rsidR="00235BC0" w:rsidRPr="00A46D13" w:rsidRDefault="00000000">
            <w:pPr>
              <w:spacing w:after="0"/>
              <w:jc w:val="center"/>
            </w:pPr>
            <w:r w:rsidRPr="00A46D13">
              <w:rPr>
                <w:sz w:val="15"/>
              </w:rPr>
              <w:t>576.40</w:t>
            </w:r>
          </w:p>
        </w:tc>
        <w:tc>
          <w:tcPr>
            <w:tcW w:w="1243" w:type="dxa"/>
            <w:tcMar>
              <w:top w:w="45" w:type="dxa"/>
              <w:left w:w="55" w:type="dxa"/>
              <w:bottom w:w="45" w:type="dxa"/>
              <w:right w:w="55" w:type="dxa"/>
            </w:tcMar>
            <w:vAlign w:val="center"/>
          </w:tcPr>
          <w:p w14:paraId="0D110640" w14:textId="77777777" w:rsidR="00235BC0" w:rsidRPr="00A46D13" w:rsidRDefault="00000000">
            <w:pPr>
              <w:spacing w:after="0"/>
              <w:jc w:val="center"/>
            </w:pPr>
            <w:r w:rsidRPr="00A46D13">
              <w:rPr>
                <w:sz w:val="15"/>
              </w:rPr>
              <w:t>0.054</w:t>
            </w:r>
          </w:p>
        </w:tc>
        <w:tc>
          <w:tcPr>
            <w:tcW w:w="1243" w:type="dxa"/>
            <w:tcMar>
              <w:top w:w="45" w:type="dxa"/>
              <w:left w:w="55" w:type="dxa"/>
              <w:bottom w:w="45" w:type="dxa"/>
              <w:right w:w="55" w:type="dxa"/>
            </w:tcMar>
            <w:vAlign w:val="center"/>
          </w:tcPr>
          <w:p w14:paraId="61298FF4" w14:textId="77777777" w:rsidR="00235BC0" w:rsidRPr="00A46D13" w:rsidRDefault="00000000">
            <w:pPr>
              <w:spacing w:after="0"/>
              <w:jc w:val="center"/>
            </w:pPr>
            <w:r w:rsidRPr="00A46D13">
              <w:rPr>
                <w:sz w:val="15"/>
              </w:rPr>
              <w:t>0.548</w:t>
            </w:r>
          </w:p>
        </w:tc>
        <w:tc>
          <w:tcPr>
            <w:tcW w:w="1245" w:type="dxa"/>
            <w:tcMar>
              <w:top w:w="45" w:type="dxa"/>
              <w:left w:w="55" w:type="dxa"/>
              <w:bottom w:w="45" w:type="dxa"/>
              <w:right w:w="55" w:type="dxa"/>
            </w:tcMar>
            <w:vAlign w:val="center"/>
          </w:tcPr>
          <w:p w14:paraId="12846127" w14:textId="77777777" w:rsidR="00235BC0" w:rsidRPr="00A46D13" w:rsidRDefault="00000000">
            <w:pPr>
              <w:spacing w:after="0"/>
              <w:jc w:val="center"/>
            </w:pPr>
            <w:r w:rsidRPr="00A46D13">
              <w:rPr>
                <w:sz w:val="15"/>
              </w:rPr>
              <w:t>0.04</w:t>
            </w:r>
          </w:p>
        </w:tc>
      </w:tr>
      <w:tr w:rsidR="00235BC0" w:rsidRPr="00A46D13" w14:paraId="2705A557" w14:textId="77777777">
        <w:trPr>
          <w:cantSplit/>
          <w:jc w:val="center"/>
        </w:trPr>
        <w:tc>
          <w:tcPr>
            <w:tcW w:w="1900" w:type="dxa"/>
            <w:tcMar>
              <w:top w:w="45" w:type="dxa"/>
              <w:left w:w="55" w:type="dxa"/>
              <w:bottom w:w="45" w:type="dxa"/>
              <w:right w:w="55" w:type="dxa"/>
            </w:tcMar>
            <w:vAlign w:val="center"/>
          </w:tcPr>
          <w:p w14:paraId="5A050617" w14:textId="77777777" w:rsidR="00235BC0" w:rsidRPr="00A46D13" w:rsidRDefault="00000000">
            <w:pPr>
              <w:spacing w:after="0"/>
              <w:jc w:val="left"/>
            </w:pPr>
            <w:r w:rsidRPr="00A46D13">
              <w:rPr>
                <w:sz w:val="15"/>
              </w:rPr>
              <w:t>Best evaluated fixed policy</w:t>
            </w:r>
          </w:p>
        </w:tc>
        <w:tc>
          <w:tcPr>
            <w:tcW w:w="1243" w:type="dxa"/>
            <w:tcMar>
              <w:top w:w="45" w:type="dxa"/>
              <w:left w:w="55" w:type="dxa"/>
              <w:bottom w:w="45" w:type="dxa"/>
              <w:right w:w="55" w:type="dxa"/>
            </w:tcMar>
            <w:vAlign w:val="center"/>
          </w:tcPr>
          <w:p w14:paraId="0DC78117" w14:textId="77777777" w:rsidR="00235BC0" w:rsidRPr="00A46D13" w:rsidRDefault="00000000">
            <w:pPr>
              <w:spacing w:after="0"/>
              <w:jc w:val="center"/>
            </w:pPr>
            <w:r w:rsidRPr="00A46D13">
              <w:rPr>
                <w:sz w:val="15"/>
              </w:rPr>
              <w:t>606.33</w:t>
            </w:r>
          </w:p>
        </w:tc>
        <w:tc>
          <w:tcPr>
            <w:tcW w:w="1243" w:type="dxa"/>
            <w:tcMar>
              <w:top w:w="45" w:type="dxa"/>
              <w:left w:w="55" w:type="dxa"/>
              <w:bottom w:w="45" w:type="dxa"/>
              <w:right w:w="55" w:type="dxa"/>
            </w:tcMar>
            <w:vAlign w:val="center"/>
          </w:tcPr>
          <w:p w14:paraId="39B015F0" w14:textId="77777777" w:rsidR="00235BC0" w:rsidRPr="00A46D13" w:rsidRDefault="00000000">
            <w:pPr>
              <w:spacing w:after="0"/>
              <w:jc w:val="center"/>
            </w:pPr>
            <w:r w:rsidRPr="00A46D13">
              <w:rPr>
                <w:sz w:val="15"/>
              </w:rPr>
              <w:t>424.11</w:t>
            </w:r>
          </w:p>
        </w:tc>
        <w:tc>
          <w:tcPr>
            <w:tcW w:w="1243" w:type="dxa"/>
            <w:tcMar>
              <w:top w:w="45" w:type="dxa"/>
              <w:left w:w="55" w:type="dxa"/>
              <w:bottom w:w="45" w:type="dxa"/>
              <w:right w:w="55" w:type="dxa"/>
            </w:tcMar>
            <w:vAlign w:val="center"/>
          </w:tcPr>
          <w:p w14:paraId="33467613" w14:textId="77777777" w:rsidR="00235BC0" w:rsidRPr="00A46D13" w:rsidRDefault="00000000">
            <w:pPr>
              <w:spacing w:after="0"/>
              <w:jc w:val="center"/>
            </w:pPr>
            <w:r w:rsidRPr="00A46D13">
              <w:rPr>
                <w:sz w:val="15"/>
              </w:rPr>
              <w:t>816.87</w:t>
            </w:r>
          </w:p>
        </w:tc>
        <w:tc>
          <w:tcPr>
            <w:tcW w:w="1243" w:type="dxa"/>
            <w:tcMar>
              <w:top w:w="45" w:type="dxa"/>
              <w:left w:w="55" w:type="dxa"/>
              <w:bottom w:w="45" w:type="dxa"/>
              <w:right w:w="55" w:type="dxa"/>
            </w:tcMar>
            <w:vAlign w:val="center"/>
          </w:tcPr>
          <w:p w14:paraId="312C813C" w14:textId="77777777" w:rsidR="00235BC0" w:rsidRPr="00A46D13" w:rsidRDefault="00000000">
            <w:pPr>
              <w:spacing w:after="0"/>
              <w:jc w:val="center"/>
            </w:pPr>
            <w:r w:rsidRPr="00A46D13">
              <w:rPr>
                <w:sz w:val="15"/>
              </w:rPr>
              <w:t>0.003</w:t>
            </w:r>
          </w:p>
        </w:tc>
        <w:tc>
          <w:tcPr>
            <w:tcW w:w="1243" w:type="dxa"/>
            <w:tcMar>
              <w:top w:w="45" w:type="dxa"/>
              <w:left w:w="55" w:type="dxa"/>
              <w:bottom w:w="45" w:type="dxa"/>
              <w:right w:w="55" w:type="dxa"/>
            </w:tcMar>
            <w:vAlign w:val="center"/>
          </w:tcPr>
          <w:p w14:paraId="13669578" w14:textId="77777777" w:rsidR="00235BC0" w:rsidRPr="00A46D13" w:rsidRDefault="00000000">
            <w:pPr>
              <w:spacing w:after="0"/>
              <w:jc w:val="center"/>
            </w:pPr>
            <w:r w:rsidRPr="00A46D13">
              <w:rPr>
                <w:sz w:val="15"/>
              </w:rPr>
              <w:t>0.978</w:t>
            </w:r>
          </w:p>
        </w:tc>
        <w:tc>
          <w:tcPr>
            <w:tcW w:w="1245" w:type="dxa"/>
            <w:tcMar>
              <w:top w:w="45" w:type="dxa"/>
              <w:left w:w="55" w:type="dxa"/>
              <w:bottom w:w="45" w:type="dxa"/>
              <w:right w:w="55" w:type="dxa"/>
            </w:tcMar>
            <w:vAlign w:val="center"/>
          </w:tcPr>
          <w:p w14:paraId="6180D8AF" w14:textId="77777777" w:rsidR="00235BC0" w:rsidRPr="00A46D13" w:rsidRDefault="00000000">
            <w:pPr>
              <w:spacing w:after="0"/>
              <w:jc w:val="center"/>
            </w:pPr>
            <w:r w:rsidRPr="00A46D13">
              <w:rPr>
                <w:sz w:val="15"/>
              </w:rPr>
              <w:t>0.00</w:t>
            </w:r>
          </w:p>
        </w:tc>
      </w:tr>
    </w:tbl>
    <w:p w14:paraId="1EA4C66F" w14:textId="77777777" w:rsidR="00235BC0" w:rsidRPr="00A46D13" w:rsidRDefault="00000000">
      <w:r w:rsidRPr="00A46D13">
        <w:t>Paired firm-by-firm differences provide a more precise comparison than overlapping marginal intervals. Under heterogeneity, debt-responsive governance trails verified autonomy by a mean of 30.83 units, with a paired 2.5th to 97.5th percentile interval of -53.55 to -0.69; it exceeds verified autonomy in 2.36% of firms. Human-</w:t>
      </w:r>
      <w:proofErr w:type="spellStart"/>
      <w:r w:rsidRPr="00A46D13">
        <w:t>centred</w:t>
      </w:r>
      <w:proofErr w:type="spellEnd"/>
      <w:r w:rsidRPr="00A46D13">
        <w:t xml:space="preserve"> augmentation, compliance-heavy governance, and acceleration-first trail verified autonomy in every paired trajectory. The best evaluated fixed policy exceeds verified autonomy in every paired trajectory, with a mean advantage of 154.62 units and a paired interval of 111.09 to 205.69.</w:t>
      </w:r>
    </w:p>
    <w:p w14:paraId="325D6345" w14:textId="77777777" w:rsidR="00235BC0" w:rsidRPr="00A46D13" w:rsidRDefault="00000000">
      <w:r w:rsidRPr="00A46D13">
        <w:t>These results still do not establish external validity. The firm-specific distributions are synthetic and moderate by design. They show that the base ranking is not solely an artefact of identical structural parameters, but they do not identify the ranking that would prevail in any observed sector.</w:t>
      </w:r>
    </w:p>
    <w:p w14:paraId="43B62AD4" w14:textId="77777777" w:rsidR="00235BC0" w:rsidRPr="00A46D13" w:rsidRDefault="00000000">
      <w:pPr>
        <w:keepNext/>
        <w:spacing w:before="120"/>
        <w:jc w:val="left"/>
      </w:pPr>
      <w:r w:rsidRPr="00A46D13">
        <w:rPr>
          <w:b/>
          <w:bCs/>
          <w:sz w:val="22"/>
        </w:rPr>
        <w:t>4.5 Sensitivity Analysis and Conditional Interpretation</w:t>
      </w:r>
    </w:p>
    <w:p w14:paraId="3E95DBE9" w14:textId="77777777" w:rsidR="00235BC0" w:rsidRPr="00A46D13" w:rsidRDefault="00000000">
      <w:r w:rsidRPr="00A46D13">
        <w:t xml:space="preserve">One-way sensitivity analysis retains verified autonomy as the first-ranked named regime and debt-responsive governance as the second-ranked named regime in all 18 plus-or-minus 20% scenarios. Table 7 </w:t>
      </w:r>
      <w:proofErr w:type="spellStart"/>
      <w:r w:rsidRPr="00A46D13">
        <w:t>summarises</w:t>
      </w:r>
      <w:proofErr w:type="spellEnd"/>
      <w:r w:rsidRPr="00A46D13">
        <w:t xml:space="preserve"> their ranges. The sensitivity analysis does not re-</w:t>
      </w:r>
      <w:proofErr w:type="spellStart"/>
      <w:r w:rsidRPr="00A46D13">
        <w:t>optimise</w:t>
      </w:r>
      <w:proofErr w:type="spellEnd"/>
      <w:r w:rsidRPr="00A46D13">
        <w:t xml:space="preserve"> the full policy space, so it supports robustness of the five-regime comparison rather than robustness of the grid optimum.</w:t>
      </w:r>
    </w:p>
    <w:p w14:paraId="16224BC5" w14:textId="77777777" w:rsidR="00235BC0" w:rsidRPr="00A46D13" w:rsidRDefault="00000000">
      <w:pPr>
        <w:keepNext/>
        <w:spacing w:before="100" w:after="40"/>
        <w:jc w:val="left"/>
      </w:pPr>
      <w:r w:rsidRPr="00A46D13">
        <w:rPr>
          <w:b/>
          <w:bCs/>
        </w:rPr>
        <w:t>Table 7. One-way sensitivity of the two leading named regimes</w:t>
      </w:r>
    </w:p>
    <w:tbl>
      <w:tblPr>
        <w:tblW w:w="936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20" w:firstRow="1" w:lastRow="0" w:firstColumn="0" w:lastColumn="0" w:noHBand="0" w:noVBand="0"/>
      </w:tblPr>
      <w:tblGrid>
        <w:gridCol w:w="2200"/>
        <w:gridCol w:w="1790"/>
        <w:gridCol w:w="1790"/>
        <w:gridCol w:w="1790"/>
        <w:gridCol w:w="1790"/>
      </w:tblGrid>
      <w:tr w:rsidR="00235BC0" w:rsidRPr="00A46D13" w14:paraId="63149F72" w14:textId="77777777">
        <w:trPr>
          <w:cantSplit/>
          <w:tblHeader/>
          <w:jc w:val="center"/>
        </w:trPr>
        <w:tc>
          <w:tcPr>
            <w:tcW w:w="2200" w:type="dxa"/>
            <w:shd w:val="clear" w:color="auto" w:fill="E7E6E6"/>
            <w:tcMar>
              <w:top w:w="45" w:type="dxa"/>
              <w:left w:w="55" w:type="dxa"/>
              <w:bottom w:w="45" w:type="dxa"/>
              <w:right w:w="55" w:type="dxa"/>
            </w:tcMar>
            <w:vAlign w:val="center"/>
          </w:tcPr>
          <w:p w14:paraId="3CC17B0A" w14:textId="77777777" w:rsidR="00235BC0" w:rsidRPr="00A46D13" w:rsidRDefault="00000000">
            <w:pPr>
              <w:spacing w:after="0"/>
              <w:jc w:val="left"/>
            </w:pPr>
            <w:r w:rsidRPr="00A46D13">
              <w:rPr>
                <w:b/>
                <w:bCs/>
                <w:sz w:val="16"/>
              </w:rPr>
              <w:t>Parameter varied</w:t>
            </w:r>
          </w:p>
        </w:tc>
        <w:tc>
          <w:tcPr>
            <w:tcW w:w="1790" w:type="dxa"/>
            <w:shd w:val="clear" w:color="auto" w:fill="E7E6E6"/>
            <w:tcMar>
              <w:top w:w="45" w:type="dxa"/>
              <w:left w:w="55" w:type="dxa"/>
              <w:bottom w:w="45" w:type="dxa"/>
              <w:right w:w="55" w:type="dxa"/>
            </w:tcMar>
            <w:vAlign w:val="center"/>
          </w:tcPr>
          <w:p w14:paraId="659A0A7E" w14:textId="77777777" w:rsidR="00235BC0" w:rsidRPr="00A46D13" w:rsidRDefault="00000000">
            <w:pPr>
              <w:spacing w:after="0"/>
              <w:jc w:val="center"/>
            </w:pPr>
            <w:r w:rsidRPr="00A46D13">
              <w:rPr>
                <w:b/>
                <w:bCs/>
                <w:sz w:val="16"/>
              </w:rPr>
              <w:t>Verified autonomy range</w:t>
            </w:r>
          </w:p>
        </w:tc>
        <w:tc>
          <w:tcPr>
            <w:tcW w:w="1790" w:type="dxa"/>
            <w:shd w:val="clear" w:color="auto" w:fill="E7E6E6"/>
            <w:tcMar>
              <w:top w:w="45" w:type="dxa"/>
              <w:left w:w="55" w:type="dxa"/>
              <w:bottom w:w="45" w:type="dxa"/>
              <w:right w:w="55" w:type="dxa"/>
            </w:tcMar>
            <w:vAlign w:val="center"/>
          </w:tcPr>
          <w:p w14:paraId="61917823" w14:textId="77777777" w:rsidR="00235BC0" w:rsidRPr="00A46D13" w:rsidRDefault="00000000">
            <w:pPr>
              <w:spacing w:after="0"/>
              <w:jc w:val="center"/>
            </w:pPr>
            <w:r w:rsidRPr="00A46D13">
              <w:rPr>
                <w:b/>
                <w:bCs/>
                <w:sz w:val="16"/>
              </w:rPr>
              <w:t>Debt-responsive range</w:t>
            </w:r>
          </w:p>
        </w:tc>
        <w:tc>
          <w:tcPr>
            <w:tcW w:w="1790" w:type="dxa"/>
            <w:shd w:val="clear" w:color="auto" w:fill="E7E6E6"/>
            <w:tcMar>
              <w:top w:w="45" w:type="dxa"/>
              <w:left w:w="55" w:type="dxa"/>
              <w:bottom w:w="45" w:type="dxa"/>
              <w:right w:w="55" w:type="dxa"/>
            </w:tcMar>
            <w:vAlign w:val="center"/>
          </w:tcPr>
          <w:p w14:paraId="24BAB3ED" w14:textId="77777777" w:rsidR="00235BC0" w:rsidRPr="00A46D13" w:rsidRDefault="00000000">
            <w:pPr>
              <w:spacing w:after="0"/>
              <w:jc w:val="center"/>
            </w:pPr>
            <w:r w:rsidRPr="00A46D13">
              <w:rPr>
                <w:b/>
                <w:bCs/>
                <w:sz w:val="16"/>
              </w:rPr>
              <w:t>First named regime</w:t>
            </w:r>
          </w:p>
        </w:tc>
        <w:tc>
          <w:tcPr>
            <w:tcW w:w="1790" w:type="dxa"/>
            <w:shd w:val="clear" w:color="auto" w:fill="E7E6E6"/>
            <w:tcMar>
              <w:top w:w="45" w:type="dxa"/>
              <w:left w:w="55" w:type="dxa"/>
              <w:bottom w:w="45" w:type="dxa"/>
              <w:right w:w="55" w:type="dxa"/>
            </w:tcMar>
            <w:vAlign w:val="center"/>
          </w:tcPr>
          <w:p w14:paraId="29956371" w14:textId="77777777" w:rsidR="00235BC0" w:rsidRPr="00A46D13" w:rsidRDefault="00000000">
            <w:pPr>
              <w:spacing w:after="0"/>
              <w:jc w:val="center"/>
            </w:pPr>
            <w:r w:rsidRPr="00A46D13">
              <w:rPr>
                <w:b/>
                <w:bCs/>
                <w:sz w:val="16"/>
              </w:rPr>
              <w:t>Second named regime</w:t>
            </w:r>
          </w:p>
        </w:tc>
      </w:tr>
      <w:tr w:rsidR="00235BC0" w:rsidRPr="00A46D13" w14:paraId="681E02B4" w14:textId="77777777">
        <w:trPr>
          <w:cantSplit/>
          <w:jc w:val="center"/>
        </w:trPr>
        <w:tc>
          <w:tcPr>
            <w:tcW w:w="2200" w:type="dxa"/>
            <w:tcMar>
              <w:top w:w="45" w:type="dxa"/>
              <w:left w:w="55" w:type="dxa"/>
              <w:bottom w:w="45" w:type="dxa"/>
              <w:right w:w="55" w:type="dxa"/>
            </w:tcMar>
            <w:vAlign w:val="center"/>
          </w:tcPr>
          <w:p w14:paraId="2935B780" w14:textId="77777777" w:rsidR="00235BC0" w:rsidRPr="00A46D13" w:rsidRDefault="00000000">
            <w:pPr>
              <w:spacing w:after="0"/>
              <w:jc w:val="left"/>
            </w:pPr>
            <w:r w:rsidRPr="00A46D13">
              <w:rPr>
                <w:sz w:val="16"/>
              </w:rPr>
              <w:t>Debt accumulation coefficient</w:t>
            </w:r>
          </w:p>
        </w:tc>
        <w:tc>
          <w:tcPr>
            <w:tcW w:w="1790" w:type="dxa"/>
            <w:tcMar>
              <w:top w:w="45" w:type="dxa"/>
              <w:left w:w="55" w:type="dxa"/>
              <w:bottom w:w="45" w:type="dxa"/>
              <w:right w:w="55" w:type="dxa"/>
            </w:tcMar>
            <w:vAlign w:val="center"/>
          </w:tcPr>
          <w:p w14:paraId="0CCD703C" w14:textId="77777777" w:rsidR="00235BC0" w:rsidRPr="00A46D13" w:rsidRDefault="00000000">
            <w:pPr>
              <w:spacing w:after="0"/>
              <w:jc w:val="center"/>
            </w:pPr>
            <w:r w:rsidRPr="00A46D13">
              <w:rPr>
                <w:sz w:val="16"/>
              </w:rPr>
              <w:t>454.67 to 454.72</w:t>
            </w:r>
          </w:p>
        </w:tc>
        <w:tc>
          <w:tcPr>
            <w:tcW w:w="1790" w:type="dxa"/>
            <w:tcMar>
              <w:top w:w="45" w:type="dxa"/>
              <w:left w:w="55" w:type="dxa"/>
              <w:bottom w:w="45" w:type="dxa"/>
              <w:right w:w="55" w:type="dxa"/>
            </w:tcMar>
            <w:vAlign w:val="center"/>
          </w:tcPr>
          <w:p w14:paraId="40577341" w14:textId="77777777" w:rsidR="00235BC0" w:rsidRPr="00A46D13" w:rsidRDefault="00000000">
            <w:pPr>
              <w:spacing w:after="0"/>
              <w:jc w:val="center"/>
            </w:pPr>
            <w:r w:rsidRPr="00A46D13">
              <w:rPr>
                <w:sz w:val="16"/>
              </w:rPr>
              <w:t>418.45 to 420.28</w:t>
            </w:r>
          </w:p>
        </w:tc>
        <w:tc>
          <w:tcPr>
            <w:tcW w:w="1790" w:type="dxa"/>
            <w:tcMar>
              <w:top w:w="45" w:type="dxa"/>
              <w:left w:w="55" w:type="dxa"/>
              <w:bottom w:w="45" w:type="dxa"/>
              <w:right w:w="55" w:type="dxa"/>
            </w:tcMar>
            <w:vAlign w:val="center"/>
          </w:tcPr>
          <w:p w14:paraId="75ED6D0F" w14:textId="77777777" w:rsidR="00235BC0" w:rsidRPr="00A46D13" w:rsidRDefault="00000000">
            <w:pPr>
              <w:spacing w:after="0"/>
              <w:jc w:val="center"/>
            </w:pPr>
            <w:r w:rsidRPr="00A46D13">
              <w:rPr>
                <w:sz w:val="16"/>
              </w:rPr>
              <w:t>Verified autonomy</w:t>
            </w:r>
          </w:p>
        </w:tc>
        <w:tc>
          <w:tcPr>
            <w:tcW w:w="1790" w:type="dxa"/>
            <w:tcMar>
              <w:top w:w="45" w:type="dxa"/>
              <w:left w:w="55" w:type="dxa"/>
              <w:bottom w:w="45" w:type="dxa"/>
              <w:right w:w="55" w:type="dxa"/>
            </w:tcMar>
            <w:vAlign w:val="center"/>
          </w:tcPr>
          <w:p w14:paraId="307DE098" w14:textId="77777777" w:rsidR="00235BC0" w:rsidRPr="00A46D13" w:rsidRDefault="00000000">
            <w:pPr>
              <w:spacing w:after="0"/>
              <w:jc w:val="center"/>
            </w:pPr>
            <w:r w:rsidRPr="00A46D13">
              <w:rPr>
                <w:sz w:val="16"/>
              </w:rPr>
              <w:t>Debt-responsive governance</w:t>
            </w:r>
          </w:p>
        </w:tc>
      </w:tr>
      <w:tr w:rsidR="00235BC0" w:rsidRPr="00A46D13" w14:paraId="4C30D61C" w14:textId="77777777">
        <w:trPr>
          <w:cantSplit/>
          <w:jc w:val="center"/>
        </w:trPr>
        <w:tc>
          <w:tcPr>
            <w:tcW w:w="2200" w:type="dxa"/>
            <w:tcMar>
              <w:top w:w="45" w:type="dxa"/>
              <w:left w:w="55" w:type="dxa"/>
              <w:bottom w:w="45" w:type="dxa"/>
              <w:right w:w="55" w:type="dxa"/>
            </w:tcMar>
            <w:vAlign w:val="center"/>
          </w:tcPr>
          <w:p w14:paraId="625AAB46" w14:textId="77777777" w:rsidR="00235BC0" w:rsidRPr="00A46D13" w:rsidRDefault="00000000">
            <w:pPr>
              <w:spacing w:after="0"/>
              <w:jc w:val="left"/>
            </w:pPr>
            <w:r w:rsidRPr="00A46D13">
              <w:rPr>
                <w:sz w:val="16"/>
              </w:rPr>
              <w:t>Shock-loss multiplier</w:t>
            </w:r>
          </w:p>
        </w:tc>
        <w:tc>
          <w:tcPr>
            <w:tcW w:w="1790" w:type="dxa"/>
            <w:tcMar>
              <w:top w:w="45" w:type="dxa"/>
              <w:left w:w="55" w:type="dxa"/>
              <w:bottom w:w="45" w:type="dxa"/>
              <w:right w:w="55" w:type="dxa"/>
            </w:tcMar>
            <w:vAlign w:val="center"/>
          </w:tcPr>
          <w:p w14:paraId="4B698E3F" w14:textId="77777777" w:rsidR="00235BC0" w:rsidRPr="00A46D13" w:rsidRDefault="00000000">
            <w:pPr>
              <w:spacing w:after="0"/>
              <w:jc w:val="center"/>
            </w:pPr>
            <w:r w:rsidRPr="00A46D13">
              <w:rPr>
                <w:sz w:val="16"/>
              </w:rPr>
              <w:t>453.02 to 456.37</w:t>
            </w:r>
          </w:p>
        </w:tc>
        <w:tc>
          <w:tcPr>
            <w:tcW w:w="1790" w:type="dxa"/>
            <w:tcMar>
              <w:top w:w="45" w:type="dxa"/>
              <w:left w:w="55" w:type="dxa"/>
              <w:bottom w:w="45" w:type="dxa"/>
              <w:right w:w="55" w:type="dxa"/>
            </w:tcMar>
            <w:vAlign w:val="center"/>
          </w:tcPr>
          <w:p w14:paraId="2B82DD5B" w14:textId="77777777" w:rsidR="00235BC0" w:rsidRPr="00A46D13" w:rsidRDefault="00000000">
            <w:pPr>
              <w:spacing w:after="0"/>
              <w:jc w:val="center"/>
            </w:pPr>
            <w:r w:rsidRPr="00A46D13">
              <w:rPr>
                <w:sz w:val="16"/>
              </w:rPr>
              <w:t>417.29 to 422.15</w:t>
            </w:r>
          </w:p>
        </w:tc>
        <w:tc>
          <w:tcPr>
            <w:tcW w:w="1790" w:type="dxa"/>
            <w:tcMar>
              <w:top w:w="45" w:type="dxa"/>
              <w:left w:w="55" w:type="dxa"/>
              <w:bottom w:w="45" w:type="dxa"/>
              <w:right w:w="55" w:type="dxa"/>
            </w:tcMar>
            <w:vAlign w:val="center"/>
          </w:tcPr>
          <w:p w14:paraId="5672B710" w14:textId="77777777" w:rsidR="00235BC0" w:rsidRPr="00A46D13" w:rsidRDefault="00000000">
            <w:pPr>
              <w:spacing w:after="0"/>
              <w:jc w:val="center"/>
            </w:pPr>
            <w:r w:rsidRPr="00A46D13">
              <w:rPr>
                <w:sz w:val="16"/>
              </w:rPr>
              <w:t>Verified autonomy</w:t>
            </w:r>
          </w:p>
        </w:tc>
        <w:tc>
          <w:tcPr>
            <w:tcW w:w="1790" w:type="dxa"/>
            <w:tcMar>
              <w:top w:w="45" w:type="dxa"/>
              <w:left w:w="55" w:type="dxa"/>
              <w:bottom w:w="45" w:type="dxa"/>
              <w:right w:w="55" w:type="dxa"/>
            </w:tcMar>
            <w:vAlign w:val="center"/>
          </w:tcPr>
          <w:p w14:paraId="09E5B3D6" w14:textId="77777777" w:rsidR="00235BC0" w:rsidRPr="00A46D13" w:rsidRDefault="00000000">
            <w:pPr>
              <w:spacing w:after="0"/>
              <w:jc w:val="center"/>
            </w:pPr>
            <w:r w:rsidRPr="00A46D13">
              <w:rPr>
                <w:sz w:val="16"/>
              </w:rPr>
              <w:t>Debt-responsive governance</w:t>
            </w:r>
          </w:p>
        </w:tc>
      </w:tr>
      <w:tr w:rsidR="00235BC0" w:rsidRPr="00A46D13" w14:paraId="7408CA36" w14:textId="77777777">
        <w:trPr>
          <w:cantSplit/>
          <w:jc w:val="center"/>
        </w:trPr>
        <w:tc>
          <w:tcPr>
            <w:tcW w:w="2200" w:type="dxa"/>
            <w:tcMar>
              <w:top w:w="45" w:type="dxa"/>
              <w:left w:w="55" w:type="dxa"/>
              <w:bottom w:w="45" w:type="dxa"/>
              <w:right w:w="55" w:type="dxa"/>
            </w:tcMar>
            <w:vAlign w:val="center"/>
          </w:tcPr>
          <w:p w14:paraId="0892C0F3" w14:textId="77777777" w:rsidR="00235BC0" w:rsidRPr="00A46D13" w:rsidRDefault="00000000">
            <w:pPr>
              <w:spacing w:after="0"/>
              <w:jc w:val="left"/>
            </w:pPr>
            <w:r w:rsidRPr="00A46D13">
              <w:rPr>
                <w:sz w:val="16"/>
              </w:rPr>
              <w:t>Governance cost coefficient</w:t>
            </w:r>
          </w:p>
        </w:tc>
        <w:tc>
          <w:tcPr>
            <w:tcW w:w="1790" w:type="dxa"/>
            <w:tcMar>
              <w:top w:w="45" w:type="dxa"/>
              <w:left w:w="55" w:type="dxa"/>
              <w:bottom w:w="45" w:type="dxa"/>
              <w:right w:w="55" w:type="dxa"/>
            </w:tcMar>
            <w:vAlign w:val="center"/>
          </w:tcPr>
          <w:p w14:paraId="0100D66A" w14:textId="77777777" w:rsidR="00235BC0" w:rsidRPr="00A46D13" w:rsidRDefault="00000000">
            <w:pPr>
              <w:spacing w:after="0"/>
              <w:jc w:val="center"/>
            </w:pPr>
            <w:r w:rsidRPr="00A46D13">
              <w:rPr>
                <w:sz w:val="16"/>
              </w:rPr>
              <w:t>442.49 to 466.90</w:t>
            </w:r>
          </w:p>
        </w:tc>
        <w:tc>
          <w:tcPr>
            <w:tcW w:w="1790" w:type="dxa"/>
            <w:tcMar>
              <w:top w:w="45" w:type="dxa"/>
              <w:left w:w="55" w:type="dxa"/>
              <w:bottom w:w="45" w:type="dxa"/>
              <w:right w:w="55" w:type="dxa"/>
            </w:tcMar>
            <w:vAlign w:val="center"/>
          </w:tcPr>
          <w:p w14:paraId="182E5376" w14:textId="77777777" w:rsidR="00235BC0" w:rsidRPr="00A46D13" w:rsidRDefault="00000000">
            <w:pPr>
              <w:spacing w:after="0"/>
              <w:jc w:val="center"/>
            </w:pPr>
            <w:r w:rsidRPr="00A46D13">
              <w:rPr>
                <w:sz w:val="16"/>
              </w:rPr>
              <w:t>413.42 to 426.02</w:t>
            </w:r>
          </w:p>
        </w:tc>
        <w:tc>
          <w:tcPr>
            <w:tcW w:w="1790" w:type="dxa"/>
            <w:tcMar>
              <w:top w:w="45" w:type="dxa"/>
              <w:left w:w="55" w:type="dxa"/>
              <w:bottom w:w="45" w:type="dxa"/>
              <w:right w:w="55" w:type="dxa"/>
            </w:tcMar>
            <w:vAlign w:val="center"/>
          </w:tcPr>
          <w:p w14:paraId="44449D20" w14:textId="77777777" w:rsidR="00235BC0" w:rsidRPr="00A46D13" w:rsidRDefault="00000000">
            <w:pPr>
              <w:spacing w:after="0"/>
              <w:jc w:val="center"/>
            </w:pPr>
            <w:r w:rsidRPr="00A46D13">
              <w:rPr>
                <w:sz w:val="16"/>
              </w:rPr>
              <w:t>Verified autonomy</w:t>
            </w:r>
          </w:p>
        </w:tc>
        <w:tc>
          <w:tcPr>
            <w:tcW w:w="1790" w:type="dxa"/>
            <w:tcMar>
              <w:top w:w="45" w:type="dxa"/>
              <w:left w:w="55" w:type="dxa"/>
              <w:bottom w:w="45" w:type="dxa"/>
              <w:right w:w="55" w:type="dxa"/>
            </w:tcMar>
            <w:vAlign w:val="center"/>
          </w:tcPr>
          <w:p w14:paraId="174CB001" w14:textId="77777777" w:rsidR="00235BC0" w:rsidRPr="00A46D13" w:rsidRDefault="00000000">
            <w:pPr>
              <w:spacing w:after="0"/>
              <w:jc w:val="center"/>
            </w:pPr>
            <w:r w:rsidRPr="00A46D13">
              <w:rPr>
                <w:sz w:val="16"/>
              </w:rPr>
              <w:t>Debt-responsive governance</w:t>
            </w:r>
          </w:p>
        </w:tc>
      </w:tr>
      <w:tr w:rsidR="00235BC0" w:rsidRPr="00A46D13" w14:paraId="436BE641" w14:textId="77777777">
        <w:trPr>
          <w:cantSplit/>
          <w:jc w:val="center"/>
        </w:trPr>
        <w:tc>
          <w:tcPr>
            <w:tcW w:w="2200" w:type="dxa"/>
            <w:tcMar>
              <w:top w:w="45" w:type="dxa"/>
              <w:left w:w="55" w:type="dxa"/>
              <w:bottom w:w="45" w:type="dxa"/>
              <w:right w:w="55" w:type="dxa"/>
            </w:tcMar>
            <w:vAlign w:val="center"/>
          </w:tcPr>
          <w:p w14:paraId="10426E22" w14:textId="77777777" w:rsidR="00235BC0" w:rsidRPr="00A46D13" w:rsidRDefault="00000000">
            <w:pPr>
              <w:spacing w:after="0"/>
              <w:jc w:val="left"/>
            </w:pPr>
            <w:r w:rsidRPr="00A46D13">
              <w:rPr>
                <w:sz w:val="16"/>
              </w:rPr>
              <w:t>Verification cost coefficient</w:t>
            </w:r>
          </w:p>
        </w:tc>
        <w:tc>
          <w:tcPr>
            <w:tcW w:w="1790" w:type="dxa"/>
            <w:tcMar>
              <w:top w:w="45" w:type="dxa"/>
              <w:left w:w="55" w:type="dxa"/>
              <w:bottom w:w="45" w:type="dxa"/>
              <w:right w:w="55" w:type="dxa"/>
            </w:tcMar>
            <w:vAlign w:val="center"/>
          </w:tcPr>
          <w:p w14:paraId="5F87D336" w14:textId="77777777" w:rsidR="00235BC0" w:rsidRPr="00A46D13" w:rsidRDefault="00000000">
            <w:pPr>
              <w:spacing w:after="0"/>
              <w:jc w:val="center"/>
            </w:pPr>
            <w:r w:rsidRPr="00A46D13">
              <w:rPr>
                <w:sz w:val="16"/>
              </w:rPr>
              <w:t>438.52 to 470.87</w:t>
            </w:r>
          </w:p>
        </w:tc>
        <w:tc>
          <w:tcPr>
            <w:tcW w:w="1790" w:type="dxa"/>
            <w:tcMar>
              <w:top w:w="45" w:type="dxa"/>
              <w:left w:w="55" w:type="dxa"/>
              <w:bottom w:w="45" w:type="dxa"/>
              <w:right w:w="55" w:type="dxa"/>
            </w:tcMar>
            <w:vAlign w:val="center"/>
          </w:tcPr>
          <w:p w14:paraId="78BE95AE" w14:textId="77777777" w:rsidR="00235BC0" w:rsidRPr="00A46D13" w:rsidRDefault="00000000">
            <w:pPr>
              <w:spacing w:after="0"/>
              <w:jc w:val="center"/>
            </w:pPr>
            <w:r w:rsidRPr="00A46D13">
              <w:rPr>
                <w:sz w:val="16"/>
              </w:rPr>
              <w:t>409.57 to 429.87</w:t>
            </w:r>
          </w:p>
        </w:tc>
        <w:tc>
          <w:tcPr>
            <w:tcW w:w="1790" w:type="dxa"/>
            <w:tcMar>
              <w:top w:w="45" w:type="dxa"/>
              <w:left w:w="55" w:type="dxa"/>
              <w:bottom w:w="45" w:type="dxa"/>
              <w:right w:w="55" w:type="dxa"/>
            </w:tcMar>
            <w:vAlign w:val="center"/>
          </w:tcPr>
          <w:p w14:paraId="428136F6" w14:textId="77777777" w:rsidR="00235BC0" w:rsidRPr="00A46D13" w:rsidRDefault="00000000">
            <w:pPr>
              <w:spacing w:after="0"/>
              <w:jc w:val="center"/>
            </w:pPr>
            <w:r w:rsidRPr="00A46D13">
              <w:rPr>
                <w:sz w:val="16"/>
              </w:rPr>
              <w:t>Verified autonomy</w:t>
            </w:r>
          </w:p>
        </w:tc>
        <w:tc>
          <w:tcPr>
            <w:tcW w:w="1790" w:type="dxa"/>
            <w:tcMar>
              <w:top w:w="45" w:type="dxa"/>
              <w:left w:w="55" w:type="dxa"/>
              <w:bottom w:w="45" w:type="dxa"/>
              <w:right w:w="55" w:type="dxa"/>
            </w:tcMar>
            <w:vAlign w:val="center"/>
          </w:tcPr>
          <w:p w14:paraId="722653DB" w14:textId="77777777" w:rsidR="00235BC0" w:rsidRPr="00A46D13" w:rsidRDefault="00000000">
            <w:pPr>
              <w:spacing w:after="0"/>
              <w:jc w:val="center"/>
            </w:pPr>
            <w:r w:rsidRPr="00A46D13">
              <w:rPr>
                <w:sz w:val="16"/>
              </w:rPr>
              <w:t>Debt-responsive governance</w:t>
            </w:r>
          </w:p>
        </w:tc>
      </w:tr>
      <w:tr w:rsidR="00235BC0" w:rsidRPr="00A46D13" w14:paraId="4A0FA6F9" w14:textId="77777777">
        <w:trPr>
          <w:cantSplit/>
          <w:jc w:val="center"/>
        </w:trPr>
        <w:tc>
          <w:tcPr>
            <w:tcW w:w="2200" w:type="dxa"/>
            <w:tcMar>
              <w:top w:w="45" w:type="dxa"/>
              <w:left w:w="55" w:type="dxa"/>
              <w:bottom w:w="45" w:type="dxa"/>
              <w:right w:w="55" w:type="dxa"/>
            </w:tcMar>
            <w:vAlign w:val="center"/>
          </w:tcPr>
          <w:p w14:paraId="1D6D2275" w14:textId="77777777" w:rsidR="00235BC0" w:rsidRPr="00A46D13" w:rsidRDefault="00000000">
            <w:pPr>
              <w:spacing w:after="0"/>
              <w:jc w:val="left"/>
            </w:pPr>
            <w:r w:rsidRPr="00A46D13">
              <w:rPr>
                <w:sz w:val="16"/>
              </w:rPr>
              <w:t>Verified learning coefficient</w:t>
            </w:r>
          </w:p>
        </w:tc>
        <w:tc>
          <w:tcPr>
            <w:tcW w:w="1790" w:type="dxa"/>
            <w:tcMar>
              <w:top w:w="45" w:type="dxa"/>
              <w:left w:w="55" w:type="dxa"/>
              <w:bottom w:w="45" w:type="dxa"/>
              <w:right w:w="55" w:type="dxa"/>
            </w:tcMar>
            <w:vAlign w:val="center"/>
          </w:tcPr>
          <w:p w14:paraId="7ECFA9FB" w14:textId="77777777" w:rsidR="00235BC0" w:rsidRPr="00A46D13" w:rsidRDefault="00000000">
            <w:pPr>
              <w:spacing w:after="0"/>
              <w:jc w:val="center"/>
            </w:pPr>
            <w:r w:rsidRPr="00A46D13">
              <w:rPr>
                <w:sz w:val="16"/>
              </w:rPr>
              <w:t>422.69 to 467.72</w:t>
            </w:r>
          </w:p>
        </w:tc>
        <w:tc>
          <w:tcPr>
            <w:tcW w:w="1790" w:type="dxa"/>
            <w:tcMar>
              <w:top w:w="45" w:type="dxa"/>
              <w:left w:w="55" w:type="dxa"/>
              <w:bottom w:w="45" w:type="dxa"/>
              <w:right w:w="55" w:type="dxa"/>
            </w:tcMar>
            <w:vAlign w:val="center"/>
          </w:tcPr>
          <w:p w14:paraId="7FB90D52" w14:textId="77777777" w:rsidR="00235BC0" w:rsidRPr="00A46D13" w:rsidRDefault="00000000">
            <w:pPr>
              <w:spacing w:after="0"/>
              <w:jc w:val="center"/>
            </w:pPr>
            <w:r w:rsidRPr="00A46D13">
              <w:rPr>
                <w:sz w:val="16"/>
              </w:rPr>
              <w:t>387.94 to 451.44</w:t>
            </w:r>
          </w:p>
        </w:tc>
        <w:tc>
          <w:tcPr>
            <w:tcW w:w="1790" w:type="dxa"/>
            <w:tcMar>
              <w:top w:w="45" w:type="dxa"/>
              <w:left w:w="55" w:type="dxa"/>
              <w:bottom w:w="45" w:type="dxa"/>
              <w:right w:w="55" w:type="dxa"/>
            </w:tcMar>
            <w:vAlign w:val="center"/>
          </w:tcPr>
          <w:p w14:paraId="79410ED4" w14:textId="77777777" w:rsidR="00235BC0" w:rsidRPr="00A46D13" w:rsidRDefault="00000000">
            <w:pPr>
              <w:spacing w:after="0"/>
              <w:jc w:val="center"/>
            </w:pPr>
            <w:r w:rsidRPr="00A46D13">
              <w:rPr>
                <w:sz w:val="16"/>
              </w:rPr>
              <w:t>Verified autonomy</w:t>
            </w:r>
          </w:p>
        </w:tc>
        <w:tc>
          <w:tcPr>
            <w:tcW w:w="1790" w:type="dxa"/>
            <w:tcMar>
              <w:top w:w="45" w:type="dxa"/>
              <w:left w:w="55" w:type="dxa"/>
              <w:bottom w:w="45" w:type="dxa"/>
              <w:right w:w="55" w:type="dxa"/>
            </w:tcMar>
            <w:vAlign w:val="center"/>
          </w:tcPr>
          <w:p w14:paraId="4FE2C796" w14:textId="77777777" w:rsidR="00235BC0" w:rsidRPr="00A46D13" w:rsidRDefault="00000000">
            <w:pPr>
              <w:spacing w:after="0"/>
              <w:jc w:val="center"/>
            </w:pPr>
            <w:r w:rsidRPr="00A46D13">
              <w:rPr>
                <w:sz w:val="16"/>
              </w:rPr>
              <w:t>Debt-responsive governance</w:t>
            </w:r>
          </w:p>
        </w:tc>
      </w:tr>
      <w:tr w:rsidR="00235BC0" w:rsidRPr="00A46D13" w14:paraId="02C90B16" w14:textId="77777777">
        <w:trPr>
          <w:cantSplit/>
          <w:jc w:val="center"/>
        </w:trPr>
        <w:tc>
          <w:tcPr>
            <w:tcW w:w="2200" w:type="dxa"/>
            <w:tcMar>
              <w:top w:w="45" w:type="dxa"/>
              <w:left w:w="55" w:type="dxa"/>
              <w:bottom w:w="45" w:type="dxa"/>
              <w:right w:w="55" w:type="dxa"/>
            </w:tcMar>
            <w:vAlign w:val="center"/>
          </w:tcPr>
          <w:p w14:paraId="5585845C" w14:textId="77777777" w:rsidR="00235BC0" w:rsidRPr="00A46D13" w:rsidRDefault="00000000">
            <w:pPr>
              <w:spacing w:after="0"/>
              <w:jc w:val="left"/>
            </w:pPr>
            <w:r w:rsidRPr="00A46D13">
              <w:rPr>
                <w:sz w:val="16"/>
              </w:rPr>
              <w:t>Compression productivity coefficient</w:t>
            </w:r>
          </w:p>
        </w:tc>
        <w:tc>
          <w:tcPr>
            <w:tcW w:w="1790" w:type="dxa"/>
            <w:tcMar>
              <w:top w:w="45" w:type="dxa"/>
              <w:left w:w="55" w:type="dxa"/>
              <w:bottom w:w="45" w:type="dxa"/>
              <w:right w:w="55" w:type="dxa"/>
            </w:tcMar>
            <w:vAlign w:val="center"/>
          </w:tcPr>
          <w:p w14:paraId="7E339875" w14:textId="77777777" w:rsidR="00235BC0" w:rsidRPr="00A46D13" w:rsidRDefault="00000000">
            <w:pPr>
              <w:spacing w:after="0"/>
              <w:jc w:val="center"/>
            </w:pPr>
            <w:r w:rsidRPr="00A46D13">
              <w:rPr>
                <w:sz w:val="16"/>
              </w:rPr>
              <w:t>365.83 to 543.56</w:t>
            </w:r>
          </w:p>
        </w:tc>
        <w:tc>
          <w:tcPr>
            <w:tcW w:w="1790" w:type="dxa"/>
            <w:tcMar>
              <w:top w:w="45" w:type="dxa"/>
              <w:left w:w="55" w:type="dxa"/>
              <w:bottom w:w="45" w:type="dxa"/>
              <w:right w:w="55" w:type="dxa"/>
            </w:tcMar>
            <w:vAlign w:val="center"/>
          </w:tcPr>
          <w:p w14:paraId="1C6CB4F2" w14:textId="77777777" w:rsidR="00235BC0" w:rsidRPr="00A46D13" w:rsidRDefault="00000000">
            <w:pPr>
              <w:spacing w:after="0"/>
              <w:jc w:val="center"/>
            </w:pPr>
            <w:r w:rsidRPr="00A46D13">
              <w:rPr>
                <w:sz w:val="16"/>
              </w:rPr>
              <w:t>331.36 to 508.08</w:t>
            </w:r>
          </w:p>
        </w:tc>
        <w:tc>
          <w:tcPr>
            <w:tcW w:w="1790" w:type="dxa"/>
            <w:tcMar>
              <w:top w:w="45" w:type="dxa"/>
              <w:left w:w="55" w:type="dxa"/>
              <w:bottom w:w="45" w:type="dxa"/>
              <w:right w:w="55" w:type="dxa"/>
            </w:tcMar>
            <w:vAlign w:val="center"/>
          </w:tcPr>
          <w:p w14:paraId="116665E2" w14:textId="77777777" w:rsidR="00235BC0" w:rsidRPr="00A46D13" w:rsidRDefault="00000000">
            <w:pPr>
              <w:spacing w:after="0"/>
              <w:jc w:val="center"/>
            </w:pPr>
            <w:r w:rsidRPr="00A46D13">
              <w:rPr>
                <w:sz w:val="16"/>
              </w:rPr>
              <w:t>Verified autonomy</w:t>
            </w:r>
          </w:p>
        </w:tc>
        <w:tc>
          <w:tcPr>
            <w:tcW w:w="1790" w:type="dxa"/>
            <w:tcMar>
              <w:top w:w="45" w:type="dxa"/>
              <w:left w:w="55" w:type="dxa"/>
              <w:bottom w:w="45" w:type="dxa"/>
              <w:right w:w="55" w:type="dxa"/>
            </w:tcMar>
            <w:vAlign w:val="center"/>
          </w:tcPr>
          <w:p w14:paraId="205F4AE6" w14:textId="77777777" w:rsidR="00235BC0" w:rsidRPr="00A46D13" w:rsidRDefault="00000000">
            <w:pPr>
              <w:spacing w:after="0"/>
              <w:jc w:val="center"/>
            </w:pPr>
            <w:r w:rsidRPr="00A46D13">
              <w:rPr>
                <w:sz w:val="16"/>
              </w:rPr>
              <w:t>Debt-responsive governance</w:t>
            </w:r>
          </w:p>
        </w:tc>
      </w:tr>
    </w:tbl>
    <w:p w14:paraId="75BB00F0" w14:textId="77777777" w:rsidR="00235BC0" w:rsidRPr="00A46D13" w:rsidRDefault="00000000">
      <w:r w:rsidRPr="00A46D13">
        <w:t>Acceleration-first remains highly sensitive to debt accumulation. Its mean cumulative value changes from 100.23 under the low debt coefficient to -110.39 under the high coefficient. The strongest general result is therefore conditional and relational: automation intensity must be evaluated jointly with verification, governance, expertise, and time horizon. No single numerical policy should be treated as universally optimal.</w:t>
      </w:r>
    </w:p>
    <w:p w14:paraId="221FEF01" w14:textId="77777777" w:rsidR="00235BC0" w:rsidRPr="00A46D13" w:rsidRDefault="00000000">
      <w:pPr>
        <w:keepNext/>
        <w:spacing w:before="120"/>
        <w:jc w:val="left"/>
      </w:pPr>
      <w:r w:rsidRPr="00A46D13">
        <w:rPr>
          <w:b/>
          <w:bCs/>
          <w:sz w:val="22"/>
        </w:rPr>
        <w:t>4.6 Theoretical Contributions</w:t>
      </w:r>
    </w:p>
    <w:p w14:paraId="3E20AE7D" w14:textId="77777777" w:rsidR="00235BC0" w:rsidRPr="00A46D13" w:rsidRDefault="00000000">
      <w:pPr>
        <w:keepNext/>
        <w:spacing w:before="120"/>
        <w:jc w:val="left"/>
      </w:pPr>
      <w:r w:rsidRPr="00A46D13">
        <w:rPr>
          <w:b/>
          <w:bCs/>
        </w:rPr>
        <w:t xml:space="preserve">4.6.1 Verification debt as an </w:t>
      </w:r>
      <w:proofErr w:type="spellStart"/>
      <w:r w:rsidRPr="00A46D13">
        <w:rPr>
          <w:b/>
          <w:bCs/>
        </w:rPr>
        <w:t>organisational</w:t>
      </w:r>
      <w:proofErr w:type="spellEnd"/>
      <w:r w:rsidRPr="00A46D13">
        <w:rPr>
          <w:b/>
          <w:bCs/>
        </w:rPr>
        <w:t xml:space="preserve"> stock</w:t>
      </w:r>
    </w:p>
    <w:p w14:paraId="06D2C2F0" w14:textId="77777777" w:rsidR="00235BC0" w:rsidRPr="00A46D13" w:rsidRDefault="00000000">
      <w:r w:rsidRPr="00A46D13">
        <w:t xml:space="preserve">The first contribution is the treatment of verification debt as a stock rather than a contemporaneous error rate. Most AI governance systems focus on incidents, model metrics, compliance documentation, or individual output approval. These measures are necessary but may not reveal cumulative degradation. Debt can grow while incident counts remain low because </w:t>
      </w:r>
      <w:proofErr w:type="spellStart"/>
      <w:r w:rsidRPr="00A46D13">
        <w:t>favourable</w:t>
      </w:r>
      <w:proofErr w:type="spellEnd"/>
      <w:r w:rsidRPr="00A46D13">
        <w:t xml:space="preserve"> operating conditions have not yet exposed weak assumptions.</w:t>
      </w:r>
    </w:p>
    <w:p w14:paraId="5E8D1647" w14:textId="77777777" w:rsidR="00235BC0" w:rsidRPr="00A46D13" w:rsidRDefault="00000000">
      <w:r w:rsidRPr="00A46D13">
        <w:t xml:space="preserve">The stock perspective connects several previously separate literatures. Hidden technical debt explains how machine-learning systems accumulate maintenance burdens (Sculley et al., 2015). </w:t>
      </w:r>
      <w:proofErr w:type="spellStart"/>
      <w:r w:rsidRPr="00A46D13">
        <w:t>Organisational</w:t>
      </w:r>
      <w:proofErr w:type="spellEnd"/>
      <w:r w:rsidRPr="00A46D13">
        <w:t xml:space="preserve"> </w:t>
      </w:r>
      <w:r w:rsidRPr="00A46D13">
        <w:lastRenderedPageBreak/>
        <w:t>resilience explains how capabilities allow firms to anticipate, cope, and adapt (Duchek, 2020). Algorithmic work research explains how control and expertise are redistributed around learning systems (Faraj et al., 2018; Kellogg et al., 2020). Verification debt integrates these insights by showing how deferred assurance changes future costs and capabilities.</w:t>
      </w:r>
    </w:p>
    <w:p w14:paraId="659C7842" w14:textId="77777777" w:rsidR="00235BC0" w:rsidRPr="00A46D13" w:rsidRDefault="00000000">
      <w:pPr>
        <w:keepNext/>
        <w:spacing w:before="120"/>
        <w:jc w:val="left"/>
      </w:pPr>
      <w:r w:rsidRPr="00A46D13">
        <w:rPr>
          <w:b/>
          <w:bCs/>
        </w:rPr>
        <w:t>4.6.2 Coordination compression is not equivalent to productivity</w:t>
      </w:r>
    </w:p>
    <w:p w14:paraId="3EBE6D58" w14:textId="77777777" w:rsidR="00235BC0" w:rsidRPr="00A46D13" w:rsidRDefault="00000000">
      <w:r w:rsidRPr="00A46D13">
        <w:t xml:space="preserve">The second contribution is a distinction between coordination compression and </w:t>
      </w:r>
      <w:proofErr w:type="spellStart"/>
      <w:r w:rsidRPr="00A46D13">
        <w:t>realised</w:t>
      </w:r>
      <w:proofErr w:type="spellEnd"/>
      <w:r w:rsidRPr="00A46D13">
        <w:t xml:space="preserve"> productivity. Time saved is an intermediate output. It creates value only when the </w:t>
      </w:r>
      <w:proofErr w:type="spellStart"/>
      <w:r w:rsidRPr="00A46D13">
        <w:t>organisation</w:t>
      </w:r>
      <w:proofErr w:type="spellEnd"/>
      <w:r w:rsidRPr="00A46D13">
        <w:t xml:space="preserve"> can reuse the released capacity, preserve decision quality, and avoid downstream rework. This distinction helps reconcile apparently conflicting evidence. Task experiments can correctly identify productivity gains while firms still experience weak aggregate returns because complementary redesign and assurance are missing (Acemoglu, 2024; OECD, 2025a; Tan, 2026c).</w:t>
      </w:r>
    </w:p>
    <w:p w14:paraId="2A759BFE" w14:textId="77777777" w:rsidR="00235BC0" w:rsidRPr="00A46D13" w:rsidRDefault="00000000">
      <w:r w:rsidRPr="00A46D13">
        <w:t xml:space="preserve">The model suggests that early productivity dashboards are systematically biased toward the positive pathway. They measure response time, output volume, or </w:t>
      </w:r>
      <w:proofErr w:type="spellStart"/>
      <w:r w:rsidRPr="00A46D13">
        <w:t>labour</w:t>
      </w:r>
      <w:proofErr w:type="spellEnd"/>
      <w:r w:rsidRPr="00A46D13">
        <w:t xml:space="preserve"> hours saved immediately. Debt, deskilling, and resilience effects emerge later and often belong to different reporting systems. A finance function may record lower processing costs while risk, legal, cybersecurity, or operations teams absorb future verification burdens. The coordination compression trap is partly an accounting problem because benefits are local and immediate, while costs are distributed and delayed.</w:t>
      </w:r>
    </w:p>
    <w:p w14:paraId="7CEE1CA3" w14:textId="77777777" w:rsidR="00235BC0" w:rsidRPr="00A46D13" w:rsidRDefault="00000000">
      <w:pPr>
        <w:keepNext/>
        <w:spacing w:before="120"/>
        <w:jc w:val="left"/>
      </w:pPr>
      <w:r w:rsidRPr="00A46D13">
        <w:rPr>
          <w:b/>
          <w:bCs/>
        </w:rPr>
        <w:t>4.6.3 Assurance as a productive capability</w:t>
      </w:r>
    </w:p>
    <w:p w14:paraId="55CD905A" w14:textId="77777777" w:rsidR="00235BC0" w:rsidRPr="00A46D13" w:rsidRDefault="00000000">
      <w:r w:rsidRPr="00A46D13">
        <w:t>The third contribution is the assurance threshold. Governance and verification are frequently framed as constraints on innovation. In the model, they have direct costs and reduce raw speed, but they also enable scalability by repaying debt and preserving expertise. This produces a nonlinear relation. Below the threshold, each additional unit of automation makes the system more fragile. Above the threshold, automation and assurance become complements.</w:t>
      </w:r>
    </w:p>
    <w:p w14:paraId="4A279F57" w14:textId="77777777" w:rsidR="00235BC0" w:rsidRPr="00A46D13" w:rsidRDefault="00000000">
      <w:r w:rsidRPr="00A46D13">
        <w:t>This interpretation aligns with runtime assurance, which places controls at the point of action rather than relying only on policy documents (Tan, 2026b), and with NIST’s emphasis on govern, map, measure, and manage functions across the AI lifecycle (National Institute of Standards and Technology, 2023, 2024). It also extends hybrid-intelligence research by identifying assurance as the mechanism that maintains complementarity over time.</w:t>
      </w:r>
    </w:p>
    <w:p w14:paraId="6D18B3DB" w14:textId="77777777" w:rsidR="00235BC0" w:rsidRPr="00A46D13" w:rsidRDefault="00000000">
      <w:pPr>
        <w:keepNext/>
        <w:spacing w:before="120"/>
        <w:jc w:val="left"/>
      </w:pPr>
      <w:r w:rsidRPr="00A46D13">
        <w:rPr>
          <w:b/>
          <w:bCs/>
        </w:rPr>
        <w:t>4.6.4 Expertise as infrastructure</w:t>
      </w:r>
    </w:p>
    <w:p w14:paraId="67B8BDEF" w14:textId="77777777" w:rsidR="00235BC0" w:rsidRPr="00A46D13" w:rsidRDefault="00000000">
      <w:r w:rsidRPr="00A46D13">
        <w:t xml:space="preserve">The fourth contribution is the modelling of human expertise as productive infrastructure. Expertise does not merely provide residual </w:t>
      </w:r>
      <w:proofErr w:type="spellStart"/>
      <w:r w:rsidRPr="00A46D13">
        <w:t>labour</w:t>
      </w:r>
      <w:proofErr w:type="spellEnd"/>
      <w:r w:rsidRPr="00A46D13">
        <w:t xml:space="preserve"> after automation. It improves task selection, </w:t>
      </w:r>
      <w:proofErr w:type="spellStart"/>
      <w:r w:rsidRPr="00A46D13">
        <w:t>contextualisation</w:t>
      </w:r>
      <w:proofErr w:type="spellEnd"/>
      <w:r w:rsidRPr="00A46D13">
        <w:t xml:space="preserve">, verification, error diagnosis, and shock recovery. When expertise erodes, the </w:t>
      </w:r>
      <w:proofErr w:type="spellStart"/>
      <w:r w:rsidRPr="00A46D13">
        <w:t>organisation</w:t>
      </w:r>
      <w:proofErr w:type="spellEnd"/>
      <w:r w:rsidRPr="00A46D13">
        <w:t xml:space="preserve"> loses the capacity to </w:t>
      </w:r>
      <w:proofErr w:type="spellStart"/>
      <w:r w:rsidRPr="00A46D13">
        <w:t>recognise</w:t>
      </w:r>
      <w:proofErr w:type="spellEnd"/>
      <w:r w:rsidRPr="00A46D13">
        <w:t xml:space="preserve"> when the model is outside its competence boundary.</w:t>
      </w:r>
    </w:p>
    <w:p w14:paraId="355B70E3" w14:textId="77777777" w:rsidR="00235BC0" w:rsidRPr="00A46D13" w:rsidRDefault="00000000">
      <w:r w:rsidRPr="00A46D13">
        <w:t xml:space="preserve">This dynamic helps explain the ironies of automation. The more reliable a system appears during routine conditions, the less opportunity humans have to </w:t>
      </w:r>
      <w:proofErr w:type="spellStart"/>
      <w:r w:rsidRPr="00A46D13">
        <w:t>practise</w:t>
      </w:r>
      <w:proofErr w:type="spellEnd"/>
      <w:r w:rsidRPr="00A46D13">
        <w:t>. Yet unusual conditions demand precisely the capabilities that have atrophied. The model’s acceleration-first trajectory is an extreme representation of this process. Human-</w:t>
      </w:r>
      <w:proofErr w:type="spellStart"/>
      <w:r w:rsidRPr="00A46D13">
        <w:t>centred</w:t>
      </w:r>
      <w:proofErr w:type="spellEnd"/>
      <w:r w:rsidRPr="00A46D13">
        <w:t xml:space="preserve"> augmentation avoids it, but at a cost. The base verified-autonomy regime illustrates one such design, while the policy-space search shows that even higher automation can remain viable when verification is strong and governance is targeted rather than absent.</w:t>
      </w:r>
    </w:p>
    <w:p w14:paraId="10067FFF" w14:textId="77777777" w:rsidR="00235BC0" w:rsidRPr="00A46D13" w:rsidRDefault="00000000">
      <w:pPr>
        <w:keepNext/>
        <w:spacing w:before="120"/>
        <w:jc w:val="left"/>
      </w:pPr>
      <w:r w:rsidRPr="00A46D13">
        <w:rPr>
          <w:b/>
          <w:bCs/>
          <w:sz w:val="22"/>
        </w:rPr>
        <w:t>4.7 Managerial Implications</w:t>
      </w:r>
    </w:p>
    <w:p w14:paraId="646910B5" w14:textId="77777777" w:rsidR="00235BC0" w:rsidRPr="00A46D13" w:rsidRDefault="00000000">
      <w:r w:rsidRPr="00A46D13">
        <w:t xml:space="preserve">Managers should replace adoption metrics with </w:t>
      </w:r>
      <w:r w:rsidRPr="00A46D13">
        <w:rPr>
          <w:b/>
          <w:bCs/>
        </w:rPr>
        <w:t>assurance-adjusted value metrics</w:t>
      </w:r>
      <w:r w:rsidRPr="00A46D13">
        <w:t xml:space="preserve">. The number of users, prompts, automated tasks, or hours saved provides an incomplete view. A balanced dashboard should include at least five elements: validated time saved, verification workload, detected correction rate, expertise retention, and resilience or incident-recovery indicators. </w:t>
      </w:r>
      <w:proofErr w:type="spellStart"/>
      <w:r w:rsidRPr="00A46D13">
        <w:t>Organisations</w:t>
      </w:r>
      <w:proofErr w:type="spellEnd"/>
      <w:r w:rsidRPr="00A46D13">
        <w:t xml:space="preserve"> should track debt inflow and repayment as flows, then estimate the remaining stock.</w:t>
      </w:r>
    </w:p>
    <w:p w14:paraId="2DB2DD00" w14:textId="77777777" w:rsidR="00235BC0" w:rsidRPr="00A46D13" w:rsidRDefault="00000000">
      <w:r w:rsidRPr="00A46D13">
        <w:t xml:space="preserve">A practical verification-debt register can classify obligations into four categories. </w:t>
      </w:r>
      <w:r w:rsidRPr="00A46D13">
        <w:rPr>
          <w:b/>
          <w:bCs/>
        </w:rPr>
        <w:t>Epistemic debt</w:t>
      </w:r>
      <w:r w:rsidRPr="00A46D13">
        <w:t xml:space="preserve"> concerns unsupported facts, assumptions, or reasoning. </w:t>
      </w:r>
      <w:r w:rsidRPr="00A46D13">
        <w:rPr>
          <w:b/>
          <w:bCs/>
        </w:rPr>
        <w:t>Process debt</w:t>
      </w:r>
      <w:r w:rsidRPr="00A46D13">
        <w:t xml:space="preserve"> concerns undocumented handoffs, unclear decision rights, and untested exceptions. </w:t>
      </w:r>
      <w:r w:rsidRPr="00A46D13">
        <w:rPr>
          <w:b/>
          <w:bCs/>
        </w:rPr>
        <w:t>Capability debt</w:t>
      </w:r>
      <w:r w:rsidRPr="00A46D13">
        <w:t xml:space="preserve"> concerns loss of human understanding or review skill. </w:t>
      </w:r>
      <w:r w:rsidRPr="00A46D13">
        <w:rPr>
          <w:b/>
          <w:bCs/>
        </w:rPr>
        <w:t>Evidence debt</w:t>
      </w:r>
      <w:r w:rsidRPr="00A46D13">
        <w:t xml:space="preserve"> concerns missing provenance, logs, approvals, and reproducibility. Each category requires a responsible owner, ageing measure, risk tier, and repayment action.</w:t>
      </w:r>
    </w:p>
    <w:p w14:paraId="41D51C65" w14:textId="77777777" w:rsidR="00235BC0" w:rsidRPr="00A46D13" w:rsidRDefault="00000000">
      <w:r w:rsidRPr="00A46D13">
        <w:lastRenderedPageBreak/>
        <w:t>Automation should be scaled through assurance gates rather than annual policy reviews alone. Low-consequence, reversible tasks can operate with light sampling. High-consequence or externally facing tasks require evidence-backed validation, bounded authority, and escalation. Agentic systems require runtime controls because risk emerges through action sequences, tool use, and changing context, not merely through text quality (Tan, 2026b).</w:t>
      </w:r>
    </w:p>
    <w:p w14:paraId="27AF2EE7" w14:textId="77777777" w:rsidR="00235BC0" w:rsidRPr="00A46D13" w:rsidRDefault="00000000">
      <w:r w:rsidRPr="00A46D13">
        <w:t>Firms should also distinguish verification that creates learning from verification that only creates paperwork. Reviewers should be required to record why an output failed, what contextual cue was missed, and how the workflow should change. These observations can update task routing, retrieval sources, prompts, policies, or model selection. Verification then becomes a feedback system that reduces future workload.</w:t>
      </w:r>
    </w:p>
    <w:p w14:paraId="06A71017" w14:textId="77777777" w:rsidR="00235BC0" w:rsidRPr="00A46D13" w:rsidRDefault="00000000">
      <w:r w:rsidRPr="00A46D13">
        <w:t xml:space="preserve">For global knowledge firms, </w:t>
      </w:r>
      <w:proofErr w:type="spellStart"/>
      <w:r w:rsidRPr="00A46D13">
        <w:t>localisation</w:t>
      </w:r>
      <w:proofErr w:type="spellEnd"/>
      <w:r w:rsidRPr="00A46D13">
        <w:t xml:space="preserve"> increases verification complexity. The same output may be appropriate in one jurisdiction and unsuitable in another because of differences in law, language, culture, professional standards, or market structure. A central AI platform should therefore be combined with local assurance ownership. Global governance can define minimum controls and evidence formats, while local experts validate context-specific claims and exceptions.</w:t>
      </w:r>
    </w:p>
    <w:p w14:paraId="5220F05C" w14:textId="77777777" w:rsidR="00235BC0" w:rsidRPr="00A46D13" w:rsidRDefault="00000000">
      <w:r w:rsidRPr="00A46D13">
        <w:t xml:space="preserve">The adaptive regime suggests that debt-responsive control is valuable but insufficient when used alone. </w:t>
      </w:r>
      <w:proofErr w:type="spellStart"/>
      <w:r w:rsidRPr="00A46D13">
        <w:t>Organisations</w:t>
      </w:r>
      <w:proofErr w:type="spellEnd"/>
      <w:r w:rsidRPr="00A46D13">
        <w:t xml:space="preserve"> should maintain a baseline verification level that preserves expertise, then add responsive assurance as uncertainty or debt rises. Waiting for incidents may be too late because capability erosion is gradual and difficult to reverse quickly.</w:t>
      </w:r>
    </w:p>
    <w:p w14:paraId="54B1E77E" w14:textId="77777777" w:rsidR="00235BC0" w:rsidRPr="00A46D13" w:rsidRDefault="00000000">
      <w:pPr>
        <w:keepNext/>
        <w:spacing w:before="120"/>
        <w:jc w:val="left"/>
      </w:pPr>
      <w:r w:rsidRPr="00A46D13">
        <w:rPr>
          <w:b/>
          <w:bCs/>
          <w:sz w:val="22"/>
        </w:rPr>
        <w:t>4.8 Policy Implications</w:t>
      </w:r>
    </w:p>
    <w:p w14:paraId="480AA018" w14:textId="77777777" w:rsidR="00235BC0" w:rsidRPr="00A46D13" w:rsidRDefault="00000000">
      <w:r w:rsidRPr="00A46D13">
        <w:t xml:space="preserve">Public policy should encourage assurance capacity rather than treating AI governance only as a restriction. Smaller firms may </w:t>
      </w:r>
      <w:proofErr w:type="spellStart"/>
      <w:r w:rsidRPr="00A46D13">
        <w:t>recognise</w:t>
      </w:r>
      <w:proofErr w:type="spellEnd"/>
      <w:r w:rsidRPr="00A46D13">
        <w:t xml:space="preserve"> the need for verification but lack specialist staff, testing infrastructure, legal interpretation, or audit tools. Shared assurance services, sectoral testbeds, </w:t>
      </w:r>
      <w:proofErr w:type="spellStart"/>
      <w:r w:rsidRPr="00A46D13">
        <w:t>standardised</w:t>
      </w:r>
      <w:proofErr w:type="spellEnd"/>
      <w:r w:rsidRPr="00A46D13">
        <w:t xml:space="preserve"> evidence templates, and workforce training can lower the fixed cost of verified adoption. This is particularly important for small open economies, where productivity gains depend on institutional absorptive capacity and international interoperability (Tan, 2026c).</w:t>
      </w:r>
    </w:p>
    <w:p w14:paraId="5AAC91F5" w14:textId="77777777" w:rsidR="00235BC0" w:rsidRPr="00A46D13" w:rsidRDefault="00000000">
      <w:r w:rsidRPr="00A46D13">
        <w:t xml:space="preserve">Regulators should avoid a false choice between innovation and oversight. The simulation indicates that well-designed assurance can increase long-run value by enabling safe scale. Rules that require traceability, risk management, human oversight, and post-market monitoring can support productive confidence when they are proportionate to risk and integrated into operational systems. The European Union Artificial Intelligence Act adopts a risk-based structure (European Parliament and Council of the European Union, 2024), while the NIST AI Risk Management Framework provides voluntary lifecycle guidance. Survey evidence also indicates that smaller firms face uneven capability and workforce constraints in adopting generative AI (OECD, 2025b). These approaches can be strengthened through metrics that reveal accumulating </w:t>
      </w:r>
      <w:proofErr w:type="spellStart"/>
      <w:r w:rsidRPr="00A46D13">
        <w:t>organisational</w:t>
      </w:r>
      <w:proofErr w:type="spellEnd"/>
      <w:r w:rsidRPr="00A46D13">
        <w:t xml:space="preserve"> debt rather than only documented compliance.</w:t>
      </w:r>
    </w:p>
    <w:p w14:paraId="29684AA8" w14:textId="77777777" w:rsidR="00235BC0" w:rsidRPr="00A46D13" w:rsidRDefault="00000000">
      <w:proofErr w:type="spellStart"/>
      <w:r w:rsidRPr="00A46D13">
        <w:t>Labour</w:t>
      </w:r>
      <w:proofErr w:type="spellEnd"/>
      <w:r w:rsidRPr="00A46D13">
        <w:t xml:space="preserve"> and education policy should treat verification expertise as a strategic capability. Workers need more than generic AI literacy. They require domain knowledge, source evaluation, statistical reasoning, exception handling, and the authority to contest automated outputs. Training should therefore combine tool proficiency with independent problem solving. A workforce that can generate quickly but cannot verify independently increases national and </w:t>
      </w:r>
      <w:proofErr w:type="spellStart"/>
      <w:r w:rsidRPr="00A46D13">
        <w:t>organisational</w:t>
      </w:r>
      <w:proofErr w:type="spellEnd"/>
      <w:r w:rsidRPr="00A46D13">
        <w:t xml:space="preserve"> dependence on opaque systems.</w:t>
      </w:r>
    </w:p>
    <w:p w14:paraId="2104E307" w14:textId="77777777" w:rsidR="00235BC0" w:rsidRPr="00A46D13" w:rsidRDefault="00000000">
      <w:pPr>
        <w:pStyle w:val="Heading1"/>
      </w:pPr>
      <w:bookmarkStart w:id="6" w:name="conclusion"/>
      <w:bookmarkEnd w:id="5"/>
      <w:r w:rsidRPr="00A46D13">
        <w:rPr>
          <w:bCs/>
        </w:rPr>
        <w:t>5. CONCLUSION</w:t>
      </w:r>
    </w:p>
    <w:p w14:paraId="53864EC5" w14:textId="77777777" w:rsidR="00235BC0" w:rsidRPr="00A46D13" w:rsidRDefault="00000000">
      <w:r w:rsidRPr="00A46D13">
        <w:t xml:space="preserve">Artificial intelligence can compress the coordination burden of knowledge work, but compression is not automatically durable productivity. When delegated scope expands faster than verification and governance capacity, </w:t>
      </w:r>
      <w:proofErr w:type="spellStart"/>
      <w:r w:rsidRPr="00A46D13">
        <w:t>organisations</w:t>
      </w:r>
      <w:proofErr w:type="spellEnd"/>
      <w:r w:rsidRPr="00A46D13">
        <w:t xml:space="preserve"> accumulate verification debt, lose diagnostic capability, and become more vulnerable to shocks. The acceleration-first regime demonstrates this mechanism by leading early, peaking in period 23, and then losing almost all accumulated value.</w:t>
      </w:r>
    </w:p>
    <w:p w14:paraId="6288C37D" w14:textId="77777777" w:rsidR="00235BC0" w:rsidRPr="00A46D13" w:rsidRDefault="00000000">
      <w:r w:rsidRPr="00A46D13">
        <w:t xml:space="preserve">The expanded analyses materially qualify the five-regime comparison. Verified autonomy is the strongest of the five named regimes, and its advantage survives moderate parameter perturbations and synthetic cross-firm heterogeneity. It is not, however, the highest-value policy in the expanded fixed-policy grid. Under the base </w:t>
      </w:r>
      <w:proofErr w:type="spellStart"/>
      <w:r w:rsidRPr="00A46D13">
        <w:t>parameterisation</w:t>
      </w:r>
      <w:proofErr w:type="spellEnd"/>
      <w:r w:rsidRPr="00A46D13">
        <w:t xml:space="preserve">, the highest evaluated fixed configuration uses automation at the upper boundary, strong verification, and moderate governance. The model therefore does not show that maximal automation is intrinsically inefficient or that value is </w:t>
      </w:r>
      <w:proofErr w:type="spellStart"/>
      <w:r w:rsidRPr="00A46D13">
        <w:t>maximised</w:t>
      </w:r>
      <w:proofErr w:type="spellEnd"/>
      <w:r w:rsidRPr="00A46D13">
        <w:t xml:space="preserve"> at an interior balance. It shows </w:t>
      </w:r>
      <w:r w:rsidRPr="00A46D13">
        <w:lastRenderedPageBreak/>
        <w:t>that under-assured automation is dangerous, while extensive automation can remain valuable when outputs are systematically verified and expertise is preserved.</w:t>
      </w:r>
    </w:p>
    <w:p w14:paraId="33C09024" w14:textId="77777777" w:rsidR="00235BC0" w:rsidRPr="00A46D13" w:rsidRDefault="00000000">
      <w:r w:rsidRPr="00A46D13">
        <w:t>The central managerial implication is to measure assurance-adjusted value rather than hours saved alone. Verification debt should be tracked as a stock, expertise should be treated as productive infrastructure, and assurance should be designed around risk, evidence, and learning rather than paperwork. The central research implication is that future empirical work must estimate the relative effectiveness and cost of verification and governance, because those coefficients determine whether the optimum is interior, boundary-seeking, sector-specific, or dynamically adaptive.</w:t>
      </w:r>
    </w:p>
    <w:p w14:paraId="7D6686F9" w14:textId="77777777" w:rsidR="00235BC0" w:rsidRPr="00A46D13" w:rsidRDefault="00000000">
      <w:pPr>
        <w:pStyle w:val="Heading1"/>
      </w:pPr>
      <w:bookmarkStart w:id="7" w:name="limitations-and-future-research"/>
      <w:bookmarkEnd w:id="6"/>
      <w:r w:rsidRPr="00A46D13">
        <w:rPr>
          <w:bCs/>
        </w:rPr>
        <w:t>6. LIMITATIONS AND FUTURE RESEARCH</w:t>
      </w:r>
    </w:p>
    <w:p w14:paraId="6154ECC0" w14:textId="77777777" w:rsidR="00235BC0" w:rsidRPr="00A46D13" w:rsidRDefault="00000000">
      <w:r w:rsidRPr="00A46D13">
        <w:t>The study has eight principal limitations. First, the coefficients are theory-informed but not empirically calibrated. All numerical values illustrate the model’s logic and should not be interpreted as forecasts of profits, accident rates, or optimal policy for a real firm.</w:t>
      </w:r>
    </w:p>
    <w:p w14:paraId="120B69FA" w14:textId="77777777" w:rsidR="00235BC0" w:rsidRPr="00A46D13" w:rsidRDefault="00000000">
      <w:r w:rsidRPr="00A46D13">
        <w:t>Second, the full policy search identifies a boundary optimum for automation under the base coefficients. This is a diagnostic result rather than proof that firms should automate all work. It indicates that the present cost function and task-fit distribution do not impose a sufficiently strong marginal penalty on high, well-verified automation to generate an interior optimum. Empirical calibration, task-specific feasibility constraints, correlated model failures, or stronger integration costs may change the result.</w:t>
      </w:r>
    </w:p>
    <w:p w14:paraId="5AED68B2" w14:textId="77777777" w:rsidR="00235BC0" w:rsidRPr="00A46D13" w:rsidRDefault="00000000">
      <w:r w:rsidRPr="00A46D13">
        <w:t xml:space="preserve">Third, the five named regimes are </w:t>
      </w:r>
      <w:proofErr w:type="spellStart"/>
      <w:r w:rsidRPr="00A46D13">
        <w:t>stylised</w:t>
      </w:r>
      <w:proofErr w:type="spellEnd"/>
      <w:r w:rsidRPr="00A46D13">
        <w:t xml:space="preserve"> coordinates selected for interpretation. Their ranking is conditional on those coordinates. The full fixed-policy search addresses this limitation, but the adaptive regime is still a simple feedback rule rather than an </w:t>
      </w:r>
      <w:proofErr w:type="spellStart"/>
      <w:r w:rsidRPr="00A46D13">
        <w:t>optimised</w:t>
      </w:r>
      <w:proofErr w:type="spellEnd"/>
      <w:r w:rsidRPr="00A46D13">
        <w:t xml:space="preserve"> dynamic controller.</w:t>
      </w:r>
    </w:p>
    <w:p w14:paraId="60D65C70" w14:textId="77777777" w:rsidR="00235BC0" w:rsidRPr="00A46D13" w:rsidRDefault="00000000">
      <w:r w:rsidRPr="00A46D13">
        <w:t>Fourth, the cross-firm heterogeneity distributions are synthetic robustness assumptions. They widen dispersion and test paired comparisons, but they do not represent estimated industry variation. Future work should infer structural distributions from longitudinal data on firms, workflows, incidents, and audits.</w:t>
      </w:r>
    </w:p>
    <w:p w14:paraId="1AA5247C" w14:textId="77777777" w:rsidR="00235BC0" w:rsidRPr="00A46D13" w:rsidRDefault="00000000">
      <w:r w:rsidRPr="00A46D13">
        <w:t>Fifth, several state variables use hard bounds. The expertise ceiling and debt floor create terminal saturation in strongly assured regimes. Path-integrated diagnostics reduce the resulting interpretive problem, but smoother diminishing-return functions and empirically grounded state ranges would be preferable.</w:t>
      </w:r>
    </w:p>
    <w:p w14:paraId="4C755CD2" w14:textId="77777777" w:rsidR="00235BC0" w:rsidRPr="00A46D13" w:rsidRDefault="00000000">
      <w:r w:rsidRPr="00A46D13">
        <w:t>Sixth, governance and verification are scalar intensities. Real assurance differs in timing, independence, competence, architecture, and decision rights. Future models should separate preventive controls, runtime gates, sampling, adversarial review, provenance, escalation, and post-incident learning.</w:t>
      </w:r>
    </w:p>
    <w:p w14:paraId="4D76D1D5" w14:textId="77777777" w:rsidR="00235BC0" w:rsidRPr="00A46D13" w:rsidRDefault="00000000">
      <w:r w:rsidRPr="00A46D13">
        <w:t xml:space="preserve">Seventh, the firm is represented by aggregate expertise and resilience. Actual </w:t>
      </w:r>
      <w:proofErr w:type="spellStart"/>
      <w:r w:rsidRPr="00A46D13">
        <w:t>organisations</w:t>
      </w:r>
      <w:proofErr w:type="spellEnd"/>
      <w:r w:rsidRPr="00A46D13">
        <w:t xml:space="preserve"> contain heterogeneous specialists, teams, bottlenecks, and networks. Agent-based extensions could model reviewer queues, knowledge concentration, staff turnover, local-global coordination, and unequal authority to contest AI outputs.</w:t>
      </w:r>
    </w:p>
    <w:p w14:paraId="625CC7A5" w14:textId="77777777" w:rsidR="00235BC0" w:rsidRPr="00A46D13" w:rsidRDefault="00000000">
      <w:r w:rsidRPr="00A46D13">
        <w:t>Eighth, shocks are primarily exogenous and competition is omitted. Shared models, vendors, retrieval sources, and supply chains can create correlated failures, while competitive pressure may induce collective underinvestment in verification. Network and game-theoretic models could examine these externalities.</w:t>
      </w:r>
    </w:p>
    <w:p w14:paraId="1C63FB08" w14:textId="77777777" w:rsidR="00235BC0" w:rsidRPr="00A46D13" w:rsidRDefault="00000000">
      <w:r w:rsidRPr="00A46D13">
        <w:t>Empirical testing can proceed through mixed methods. A verification-debt scale could combine audit backlogs, unresolved exceptions, provenance gaps, correction effort, reviewer capacity, repeat-error rates, and expertise-retention measures. Longitudinal case studies could test whether early time savings predict later rework or capability loss. Field experiments could compare answer-first, verified-drafting, adversarial-review, and bounded-agent workflows. These studies would allow the model’s coefficients, thresholds, heterogeneity, and policy constraints to be estimated rather than assumed.</w:t>
      </w:r>
    </w:p>
    <w:p w14:paraId="42A21F93" w14:textId="77777777" w:rsidR="00235BC0" w:rsidRPr="00A46D13" w:rsidRDefault="00000000">
      <w:pPr>
        <w:pStyle w:val="Heading1"/>
      </w:pPr>
      <w:bookmarkStart w:id="8" w:name="acknowledgements"/>
      <w:bookmarkEnd w:id="7"/>
      <w:r w:rsidRPr="00A46D13">
        <w:rPr>
          <w:bCs/>
        </w:rPr>
        <w:t>ACKNOWLEDGEMENTS</w:t>
      </w:r>
    </w:p>
    <w:p w14:paraId="60A210AF" w14:textId="77777777" w:rsidR="00235BC0" w:rsidRPr="00A46D13" w:rsidRDefault="00000000">
      <w:r w:rsidRPr="00A46D13">
        <w:t>OpenAI ChatGPT was used to assist with language drafting, structural editing, code review, and robustness-analysis implementation. The author independently verified the model, equations, simulation outputs, citations, and final text and assumes full responsibility. No external funding was received for this study.</w:t>
      </w:r>
    </w:p>
    <w:p w14:paraId="4466F1F3" w14:textId="77777777" w:rsidR="00235BC0" w:rsidRPr="00A46D13" w:rsidRDefault="00000000">
      <w:pPr>
        <w:pStyle w:val="Heading1"/>
      </w:pPr>
      <w:bookmarkStart w:id="9" w:name="competing-interests"/>
      <w:bookmarkEnd w:id="8"/>
      <w:r w:rsidRPr="00A46D13">
        <w:rPr>
          <w:bCs/>
        </w:rPr>
        <w:lastRenderedPageBreak/>
        <w:t>COMPETING INTERESTS</w:t>
      </w:r>
    </w:p>
    <w:p w14:paraId="3C5CD217" w14:textId="77777777" w:rsidR="00235BC0" w:rsidRPr="00A46D13" w:rsidRDefault="00000000">
      <w:r w:rsidRPr="00A46D13">
        <w:t>The author has declared that no competing interests exist.</w:t>
      </w:r>
    </w:p>
    <w:p w14:paraId="4FF49BE3" w14:textId="77777777" w:rsidR="00235BC0" w:rsidRPr="00A46D13" w:rsidRDefault="00000000">
      <w:pPr>
        <w:pStyle w:val="Heading1"/>
      </w:pPr>
      <w:bookmarkStart w:id="10" w:name="authors-contributions"/>
      <w:bookmarkEnd w:id="9"/>
      <w:r w:rsidRPr="00A46D13">
        <w:rPr>
          <w:bCs/>
        </w:rPr>
        <w:t>AUTHOR’S CONTRIBUTIONS</w:t>
      </w:r>
    </w:p>
    <w:p w14:paraId="760D4401" w14:textId="77777777" w:rsidR="00235BC0" w:rsidRPr="00A46D13" w:rsidRDefault="00000000">
      <w:r w:rsidRPr="00A46D13">
        <w:t xml:space="preserve">Kwan Hong Tan conceived the study, developed the theoretical framework and mathematical model, designed and executed the computational experiment and robustness extensions, </w:t>
      </w:r>
      <w:proofErr w:type="spellStart"/>
      <w:r w:rsidRPr="00A46D13">
        <w:t>analysed</w:t>
      </w:r>
      <w:proofErr w:type="spellEnd"/>
      <w:r w:rsidRPr="00A46D13">
        <w:t xml:space="preserve"> the results, prepared the figures and tables, and wrote and approved the final manuscript.</w:t>
      </w:r>
    </w:p>
    <w:p w14:paraId="75F6D3D2" w14:textId="77777777" w:rsidR="00235BC0" w:rsidRPr="00A46D13" w:rsidRDefault="00000000">
      <w:pPr>
        <w:pStyle w:val="Heading1"/>
      </w:pPr>
      <w:bookmarkStart w:id="11" w:name="consent"/>
      <w:bookmarkEnd w:id="10"/>
      <w:r w:rsidRPr="00A46D13">
        <w:rPr>
          <w:bCs/>
        </w:rPr>
        <w:t>CONSENT</w:t>
      </w:r>
    </w:p>
    <w:p w14:paraId="19290A11" w14:textId="0C72C059" w:rsidR="00235BC0" w:rsidRPr="00A46D13" w:rsidRDefault="00000000">
      <w:r w:rsidRPr="00A46D13">
        <w:t xml:space="preserve">Not applicable. </w:t>
      </w:r>
    </w:p>
    <w:p w14:paraId="5673DB82" w14:textId="77777777" w:rsidR="00235BC0" w:rsidRPr="00A46D13" w:rsidRDefault="00000000">
      <w:pPr>
        <w:pStyle w:val="Heading1"/>
      </w:pPr>
      <w:bookmarkStart w:id="12" w:name="ethical-approval"/>
      <w:bookmarkEnd w:id="11"/>
      <w:r w:rsidRPr="00A46D13">
        <w:rPr>
          <w:bCs/>
        </w:rPr>
        <w:t>ETHICAL APPROVAL</w:t>
      </w:r>
    </w:p>
    <w:p w14:paraId="35B8DFF2" w14:textId="2DCBBECC" w:rsidR="00235BC0" w:rsidRPr="00A46D13" w:rsidRDefault="00000000">
      <w:r w:rsidRPr="00A46D13">
        <w:t xml:space="preserve">Not applicable. </w:t>
      </w:r>
    </w:p>
    <w:p w14:paraId="107418F7" w14:textId="77777777" w:rsidR="00235BC0" w:rsidRPr="00A46D13" w:rsidRDefault="00000000">
      <w:pPr>
        <w:pStyle w:val="Heading1"/>
      </w:pPr>
      <w:bookmarkStart w:id="13" w:name="data-and-code-availability"/>
      <w:bookmarkEnd w:id="12"/>
      <w:r w:rsidRPr="00A46D13">
        <w:rPr>
          <w:bCs/>
        </w:rPr>
        <w:t>DATA AND CODE AVAILABILITY</w:t>
      </w:r>
    </w:p>
    <w:p w14:paraId="50EE6B3C" w14:textId="77777777" w:rsidR="00235BC0" w:rsidRPr="00A46D13" w:rsidRDefault="00000000">
      <w:r w:rsidRPr="00A46D13">
        <w:t>The Python simulation code, complete parameter table, base-case results, paired differences, structural-heterogeneity outputs, full policy-grid results, boundary refinement, sensitivity analysis, and publication figures are provided as supplementary files. The fixed seed and common-random-number protocol permit independent reproduction of the reported results.</w:t>
      </w:r>
    </w:p>
    <w:p w14:paraId="6594BCC7" w14:textId="77777777" w:rsidR="00055076" w:rsidRPr="00A46D13" w:rsidRDefault="00055076" w:rsidP="00055076">
      <w:pPr>
        <w:spacing w:after="160" w:line="278" w:lineRule="auto"/>
        <w:jc w:val="left"/>
        <w:rPr>
          <w:rFonts w:eastAsia="Calibri" w:cs="Arial"/>
          <w:b/>
          <w:bCs/>
          <w:kern w:val="2"/>
        </w:rPr>
      </w:pPr>
      <w:r w:rsidRPr="00A46D13">
        <w:rPr>
          <w:rFonts w:eastAsia="Calibri" w:cs="Arial"/>
          <w:b/>
          <w:bCs/>
          <w:kern w:val="2"/>
        </w:rPr>
        <w:t>Declaration of AI Use</w:t>
      </w:r>
    </w:p>
    <w:p w14:paraId="161B1249" w14:textId="77777777" w:rsidR="00055076" w:rsidRPr="00A46D13" w:rsidRDefault="00055076" w:rsidP="00055076">
      <w:pPr>
        <w:spacing w:after="160" w:line="278" w:lineRule="auto"/>
        <w:rPr>
          <w:rFonts w:eastAsia="Calibri" w:cs="Arial"/>
          <w:kern w:val="2"/>
        </w:rPr>
      </w:pPr>
      <w:r w:rsidRPr="00A46D13">
        <w:rPr>
          <w:rFonts w:eastAsia="Calibri" w:cs="Arial"/>
          <w:kern w:val="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79934E4" w14:textId="77777777" w:rsidR="00055076" w:rsidRPr="00A46D13" w:rsidRDefault="00055076"/>
    <w:p w14:paraId="3B8ED569" w14:textId="77777777" w:rsidR="00235BC0" w:rsidRPr="00A46D13" w:rsidRDefault="00000000">
      <w:pPr>
        <w:pStyle w:val="Heading1"/>
      </w:pPr>
      <w:bookmarkStart w:id="14" w:name="references"/>
      <w:bookmarkEnd w:id="13"/>
      <w:r w:rsidRPr="00A46D13">
        <w:rPr>
          <w:bCs/>
        </w:rPr>
        <w:t>REFERENCES</w:t>
      </w:r>
    </w:p>
    <w:p w14:paraId="411D7BAE"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r w:rsidRPr="0078639E">
        <w:rPr>
          <w:rFonts w:ascii="Times New Roman" w:eastAsia="Times New Roman" w:hAnsi="Times New Roman"/>
          <w:sz w:val="24"/>
          <w:szCs w:val="24"/>
        </w:rPr>
        <w:t xml:space="preserve">Acemoglu, D. (2024). </w:t>
      </w:r>
      <w:r w:rsidRPr="0078639E">
        <w:rPr>
          <w:rFonts w:ascii="Times New Roman" w:eastAsia="Times New Roman" w:hAnsi="Times New Roman"/>
          <w:i/>
          <w:iCs/>
          <w:sz w:val="24"/>
          <w:szCs w:val="24"/>
        </w:rPr>
        <w:t>The simple macroeconomics of AI</w:t>
      </w:r>
      <w:r w:rsidRPr="0078639E">
        <w:rPr>
          <w:rFonts w:ascii="Times New Roman" w:eastAsia="Times New Roman" w:hAnsi="Times New Roman"/>
          <w:sz w:val="24"/>
          <w:szCs w:val="24"/>
        </w:rPr>
        <w:t xml:space="preserve"> (NBER Working Paper No. 32487). National Bureau of Economic Research. </w:t>
      </w:r>
      <w:hyperlink r:id="rId11" w:history="1">
        <w:r w:rsidRPr="0078639E">
          <w:rPr>
            <w:rFonts w:ascii="Times New Roman" w:eastAsia="Times New Roman" w:hAnsi="Times New Roman"/>
            <w:color w:val="0000FF"/>
            <w:sz w:val="24"/>
            <w:szCs w:val="24"/>
            <w:u w:val="single"/>
          </w:rPr>
          <w:t>https://doi.org/10.3386/w32487</w:t>
        </w:r>
      </w:hyperlink>
    </w:p>
    <w:p w14:paraId="231E893F"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proofErr w:type="spellStart"/>
      <w:r w:rsidRPr="0078639E">
        <w:rPr>
          <w:rFonts w:ascii="Times New Roman" w:eastAsia="Times New Roman" w:hAnsi="Times New Roman"/>
          <w:sz w:val="24"/>
          <w:szCs w:val="24"/>
        </w:rPr>
        <w:t>Andavar</w:t>
      </w:r>
      <w:proofErr w:type="spellEnd"/>
      <w:r w:rsidRPr="0078639E">
        <w:rPr>
          <w:rFonts w:ascii="Times New Roman" w:eastAsia="Times New Roman" w:hAnsi="Times New Roman"/>
          <w:sz w:val="24"/>
          <w:szCs w:val="24"/>
        </w:rPr>
        <w:t xml:space="preserve">, V., &amp; Rajaraman, S. R. (2026). Artificial intelligence for revenue growth in developing economies: Results from a structured business survey in Uganda’s hospitality and tourism sector. </w:t>
      </w:r>
      <w:r w:rsidRPr="0078639E">
        <w:rPr>
          <w:rFonts w:ascii="Times New Roman" w:eastAsia="Times New Roman" w:hAnsi="Times New Roman"/>
          <w:i/>
          <w:iCs/>
          <w:sz w:val="24"/>
          <w:szCs w:val="24"/>
        </w:rPr>
        <w:t>Asian Journal of Economics, Finance and Management, 8</w:t>
      </w:r>
      <w:r w:rsidRPr="0078639E">
        <w:rPr>
          <w:rFonts w:ascii="Times New Roman" w:eastAsia="Times New Roman" w:hAnsi="Times New Roman"/>
          <w:sz w:val="24"/>
          <w:szCs w:val="24"/>
        </w:rPr>
        <w:t xml:space="preserve">(1), 544–558. </w:t>
      </w:r>
      <w:hyperlink r:id="rId12" w:history="1">
        <w:r w:rsidRPr="0078639E">
          <w:rPr>
            <w:rFonts w:ascii="Times New Roman" w:eastAsia="Times New Roman" w:hAnsi="Times New Roman"/>
            <w:color w:val="0000FF"/>
            <w:sz w:val="24"/>
            <w:szCs w:val="24"/>
            <w:u w:val="single"/>
          </w:rPr>
          <w:t>https://doi.org/10.56557/ajefm/2026/v8i1389</w:t>
        </w:r>
      </w:hyperlink>
    </w:p>
    <w:p w14:paraId="6583F0DA"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r w:rsidRPr="0078639E">
        <w:rPr>
          <w:rFonts w:ascii="Times New Roman" w:eastAsia="Times New Roman" w:hAnsi="Times New Roman"/>
          <w:sz w:val="24"/>
          <w:szCs w:val="24"/>
        </w:rPr>
        <w:t xml:space="preserve">Autor, D. H. (2015). Why are there still so many jobs? The history and future of workplace automation. </w:t>
      </w:r>
      <w:r w:rsidRPr="0078639E">
        <w:rPr>
          <w:rFonts w:ascii="Times New Roman" w:eastAsia="Times New Roman" w:hAnsi="Times New Roman"/>
          <w:i/>
          <w:iCs/>
          <w:sz w:val="24"/>
          <w:szCs w:val="24"/>
        </w:rPr>
        <w:t>Journal of Economic Perspectives, 29</w:t>
      </w:r>
      <w:r w:rsidRPr="0078639E">
        <w:rPr>
          <w:rFonts w:ascii="Times New Roman" w:eastAsia="Times New Roman" w:hAnsi="Times New Roman"/>
          <w:sz w:val="24"/>
          <w:szCs w:val="24"/>
        </w:rPr>
        <w:t xml:space="preserve">(3), 3–30. </w:t>
      </w:r>
      <w:hyperlink r:id="rId13" w:history="1">
        <w:r w:rsidRPr="0078639E">
          <w:rPr>
            <w:rFonts w:ascii="Times New Roman" w:eastAsia="Times New Roman" w:hAnsi="Times New Roman"/>
            <w:color w:val="0000FF"/>
            <w:sz w:val="24"/>
            <w:szCs w:val="24"/>
            <w:u w:val="single"/>
          </w:rPr>
          <w:t>https://doi.org/10.1257/jep.29.3.3</w:t>
        </w:r>
      </w:hyperlink>
    </w:p>
    <w:p w14:paraId="11BBD987"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r w:rsidRPr="0078639E">
        <w:rPr>
          <w:rFonts w:ascii="Times New Roman" w:eastAsia="Times New Roman" w:hAnsi="Times New Roman"/>
          <w:sz w:val="24"/>
          <w:szCs w:val="24"/>
        </w:rPr>
        <w:t xml:space="preserve">Babina, T., Fedyk, A., He, A., &amp; Hodson, J. (2024). Artificial intelligence, firm growth, and product innovation. </w:t>
      </w:r>
      <w:r w:rsidRPr="0078639E">
        <w:rPr>
          <w:rFonts w:ascii="Times New Roman" w:eastAsia="Times New Roman" w:hAnsi="Times New Roman"/>
          <w:i/>
          <w:iCs/>
          <w:sz w:val="24"/>
          <w:szCs w:val="24"/>
        </w:rPr>
        <w:t>Journal of Financial Economics, 151</w:t>
      </w:r>
      <w:r w:rsidRPr="0078639E">
        <w:rPr>
          <w:rFonts w:ascii="Times New Roman" w:eastAsia="Times New Roman" w:hAnsi="Times New Roman"/>
          <w:sz w:val="24"/>
          <w:szCs w:val="24"/>
        </w:rPr>
        <w:t xml:space="preserve">, Article 103745. </w:t>
      </w:r>
      <w:hyperlink r:id="rId14" w:history="1">
        <w:r w:rsidRPr="0078639E">
          <w:rPr>
            <w:rFonts w:ascii="Times New Roman" w:eastAsia="Times New Roman" w:hAnsi="Times New Roman"/>
            <w:color w:val="0000FF"/>
            <w:sz w:val="24"/>
            <w:szCs w:val="24"/>
            <w:u w:val="single"/>
          </w:rPr>
          <w:t>https://doi.org/10.1016/j.jfineco.2023.103745</w:t>
        </w:r>
      </w:hyperlink>
    </w:p>
    <w:p w14:paraId="6E94CCF5"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r w:rsidRPr="0078639E">
        <w:rPr>
          <w:rFonts w:ascii="Times New Roman" w:eastAsia="Times New Roman" w:hAnsi="Times New Roman"/>
          <w:sz w:val="24"/>
          <w:szCs w:val="24"/>
        </w:rPr>
        <w:lastRenderedPageBreak/>
        <w:t xml:space="preserve">Bainbridge, L. (1983). Ironies of automation. </w:t>
      </w:r>
      <w:proofErr w:type="spellStart"/>
      <w:r w:rsidRPr="0078639E">
        <w:rPr>
          <w:rFonts w:ascii="Times New Roman" w:eastAsia="Times New Roman" w:hAnsi="Times New Roman"/>
          <w:i/>
          <w:iCs/>
          <w:sz w:val="24"/>
          <w:szCs w:val="24"/>
        </w:rPr>
        <w:t>Automatica</w:t>
      </w:r>
      <w:proofErr w:type="spellEnd"/>
      <w:r w:rsidRPr="0078639E">
        <w:rPr>
          <w:rFonts w:ascii="Times New Roman" w:eastAsia="Times New Roman" w:hAnsi="Times New Roman"/>
          <w:i/>
          <w:iCs/>
          <w:sz w:val="24"/>
          <w:szCs w:val="24"/>
        </w:rPr>
        <w:t>, 19</w:t>
      </w:r>
      <w:r w:rsidRPr="0078639E">
        <w:rPr>
          <w:rFonts w:ascii="Times New Roman" w:eastAsia="Times New Roman" w:hAnsi="Times New Roman"/>
          <w:sz w:val="24"/>
          <w:szCs w:val="24"/>
        </w:rPr>
        <w:t xml:space="preserve">(6), 775–779. </w:t>
      </w:r>
      <w:hyperlink r:id="rId15" w:history="1">
        <w:r w:rsidRPr="0078639E">
          <w:rPr>
            <w:rFonts w:ascii="Times New Roman" w:eastAsia="Times New Roman" w:hAnsi="Times New Roman"/>
            <w:color w:val="0000FF"/>
            <w:sz w:val="24"/>
            <w:szCs w:val="24"/>
            <w:u w:val="single"/>
          </w:rPr>
          <w:t>https://doi.org/10.1016/0005-1098(83)90046-8</w:t>
        </w:r>
      </w:hyperlink>
    </w:p>
    <w:p w14:paraId="5D87C6B1"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r w:rsidRPr="0078639E">
        <w:rPr>
          <w:rFonts w:ascii="Times New Roman" w:eastAsia="Times New Roman" w:hAnsi="Times New Roman"/>
          <w:sz w:val="24"/>
          <w:szCs w:val="24"/>
        </w:rPr>
        <w:t xml:space="preserve">Brynjolfsson, E., Li, D., &amp; Raymond, L. R. (2025). Generative AI at work. </w:t>
      </w:r>
      <w:r w:rsidRPr="0078639E">
        <w:rPr>
          <w:rFonts w:ascii="Times New Roman" w:eastAsia="Times New Roman" w:hAnsi="Times New Roman"/>
          <w:i/>
          <w:iCs/>
          <w:sz w:val="24"/>
          <w:szCs w:val="24"/>
        </w:rPr>
        <w:t>The Quarterly Journal of Economics, 140</w:t>
      </w:r>
      <w:r w:rsidRPr="0078639E">
        <w:rPr>
          <w:rFonts w:ascii="Times New Roman" w:eastAsia="Times New Roman" w:hAnsi="Times New Roman"/>
          <w:sz w:val="24"/>
          <w:szCs w:val="24"/>
        </w:rPr>
        <w:t xml:space="preserve">(2), 889–942. </w:t>
      </w:r>
      <w:hyperlink r:id="rId16" w:history="1">
        <w:r w:rsidRPr="0078639E">
          <w:rPr>
            <w:rFonts w:ascii="Times New Roman" w:eastAsia="Times New Roman" w:hAnsi="Times New Roman"/>
            <w:color w:val="0000FF"/>
            <w:sz w:val="24"/>
            <w:szCs w:val="24"/>
            <w:u w:val="single"/>
          </w:rPr>
          <w:t>https://doi.org/10.1093/qje/qjae044</w:t>
        </w:r>
      </w:hyperlink>
    </w:p>
    <w:p w14:paraId="3CDE5F86"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proofErr w:type="spellStart"/>
      <w:r w:rsidRPr="0078639E">
        <w:rPr>
          <w:rFonts w:ascii="Times New Roman" w:eastAsia="Times New Roman" w:hAnsi="Times New Roman"/>
          <w:sz w:val="24"/>
          <w:szCs w:val="24"/>
        </w:rPr>
        <w:t>Dell’Acqua</w:t>
      </w:r>
      <w:proofErr w:type="spellEnd"/>
      <w:r w:rsidRPr="0078639E">
        <w:rPr>
          <w:rFonts w:ascii="Times New Roman" w:eastAsia="Times New Roman" w:hAnsi="Times New Roman"/>
          <w:sz w:val="24"/>
          <w:szCs w:val="24"/>
        </w:rPr>
        <w:t xml:space="preserve">, F., McFowland, E., III, Mollick, E. R., Lifshitz-Assaf, H., Kellogg, K. C., Rajendran, S., Krayer, L., </w:t>
      </w:r>
      <w:proofErr w:type="spellStart"/>
      <w:r w:rsidRPr="0078639E">
        <w:rPr>
          <w:rFonts w:ascii="Times New Roman" w:eastAsia="Times New Roman" w:hAnsi="Times New Roman"/>
          <w:sz w:val="24"/>
          <w:szCs w:val="24"/>
        </w:rPr>
        <w:t>Candelon</w:t>
      </w:r>
      <w:proofErr w:type="spellEnd"/>
      <w:r w:rsidRPr="0078639E">
        <w:rPr>
          <w:rFonts w:ascii="Times New Roman" w:eastAsia="Times New Roman" w:hAnsi="Times New Roman"/>
          <w:sz w:val="24"/>
          <w:szCs w:val="24"/>
        </w:rPr>
        <w:t xml:space="preserve">, F., &amp; Lakhani, K. R. (2023). </w:t>
      </w:r>
      <w:r w:rsidRPr="0078639E">
        <w:rPr>
          <w:rFonts w:ascii="Times New Roman" w:eastAsia="Times New Roman" w:hAnsi="Times New Roman"/>
          <w:i/>
          <w:iCs/>
          <w:sz w:val="24"/>
          <w:szCs w:val="24"/>
        </w:rPr>
        <w:t>Navigating the jagged technological frontier: Field experimental evidence of the effects of artificial intelligence on knowledge worker productivity and quality</w:t>
      </w:r>
      <w:r w:rsidRPr="0078639E">
        <w:rPr>
          <w:rFonts w:ascii="Times New Roman" w:eastAsia="Times New Roman" w:hAnsi="Times New Roman"/>
          <w:sz w:val="24"/>
          <w:szCs w:val="24"/>
        </w:rPr>
        <w:t xml:space="preserve"> (Harvard Business School Working Paper No. 24-013). Harvard Business School. </w:t>
      </w:r>
      <w:hyperlink r:id="rId17" w:history="1">
        <w:r w:rsidRPr="0078639E">
          <w:rPr>
            <w:rFonts w:ascii="Times New Roman" w:eastAsia="Times New Roman" w:hAnsi="Times New Roman"/>
            <w:color w:val="0000FF"/>
            <w:sz w:val="24"/>
            <w:szCs w:val="24"/>
            <w:u w:val="single"/>
          </w:rPr>
          <w:t>https://www.hbs.edu/faculty/Pages/item.aspx?num=64700</w:t>
        </w:r>
      </w:hyperlink>
    </w:p>
    <w:p w14:paraId="3A036EBF"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r w:rsidRPr="0078639E">
        <w:rPr>
          <w:rFonts w:ascii="Times New Roman" w:eastAsia="Times New Roman" w:hAnsi="Times New Roman"/>
          <w:sz w:val="24"/>
          <w:szCs w:val="24"/>
          <w:lang w:val="nl-BE"/>
        </w:rPr>
        <w:t xml:space="preserve">Dellermann, D., Ebel, P., Söllner, M., &amp; Leimeister, J. M. (2019). </w:t>
      </w:r>
      <w:r w:rsidRPr="0078639E">
        <w:rPr>
          <w:rFonts w:ascii="Times New Roman" w:eastAsia="Times New Roman" w:hAnsi="Times New Roman"/>
          <w:sz w:val="24"/>
          <w:szCs w:val="24"/>
        </w:rPr>
        <w:t xml:space="preserve">Hybrid intelligence. </w:t>
      </w:r>
      <w:r w:rsidRPr="0078639E">
        <w:rPr>
          <w:rFonts w:ascii="Times New Roman" w:eastAsia="Times New Roman" w:hAnsi="Times New Roman"/>
          <w:i/>
          <w:iCs/>
          <w:sz w:val="24"/>
          <w:szCs w:val="24"/>
        </w:rPr>
        <w:t>Business &amp; Information Systems Engineering, 61</w:t>
      </w:r>
      <w:r w:rsidRPr="0078639E">
        <w:rPr>
          <w:rFonts w:ascii="Times New Roman" w:eastAsia="Times New Roman" w:hAnsi="Times New Roman"/>
          <w:sz w:val="24"/>
          <w:szCs w:val="24"/>
        </w:rPr>
        <w:t xml:space="preserve">(5), 637–643. </w:t>
      </w:r>
      <w:hyperlink r:id="rId18" w:history="1">
        <w:r w:rsidRPr="0078639E">
          <w:rPr>
            <w:rFonts w:ascii="Times New Roman" w:eastAsia="Times New Roman" w:hAnsi="Times New Roman"/>
            <w:color w:val="0000FF"/>
            <w:sz w:val="24"/>
            <w:szCs w:val="24"/>
            <w:u w:val="single"/>
          </w:rPr>
          <w:t>https://doi.org/10.1007/s12599-019-00595-2</w:t>
        </w:r>
      </w:hyperlink>
    </w:p>
    <w:p w14:paraId="30BC71C6"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r w:rsidRPr="0078639E">
        <w:rPr>
          <w:rFonts w:ascii="Times New Roman" w:eastAsia="Times New Roman" w:hAnsi="Times New Roman"/>
          <w:sz w:val="24"/>
          <w:szCs w:val="24"/>
        </w:rPr>
        <w:t xml:space="preserve">Duchek, S. (2020). Organizational resilience: A capability-based conceptualization. </w:t>
      </w:r>
      <w:r w:rsidRPr="0078639E">
        <w:rPr>
          <w:rFonts w:ascii="Times New Roman" w:eastAsia="Times New Roman" w:hAnsi="Times New Roman"/>
          <w:i/>
          <w:iCs/>
          <w:sz w:val="24"/>
          <w:szCs w:val="24"/>
        </w:rPr>
        <w:t>Business Research, 13</w:t>
      </w:r>
      <w:r w:rsidRPr="0078639E">
        <w:rPr>
          <w:rFonts w:ascii="Times New Roman" w:eastAsia="Times New Roman" w:hAnsi="Times New Roman"/>
          <w:sz w:val="24"/>
          <w:szCs w:val="24"/>
        </w:rPr>
        <w:t xml:space="preserve">(1), 215–246. </w:t>
      </w:r>
      <w:hyperlink r:id="rId19" w:history="1">
        <w:r w:rsidRPr="0078639E">
          <w:rPr>
            <w:rFonts w:ascii="Times New Roman" w:eastAsia="Times New Roman" w:hAnsi="Times New Roman"/>
            <w:color w:val="0000FF"/>
            <w:sz w:val="24"/>
            <w:szCs w:val="24"/>
            <w:u w:val="single"/>
          </w:rPr>
          <w:t>https://doi.org/10.1007/s40685-019-0085-7</w:t>
        </w:r>
      </w:hyperlink>
    </w:p>
    <w:p w14:paraId="48659158"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r w:rsidRPr="0078639E">
        <w:rPr>
          <w:rFonts w:ascii="Times New Roman" w:eastAsia="Times New Roman" w:hAnsi="Times New Roman"/>
          <w:sz w:val="24"/>
          <w:szCs w:val="24"/>
        </w:rPr>
        <w:t xml:space="preserve">European Parliament &amp; Council of the European Union. (2024). </w:t>
      </w:r>
      <w:r w:rsidRPr="0078639E">
        <w:rPr>
          <w:rFonts w:ascii="Times New Roman" w:eastAsia="Times New Roman" w:hAnsi="Times New Roman"/>
          <w:i/>
          <w:iCs/>
          <w:sz w:val="24"/>
          <w:szCs w:val="24"/>
        </w:rPr>
        <w:t xml:space="preserve">Regulation (EU) 2024/1689 of the European Parliament and of the Council of 13 June 2024 laying down </w:t>
      </w:r>
      <w:proofErr w:type="spellStart"/>
      <w:r w:rsidRPr="0078639E">
        <w:rPr>
          <w:rFonts w:ascii="Times New Roman" w:eastAsia="Times New Roman" w:hAnsi="Times New Roman"/>
          <w:i/>
          <w:iCs/>
          <w:sz w:val="24"/>
          <w:szCs w:val="24"/>
        </w:rPr>
        <w:t>harmonised</w:t>
      </w:r>
      <w:proofErr w:type="spellEnd"/>
      <w:r w:rsidRPr="0078639E">
        <w:rPr>
          <w:rFonts w:ascii="Times New Roman" w:eastAsia="Times New Roman" w:hAnsi="Times New Roman"/>
          <w:i/>
          <w:iCs/>
          <w:sz w:val="24"/>
          <w:szCs w:val="24"/>
        </w:rPr>
        <w:t xml:space="preserve"> rules on artificial intelligence and amending Regulations (EC) No. 300/2008, (EU) No. 167/2013, (EU) No. 168/2013, (EU) 2018/858, (EU) 2018/1139, and (EU) 2019/2144 and Directives 2014/90/EU, (EU) 2016/797, and (EU) 2020/1828 (Artificial Intelligence Act).</w:t>
      </w:r>
      <w:r w:rsidRPr="0078639E">
        <w:rPr>
          <w:rFonts w:ascii="Times New Roman" w:eastAsia="Times New Roman" w:hAnsi="Times New Roman"/>
          <w:sz w:val="24"/>
          <w:szCs w:val="24"/>
        </w:rPr>
        <w:t xml:space="preserve"> </w:t>
      </w:r>
      <w:r w:rsidRPr="0078639E">
        <w:rPr>
          <w:rFonts w:ascii="Times New Roman" w:eastAsia="Times New Roman" w:hAnsi="Times New Roman"/>
          <w:i/>
          <w:iCs/>
          <w:sz w:val="24"/>
          <w:szCs w:val="24"/>
        </w:rPr>
        <w:t>Official Journal of the European Union, L, 2024/1689</w:t>
      </w:r>
      <w:r w:rsidRPr="0078639E">
        <w:rPr>
          <w:rFonts w:ascii="Times New Roman" w:eastAsia="Times New Roman" w:hAnsi="Times New Roman"/>
          <w:sz w:val="24"/>
          <w:szCs w:val="24"/>
        </w:rPr>
        <w:t xml:space="preserve">. </w:t>
      </w:r>
      <w:hyperlink r:id="rId20" w:history="1">
        <w:r w:rsidRPr="0078639E">
          <w:rPr>
            <w:rFonts w:ascii="Times New Roman" w:eastAsia="Times New Roman" w:hAnsi="Times New Roman"/>
            <w:color w:val="0000FF"/>
            <w:sz w:val="24"/>
            <w:szCs w:val="24"/>
            <w:u w:val="single"/>
          </w:rPr>
          <w:t>https://eur-lex.europa.eu/eli/reg/2024/1689/oj</w:t>
        </w:r>
      </w:hyperlink>
    </w:p>
    <w:p w14:paraId="7B85C3B1"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r w:rsidRPr="0078639E">
        <w:rPr>
          <w:rFonts w:ascii="Times New Roman" w:eastAsia="Times New Roman" w:hAnsi="Times New Roman"/>
          <w:sz w:val="24"/>
          <w:szCs w:val="24"/>
        </w:rPr>
        <w:t xml:space="preserve">Faraj, S., </w:t>
      </w:r>
      <w:proofErr w:type="spellStart"/>
      <w:r w:rsidRPr="0078639E">
        <w:rPr>
          <w:rFonts w:ascii="Times New Roman" w:eastAsia="Times New Roman" w:hAnsi="Times New Roman"/>
          <w:sz w:val="24"/>
          <w:szCs w:val="24"/>
        </w:rPr>
        <w:t>Pachidi</w:t>
      </w:r>
      <w:proofErr w:type="spellEnd"/>
      <w:r w:rsidRPr="0078639E">
        <w:rPr>
          <w:rFonts w:ascii="Times New Roman" w:eastAsia="Times New Roman" w:hAnsi="Times New Roman"/>
          <w:sz w:val="24"/>
          <w:szCs w:val="24"/>
        </w:rPr>
        <w:t xml:space="preserve">, S., &amp; Sayegh, K. (2018). Working and organizing in the age of the learning algorithm. </w:t>
      </w:r>
      <w:r w:rsidRPr="0078639E">
        <w:rPr>
          <w:rFonts w:ascii="Times New Roman" w:eastAsia="Times New Roman" w:hAnsi="Times New Roman"/>
          <w:i/>
          <w:iCs/>
          <w:sz w:val="24"/>
          <w:szCs w:val="24"/>
        </w:rPr>
        <w:t>Information and Organization, 28</w:t>
      </w:r>
      <w:r w:rsidRPr="0078639E">
        <w:rPr>
          <w:rFonts w:ascii="Times New Roman" w:eastAsia="Times New Roman" w:hAnsi="Times New Roman"/>
          <w:sz w:val="24"/>
          <w:szCs w:val="24"/>
        </w:rPr>
        <w:t xml:space="preserve">(1), 62–70. </w:t>
      </w:r>
      <w:hyperlink r:id="rId21" w:history="1">
        <w:r w:rsidRPr="0078639E">
          <w:rPr>
            <w:rFonts w:ascii="Times New Roman" w:eastAsia="Times New Roman" w:hAnsi="Times New Roman"/>
            <w:color w:val="0000FF"/>
            <w:sz w:val="24"/>
            <w:szCs w:val="24"/>
            <w:u w:val="single"/>
          </w:rPr>
          <w:t>https://doi.org/10.1016/j.infoandorg.2018.02.005</w:t>
        </w:r>
      </w:hyperlink>
    </w:p>
    <w:p w14:paraId="55B15EA0"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proofErr w:type="spellStart"/>
      <w:r w:rsidRPr="0078639E">
        <w:rPr>
          <w:rFonts w:ascii="Times New Roman" w:eastAsia="Times New Roman" w:hAnsi="Times New Roman"/>
          <w:sz w:val="24"/>
          <w:szCs w:val="24"/>
        </w:rPr>
        <w:t>Fügener</w:t>
      </w:r>
      <w:proofErr w:type="spellEnd"/>
      <w:r w:rsidRPr="0078639E">
        <w:rPr>
          <w:rFonts w:ascii="Times New Roman" w:eastAsia="Times New Roman" w:hAnsi="Times New Roman"/>
          <w:sz w:val="24"/>
          <w:szCs w:val="24"/>
        </w:rPr>
        <w:t xml:space="preserve">, A., </w:t>
      </w:r>
      <w:proofErr w:type="spellStart"/>
      <w:r w:rsidRPr="0078639E">
        <w:rPr>
          <w:rFonts w:ascii="Times New Roman" w:eastAsia="Times New Roman" w:hAnsi="Times New Roman"/>
          <w:sz w:val="24"/>
          <w:szCs w:val="24"/>
        </w:rPr>
        <w:t>Walzner</w:t>
      </w:r>
      <w:proofErr w:type="spellEnd"/>
      <w:r w:rsidRPr="0078639E">
        <w:rPr>
          <w:rFonts w:ascii="Times New Roman" w:eastAsia="Times New Roman" w:hAnsi="Times New Roman"/>
          <w:sz w:val="24"/>
          <w:szCs w:val="24"/>
        </w:rPr>
        <w:t xml:space="preserve">, D. D., &amp; Gupta, A. (2026). Roles of artificial intelligence in collaboration with humans: Automation, augmentation, and the future of work. </w:t>
      </w:r>
      <w:r w:rsidRPr="0078639E">
        <w:rPr>
          <w:rFonts w:ascii="Times New Roman" w:eastAsia="Times New Roman" w:hAnsi="Times New Roman"/>
          <w:i/>
          <w:iCs/>
          <w:sz w:val="24"/>
          <w:szCs w:val="24"/>
        </w:rPr>
        <w:t>Management Science, 72</w:t>
      </w:r>
      <w:r w:rsidRPr="0078639E">
        <w:rPr>
          <w:rFonts w:ascii="Times New Roman" w:eastAsia="Times New Roman" w:hAnsi="Times New Roman"/>
          <w:sz w:val="24"/>
          <w:szCs w:val="24"/>
        </w:rPr>
        <w:t xml:space="preserve">(1), 538–557. </w:t>
      </w:r>
      <w:hyperlink r:id="rId22" w:history="1">
        <w:r w:rsidRPr="0078639E">
          <w:rPr>
            <w:rFonts w:ascii="Times New Roman" w:eastAsia="Times New Roman" w:hAnsi="Times New Roman"/>
            <w:color w:val="0000FF"/>
            <w:sz w:val="24"/>
            <w:szCs w:val="24"/>
            <w:u w:val="single"/>
          </w:rPr>
          <w:t>https://doi.org/10.1287/mnsc.2024.05684</w:t>
        </w:r>
      </w:hyperlink>
    </w:p>
    <w:p w14:paraId="10880DC0"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proofErr w:type="spellStart"/>
      <w:r w:rsidRPr="0078639E">
        <w:rPr>
          <w:rFonts w:ascii="Times New Roman" w:eastAsia="Times New Roman" w:hAnsi="Times New Roman"/>
          <w:sz w:val="24"/>
          <w:szCs w:val="24"/>
        </w:rPr>
        <w:t>Jarrahi</w:t>
      </w:r>
      <w:proofErr w:type="spellEnd"/>
      <w:r w:rsidRPr="0078639E">
        <w:rPr>
          <w:rFonts w:ascii="Times New Roman" w:eastAsia="Times New Roman" w:hAnsi="Times New Roman"/>
          <w:sz w:val="24"/>
          <w:szCs w:val="24"/>
        </w:rPr>
        <w:t xml:space="preserve">, M. H. (2018). Artificial intelligence and the future of work: Human–AI symbiosis in organizational decision making. </w:t>
      </w:r>
      <w:r w:rsidRPr="0078639E">
        <w:rPr>
          <w:rFonts w:ascii="Times New Roman" w:eastAsia="Times New Roman" w:hAnsi="Times New Roman"/>
          <w:i/>
          <w:iCs/>
          <w:sz w:val="24"/>
          <w:szCs w:val="24"/>
        </w:rPr>
        <w:t>Business Horizons, 61</w:t>
      </w:r>
      <w:r w:rsidRPr="0078639E">
        <w:rPr>
          <w:rFonts w:ascii="Times New Roman" w:eastAsia="Times New Roman" w:hAnsi="Times New Roman"/>
          <w:sz w:val="24"/>
          <w:szCs w:val="24"/>
        </w:rPr>
        <w:t xml:space="preserve">(4), 577–586. </w:t>
      </w:r>
      <w:hyperlink r:id="rId23" w:history="1">
        <w:r w:rsidRPr="0078639E">
          <w:rPr>
            <w:rFonts w:ascii="Times New Roman" w:eastAsia="Times New Roman" w:hAnsi="Times New Roman"/>
            <w:color w:val="0000FF"/>
            <w:sz w:val="24"/>
            <w:szCs w:val="24"/>
            <w:u w:val="single"/>
          </w:rPr>
          <w:t>https://doi.org/10.1016/j.bushor.2018.03.007</w:t>
        </w:r>
      </w:hyperlink>
    </w:p>
    <w:p w14:paraId="4E842842"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proofErr w:type="spellStart"/>
      <w:r w:rsidRPr="0078639E">
        <w:rPr>
          <w:rFonts w:ascii="Times New Roman" w:eastAsia="Times New Roman" w:hAnsi="Times New Roman"/>
          <w:sz w:val="24"/>
          <w:szCs w:val="24"/>
        </w:rPr>
        <w:t>Kawadkar</w:t>
      </w:r>
      <w:proofErr w:type="spellEnd"/>
      <w:r w:rsidRPr="0078639E">
        <w:rPr>
          <w:rFonts w:ascii="Times New Roman" w:eastAsia="Times New Roman" w:hAnsi="Times New Roman"/>
          <w:sz w:val="24"/>
          <w:szCs w:val="24"/>
        </w:rPr>
        <w:t xml:space="preserve">, H. (2026). AI adoption in accounting and finance: Impact on organizational performance. </w:t>
      </w:r>
      <w:r w:rsidRPr="0078639E">
        <w:rPr>
          <w:rFonts w:ascii="Times New Roman" w:eastAsia="Times New Roman" w:hAnsi="Times New Roman"/>
          <w:i/>
          <w:iCs/>
          <w:sz w:val="24"/>
          <w:szCs w:val="24"/>
        </w:rPr>
        <w:t>Asian Journal of Economics, Business and Accounting, 26</w:t>
      </w:r>
      <w:r w:rsidRPr="0078639E">
        <w:rPr>
          <w:rFonts w:ascii="Times New Roman" w:eastAsia="Times New Roman" w:hAnsi="Times New Roman"/>
          <w:sz w:val="24"/>
          <w:szCs w:val="24"/>
        </w:rPr>
        <w:t xml:space="preserve">(1), 421–428. </w:t>
      </w:r>
      <w:hyperlink r:id="rId24" w:history="1">
        <w:r w:rsidRPr="0078639E">
          <w:rPr>
            <w:rFonts w:ascii="Times New Roman" w:eastAsia="Times New Roman" w:hAnsi="Times New Roman"/>
            <w:color w:val="0000FF"/>
            <w:sz w:val="24"/>
            <w:szCs w:val="24"/>
            <w:u w:val="single"/>
          </w:rPr>
          <w:t>https://doi.org/10.9734/ajeba/2026/v26i12151</w:t>
        </w:r>
      </w:hyperlink>
    </w:p>
    <w:p w14:paraId="3F095DF1"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r w:rsidRPr="0078639E">
        <w:rPr>
          <w:rFonts w:ascii="Times New Roman" w:eastAsia="Times New Roman" w:hAnsi="Times New Roman"/>
          <w:sz w:val="24"/>
          <w:szCs w:val="24"/>
        </w:rPr>
        <w:lastRenderedPageBreak/>
        <w:t xml:space="preserve">Kellogg, K. C., Valentine, M. A., &amp; Christin, A. (2020). Algorithms at work: The new contested terrain of control. </w:t>
      </w:r>
      <w:r w:rsidRPr="0078639E">
        <w:rPr>
          <w:rFonts w:ascii="Times New Roman" w:eastAsia="Times New Roman" w:hAnsi="Times New Roman"/>
          <w:i/>
          <w:iCs/>
          <w:sz w:val="24"/>
          <w:szCs w:val="24"/>
        </w:rPr>
        <w:t>Academy of Management Annals, 14</w:t>
      </w:r>
      <w:r w:rsidRPr="0078639E">
        <w:rPr>
          <w:rFonts w:ascii="Times New Roman" w:eastAsia="Times New Roman" w:hAnsi="Times New Roman"/>
          <w:sz w:val="24"/>
          <w:szCs w:val="24"/>
        </w:rPr>
        <w:t xml:space="preserve">(1), 366–410. </w:t>
      </w:r>
      <w:hyperlink r:id="rId25" w:history="1">
        <w:r w:rsidRPr="0078639E">
          <w:rPr>
            <w:rFonts w:ascii="Times New Roman" w:eastAsia="Times New Roman" w:hAnsi="Times New Roman"/>
            <w:color w:val="0000FF"/>
            <w:sz w:val="24"/>
            <w:szCs w:val="24"/>
            <w:u w:val="single"/>
          </w:rPr>
          <w:t>https://doi.org/10.5465/annals.2018.0174</w:t>
        </w:r>
      </w:hyperlink>
    </w:p>
    <w:p w14:paraId="6565CAF4"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proofErr w:type="spellStart"/>
      <w:r w:rsidRPr="0078639E">
        <w:rPr>
          <w:rFonts w:ascii="Times New Roman" w:eastAsia="Times New Roman" w:hAnsi="Times New Roman"/>
          <w:sz w:val="24"/>
          <w:szCs w:val="24"/>
        </w:rPr>
        <w:t>Lengnick</w:t>
      </w:r>
      <w:proofErr w:type="spellEnd"/>
      <w:r w:rsidRPr="0078639E">
        <w:rPr>
          <w:rFonts w:ascii="Times New Roman" w:eastAsia="Times New Roman" w:hAnsi="Times New Roman"/>
          <w:sz w:val="24"/>
          <w:szCs w:val="24"/>
        </w:rPr>
        <w:t xml:space="preserve">-Hall, C. A., Beck, T. E., &amp; </w:t>
      </w:r>
      <w:proofErr w:type="spellStart"/>
      <w:r w:rsidRPr="0078639E">
        <w:rPr>
          <w:rFonts w:ascii="Times New Roman" w:eastAsia="Times New Roman" w:hAnsi="Times New Roman"/>
          <w:sz w:val="24"/>
          <w:szCs w:val="24"/>
        </w:rPr>
        <w:t>Lengnick</w:t>
      </w:r>
      <w:proofErr w:type="spellEnd"/>
      <w:r w:rsidRPr="0078639E">
        <w:rPr>
          <w:rFonts w:ascii="Times New Roman" w:eastAsia="Times New Roman" w:hAnsi="Times New Roman"/>
          <w:sz w:val="24"/>
          <w:szCs w:val="24"/>
        </w:rPr>
        <w:t xml:space="preserve">-Hall, M. L. (2011). Developing a capacity for organizational resilience through strategic human resource management. </w:t>
      </w:r>
      <w:r w:rsidRPr="0078639E">
        <w:rPr>
          <w:rFonts w:ascii="Times New Roman" w:eastAsia="Times New Roman" w:hAnsi="Times New Roman"/>
          <w:i/>
          <w:iCs/>
          <w:sz w:val="24"/>
          <w:szCs w:val="24"/>
        </w:rPr>
        <w:t>Human Resource Management Review, 21</w:t>
      </w:r>
      <w:r w:rsidRPr="0078639E">
        <w:rPr>
          <w:rFonts w:ascii="Times New Roman" w:eastAsia="Times New Roman" w:hAnsi="Times New Roman"/>
          <w:sz w:val="24"/>
          <w:szCs w:val="24"/>
        </w:rPr>
        <w:t xml:space="preserve">(3), 243–255. </w:t>
      </w:r>
      <w:hyperlink r:id="rId26" w:history="1">
        <w:r w:rsidRPr="0078639E">
          <w:rPr>
            <w:rFonts w:ascii="Times New Roman" w:eastAsia="Times New Roman" w:hAnsi="Times New Roman"/>
            <w:color w:val="0000FF"/>
            <w:sz w:val="24"/>
            <w:szCs w:val="24"/>
            <w:u w:val="single"/>
          </w:rPr>
          <w:t>https://doi.org/10.1016/j.hrmr.2010.07.001</w:t>
        </w:r>
      </w:hyperlink>
    </w:p>
    <w:p w14:paraId="0D27DBC5"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r w:rsidRPr="0078639E">
        <w:rPr>
          <w:rFonts w:ascii="Times New Roman" w:eastAsia="Times New Roman" w:hAnsi="Times New Roman"/>
          <w:sz w:val="24"/>
          <w:szCs w:val="24"/>
        </w:rPr>
        <w:t xml:space="preserve">March, J. G. (1991). Exploration and exploitation in organizational learning. </w:t>
      </w:r>
      <w:r w:rsidRPr="0078639E">
        <w:rPr>
          <w:rFonts w:ascii="Times New Roman" w:eastAsia="Times New Roman" w:hAnsi="Times New Roman"/>
          <w:i/>
          <w:iCs/>
          <w:sz w:val="24"/>
          <w:szCs w:val="24"/>
        </w:rPr>
        <w:t>Organization Science, 2</w:t>
      </w:r>
      <w:r w:rsidRPr="0078639E">
        <w:rPr>
          <w:rFonts w:ascii="Times New Roman" w:eastAsia="Times New Roman" w:hAnsi="Times New Roman"/>
          <w:sz w:val="24"/>
          <w:szCs w:val="24"/>
        </w:rPr>
        <w:t xml:space="preserve">(1), 71–87. </w:t>
      </w:r>
      <w:hyperlink r:id="rId27" w:history="1">
        <w:r w:rsidRPr="0078639E">
          <w:rPr>
            <w:rFonts w:ascii="Times New Roman" w:eastAsia="Times New Roman" w:hAnsi="Times New Roman"/>
            <w:color w:val="0000FF"/>
            <w:sz w:val="24"/>
            <w:szCs w:val="24"/>
            <w:u w:val="single"/>
          </w:rPr>
          <w:t>https://doi.org/10.1287/orsc.2.1.71</w:t>
        </w:r>
      </w:hyperlink>
    </w:p>
    <w:p w14:paraId="4D26C1F9"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proofErr w:type="spellStart"/>
      <w:r w:rsidRPr="0078639E">
        <w:rPr>
          <w:rFonts w:ascii="Times New Roman" w:eastAsia="Times New Roman" w:hAnsi="Times New Roman"/>
          <w:sz w:val="24"/>
          <w:szCs w:val="24"/>
        </w:rPr>
        <w:t>Mikalef</w:t>
      </w:r>
      <w:proofErr w:type="spellEnd"/>
      <w:r w:rsidRPr="0078639E">
        <w:rPr>
          <w:rFonts w:ascii="Times New Roman" w:eastAsia="Times New Roman" w:hAnsi="Times New Roman"/>
          <w:sz w:val="24"/>
          <w:szCs w:val="24"/>
        </w:rPr>
        <w:t xml:space="preserve">, P., &amp; Gupta, M. (2021). Artificial intelligence capability: Conceptualization, measurement calibration, and empirical study on its impact on organizational creativity and firm performance. </w:t>
      </w:r>
      <w:r w:rsidRPr="0078639E">
        <w:rPr>
          <w:rFonts w:ascii="Times New Roman" w:eastAsia="Times New Roman" w:hAnsi="Times New Roman"/>
          <w:i/>
          <w:iCs/>
          <w:sz w:val="24"/>
          <w:szCs w:val="24"/>
        </w:rPr>
        <w:t>Information &amp; Management, 58</w:t>
      </w:r>
      <w:r w:rsidRPr="0078639E">
        <w:rPr>
          <w:rFonts w:ascii="Times New Roman" w:eastAsia="Times New Roman" w:hAnsi="Times New Roman"/>
          <w:sz w:val="24"/>
          <w:szCs w:val="24"/>
        </w:rPr>
        <w:t xml:space="preserve">(3), Article 103434. </w:t>
      </w:r>
      <w:hyperlink r:id="rId28" w:history="1">
        <w:r w:rsidRPr="0078639E">
          <w:rPr>
            <w:rFonts w:ascii="Times New Roman" w:eastAsia="Times New Roman" w:hAnsi="Times New Roman"/>
            <w:color w:val="0000FF"/>
            <w:sz w:val="24"/>
            <w:szCs w:val="24"/>
            <w:u w:val="single"/>
          </w:rPr>
          <w:t>https://doi.org/10.1016/j.im.2021.103434</w:t>
        </w:r>
      </w:hyperlink>
    </w:p>
    <w:p w14:paraId="62EC4A24"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r w:rsidRPr="0078639E">
        <w:rPr>
          <w:rFonts w:ascii="Times New Roman" w:eastAsia="Times New Roman" w:hAnsi="Times New Roman"/>
          <w:sz w:val="24"/>
          <w:szCs w:val="24"/>
        </w:rPr>
        <w:t xml:space="preserve">Tabassi, E. (2023). </w:t>
      </w:r>
      <w:r w:rsidRPr="0078639E">
        <w:rPr>
          <w:rFonts w:ascii="Times New Roman" w:eastAsia="Times New Roman" w:hAnsi="Times New Roman"/>
          <w:i/>
          <w:iCs/>
          <w:sz w:val="24"/>
          <w:szCs w:val="24"/>
        </w:rPr>
        <w:t>Artificial intelligence risk management framework (AI RMF 1.0)</w:t>
      </w:r>
      <w:r w:rsidRPr="0078639E">
        <w:rPr>
          <w:rFonts w:ascii="Times New Roman" w:eastAsia="Times New Roman" w:hAnsi="Times New Roman"/>
          <w:sz w:val="24"/>
          <w:szCs w:val="24"/>
        </w:rPr>
        <w:t xml:space="preserve"> (NIST AI 100-1). National Institute of Standards and Technology. </w:t>
      </w:r>
      <w:hyperlink r:id="rId29" w:history="1">
        <w:r w:rsidRPr="0078639E">
          <w:rPr>
            <w:rFonts w:ascii="Times New Roman" w:eastAsia="Times New Roman" w:hAnsi="Times New Roman"/>
            <w:color w:val="0000FF"/>
            <w:sz w:val="24"/>
            <w:szCs w:val="24"/>
            <w:u w:val="single"/>
          </w:rPr>
          <w:t>https://doi.org/10.6028/NIST.AI.100-1</w:t>
        </w:r>
      </w:hyperlink>
    </w:p>
    <w:p w14:paraId="7E235B63"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r w:rsidRPr="0078639E">
        <w:rPr>
          <w:rFonts w:ascii="Times New Roman" w:eastAsia="Times New Roman" w:hAnsi="Times New Roman"/>
          <w:sz w:val="24"/>
          <w:szCs w:val="24"/>
        </w:rPr>
        <w:t xml:space="preserve">Autio, C., Schwartz, R., </w:t>
      </w:r>
      <w:proofErr w:type="spellStart"/>
      <w:r w:rsidRPr="0078639E">
        <w:rPr>
          <w:rFonts w:ascii="Times New Roman" w:eastAsia="Times New Roman" w:hAnsi="Times New Roman"/>
          <w:sz w:val="24"/>
          <w:szCs w:val="24"/>
        </w:rPr>
        <w:t>Dunietz</w:t>
      </w:r>
      <w:proofErr w:type="spellEnd"/>
      <w:r w:rsidRPr="0078639E">
        <w:rPr>
          <w:rFonts w:ascii="Times New Roman" w:eastAsia="Times New Roman" w:hAnsi="Times New Roman"/>
          <w:sz w:val="24"/>
          <w:szCs w:val="24"/>
        </w:rPr>
        <w:t xml:space="preserve">, J., Jain, S., Stanley, M., Tabassi, E., Hall, P., &amp; Roberts, K. (2024). </w:t>
      </w:r>
      <w:r w:rsidRPr="0078639E">
        <w:rPr>
          <w:rFonts w:ascii="Times New Roman" w:eastAsia="Times New Roman" w:hAnsi="Times New Roman"/>
          <w:i/>
          <w:iCs/>
          <w:sz w:val="24"/>
          <w:szCs w:val="24"/>
        </w:rPr>
        <w:t>Artificial intelligence risk management framework: Generative artificial intelligence profile</w:t>
      </w:r>
      <w:r w:rsidRPr="0078639E">
        <w:rPr>
          <w:rFonts w:ascii="Times New Roman" w:eastAsia="Times New Roman" w:hAnsi="Times New Roman"/>
          <w:sz w:val="24"/>
          <w:szCs w:val="24"/>
        </w:rPr>
        <w:t xml:space="preserve"> (NIST AI 600-1). National Institute of Standards and Technology. </w:t>
      </w:r>
      <w:hyperlink r:id="rId30" w:history="1">
        <w:r w:rsidRPr="0078639E">
          <w:rPr>
            <w:rFonts w:ascii="Times New Roman" w:eastAsia="Times New Roman" w:hAnsi="Times New Roman"/>
            <w:color w:val="0000FF"/>
            <w:sz w:val="24"/>
            <w:szCs w:val="24"/>
            <w:u w:val="single"/>
          </w:rPr>
          <w:t>https://doi.org/10.6028/NIST.AI.600-1</w:t>
        </w:r>
      </w:hyperlink>
    </w:p>
    <w:p w14:paraId="1F4A0FEB"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r w:rsidRPr="0078639E">
        <w:rPr>
          <w:rFonts w:ascii="Times New Roman" w:eastAsia="Times New Roman" w:hAnsi="Times New Roman"/>
          <w:sz w:val="24"/>
          <w:szCs w:val="24"/>
        </w:rPr>
        <w:t xml:space="preserve">Noy, S., &amp; Zhang, W. (2023). Experimental evidence on the productivity effects of generative artificial intelligence. </w:t>
      </w:r>
      <w:r w:rsidRPr="0078639E">
        <w:rPr>
          <w:rFonts w:ascii="Times New Roman" w:eastAsia="Times New Roman" w:hAnsi="Times New Roman"/>
          <w:i/>
          <w:iCs/>
          <w:sz w:val="24"/>
          <w:szCs w:val="24"/>
        </w:rPr>
        <w:t>Science, 381</w:t>
      </w:r>
      <w:r w:rsidRPr="0078639E">
        <w:rPr>
          <w:rFonts w:ascii="Times New Roman" w:eastAsia="Times New Roman" w:hAnsi="Times New Roman"/>
          <w:sz w:val="24"/>
          <w:szCs w:val="24"/>
        </w:rPr>
        <w:t xml:space="preserve">(6654), 187–192. </w:t>
      </w:r>
      <w:hyperlink r:id="rId31" w:history="1">
        <w:r w:rsidRPr="0078639E">
          <w:rPr>
            <w:rFonts w:ascii="Times New Roman" w:eastAsia="Times New Roman" w:hAnsi="Times New Roman"/>
            <w:color w:val="0000FF"/>
            <w:sz w:val="24"/>
            <w:szCs w:val="24"/>
            <w:u w:val="single"/>
          </w:rPr>
          <w:t>https://doi.org/10.1126/science.adh2586</w:t>
        </w:r>
      </w:hyperlink>
    </w:p>
    <w:p w14:paraId="7751748C"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r w:rsidRPr="0078639E">
        <w:rPr>
          <w:rFonts w:ascii="Times New Roman" w:eastAsia="Times New Roman" w:hAnsi="Times New Roman"/>
          <w:sz w:val="24"/>
          <w:szCs w:val="24"/>
        </w:rPr>
        <w:t xml:space="preserve">OECD. (2025a). </w:t>
      </w:r>
      <w:r w:rsidRPr="0078639E">
        <w:rPr>
          <w:rFonts w:ascii="Times New Roman" w:eastAsia="Times New Roman" w:hAnsi="Times New Roman"/>
          <w:i/>
          <w:iCs/>
          <w:sz w:val="24"/>
          <w:szCs w:val="24"/>
        </w:rPr>
        <w:t>The adoption of artificial intelligence in firms: New evidence for policymaking</w:t>
      </w:r>
      <w:r w:rsidRPr="0078639E">
        <w:rPr>
          <w:rFonts w:ascii="Times New Roman" w:eastAsia="Times New Roman" w:hAnsi="Times New Roman"/>
          <w:sz w:val="24"/>
          <w:szCs w:val="24"/>
        </w:rPr>
        <w:t xml:space="preserve">. OECD Publishing. </w:t>
      </w:r>
      <w:hyperlink r:id="rId32" w:history="1">
        <w:r w:rsidRPr="0078639E">
          <w:rPr>
            <w:rFonts w:ascii="Times New Roman" w:eastAsia="Times New Roman" w:hAnsi="Times New Roman"/>
            <w:color w:val="0000FF"/>
            <w:sz w:val="24"/>
            <w:szCs w:val="24"/>
            <w:u w:val="single"/>
          </w:rPr>
          <w:t>https://doi.org/10.1787/f9ef33c3-en</w:t>
        </w:r>
      </w:hyperlink>
    </w:p>
    <w:p w14:paraId="0AF11852"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r w:rsidRPr="0078639E">
        <w:rPr>
          <w:rFonts w:ascii="Times New Roman" w:eastAsia="Times New Roman" w:hAnsi="Times New Roman"/>
          <w:sz w:val="24"/>
          <w:szCs w:val="24"/>
        </w:rPr>
        <w:t xml:space="preserve">OECD. (2025b). </w:t>
      </w:r>
      <w:r w:rsidRPr="0078639E">
        <w:rPr>
          <w:rFonts w:ascii="Times New Roman" w:eastAsia="Times New Roman" w:hAnsi="Times New Roman"/>
          <w:i/>
          <w:iCs/>
          <w:sz w:val="24"/>
          <w:szCs w:val="24"/>
        </w:rPr>
        <w:t>Generative AI and the SME workforce: New survey evidence</w:t>
      </w:r>
      <w:r w:rsidRPr="0078639E">
        <w:rPr>
          <w:rFonts w:ascii="Times New Roman" w:eastAsia="Times New Roman" w:hAnsi="Times New Roman"/>
          <w:sz w:val="24"/>
          <w:szCs w:val="24"/>
        </w:rPr>
        <w:t xml:space="preserve">. OECD Publishing. </w:t>
      </w:r>
      <w:hyperlink r:id="rId33" w:history="1">
        <w:r w:rsidRPr="0078639E">
          <w:rPr>
            <w:rFonts w:ascii="Times New Roman" w:eastAsia="Times New Roman" w:hAnsi="Times New Roman"/>
            <w:color w:val="0000FF"/>
            <w:sz w:val="24"/>
            <w:szCs w:val="24"/>
            <w:u w:val="single"/>
          </w:rPr>
          <w:t>https://doi.org/10.1787/2d08b99d-en</w:t>
        </w:r>
      </w:hyperlink>
    </w:p>
    <w:p w14:paraId="5E3EC632"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r w:rsidRPr="0078639E">
        <w:rPr>
          <w:rFonts w:ascii="Times New Roman" w:eastAsia="Times New Roman" w:hAnsi="Times New Roman"/>
          <w:sz w:val="24"/>
          <w:szCs w:val="24"/>
        </w:rPr>
        <w:t xml:space="preserve">Oliva, R., &amp; Sterman, J. D. (2001). Cutting corners and working overtime: Quality erosion in the service industry. </w:t>
      </w:r>
      <w:r w:rsidRPr="0078639E">
        <w:rPr>
          <w:rFonts w:ascii="Times New Roman" w:eastAsia="Times New Roman" w:hAnsi="Times New Roman"/>
          <w:i/>
          <w:iCs/>
          <w:sz w:val="24"/>
          <w:szCs w:val="24"/>
        </w:rPr>
        <w:t>Management Science, 47</w:t>
      </w:r>
      <w:r w:rsidRPr="0078639E">
        <w:rPr>
          <w:rFonts w:ascii="Times New Roman" w:eastAsia="Times New Roman" w:hAnsi="Times New Roman"/>
          <w:sz w:val="24"/>
          <w:szCs w:val="24"/>
        </w:rPr>
        <w:t xml:space="preserve">(7), 894–914. </w:t>
      </w:r>
      <w:hyperlink r:id="rId34" w:history="1">
        <w:r w:rsidRPr="0078639E">
          <w:rPr>
            <w:rFonts w:ascii="Times New Roman" w:eastAsia="Times New Roman" w:hAnsi="Times New Roman"/>
            <w:color w:val="0000FF"/>
            <w:sz w:val="24"/>
            <w:szCs w:val="24"/>
            <w:u w:val="single"/>
          </w:rPr>
          <w:t>https://doi.org/10.1287/mnsc.47.7.894.9807</w:t>
        </w:r>
      </w:hyperlink>
    </w:p>
    <w:p w14:paraId="29466626"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r w:rsidRPr="0078639E">
        <w:rPr>
          <w:rFonts w:ascii="Times New Roman" w:eastAsia="Times New Roman" w:hAnsi="Times New Roman"/>
          <w:sz w:val="24"/>
          <w:szCs w:val="24"/>
        </w:rPr>
        <w:t>Ortiz-de-</w:t>
      </w:r>
      <w:proofErr w:type="spellStart"/>
      <w:r w:rsidRPr="0078639E">
        <w:rPr>
          <w:rFonts w:ascii="Times New Roman" w:eastAsia="Times New Roman" w:hAnsi="Times New Roman"/>
          <w:sz w:val="24"/>
          <w:szCs w:val="24"/>
        </w:rPr>
        <w:t>Mandojana</w:t>
      </w:r>
      <w:proofErr w:type="spellEnd"/>
      <w:r w:rsidRPr="0078639E">
        <w:rPr>
          <w:rFonts w:ascii="Times New Roman" w:eastAsia="Times New Roman" w:hAnsi="Times New Roman"/>
          <w:sz w:val="24"/>
          <w:szCs w:val="24"/>
        </w:rPr>
        <w:t xml:space="preserve">, N., &amp; Bansal, P. (2016). The long-term benefits of organizational resilience through sustainable business practices. </w:t>
      </w:r>
      <w:r w:rsidRPr="0078639E">
        <w:rPr>
          <w:rFonts w:ascii="Times New Roman" w:eastAsia="Times New Roman" w:hAnsi="Times New Roman"/>
          <w:i/>
          <w:iCs/>
          <w:sz w:val="24"/>
          <w:szCs w:val="24"/>
        </w:rPr>
        <w:t>Strategic Management Journal, 37</w:t>
      </w:r>
      <w:r w:rsidRPr="0078639E">
        <w:rPr>
          <w:rFonts w:ascii="Times New Roman" w:eastAsia="Times New Roman" w:hAnsi="Times New Roman"/>
          <w:sz w:val="24"/>
          <w:szCs w:val="24"/>
        </w:rPr>
        <w:t xml:space="preserve">(8), 1615–1631. </w:t>
      </w:r>
      <w:hyperlink r:id="rId35" w:history="1">
        <w:r w:rsidRPr="0078639E">
          <w:rPr>
            <w:rFonts w:ascii="Times New Roman" w:eastAsia="Times New Roman" w:hAnsi="Times New Roman"/>
            <w:color w:val="0000FF"/>
            <w:sz w:val="24"/>
            <w:szCs w:val="24"/>
            <w:u w:val="single"/>
          </w:rPr>
          <w:t>https://doi.org/10.1002/smj.2410</w:t>
        </w:r>
      </w:hyperlink>
    </w:p>
    <w:p w14:paraId="0CC98E8F"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r w:rsidRPr="0078639E">
        <w:rPr>
          <w:rFonts w:ascii="Times New Roman" w:eastAsia="Times New Roman" w:hAnsi="Times New Roman"/>
          <w:sz w:val="24"/>
          <w:szCs w:val="24"/>
        </w:rPr>
        <w:t xml:space="preserve">Parasuraman, R., &amp; Riley, V. (1997). Humans and automation: Use, misuse, disuse, abuse. </w:t>
      </w:r>
      <w:r w:rsidRPr="0078639E">
        <w:rPr>
          <w:rFonts w:ascii="Times New Roman" w:eastAsia="Times New Roman" w:hAnsi="Times New Roman"/>
          <w:i/>
          <w:iCs/>
          <w:sz w:val="24"/>
          <w:szCs w:val="24"/>
        </w:rPr>
        <w:t>Human Factors, 39</w:t>
      </w:r>
      <w:r w:rsidRPr="0078639E">
        <w:rPr>
          <w:rFonts w:ascii="Times New Roman" w:eastAsia="Times New Roman" w:hAnsi="Times New Roman"/>
          <w:sz w:val="24"/>
          <w:szCs w:val="24"/>
        </w:rPr>
        <w:t xml:space="preserve">(2), 230–253. </w:t>
      </w:r>
      <w:hyperlink r:id="rId36" w:history="1">
        <w:r w:rsidRPr="0078639E">
          <w:rPr>
            <w:rFonts w:ascii="Times New Roman" w:eastAsia="Times New Roman" w:hAnsi="Times New Roman"/>
            <w:color w:val="0000FF"/>
            <w:sz w:val="24"/>
            <w:szCs w:val="24"/>
            <w:u w:val="single"/>
          </w:rPr>
          <w:t>https://doi.org/10.1518/001872097778543886</w:t>
        </w:r>
      </w:hyperlink>
    </w:p>
    <w:p w14:paraId="2B6EB3C1"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r w:rsidRPr="0078639E">
        <w:rPr>
          <w:rFonts w:ascii="Times New Roman" w:eastAsia="Times New Roman" w:hAnsi="Times New Roman"/>
          <w:sz w:val="24"/>
          <w:szCs w:val="24"/>
        </w:rPr>
        <w:lastRenderedPageBreak/>
        <w:t xml:space="preserve">Raisch, S., &amp; Krakowski, S. (2021). Artificial intelligence and management: The automation–augmentation paradox. </w:t>
      </w:r>
      <w:r w:rsidRPr="0078639E">
        <w:rPr>
          <w:rFonts w:ascii="Times New Roman" w:eastAsia="Times New Roman" w:hAnsi="Times New Roman"/>
          <w:i/>
          <w:iCs/>
          <w:sz w:val="24"/>
          <w:szCs w:val="24"/>
        </w:rPr>
        <w:t>Academy of Management Review, 46</w:t>
      </w:r>
      <w:r w:rsidRPr="0078639E">
        <w:rPr>
          <w:rFonts w:ascii="Times New Roman" w:eastAsia="Times New Roman" w:hAnsi="Times New Roman"/>
          <w:sz w:val="24"/>
          <w:szCs w:val="24"/>
        </w:rPr>
        <w:t xml:space="preserve">(1), 192–210. </w:t>
      </w:r>
      <w:hyperlink r:id="rId37" w:history="1">
        <w:r w:rsidRPr="0078639E">
          <w:rPr>
            <w:rFonts w:ascii="Times New Roman" w:eastAsia="Times New Roman" w:hAnsi="Times New Roman"/>
            <w:color w:val="0000FF"/>
            <w:sz w:val="24"/>
            <w:szCs w:val="24"/>
            <w:u w:val="single"/>
          </w:rPr>
          <w:t>https://doi.org/10.5465/amr.2018.0072</w:t>
        </w:r>
      </w:hyperlink>
    </w:p>
    <w:p w14:paraId="50F2C89B"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r w:rsidRPr="0078639E">
        <w:rPr>
          <w:rFonts w:ascii="Times New Roman" w:eastAsia="Times New Roman" w:hAnsi="Times New Roman"/>
          <w:sz w:val="24"/>
          <w:szCs w:val="24"/>
        </w:rPr>
        <w:t xml:space="preserve">Repenning, N. P., &amp; Sterman, J. D. (2002). Capability traps and self-confirming attribution errors in the dynamics of process improvement. </w:t>
      </w:r>
      <w:r w:rsidRPr="0078639E">
        <w:rPr>
          <w:rFonts w:ascii="Times New Roman" w:eastAsia="Times New Roman" w:hAnsi="Times New Roman"/>
          <w:i/>
          <w:iCs/>
          <w:sz w:val="24"/>
          <w:szCs w:val="24"/>
        </w:rPr>
        <w:t>Administrative Science Quarterly, 47</w:t>
      </w:r>
      <w:r w:rsidRPr="0078639E">
        <w:rPr>
          <w:rFonts w:ascii="Times New Roman" w:eastAsia="Times New Roman" w:hAnsi="Times New Roman"/>
          <w:sz w:val="24"/>
          <w:szCs w:val="24"/>
        </w:rPr>
        <w:t xml:space="preserve">(2), 265–295. </w:t>
      </w:r>
      <w:hyperlink r:id="rId38" w:history="1">
        <w:r w:rsidRPr="0078639E">
          <w:rPr>
            <w:rFonts w:ascii="Times New Roman" w:eastAsia="Times New Roman" w:hAnsi="Times New Roman"/>
            <w:color w:val="0000FF"/>
            <w:sz w:val="24"/>
            <w:szCs w:val="24"/>
            <w:u w:val="single"/>
          </w:rPr>
          <w:t>https://doi.org/10.2307/3094806</w:t>
        </w:r>
      </w:hyperlink>
    </w:p>
    <w:p w14:paraId="0D06C5D1"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r w:rsidRPr="0078639E">
        <w:rPr>
          <w:rFonts w:ascii="Times New Roman" w:eastAsia="Times New Roman" w:hAnsi="Times New Roman"/>
          <w:sz w:val="24"/>
          <w:szCs w:val="24"/>
        </w:rPr>
        <w:t xml:space="preserve">Sambasivan, N., </w:t>
      </w:r>
      <w:proofErr w:type="spellStart"/>
      <w:r w:rsidRPr="0078639E">
        <w:rPr>
          <w:rFonts w:ascii="Times New Roman" w:eastAsia="Times New Roman" w:hAnsi="Times New Roman"/>
          <w:sz w:val="24"/>
          <w:szCs w:val="24"/>
        </w:rPr>
        <w:t>Kapania</w:t>
      </w:r>
      <w:proofErr w:type="spellEnd"/>
      <w:r w:rsidRPr="0078639E">
        <w:rPr>
          <w:rFonts w:ascii="Times New Roman" w:eastAsia="Times New Roman" w:hAnsi="Times New Roman"/>
          <w:sz w:val="24"/>
          <w:szCs w:val="24"/>
        </w:rPr>
        <w:t xml:space="preserve">, S., Highfill, H., </w:t>
      </w:r>
      <w:proofErr w:type="spellStart"/>
      <w:r w:rsidRPr="0078639E">
        <w:rPr>
          <w:rFonts w:ascii="Times New Roman" w:eastAsia="Times New Roman" w:hAnsi="Times New Roman"/>
          <w:sz w:val="24"/>
          <w:szCs w:val="24"/>
        </w:rPr>
        <w:t>Akrong</w:t>
      </w:r>
      <w:proofErr w:type="spellEnd"/>
      <w:r w:rsidRPr="0078639E">
        <w:rPr>
          <w:rFonts w:ascii="Times New Roman" w:eastAsia="Times New Roman" w:hAnsi="Times New Roman"/>
          <w:sz w:val="24"/>
          <w:szCs w:val="24"/>
        </w:rPr>
        <w:t xml:space="preserve">, D., Paritosh, P., &amp; Aroyo, L. M. (2021). “Everyone wants to do the model work, not the data work”: Data cascades in high-stakes AI. In </w:t>
      </w:r>
      <w:r w:rsidRPr="0078639E">
        <w:rPr>
          <w:rFonts w:ascii="Times New Roman" w:eastAsia="Times New Roman" w:hAnsi="Times New Roman"/>
          <w:i/>
          <w:iCs/>
          <w:sz w:val="24"/>
          <w:szCs w:val="24"/>
        </w:rPr>
        <w:t>Proceedings of the 2021 CHI Conference on Human Factors in Computing Systems</w:t>
      </w:r>
      <w:r w:rsidRPr="0078639E">
        <w:rPr>
          <w:rFonts w:ascii="Times New Roman" w:eastAsia="Times New Roman" w:hAnsi="Times New Roman"/>
          <w:sz w:val="24"/>
          <w:szCs w:val="24"/>
        </w:rPr>
        <w:t xml:space="preserve"> (Article 39). Association for Computing Machinery. </w:t>
      </w:r>
      <w:hyperlink r:id="rId39" w:history="1">
        <w:r w:rsidRPr="0078639E">
          <w:rPr>
            <w:rFonts w:ascii="Times New Roman" w:eastAsia="Times New Roman" w:hAnsi="Times New Roman"/>
            <w:color w:val="0000FF"/>
            <w:sz w:val="24"/>
            <w:szCs w:val="24"/>
            <w:u w:val="single"/>
          </w:rPr>
          <w:t>https://doi.org/10.1145/3411764.3445518</w:t>
        </w:r>
      </w:hyperlink>
    </w:p>
    <w:p w14:paraId="57DF9ECB"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r w:rsidRPr="0078639E">
        <w:rPr>
          <w:rFonts w:ascii="Times New Roman" w:eastAsia="Times New Roman" w:hAnsi="Times New Roman"/>
          <w:sz w:val="24"/>
          <w:szCs w:val="24"/>
        </w:rPr>
        <w:t xml:space="preserve">Sculley, D., Holt, G., Golovin, D., Davydov, E., Phillips, T., Ebner, D., Chaudhary, V., Young, M., Crespo, J.-F., &amp; Dennison, D. (2015). Hidden technical debt in machine learning systems. In C. Cortes, N. Lawrence, D. Lee, M. Sugiyama, and R. Garnett (Eds.), </w:t>
      </w:r>
      <w:r w:rsidRPr="0078639E">
        <w:rPr>
          <w:rFonts w:ascii="Times New Roman" w:eastAsia="Times New Roman" w:hAnsi="Times New Roman"/>
          <w:i/>
          <w:iCs/>
          <w:sz w:val="24"/>
          <w:szCs w:val="24"/>
        </w:rPr>
        <w:t>Advances in Neural Information Processing Systems 28</w:t>
      </w:r>
      <w:r w:rsidRPr="0078639E">
        <w:rPr>
          <w:rFonts w:ascii="Times New Roman" w:eastAsia="Times New Roman" w:hAnsi="Times New Roman"/>
          <w:sz w:val="24"/>
          <w:szCs w:val="24"/>
        </w:rPr>
        <w:t xml:space="preserve"> (pp. 2503–2511). Curran Associates. </w:t>
      </w:r>
      <w:hyperlink r:id="rId40" w:history="1">
        <w:r w:rsidRPr="0078639E">
          <w:rPr>
            <w:rFonts w:ascii="Times New Roman" w:eastAsia="Times New Roman" w:hAnsi="Times New Roman"/>
            <w:color w:val="0000FF"/>
            <w:sz w:val="24"/>
            <w:szCs w:val="24"/>
            <w:u w:val="single"/>
          </w:rPr>
          <w:t>https://proceedings.neurips.cc/paper/2015/hash/86df7dcfd896fcaf2674f757a2463eba-Abstract.html</w:t>
        </w:r>
      </w:hyperlink>
    </w:p>
    <w:p w14:paraId="38DBB09B"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r w:rsidRPr="0078639E">
        <w:rPr>
          <w:rFonts w:ascii="Times New Roman" w:eastAsia="Times New Roman" w:hAnsi="Times New Roman"/>
          <w:sz w:val="24"/>
          <w:szCs w:val="24"/>
          <w:lang w:val="nl-BE"/>
        </w:rPr>
        <w:t xml:space="preserve">Shrestha, Y. R., Ben-Menahem, S. M., &amp; von Krogh, G. (2019). </w:t>
      </w:r>
      <w:r w:rsidRPr="0078639E">
        <w:rPr>
          <w:rFonts w:ascii="Times New Roman" w:eastAsia="Times New Roman" w:hAnsi="Times New Roman"/>
          <w:sz w:val="24"/>
          <w:szCs w:val="24"/>
        </w:rPr>
        <w:t xml:space="preserve">Organizational decision-making structures in the age of artificial intelligence. </w:t>
      </w:r>
      <w:r w:rsidRPr="0078639E">
        <w:rPr>
          <w:rFonts w:ascii="Times New Roman" w:eastAsia="Times New Roman" w:hAnsi="Times New Roman"/>
          <w:i/>
          <w:iCs/>
          <w:sz w:val="24"/>
          <w:szCs w:val="24"/>
        </w:rPr>
        <w:t>California Management Review, 61</w:t>
      </w:r>
      <w:r w:rsidRPr="0078639E">
        <w:rPr>
          <w:rFonts w:ascii="Times New Roman" w:eastAsia="Times New Roman" w:hAnsi="Times New Roman"/>
          <w:sz w:val="24"/>
          <w:szCs w:val="24"/>
        </w:rPr>
        <w:t xml:space="preserve">(4), 66–83. </w:t>
      </w:r>
      <w:hyperlink r:id="rId41" w:history="1">
        <w:r w:rsidRPr="0078639E">
          <w:rPr>
            <w:rFonts w:ascii="Times New Roman" w:eastAsia="Times New Roman" w:hAnsi="Times New Roman"/>
            <w:color w:val="0000FF"/>
            <w:sz w:val="24"/>
            <w:szCs w:val="24"/>
            <w:u w:val="single"/>
          </w:rPr>
          <w:t>https://doi.org/10.1177/0008125619862257</w:t>
        </w:r>
      </w:hyperlink>
    </w:p>
    <w:p w14:paraId="5F13027F"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r w:rsidRPr="0078639E">
        <w:rPr>
          <w:rFonts w:ascii="Times New Roman" w:eastAsia="Times New Roman" w:hAnsi="Times New Roman"/>
          <w:sz w:val="24"/>
          <w:szCs w:val="24"/>
        </w:rPr>
        <w:t xml:space="preserve">Silveira, L. G. D. P., &amp; De Paula, E. V. (2026). Dynamic capabilities erosion: A systematic review, integrative framework, and research agenda. </w:t>
      </w:r>
      <w:r w:rsidRPr="0078639E">
        <w:rPr>
          <w:rFonts w:ascii="Times New Roman" w:eastAsia="Times New Roman" w:hAnsi="Times New Roman"/>
          <w:i/>
          <w:iCs/>
          <w:sz w:val="24"/>
          <w:szCs w:val="24"/>
        </w:rPr>
        <w:t>Future Business Journal, 12</w:t>
      </w:r>
      <w:r w:rsidRPr="0078639E">
        <w:rPr>
          <w:rFonts w:ascii="Times New Roman" w:eastAsia="Times New Roman" w:hAnsi="Times New Roman"/>
          <w:sz w:val="24"/>
          <w:szCs w:val="24"/>
        </w:rPr>
        <w:t xml:space="preserve">(1), Article 100. </w:t>
      </w:r>
      <w:hyperlink r:id="rId42" w:history="1">
        <w:r w:rsidRPr="0078639E">
          <w:rPr>
            <w:rFonts w:ascii="Times New Roman" w:eastAsia="Times New Roman" w:hAnsi="Times New Roman"/>
            <w:color w:val="0000FF"/>
            <w:sz w:val="24"/>
            <w:szCs w:val="24"/>
            <w:u w:val="single"/>
          </w:rPr>
          <w:t>https://doi.org/10.1186/s43093-026-00800-1</w:t>
        </w:r>
      </w:hyperlink>
    </w:p>
    <w:p w14:paraId="7753BA52"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r w:rsidRPr="0078639E">
        <w:rPr>
          <w:rFonts w:ascii="Times New Roman" w:eastAsia="Times New Roman" w:hAnsi="Times New Roman"/>
          <w:sz w:val="24"/>
          <w:szCs w:val="24"/>
        </w:rPr>
        <w:t xml:space="preserve">Sturm, T., Gerlach, J. P., </w:t>
      </w:r>
      <w:proofErr w:type="spellStart"/>
      <w:r w:rsidRPr="0078639E">
        <w:rPr>
          <w:rFonts w:ascii="Times New Roman" w:eastAsia="Times New Roman" w:hAnsi="Times New Roman"/>
          <w:sz w:val="24"/>
          <w:szCs w:val="24"/>
        </w:rPr>
        <w:t>Pumplun</w:t>
      </w:r>
      <w:proofErr w:type="spellEnd"/>
      <w:r w:rsidRPr="0078639E">
        <w:rPr>
          <w:rFonts w:ascii="Times New Roman" w:eastAsia="Times New Roman" w:hAnsi="Times New Roman"/>
          <w:sz w:val="24"/>
          <w:szCs w:val="24"/>
        </w:rPr>
        <w:t xml:space="preserve">, L., Mesbah, N., Peters, F., Tauchert, C., Nan, N., &amp; </w:t>
      </w:r>
      <w:proofErr w:type="spellStart"/>
      <w:r w:rsidRPr="0078639E">
        <w:rPr>
          <w:rFonts w:ascii="Times New Roman" w:eastAsia="Times New Roman" w:hAnsi="Times New Roman"/>
          <w:sz w:val="24"/>
          <w:szCs w:val="24"/>
        </w:rPr>
        <w:t>Buxmann</w:t>
      </w:r>
      <w:proofErr w:type="spellEnd"/>
      <w:r w:rsidRPr="0078639E">
        <w:rPr>
          <w:rFonts w:ascii="Times New Roman" w:eastAsia="Times New Roman" w:hAnsi="Times New Roman"/>
          <w:sz w:val="24"/>
          <w:szCs w:val="24"/>
        </w:rPr>
        <w:t xml:space="preserve">, P. (2021). Coordinating human and machine learning for effective organizational learning. </w:t>
      </w:r>
      <w:r w:rsidRPr="0078639E">
        <w:rPr>
          <w:rFonts w:ascii="Times New Roman" w:eastAsia="Times New Roman" w:hAnsi="Times New Roman"/>
          <w:i/>
          <w:iCs/>
          <w:sz w:val="24"/>
          <w:szCs w:val="24"/>
        </w:rPr>
        <w:t>MIS Quarterly, 45</w:t>
      </w:r>
      <w:r w:rsidRPr="0078639E">
        <w:rPr>
          <w:rFonts w:ascii="Times New Roman" w:eastAsia="Times New Roman" w:hAnsi="Times New Roman"/>
          <w:sz w:val="24"/>
          <w:szCs w:val="24"/>
        </w:rPr>
        <w:t xml:space="preserve">(3), 1581–1602. </w:t>
      </w:r>
      <w:hyperlink r:id="rId43" w:history="1">
        <w:r w:rsidRPr="0078639E">
          <w:rPr>
            <w:rFonts w:ascii="Times New Roman" w:eastAsia="Times New Roman" w:hAnsi="Times New Roman"/>
            <w:color w:val="0000FF"/>
            <w:sz w:val="24"/>
            <w:szCs w:val="24"/>
            <w:u w:val="single"/>
          </w:rPr>
          <w:t>https://doi.org/10.25300/MISQ/2021/16543</w:t>
        </w:r>
      </w:hyperlink>
    </w:p>
    <w:p w14:paraId="621FC31D"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proofErr w:type="spellStart"/>
      <w:r w:rsidRPr="0078639E">
        <w:rPr>
          <w:rFonts w:ascii="Times New Roman" w:eastAsia="Times New Roman" w:hAnsi="Times New Roman"/>
          <w:sz w:val="24"/>
          <w:szCs w:val="24"/>
        </w:rPr>
        <w:t>Taeihagh</w:t>
      </w:r>
      <w:proofErr w:type="spellEnd"/>
      <w:r w:rsidRPr="0078639E">
        <w:rPr>
          <w:rFonts w:ascii="Times New Roman" w:eastAsia="Times New Roman" w:hAnsi="Times New Roman"/>
          <w:sz w:val="24"/>
          <w:szCs w:val="24"/>
        </w:rPr>
        <w:t xml:space="preserve">, A. (2025). Governance of generative AI. </w:t>
      </w:r>
      <w:r w:rsidRPr="0078639E">
        <w:rPr>
          <w:rFonts w:ascii="Times New Roman" w:eastAsia="Times New Roman" w:hAnsi="Times New Roman"/>
          <w:i/>
          <w:iCs/>
          <w:sz w:val="24"/>
          <w:szCs w:val="24"/>
        </w:rPr>
        <w:t>Policy and Society, 44</w:t>
      </w:r>
      <w:r w:rsidRPr="0078639E">
        <w:rPr>
          <w:rFonts w:ascii="Times New Roman" w:eastAsia="Times New Roman" w:hAnsi="Times New Roman"/>
          <w:sz w:val="24"/>
          <w:szCs w:val="24"/>
        </w:rPr>
        <w:t xml:space="preserve">(1), 1–22. </w:t>
      </w:r>
      <w:hyperlink r:id="rId44" w:history="1">
        <w:r w:rsidRPr="0078639E">
          <w:rPr>
            <w:rFonts w:ascii="Times New Roman" w:eastAsia="Times New Roman" w:hAnsi="Times New Roman"/>
            <w:color w:val="0000FF"/>
            <w:sz w:val="24"/>
            <w:szCs w:val="24"/>
            <w:u w:val="single"/>
          </w:rPr>
          <w:t>https://doi.org/10.1093/polsoc/puaf001</w:t>
        </w:r>
      </w:hyperlink>
    </w:p>
    <w:p w14:paraId="778D1BF4"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r w:rsidRPr="0078639E">
        <w:rPr>
          <w:rFonts w:ascii="Times New Roman" w:eastAsia="Times New Roman" w:hAnsi="Times New Roman"/>
          <w:sz w:val="24"/>
          <w:szCs w:val="24"/>
        </w:rPr>
        <w:t xml:space="preserve">Tan, K. H. (2026a). The AI productivity-governance frontier: A theoretical model for enterprise value creation under agentic automation. </w:t>
      </w:r>
      <w:r w:rsidRPr="0078639E">
        <w:rPr>
          <w:rFonts w:ascii="Times New Roman" w:eastAsia="Times New Roman" w:hAnsi="Times New Roman"/>
          <w:i/>
          <w:iCs/>
          <w:sz w:val="24"/>
          <w:szCs w:val="24"/>
        </w:rPr>
        <w:t>International Journal of Science and Research Archive, 20</w:t>
      </w:r>
      <w:r w:rsidRPr="0078639E">
        <w:rPr>
          <w:rFonts w:ascii="Times New Roman" w:eastAsia="Times New Roman" w:hAnsi="Times New Roman"/>
          <w:sz w:val="24"/>
          <w:szCs w:val="24"/>
        </w:rPr>
        <w:t xml:space="preserve">(1), 52–60. </w:t>
      </w:r>
      <w:hyperlink r:id="rId45" w:history="1">
        <w:r w:rsidRPr="0078639E">
          <w:rPr>
            <w:rFonts w:ascii="Times New Roman" w:eastAsia="Times New Roman" w:hAnsi="Times New Roman"/>
            <w:color w:val="0000FF"/>
            <w:sz w:val="24"/>
            <w:szCs w:val="24"/>
            <w:u w:val="single"/>
          </w:rPr>
          <w:t>https://doi.org/10.30574/ijsra.2026.20.1.1434</w:t>
        </w:r>
      </w:hyperlink>
    </w:p>
    <w:p w14:paraId="7B765979"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r w:rsidRPr="0078639E">
        <w:rPr>
          <w:rFonts w:ascii="Times New Roman" w:eastAsia="Times New Roman" w:hAnsi="Times New Roman"/>
          <w:sz w:val="24"/>
          <w:szCs w:val="24"/>
        </w:rPr>
        <w:t xml:space="preserve">Tan, K. H. (2026b). Runtime assurance for enterprise agentic AI systems: A policy-gated control model with quantitative autonomy-risk scoring. </w:t>
      </w:r>
      <w:r w:rsidRPr="0078639E">
        <w:rPr>
          <w:rFonts w:ascii="Times New Roman" w:eastAsia="Times New Roman" w:hAnsi="Times New Roman"/>
          <w:i/>
          <w:iCs/>
          <w:sz w:val="24"/>
          <w:szCs w:val="24"/>
        </w:rPr>
        <w:t>World Journal of Advanced Research and Reviews, 31</w:t>
      </w:r>
      <w:r w:rsidRPr="0078639E">
        <w:rPr>
          <w:rFonts w:ascii="Times New Roman" w:eastAsia="Times New Roman" w:hAnsi="Times New Roman"/>
          <w:sz w:val="24"/>
          <w:szCs w:val="24"/>
        </w:rPr>
        <w:t xml:space="preserve">(1), 512–522. </w:t>
      </w:r>
      <w:hyperlink r:id="rId46" w:history="1">
        <w:r w:rsidRPr="0078639E">
          <w:rPr>
            <w:rFonts w:ascii="Times New Roman" w:eastAsia="Times New Roman" w:hAnsi="Times New Roman"/>
            <w:color w:val="0000FF"/>
            <w:sz w:val="24"/>
            <w:szCs w:val="24"/>
            <w:u w:val="single"/>
          </w:rPr>
          <w:t>https://doi.org/10.30574/wjarr.2026.31.1.1872</w:t>
        </w:r>
      </w:hyperlink>
    </w:p>
    <w:p w14:paraId="06535E49"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lang w:val="nl-BE"/>
        </w:rPr>
      </w:pPr>
      <w:r w:rsidRPr="0078639E">
        <w:rPr>
          <w:rFonts w:ascii="Times New Roman" w:eastAsia="Times New Roman" w:hAnsi="Times New Roman"/>
          <w:sz w:val="24"/>
          <w:szCs w:val="24"/>
        </w:rPr>
        <w:lastRenderedPageBreak/>
        <w:t xml:space="preserve">Tan, K. H. (2026c). The AI productivity transmission gap in small open economies: A dynamic institutional absorptive capacity model. </w:t>
      </w:r>
      <w:r w:rsidRPr="0078639E">
        <w:rPr>
          <w:rFonts w:ascii="Times New Roman" w:eastAsia="Times New Roman" w:hAnsi="Times New Roman"/>
          <w:i/>
          <w:iCs/>
          <w:sz w:val="24"/>
          <w:szCs w:val="24"/>
        </w:rPr>
        <w:t>International Journal of Progressive Research in Engineering Management and Science, 6</w:t>
      </w:r>
      <w:r w:rsidRPr="0078639E">
        <w:rPr>
          <w:rFonts w:ascii="Times New Roman" w:eastAsia="Times New Roman" w:hAnsi="Times New Roman"/>
          <w:sz w:val="24"/>
          <w:szCs w:val="24"/>
        </w:rPr>
        <w:t xml:space="preserve">(7), 187–194. </w:t>
      </w:r>
      <w:hyperlink r:id="rId47" w:history="1">
        <w:r w:rsidRPr="0078639E">
          <w:rPr>
            <w:rFonts w:ascii="Times New Roman" w:eastAsia="Times New Roman" w:hAnsi="Times New Roman"/>
            <w:color w:val="0000FF"/>
            <w:sz w:val="24"/>
            <w:szCs w:val="24"/>
            <w:u w:val="single"/>
            <w:lang w:val="nl-BE"/>
          </w:rPr>
          <w:t>https://doi.org/10.58257/IJPREMS54160</w:t>
        </w:r>
      </w:hyperlink>
    </w:p>
    <w:p w14:paraId="4754DC94" w14:textId="77777777" w:rsidR="0078639E" w:rsidRPr="0078639E" w:rsidRDefault="0078639E" w:rsidP="0078639E">
      <w:pPr>
        <w:spacing w:before="100" w:beforeAutospacing="1" w:after="100" w:afterAutospacing="1"/>
        <w:ind w:left="540" w:hanging="540"/>
        <w:rPr>
          <w:rFonts w:ascii="Times New Roman" w:eastAsia="Times New Roman" w:hAnsi="Times New Roman"/>
          <w:sz w:val="24"/>
          <w:szCs w:val="24"/>
        </w:rPr>
      </w:pPr>
      <w:r w:rsidRPr="0078639E">
        <w:rPr>
          <w:rFonts w:ascii="Times New Roman" w:eastAsia="Times New Roman" w:hAnsi="Times New Roman"/>
          <w:sz w:val="24"/>
          <w:szCs w:val="24"/>
          <w:lang w:val="nl-BE"/>
        </w:rPr>
        <w:t xml:space="preserve">van den Broek, E., Sergeeva, A., &amp; Huysman, M. (2021). </w:t>
      </w:r>
      <w:r w:rsidRPr="0078639E">
        <w:rPr>
          <w:rFonts w:ascii="Times New Roman" w:eastAsia="Times New Roman" w:hAnsi="Times New Roman"/>
          <w:sz w:val="24"/>
          <w:szCs w:val="24"/>
        </w:rPr>
        <w:t xml:space="preserve">When the machine meets the expert: An ethnography of developing AI for hiring. </w:t>
      </w:r>
      <w:r w:rsidRPr="0078639E">
        <w:rPr>
          <w:rFonts w:ascii="Times New Roman" w:eastAsia="Times New Roman" w:hAnsi="Times New Roman"/>
          <w:i/>
          <w:iCs/>
          <w:sz w:val="24"/>
          <w:szCs w:val="24"/>
        </w:rPr>
        <w:t>MIS Quarterly, 45</w:t>
      </w:r>
      <w:r w:rsidRPr="0078639E">
        <w:rPr>
          <w:rFonts w:ascii="Times New Roman" w:eastAsia="Times New Roman" w:hAnsi="Times New Roman"/>
          <w:sz w:val="24"/>
          <w:szCs w:val="24"/>
        </w:rPr>
        <w:t xml:space="preserve">(3), 1557–1580. </w:t>
      </w:r>
      <w:hyperlink r:id="rId48" w:history="1">
        <w:r w:rsidRPr="0078639E">
          <w:rPr>
            <w:rFonts w:ascii="Times New Roman" w:eastAsia="Times New Roman" w:hAnsi="Times New Roman"/>
            <w:color w:val="0000FF"/>
            <w:sz w:val="24"/>
            <w:szCs w:val="24"/>
            <w:u w:val="single"/>
          </w:rPr>
          <w:t>https://doi.org/10.25300/MISQ/2021/16559</w:t>
        </w:r>
      </w:hyperlink>
    </w:p>
    <w:p w14:paraId="411FB56B" w14:textId="1724643C" w:rsidR="0078639E" w:rsidRPr="00A46D13" w:rsidRDefault="0078639E">
      <w:pPr>
        <w:spacing w:after="40"/>
        <w:ind w:left="317" w:hanging="317"/>
      </w:pPr>
    </w:p>
    <w:p w14:paraId="06DA35F2" w14:textId="77777777" w:rsidR="00235BC0" w:rsidRPr="00A46D13" w:rsidRDefault="00000000">
      <w:pPr>
        <w:pStyle w:val="Heading1"/>
      </w:pPr>
      <w:bookmarkStart w:id="15" w:name="appendix-a-reproducibility-protocol"/>
      <w:bookmarkEnd w:id="14"/>
      <w:r w:rsidRPr="00A46D13">
        <w:rPr>
          <w:bCs/>
        </w:rPr>
        <w:t>APPENDIX A: REPRODUCIBILITY PROTOCOL</w:t>
      </w:r>
    </w:p>
    <w:p w14:paraId="7C5436AA" w14:textId="77777777" w:rsidR="00235BC0" w:rsidRPr="00A46D13" w:rsidRDefault="00000000">
      <w:r w:rsidRPr="00A46D13">
        <w:t>The supplementary program implements the following sequence:</w:t>
      </w:r>
    </w:p>
    <w:p w14:paraId="45C208F9" w14:textId="77777777" w:rsidR="00235BC0" w:rsidRPr="00A46D13" w:rsidRDefault="00000000">
      <w:pPr>
        <w:numPr>
          <w:ilvl w:val="0"/>
          <w:numId w:val="33"/>
        </w:numPr>
      </w:pPr>
      <w:r w:rsidRPr="00A46D13">
        <w:t>Set the random seed to 20260730 and generate common arrays for environmental uncertainty, task fit, shock occurrence, shock severity, and productivity noise.</w:t>
      </w:r>
    </w:p>
    <w:p w14:paraId="3FDF23FB" w14:textId="77777777" w:rsidR="00235BC0" w:rsidRPr="00A46D13" w:rsidRDefault="00000000">
      <w:pPr>
        <w:numPr>
          <w:ilvl w:val="0"/>
          <w:numId w:val="33"/>
        </w:numPr>
      </w:pPr>
      <w:proofErr w:type="spellStart"/>
      <w:r w:rsidRPr="00A46D13">
        <w:t>Initialise</w:t>
      </w:r>
      <w:proofErr w:type="spellEnd"/>
      <w:r w:rsidRPr="00A46D13">
        <w:t xml:space="preserve"> the homogeneous base firms with </w:t>
      </w:r>
      <m:oMath>
        <m:sSub>
          <m:sSubPr>
            <m:ctrlPr>
              <w:rPr>
                <w:rFonts w:ascii="Cambria Math" w:hAnsi="Cambria Math"/>
              </w:rPr>
            </m:ctrlPr>
          </m:sSubPr>
          <m:e>
            <m:r>
              <w:rPr>
                <w:rFonts w:ascii="Cambria Math" w:hAnsi="Cambria Math"/>
              </w:rPr>
              <m:t>D</m:t>
            </m:r>
          </m:e>
          <m:sub>
            <m:r>
              <w:rPr>
                <w:rFonts w:ascii="Cambria Math" w:hAnsi="Cambria Math"/>
              </w:rPr>
              <m:t>0</m:t>
            </m:r>
          </m:sub>
        </m:sSub>
        <m:r>
          <m:rPr>
            <m:sty m:val="p"/>
          </m:rPr>
          <w:rPr>
            <w:rFonts w:ascii="Cambria Math" w:hAnsi="Cambria Math"/>
          </w:rPr>
          <m:t>=</m:t>
        </m:r>
        <m:r>
          <w:rPr>
            <w:rFonts w:ascii="Cambria Math" w:hAnsi="Cambria Math"/>
          </w:rPr>
          <m:t>0.35</m:t>
        </m:r>
      </m:oMath>
      <w:r w:rsidRPr="00A46D13">
        <w:t xml:space="preserve">, </w:t>
      </w:r>
      <m:oMath>
        <m:sSub>
          <m:sSubPr>
            <m:ctrlPr>
              <w:rPr>
                <w:rFonts w:ascii="Cambria Math" w:hAnsi="Cambria Math"/>
              </w:rPr>
            </m:ctrlPr>
          </m:sSubPr>
          <m:e>
            <m:r>
              <w:rPr>
                <w:rFonts w:ascii="Cambria Math" w:hAnsi="Cambria Math"/>
              </w:rPr>
              <m:t>H</m:t>
            </m:r>
          </m:e>
          <m:sub>
            <m:r>
              <w:rPr>
                <w:rFonts w:ascii="Cambria Math" w:hAnsi="Cambria Math"/>
              </w:rPr>
              <m:t>0</m:t>
            </m:r>
          </m:sub>
        </m:sSub>
        <m:r>
          <m:rPr>
            <m:sty m:val="p"/>
          </m:rPr>
          <w:rPr>
            <w:rFonts w:ascii="Cambria Math" w:hAnsi="Cambria Math"/>
          </w:rPr>
          <m:t>=</m:t>
        </m:r>
        <m:r>
          <w:rPr>
            <w:rFonts w:ascii="Cambria Math" w:hAnsi="Cambria Math"/>
          </w:rPr>
          <m:t>0.82</m:t>
        </m:r>
      </m:oMath>
      <w:r w:rsidRPr="00A46D13">
        <w:t xml:space="preserve">, and </w:t>
      </w:r>
      <m:oMath>
        <m:sSub>
          <m:sSubPr>
            <m:ctrlPr>
              <w:rPr>
                <w:rFonts w:ascii="Cambria Math" w:hAnsi="Cambria Math"/>
              </w:rPr>
            </m:ctrlPr>
          </m:sSubPr>
          <m:e>
            <m:r>
              <w:rPr>
                <w:rFonts w:ascii="Cambria Math" w:hAnsi="Cambria Math"/>
              </w:rPr>
              <m:t>R</m:t>
            </m:r>
          </m:e>
          <m:sub>
            <m:r>
              <w:rPr>
                <w:rFonts w:ascii="Cambria Math" w:hAnsi="Cambria Math"/>
              </w:rPr>
              <m:t>0</m:t>
            </m:r>
          </m:sub>
        </m:sSub>
        <m:r>
          <m:rPr>
            <m:sty m:val="p"/>
          </m:rPr>
          <w:rPr>
            <w:rFonts w:ascii="Cambria Math" w:hAnsi="Cambria Math"/>
          </w:rPr>
          <m:t>=</m:t>
        </m:r>
        <m:r>
          <w:rPr>
            <w:rFonts w:ascii="Cambria Math" w:hAnsi="Cambria Math"/>
          </w:rPr>
          <m:t>0.72</m:t>
        </m:r>
      </m:oMath>
      <w:r w:rsidRPr="00A46D13">
        <w:t>.</w:t>
      </w:r>
    </w:p>
    <w:p w14:paraId="6E7420C2" w14:textId="77777777" w:rsidR="00235BC0" w:rsidRPr="00A46D13" w:rsidRDefault="00000000">
      <w:pPr>
        <w:numPr>
          <w:ilvl w:val="0"/>
          <w:numId w:val="33"/>
        </w:numPr>
      </w:pPr>
      <w:r w:rsidRPr="00A46D13">
        <w:t>Simulate each named regime under identical stochastic arrays and export firm-level and period-level outcomes.</w:t>
      </w:r>
    </w:p>
    <w:p w14:paraId="7819A4BD" w14:textId="77777777" w:rsidR="00235BC0" w:rsidRPr="00A46D13" w:rsidRDefault="00000000">
      <w:pPr>
        <w:numPr>
          <w:ilvl w:val="0"/>
          <w:numId w:val="33"/>
        </w:numPr>
      </w:pPr>
      <w:r w:rsidRPr="00A46D13">
        <w:t>Record cumulative debt exposure, cumulative debt cost, cumulative shock loss, flow-adequacy shares, debt-floor shares, and expertise-ceiling shares.</w:t>
      </w:r>
    </w:p>
    <w:p w14:paraId="0AD1E704" w14:textId="77777777" w:rsidR="00235BC0" w:rsidRPr="00A46D13" w:rsidRDefault="00000000">
      <w:pPr>
        <w:numPr>
          <w:ilvl w:val="0"/>
          <w:numId w:val="33"/>
        </w:numPr>
      </w:pPr>
      <w:r w:rsidRPr="00A46D13">
        <w:t>Calculate paired firm-by-firm cumulative-value differences using the common-random-number design.</w:t>
      </w:r>
    </w:p>
    <w:p w14:paraId="31983DC6" w14:textId="77777777" w:rsidR="00235BC0" w:rsidRPr="00A46D13" w:rsidRDefault="00000000">
      <w:pPr>
        <w:numPr>
          <w:ilvl w:val="0"/>
          <w:numId w:val="33"/>
        </w:numPr>
      </w:pPr>
      <w:r w:rsidRPr="00A46D13">
        <w:t>Generate persistent firm-specific multipliers and initial states for the structural-heterogeneity extension, then rerun every regime with the same profile assigned to a given firm across regimes.</w:t>
      </w:r>
    </w:p>
    <w:p w14:paraId="3886AD0C" w14:textId="77777777" w:rsidR="00235BC0" w:rsidRPr="00A46D13" w:rsidRDefault="00000000">
      <w:pPr>
        <w:numPr>
          <w:ilvl w:val="0"/>
          <w:numId w:val="33"/>
        </w:numPr>
      </w:pPr>
      <w:r w:rsidRPr="00A46D13">
        <w:t>Search 3,375 coarse fixed-policy coordinates with automation, governance, and verification varied independently; refine the highest-value boundary region; and re-evaluate the selected policy with 5,000 firms.</w:t>
      </w:r>
    </w:p>
    <w:p w14:paraId="21A97037" w14:textId="77777777" w:rsidR="00235BC0" w:rsidRPr="00A46D13" w:rsidRDefault="00000000">
      <w:pPr>
        <w:numPr>
          <w:ilvl w:val="0"/>
          <w:numId w:val="33"/>
        </w:numPr>
      </w:pPr>
      <w:r w:rsidRPr="00A46D13">
        <w:t>Export the base-case, heterogeneity, paired-comparison, policy-grid, boundary-refinement, sensitivity, and figure files.</w:t>
      </w:r>
    </w:p>
    <w:p w14:paraId="7C42B310" w14:textId="77777777" w:rsidR="00235BC0" w:rsidRDefault="00000000">
      <w:r w:rsidRPr="00A46D13">
        <w:t xml:space="preserve">The program uses NumPy, pandas, and Matplotlib and does not require proprietary data or software. The full-policy result is conditional on the stated model, </w:t>
      </w:r>
      <w:proofErr w:type="spellStart"/>
      <w:r w:rsidRPr="00A46D13">
        <w:t>parameterisation</w:t>
      </w:r>
      <w:proofErr w:type="spellEnd"/>
      <w:r w:rsidRPr="00A46D13">
        <w:t>, random seed, and search domain.</w:t>
      </w:r>
      <w:bookmarkEnd w:id="15"/>
    </w:p>
    <w:sectPr w:rsidR="00235BC0" w:rsidSect="00412475">
      <w:headerReference w:type="even" r:id="rId49"/>
      <w:headerReference w:type="default" r:id="rId50"/>
      <w:footerReference w:type="even" r:id="rId51"/>
      <w:footerReference w:type="default" r:id="rId52"/>
      <w:headerReference w:type="first" r:id="rId53"/>
      <w:footerReference w:type="first" r:id="rId54"/>
      <w:pgSz w:w="12240" w:h="15840" w:code="1"/>
      <w:pgMar w:top="1440" w:right="1440" w:bottom="1440" w:left="1440" w:header="648" w:footer="648" w:gutter="0"/>
      <w:lnNumType w:countBy="1" w:restart="continuous"/>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AA2F4" w14:textId="77777777" w:rsidR="00C63132" w:rsidRDefault="00C63132">
      <w:pPr>
        <w:spacing w:after="0"/>
      </w:pPr>
      <w:r>
        <w:separator/>
      </w:r>
    </w:p>
  </w:endnote>
  <w:endnote w:type="continuationSeparator" w:id="0">
    <w:p w14:paraId="5BF4B31E" w14:textId="77777777" w:rsidR="00C63132" w:rsidRDefault="00C6313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41424" w14:textId="77777777" w:rsidR="00BF121F" w:rsidRDefault="00BF12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1C279" w14:textId="77777777" w:rsidR="00C37E61" w:rsidRDefault="00C37E61" w:rsidP="00C37E61">
    <w:pPr>
      <w:pStyle w:val="Footer"/>
    </w:pPr>
  </w:p>
  <w:p w14:paraId="3CBE52F4" w14:textId="77777777" w:rsidR="00C37E61" w:rsidRDefault="00C37E61" w:rsidP="00C37E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A1977" w14:textId="77777777" w:rsidR="009E048A" w:rsidRDefault="009E048A">
    <w:pPr>
      <w:pStyle w:val="Footer"/>
      <w:rPr>
        <w:rFonts w:cs="Arial"/>
        <w:sz w:val="16"/>
      </w:rPr>
    </w:pPr>
  </w:p>
  <w:p w14:paraId="79EFC99C" w14:textId="77777777" w:rsidR="009E048A" w:rsidRDefault="009E048A" w:rsidP="009E048A">
    <w:pPr>
      <w:pStyle w:val="Footer"/>
      <w:jc w:val="center"/>
      <w:rPr>
        <w:rFonts w:cs="Arial"/>
        <w:sz w:val="16"/>
      </w:rPr>
    </w:pPr>
    <w:r>
      <w:rPr>
        <w:rFonts w:cs="Arial"/>
        <w:sz w:val="16"/>
      </w:rPr>
      <w:t>______________________________________________________________________</w:t>
    </w:r>
    <w:r w:rsidR="00BF121F">
      <w:rPr>
        <w:rFonts w:cs="Arial"/>
        <w:sz w:val="16"/>
      </w:rPr>
      <w:t>______________________</w:t>
    </w:r>
  </w:p>
  <w:p w14:paraId="7F166EA3" w14:textId="77777777" w:rsidR="009E048A" w:rsidRDefault="009E048A">
    <w:pPr>
      <w:pStyle w:val="Footer"/>
      <w:rPr>
        <w:rFonts w:cs="Arial"/>
        <w:sz w:val="16"/>
      </w:rPr>
    </w:pPr>
  </w:p>
  <w:p w14:paraId="1A9F64EB" w14:textId="77777777" w:rsidR="00754C9A" w:rsidRPr="009E048A" w:rsidRDefault="00754C9A">
    <w:pPr>
      <w:pStyle w:val="Footer"/>
      <w:rPr>
        <w:rFonts w:cs="Arial"/>
        <w:i/>
        <w:sz w:val="16"/>
      </w:rPr>
    </w:pPr>
    <w:r w:rsidRPr="009E048A">
      <w:rPr>
        <w:rFonts w:cs="Arial"/>
        <w:i/>
        <w:sz w:val="16"/>
      </w:rPr>
      <w:t>*Corresponding author: Email: XYZ@ABC.COM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DACA9" w14:textId="77777777" w:rsidR="00C63132" w:rsidRDefault="00C63132">
      <w:r>
        <w:separator/>
      </w:r>
    </w:p>
  </w:footnote>
  <w:footnote w:type="continuationSeparator" w:id="0">
    <w:p w14:paraId="507A89BD" w14:textId="77777777" w:rsidR="00C63132" w:rsidRDefault="00C63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12D38" w14:textId="77777777" w:rsidR="00BF121F" w:rsidRDefault="00BF12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68A0F" w14:textId="77777777" w:rsidR="00BF121F" w:rsidRDefault="00BF12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44EE3" w14:textId="77777777" w:rsidR="00296529" w:rsidRPr="00296529" w:rsidRDefault="00296529" w:rsidP="00296529">
    <w:pPr>
      <w:ind w:left="2160"/>
      <w:jc w:val="center"/>
      <w:rPr>
        <w:rFonts w:ascii="Times New Roman" w:eastAsia="Calibri" w:hAnsi="Times New Roman"/>
        <w:i/>
        <w:sz w:val="18"/>
        <w:szCs w:val="22"/>
      </w:rPr>
    </w:pPr>
  </w:p>
  <w:p w14:paraId="7B733A4B"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0E905BAA"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3194B85"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0C730117"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32FD85AE"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42FE3223" w14:textId="77777777" w:rsidR="00296529" w:rsidRDefault="00754C9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A990"/>
    <w:multiLevelType w:val="multilevel"/>
    <w:tmpl w:val="A7701250"/>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2" w15:restartNumberingAfterBreak="0">
    <w:nsid w:val="00A99411"/>
    <w:multiLevelType w:val="multilevel"/>
    <w:tmpl w:val="28F47746"/>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5"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8"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1"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2"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4"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5"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6"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8"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55773547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549655270">
    <w:abstractNumId w:val="17"/>
  </w:num>
  <w:num w:numId="3" w16cid:durableId="532112969">
    <w:abstractNumId w:val="25"/>
  </w:num>
  <w:num w:numId="4" w16cid:durableId="560792577">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957977653">
    <w:abstractNumId w:val="9"/>
  </w:num>
  <w:num w:numId="6" w16cid:durableId="1271738552">
    <w:abstractNumId w:val="8"/>
  </w:num>
  <w:num w:numId="7" w16cid:durableId="837114209">
    <w:abstractNumId w:val="3"/>
  </w:num>
  <w:num w:numId="8" w16cid:durableId="1683123694">
    <w:abstractNumId w:val="14"/>
  </w:num>
  <w:num w:numId="9" w16cid:durableId="1962495653">
    <w:abstractNumId w:val="27"/>
  </w:num>
  <w:num w:numId="10" w16cid:durableId="761486623">
    <w:abstractNumId w:val="4"/>
  </w:num>
  <w:num w:numId="11" w16cid:durableId="100343846">
    <w:abstractNumId w:val="20"/>
  </w:num>
  <w:num w:numId="12" w16cid:durableId="1677266924">
    <w:abstractNumId w:val="5"/>
  </w:num>
  <w:num w:numId="13" w16cid:durableId="1413818048">
    <w:abstractNumId w:val="19"/>
  </w:num>
  <w:num w:numId="14" w16cid:durableId="1808430595">
    <w:abstractNumId w:val="10"/>
  </w:num>
  <w:num w:numId="15" w16cid:durableId="892229930">
    <w:abstractNumId w:val="23"/>
  </w:num>
  <w:num w:numId="16" w16cid:durableId="1661499090">
    <w:abstractNumId w:val="7"/>
  </w:num>
  <w:num w:numId="17" w16cid:durableId="465586598">
    <w:abstractNumId w:val="24"/>
  </w:num>
  <w:num w:numId="18" w16cid:durableId="1507012207">
    <w:abstractNumId w:val="16"/>
  </w:num>
  <w:num w:numId="19" w16cid:durableId="2120029899">
    <w:abstractNumId w:val="30"/>
  </w:num>
  <w:num w:numId="20" w16cid:durableId="1835102905">
    <w:abstractNumId w:val="13"/>
  </w:num>
  <w:num w:numId="21" w16cid:durableId="839858458">
    <w:abstractNumId w:val="11"/>
  </w:num>
  <w:num w:numId="22" w16cid:durableId="1288312333">
    <w:abstractNumId w:val="15"/>
  </w:num>
  <w:num w:numId="23" w16cid:durableId="661158744">
    <w:abstractNumId w:val="21"/>
  </w:num>
  <w:num w:numId="24" w16cid:durableId="1942567220">
    <w:abstractNumId w:val="28"/>
  </w:num>
  <w:num w:numId="25" w16cid:durableId="1777866321">
    <w:abstractNumId w:val="6"/>
  </w:num>
  <w:num w:numId="26" w16cid:durableId="239021113">
    <w:abstractNumId w:val="18"/>
  </w:num>
  <w:num w:numId="27" w16cid:durableId="1787236190">
    <w:abstractNumId w:val="22"/>
  </w:num>
  <w:num w:numId="28" w16cid:durableId="350767240">
    <w:abstractNumId w:val="29"/>
  </w:num>
  <w:num w:numId="29" w16cid:durableId="924731167">
    <w:abstractNumId w:val="26"/>
  </w:num>
  <w:num w:numId="30" w16cid:durableId="1922063243">
    <w:abstractNumId w:val="12"/>
  </w:num>
  <w:num w:numId="31" w16cid:durableId="1372265958">
    <w:abstractNumId w:val="1"/>
  </w:num>
  <w:num w:numId="32" w16cid:durableId="12828784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54992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00"/>
  <w:drawingGridVerticalSpacing w:val="36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30174"/>
    <w:rsid w:val="0004579C"/>
    <w:rsid w:val="00055076"/>
    <w:rsid w:val="000A0E12"/>
    <w:rsid w:val="000A47FA"/>
    <w:rsid w:val="000A65D3"/>
    <w:rsid w:val="000B1E33"/>
    <w:rsid w:val="000D3205"/>
    <w:rsid w:val="000D689F"/>
    <w:rsid w:val="000E7B7B"/>
    <w:rsid w:val="000E7D62"/>
    <w:rsid w:val="00103357"/>
    <w:rsid w:val="00123C9F"/>
    <w:rsid w:val="00126190"/>
    <w:rsid w:val="00130F17"/>
    <w:rsid w:val="001320BF"/>
    <w:rsid w:val="00163BC4"/>
    <w:rsid w:val="00191062"/>
    <w:rsid w:val="00192B72"/>
    <w:rsid w:val="001A29D8"/>
    <w:rsid w:val="001A5CAA"/>
    <w:rsid w:val="001B0427"/>
    <w:rsid w:val="001B661F"/>
    <w:rsid w:val="001D3A51"/>
    <w:rsid w:val="001E0FB3"/>
    <w:rsid w:val="001E10D2"/>
    <w:rsid w:val="001E25B4"/>
    <w:rsid w:val="001E44FE"/>
    <w:rsid w:val="00200595"/>
    <w:rsid w:val="00204835"/>
    <w:rsid w:val="00231920"/>
    <w:rsid w:val="0023195C"/>
    <w:rsid w:val="00235BC0"/>
    <w:rsid w:val="0024282C"/>
    <w:rsid w:val="002460DC"/>
    <w:rsid w:val="00250985"/>
    <w:rsid w:val="00254B8D"/>
    <w:rsid w:val="002556F6"/>
    <w:rsid w:val="00283105"/>
    <w:rsid w:val="00284C4C"/>
    <w:rsid w:val="00287E68"/>
    <w:rsid w:val="00296529"/>
    <w:rsid w:val="002A7192"/>
    <w:rsid w:val="002B27FB"/>
    <w:rsid w:val="002B3241"/>
    <w:rsid w:val="002B685A"/>
    <w:rsid w:val="002C57D2"/>
    <w:rsid w:val="002E0D56"/>
    <w:rsid w:val="003004CB"/>
    <w:rsid w:val="00315186"/>
    <w:rsid w:val="0033343E"/>
    <w:rsid w:val="003512C2"/>
    <w:rsid w:val="00371FB6"/>
    <w:rsid w:val="003763C1"/>
    <w:rsid w:val="00376BBE"/>
    <w:rsid w:val="0039224F"/>
    <w:rsid w:val="003A06EC"/>
    <w:rsid w:val="003A43A4"/>
    <w:rsid w:val="003A7E18"/>
    <w:rsid w:val="003C48AD"/>
    <w:rsid w:val="003C4C86"/>
    <w:rsid w:val="003C6258"/>
    <w:rsid w:val="003E2904"/>
    <w:rsid w:val="00401927"/>
    <w:rsid w:val="0041027F"/>
    <w:rsid w:val="00412475"/>
    <w:rsid w:val="00423789"/>
    <w:rsid w:val="00440F43"/>
    <w:rsid w:val="00441B6F"/>
    <w:rsid w:val="00446221"/>
    <w:rsid w:val="00450E62"/>
    <w:rsid w:val="004539DB"/>
    <w:rsid w:val="00471A80"/>
    <w:rsid w:val="004D305E"/>
    <w:rsid w:val="004D4277"/>
    <w:rsid w:val="00502516"/>
    <w:rsid w:val="00505F06"/>
    <w:rsid w:val="00506828"/>
    <w:rsid w:val="0053056E"/>
    <w:rsid w:val="00554FDA"/>
    <w:rsid w:val="005C784C"/>
    <w:rsid w:val="005D17F6"/>
    <w:rsid w:val="005E5539"/>
    <w:rsid w:val="00602BF5"/>
    <w:rsid w:val="00617FDD"/>
    <w:rsid w:val="00633614"/>
    <w:rsid w:val="00633F68"/>
    <w:rsid w:val="00636EB2"/>
    <w:rsid w:val="006375B8"/>
    <w:rsid w:val="0066510A"/>
    <w:rsid w:val="00673F9F"/>
    <w:rsid w:val="00686953"/>
    <w:rsid w:val="00687DEA"/>
    <w:rsid w:val="00687E67"/>
    <w:rsid w:val="006967F7"/>
    <w:rsid w:val="006A250C"/>
    <w:rsid w:val="006B21D3"/>
    <w:rsid w:val="006B22BD"/>
    <w:rsid w:val="006B57D0"/>
    <w:rsid w:val="006D30FF"/>
    <w:rsid w:val="006D6940"/>
    <w:rsid w:val="006F11EC"/>
    <w:rsid w:val="0070082C"/>
    <w:rsid w:val="007369E6"/>
    <w:rsid w:val="00746E59"/>
    <w:rsid w:val="00754C9A"/>
    <w:rsid w:val="0075599A"/>
    <w:rsid w:val="00761D52"/>
    <w:rsid w:val="0077749E"/>
    <w:rsid w:val="0078639E"/>
    <w:rsid w:val="00790ADA"/>
    <w:rsid w:val="007D2288"/>
    <w:rsid w:val="007E088F"/>
    <w:rsid w:val="007F7B32"/>
    <w:rsid w:val="00804BC2"/>
    <w:rsid w:val="0081431A"/>
    <w:rsid w:val="0083216F"/>
    <w:rsid w:val="00860000"/>
    <w:rsid w:val="00863BD3"/>
    <w:rsid w:val="008641ED"/>
    <w:rsid w:val="00866D66"/>
    <w:rsid w:val="008671C6"/>
    <w:rsid w:val="00875803"/>
    <w:rsid w:val="008B459E"/>
    <w:rsid w:val="008E13AE"/>
    <w:rsid w:val="008E1506"/>
    <w:rsid w:val="008E710C"/>
    <w:rsid w:val="008F69D6"/>
    <w:rsid w:val="00902823"/>
    <w:rsid w:val="00915CA6"/>
    <w:rsid w:val="00927834"/>
    <w:rsid w:val="009500A6"/>
    <w:rsid w:val="00957C18"/>
    <w:rsid w:val="009659BA"/>
    <w:rsid w:val="00983040"/>
    <w:rsid w:val="009B3FB9"/>
    <w:rsid w:val="009C2465"/>
    <w:rsid w:val="009D35A0"/>
    <w:rsid w:val="009D7EB7"/>
    <w:rsid w:val="009E048A"/>
    <w:rsid w:val="009E08E9"/>
    <w:rsid w:val="009E3DB9"/>
    <w:rsid w:val="009E6E35"/>
    <w:rsid w:val="009F0EDA"/>
    <w:rsid w:val="00A03B96"/>
    <w:rsid w:val="00A05B19"/>
    <w:rsid w:val="00A1134E"/>
    <w:rsid w:val="00A24E7E"/>
    <w:rsid w:val="00A258C3"/>
    <w:rsid w:val="00A347C0"/>
    <w:rsid w:val="00A46D13"/>
    <w:rsid w:val="00A51431"/>
    <w:rsid w:val="00A539AD"/>
    <w:rsid w:val="00A94063"/>
    <w:rsid w:val="00AA6219"/>
    <w:rsid w:val="00AA74E0"/>
    <w:rsid w:val="00AB46B0"/>
    <w:rsid w:val="00AB703F"/>
    <w:rsid w:val="00AC6BB8"/>
    <w:rsid w:val="00AE008F"/>
    <w:rsid w:val="00B009B5"/>
    <w:rsid w:val="00B01FCD"/>
    <w:rsid w:val="00B1776C"/>
    <w:rsid w:val="00B30C42"/>
    <w:rsid w:val="00B52583"/>
    <w:rsid w:val="00B52896"/>
    <w:rsid w:val="00B95236"/>
    <w:rsid w:val="00B96BD9"/>
    <w:rsid w:val="00BA1B01"/>
    <w:rsid w:val="00BA2641"/>
    <w:rsid w:val="00BB37AA"/>
    <w:rsid w:val="00BC53A0"/>
    <w:rsid w:val="00BE4224"/>
    <w:rsid w:val="00BE62AD"/>
    <w:rsid w:val="00BF121F"/>
    <w:rsid w:val="00BF1F80"/>
    <w:rsid w:val="00C166EF"/>
    <w:rsid w:val="00C17EB0"/>
    <w:rsid w:val="00C27F5F"/>
    <w:rsid w:val="00C30A0F"/>
    <w:rsid w:val="00C37E61"/>
    <w:rsid w:val="00C63132"/>
    <w:rsid w:val="00C70F1B"/>
    <w:rsid w:val="00C71A47"/>
    <w:rsid w:val="00C7464C"/>
    <w:rsid w:val="00C85588"/>
    <w:rsid w:val="00CD6755"/>
    <w:rsid w:val="00CD6856"/>
    <w:rsid w:val="00CE0089"/>
    <w:rsid w:val="00CE793C"/>
    <w:rsid w:val="00CF193C"/>
    <w:rsid w:val="00D173F1"/>
    <w:rsid w:val="00D74CB0"/>
    <w:rsid w:val="00D8295D"/>
    <w:rsid w:val="00DA3246"/>
    <w:rsid w:val="00DC2A65"/>
    <w:rsid w:val="00DE15F0"/>
    <w:rsid w:val="00DE5663"/>
    <w:rsid w:val="00DE78AA"/>
    <w:rsid w:val="00E053D0"/>
    <w:rsid w:val="00E15994"/>
    <w:rsid w:val="00E3114E"/>
    <w:rsid w:val="00E31A70"/>
    <w:rsid w:val="00E35B02"/>
    <w:rsid w:val="00E66496"/>
    <w:rsid w:val="00E66B35"/>
    <w:rsid w:val="00E66E10"/>
    <w:rsid w:val="00E769F6"/>
    <w:rsid w:val="00E8407C"/>
    <w:rsid w:val="00E84F3C"/>
    <w:rsid w:val="00EA012C"/>
    <w:rsid w:val="00EC6A55"/>
    <w:rsid w:val="00ED0288"/>
    <w:rsid w:val="00EE52CB"/>
    <w:rsid w:val="00EF581D"/>
    <w:rsid w:val="00EF7FD8"/>
    <w:rsid w:val="00F06F59"/>
    <w:rsid w:val="00F17988"/>
    <w:rsid w:val="00F469F0"/>
    <w:rsid w:val="00F53273"/>
    <w:rsid w:val="00F755E4"/>
    <w:rsid w:val="00F77D02"/>
    <w:rsid w:val="00FB2CEA"/>
    <w:rsid w:val="00FB3A86"/>
    <w:rsid w:val="00FD36C8"/>
    <w:rsid w:val="00FF4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376961"/>
  <w15:docId w15:val="{2987F175-5C0A-6140-8BCC-E76EB13B1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pPr>
      <w:spacing w:after="60"/>
      <w:jc w:val="both"/>
    </w:pPr>
    <w:rPr>
      <w:rFonts w:ascii="Arial" w:eastAsia="Arial" w:hAnsi="Arial"/>
    </w:rPr>
  </w:style>
  <w:style w:type="paragraph" w:styleId="Heading1">
    <w:name w:val="heading 1"/>
    <w:basedOn w:val="Normal"/>
    <w:next w:val="Normal"/>
    <w:qFormat/>
    <w:rsid w:val="00423789"/>
    <w:pPr>
      <w:keepNext/>
      <w:spacing w:before="160"/>
      <w:jc w:val="left"/>
      <w:outlineLvl w:val="0"/>
    </w:pPr>
    <w:rPr>
      <w:b/>
      <w:kern w:val="28"/>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257/jep.29.3.3" TargetMode="External"/><Relationship Id="rId18" Type="http://schemas.openxmlformats.org/officeDocument/2006/relationships/hyperlink" Target="https://doi.org/10.1007/s12599-019-00595-2" TargetMode="External"/><Relationship Id="rId26" Type="http://schemas.openxmlformats.org/officeDocument/2006/relationships/hyperlink" Target="https://doi.org/10.1016/j.hrmr.2010.07.001" TargetMode="External"/><Relationship Id="rId39" Type="http://schemas.openxmlformats.org/officeDocument/2006/relationships/hyperlink" Target="https://doi.org/10.1145/3411764.3445518" TargetMode="External"/><Relationship Id="rId21" Type="http://schemas.openxmlformats.org/officeDocument/2006/relationships/hyperlink" Target="https://doi.org/10.1016/j.infoandorg.2018.02.005" TargetMode="External"/><Relationship Id="rId34" Type="http://schemas.openxmlformats.org/officeDocument/2006/relationships/hyperlink" Target="https://doi.org/10.1287/mnsc.47.7.894.9807" TargetMode="External"/><Relationship Id="rId42" Type="http://schemas.openxmlformats.org/officeDocument/2006/relationships/hyperlink" Target="https://doi.org/10.1186/s43093-026-00800-1" TargetMode="External"/><Relationship Id="rId47" Type="http://schemas.openxmlformats.org/officeDocument/2006/relationships/hyperlink" Target="https://doi.org/10.58257/IJPREMS54160" TargetMode="Externa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1093/qje/qjae044" TargetMode="External"/><Relationship Id="rId29" Type="http://schemas.openxmlformats.org/officeDocument/2006/relationships/hyperlink" Target="https://doi.org/10.6028/NIST.AI.100-1" TargetMode="External"/><Relationship Id="rId11" Type="http://schemas.openxmlformats.org/officeDocument/2006/relationships/hyperlink" Target="https://doi.org/10.3386/w32487" TargetMode="External"/><Relationship Id="rId24" Type="http://schemas.openxmlformats.org/officeDocument/2006/relationships/hyperlink" Target="https://doi.org/10.9734/ajeba/2026/v26i12151" TargetMode="External"/><Relationship Id="rId32" Type="http://schemas.openxmlformats.org/officeDocument/2006/relationships/hyperlink" Target="https://doi.org/10.1787/f9ef33c3-en" TargetMode="External"/><Relationship Id="rId37" Type="http://schemas.openxmlformats.org/officeDocument/2006/relationships/hyperlink" Target="https://doi.org/10.5465/amr.2018.0072" TargetMode="External"/><Relationship Id="rId40" Type="http://schemas.openxmlformats.org/officeDocument/2006/relationships/hyperlink" Target="https://proceedings.neurips.cc/paper/2015/hash/86df7dcfd896fcaf2674f757a2463eba-Abstract.html" TargetMode="External"/><Relationship Id="rId45" Type="http://schemas.openxmlformats.org/officeDocument/2006/relationships/hyperlink" Target="https://doi.org/10.30574/ijsra.2026.20.1.1434" TargetMode="External"/><Relationship Id="rId53"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hyperlink" Target="https://doi.org/10.1007/s40685-019-0085-7" TargetMode="External"/><Relationship Id="rId31" Type="http://schemas.openxmlformats.org/officeDocument/2006/relationships/hyperlink" Target="https://doi.org/10.1126/science.adh2586" TargetMode="External"/><Relationship Id="rId44" Type="http://schemas.openxmlformats.org/officeDocument/2006/relationships/hyperlink" Target="https://doi.org/10.1093/polsoc/puaf001" TargetMode="External"/><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1016/j.jfineco.2023.103745" TargetMode="External"/><Relationship Id="rId22" Type="http://schemas.openxmlformats.org/officeDocument/2006/relationships/hyperlink" Target="https://doi.org/10.1287/mnsc.2024.05684" TargetMode="External"/><Relationship Id="rId27" Type="http://schemas.openxmlformats.org/officeDocument/2006/relationships/hyperlink" Target="https://doi.org/10.1287/orsc.2.1.71" TargetMode="External"/><Relationship Id="rId30" Type="http://schemas.openxmlformats.org/officeDocument/2006/relationships/hyperlink" Target="https://doi.org/10.6028/NIST.AI.600-1" TargetMode="External"/><Relationship Id="rId35" Type="http://schemas.openxmlformats.org/officeDocument/2006/relationships/hyperlink" Target="https://doi.org/10.1002/smj.2410" TargetMode="External"/><Relationship Id="rId43" Type="http://schemas.openxmlformats.org/officeDocument/2006/relationships/hyperlink" Target="https://doi.org/10.25300/MISQ/2021/16543" TargetMode="External"/><Relationship Id="rId48" Type="http://schemas.openxmlformats.org/officeDocument/2006/relationships/hyperlink" Target="https://doi.org/10.25300/MISQ/2021/16559" TargetMode="External"/><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doi.org/10.56557/ajefm/2026/v8i1389" TargetMode="External"/><Relationship Id="rId17" Type="http://schemas.openxmlformats.org/officeDocument/2006/relationships/hyperlink" Target="https://www.hbs.edu/faculty/Pages/item.aspx?num=64700" TargetMode="External"/><Relationship Id="rId25" Type="http://schemas.openxmlformats.org/officeDocument/2006/relationships/hyperlink" Target="https://doi.org/10.5465/annals.2018.0174" TargetMode="External"/><Relationship Id="rId33" Type="http://schemas.openxmlformats.org/officeDocument/2006/relationships/hyperlink" Target="https://doi.org/10.1787/2d08b99d-en" TargetMode="External"/><Relationship Id="rId38" Type="http://schemas.openxmlformats.org/officeDocument/2006/relationships/hyperlink" Target="https://doi.org/10.2307/3094806" TargetMode="External"/><Relationship Id="rId46" Type="http://schemas.openxmlformats.org/officeDocument/2006/relationships/hyperlink" Target="https://doi.org/10.30574/wjarr.2026.31.1.1872" TargetMode="External"/><Relationship Id="rId20" Type="http://schemas.openxmlformats.org/officeDocument/2006/relationships/hyperlink" Target="https://eur-lex.europa.eu/eli/reg/2024/1689/oj" TargetMode="External"/><Relationship Id="rId41" Type="http://schemas.openxmlformats.org/officeDocument/2006/relationships/hyperlink" Target="https://doi.org/10.1177/0008125619862257" TargetMode="External"/><Relationship Id="rId54"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16/0005-1098(83)90046-8" TargetMode="External"/><Relationship Id="rId23" Type="http://schemas.openxmlformats.org/officeDocument/2006/relationships/hyperlink" Target="https://doi.org/10.1016/j.bushor.2018.03.007" TargetMode="External"/><Relationship Id="rId28" Type="http://schemas.openxmlformats.org/officeDocument/2006/relationships/hyperlink" Target="https://doi.org/10.1016/j.im.2021.103434" TargetMode="External"/><Relationship Id="rId36" Type="http://schemas.openxmlformats.org/officeDocument/2006/relationships/hyperlink" Target="https://doi.org/10.1518/001872097778543886" TargetMode="External"/><Relationship Id="rId4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2007 paper template</Template>
  <TotalTime>21</TotalTime>
  <Pages>23</Pages>
  <Words>11321</Words>
  <Characters>64532</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75702</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Coordination Compression Trap: Revised Manuscript</dc:title>
  <dc:subject>JGEMBR Manuscript 2026/JGEMBR/15454</dc:subject>
  <dc:creator>Kwan Hong Tan</dc:creator>
  <cp:keywords>artificial intelligence; verification debt; organisational resilience; AI governance</cp:keywords>
  <dc:description>Revised in response to three peer-review reports.</dc:description>
  <cp:lastModifiedBy>SDI CPU 1117</cp:lastModifiedBy>
  <cp:revision>12</cp:revision>
  <dcterms:created xsi:type="dcterms:W3CDTF">2026-07-31T14:32:00Z</dcterms:created>
  <dcterms:modified xsi:type="dcterms:W3CDTF">2026-08-03T13:43:00Z</dcterms:modified>
</cp:coreProperties>
</file>