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203F2" w14:textId="77777777" w:rsidR="008640F0" w:rsidRPr="00FE45F6" w:rsidRDefault="00421E37" w:rsidP="00F30B94">
      <w:pPr>
        <w:pStyle w:val="Author"/>
        <w:spacing w:line="240" w:lineRule="auto"/>
        <w:rPr>
          <w:rFonts w:ascii="Arial" w:hAnsi="Arial" w:cs="Arial"/>
          <w:bCs/>
          <w:iCs/>
          <w:kern w:val="28"/>
          <w:sz w:val="32"/>
          <w:szCs w:val="18"/>
        </w:rPr>
      </w:pPr>
      <w:r w:rsidRPr="00FE45F6">
        <w:rPr>
          <w:rFonts w:ascii="Arial" w:hAnsi="Arial" w:cs="Arial"/>
          <w:bCs/>
          <w:iCs/>
          <w:kern w:val="28"/>
          <w:sz w:val="32"/>
          <w:szCs w:val="18"/>
        </w:rPr>
        <w:t xml:space="preserve">The Effects of Service Quality and Perceived Convenience on </w:t>
      </w:r>
      <w:r w:rsidRPr="00FE45F6">
        <w:rPr>
          <w:rFonts w:ascii="Arial" w:hAnsi="Arial" w:cs="Arial"/>
          <w:bCs/>
          <w:iCs/>
          <w:color w:val="000000" w:themeColor="text1"/>
          <w:kern w:val="28"/>
          <w:sz w:val="32"/>
          <w:szCs w:val="18"/>
        </w:rPr>
        <w:t xml:space="preserve">Customer Satisfaction and Reuse Intention: Evidence from Young </w:t>
      </w:r>
      <w:proofErr w:type="spellStart"/>
      <w:r w:rsidRPr="00FE45F6">
        <w:rPr>
          <w:rFonts w:ascii="Arial" w:hAnsi="Arial" w:cs="Arial"/>
          <w:bCs/>
          <w:iCs/>
          <w:color w:val="000000" w:themeColor="text1"/>
          <w:kern w:val="28"/>
          <w:sz w:val="32"/>
          <w:szCs w:val="18"/>
        </w:rPr>
        <w:t>Foodpanda</w:t>
      </w:r>
      <w:proofErr w:type="spellEnd"/>
      <w:r w:rsidRPr="00FE45F6">
        <w:rPr>
          <w:rFonts w:ascii="Arial" w:hAnsi="Arial" w:cs="Arial"/>
          <w:bCs/>
          <w:iCs/>
          <w:color w:val="000000" w:themeColor="text1"/>
          <w:kern w:val="28"/>
          <w:sz w:val="32"/>
          <w:szCs w:val="18"/>
        </w:rPr>
        <w:t xml:space="preserve"> Users in Phnom Penh, </w:t>
      </w:r>
      <w:r w:rsidRPr="00FE45F6">
        <w:rPr>
          <w:rFonts w:ascii="Arial" w:hAnsi="Arial" w:cs="Arial"/>
          <w:bCs/>
          <w:iCs/>
          <w:kern w:val="28"/>
          <w:sz w:val="32"/>
          <w:szCs w:val="18"/>
        </w:rPr>
        <w:t>Cambodia</w:t>
      </w:r>
    </w:p>
    <w:p w14:paraId="329E48D6" w14:textId="77777777" w:rsidR="006E24EE" w:rsidRPr="00FE45F6" w:rsidRDefault="006E24EE" w:rsidP="00441B6F">
      <w:pPr>
        <w:pStyle w:val="Author"/>
        <w:spacing w:line="240" w:lineRule="auto"/>
        <w:rPr>
          <w:rFonts w:ascii="Arial" w:hAnsi="Arial" w:cs="Arial"/>
        </w:rPr>
      </w:pPr>
    </w:p>
    <w:p w14:paraId="7D5CFF1F" w14:textId="77777777" w:rsidR="006E24EE" w:rsidRPr="00FE45F6" w:rsidRDefault="006E24EE" w:rsidP="00137181">
      <w:pPr>
        <w:pStyle w:val="Affiliation"/>
        <w:spacing w:after="0" w:line="240" w:lineRule="auto"/>
        <w:rPr>
          <w:rFonts w:ascii="Arial" w:hAnsi="Arial" w:cs="Arial"/>
          <w:sz w:val="25"/>
          <w:szCs w:val="25"/>
          <w:shd w:val="clear" w:color="auto" w:fill="FFFFFF"/>
        </w:rPr>
      </w:pPr>
    </w:p>
    <w:p w14:paraId="73B4501B" w14:textId="77777777" w:rsidR="002C57D2" w:rsidRPr="00FE45F6" w:rsidRDefault="002C57D2" w:rsidP="00441B6F">
      <w:pPr>
        <w:pStyle w:val="Affiliation"/>
        <w:spacing w:after="0" w:line="240" w:lineRule="auto"/>
        <w:jc w:val="both"/>
        <w:rPr>
          <w:rFonts w:ascii="Arial" w:hAnsi="Arial" w:cs="Arial"/>
        </w:rPr>
      </w:pPr>
    </w:p>
    <w:p w14:paraId="677201C9" w14:textId="77777777" w:rsidR="00B01FCD" w:rsidRPr="00FE45F6" w:rsidRDefault="008C17F6" w:rsidP="00441B6F">
      <w:pPr>
        <w:pStyle w:val="Copyright"/>
        <w:spacing w:after="0" w:line="240" w:lineRule="auto"/>
        <w:jc w:val="both"/>
        <w:rPr>
          <w:rFonts w:ascii="Arial" w:hAnsi="Arial" w:cs="Arial"/>
        </w:rPr>
        <w:sectPr w:rsidR="00B01FCD" w:rsidRPr="00FE45F6" w:rsidSect="00412475">
          <w:headerReference w:type="first" r:id="rId8"/>
          <w:footerReference w:type="first" r:id="rId9"/>
          <w:pgSz w:w="12240" w:h="15840" w:code="1"/>
          <w:pgMar w:top="1440" w:right="2016" w:bottom="2016" w:left="2016" w:header="720" w:footer="1296" w:gutter="0"/>
          <w:lnNumType w:countBy="1" w:restart="continuous"/>
          <w:cols w:space="720"/>
          <w:docGrid w:linePitch="272"/>
        </w:sectPr>
      </w:pPr>
      <w:r w:rsidRPr="00FE45F6">
        <w:rPr>
          <w:rFonts w:ascii="Arial" w:hAnsi="Arial" w:cs="Arial"/>
          <w:noProof/>
        </w:rPr>
        <mc:AlternateContent>
          <mc:Choice Requires="wps">
            <w:drawing>
              <wp:inline distT="0" distB="0" distL="0" distR="0" wp14:anchorId="7B61CC29" wp14:editId="71A69546">
                <wp:extent cx="5303520" cy="635"/>
                <wp:effectExtent l="13335" t="13335" r="17145" b="1524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546649"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ygEAAH0DAAAOAAAAZHJzL2Uyb0RvYy54bWysU02P0zAQvSPxHyzfadKuii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" strokeweight="1.5pt">
                <w10:anchorlock/>
              </v:shape>
            </w:pict>
          </mc:Fallback>
        </mc:AlternateContent>
      </w:r>
      <w:r w:rsidR="00FB3A86" w:rsidRPr="00FE45F6">
        <w:rPr>
          <w:rFonts w:ascii="Arial" w:hAnsi="Arial" w:cs="Arial"/>
        </w:rPr>
        <w:t>.</w:t>
      </w:r>
    </w:p>
    <w:p w14:paraId="1BBB5E1A" w14:textId="77777777" w:rsidR="00790ADA" w:rsidRPr="00FE45F6" w:rsidRDefault="00B01FCD" w:rsidP="00441B6F">
      <w:pPr>
        <w:pStyle w:val="AbstHead"/>
        <w:spacing w:after="0"/>
        <w:jc w:val="both"/>
        <w:rPr>
          <w:rFonts w:ascii="Arial" w:hAnsi="Arial" w:cs="Arial"/>
        </w:rPr>
      </w:pPr>
      <w:r w:rsidRPr="00FE45F6">
        <w:rPr>
          <w:rFonts w:ascii="Arial" w:hAnsi="Arial" w:cs="Arial"/>
        </w:rPr>
        <w:t>ABSTRACT</w:t>
      </w:r>
      <w:r w:rsidR="0066510A" w:rsidRPr="00FE45F6">
        <w:rPr>
          <w:rFonts w:ascii="Arial" w:hAnsi="Arial" w:cs="Arial"/>
        </w:rPr>
        <w:t xml:space="preserve"> </w:t>
      </w:r>
    </w:p>
    <w:p w14:paraId="7E15DC5D" w14:textId="77777777" w:rsidR="00137181" w:rsidRPr="00FE45F6" w:rsidRDefault="00137181"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FE45F6" w14:paraId="3B083F47" w14:textId="77777777" w:rsidTr="001E44FE">
        <w:tc>
          <w:tcPr>
            <w:tcW w:w="9576" w:type="dxa"/>
            <w:shd w:val="clear" w:color="auto" w:fill="F2F2F2"/>
          </w:tcPr>
          <w:p w14:paraId="27B3E295" w14:textId="70C0B91F" w:rsidR="009C4AE1" w:rsidRPr="002D7F0D" w:rsidRDefault="00A0452C" w:rsidP="002D7F0D">
            <w:pPr>
              <w:pStyle w:val="pdq2pgselectionanchorcontainer"/>
            </w:pPr>
            <w:r>
              <w:t xml:space="preserve">Online food delivery platforms increasingly depend on customer satisfaction and continued use, particularly in emerging digital markets. This study examined the effects of service quality and perceived convenience on customer satisfaction and reuse intention among young </w:t>
            </w:r>
            <w:proofErr w:type="spellStart"/>
            <w:r>
              <w:t>Foodpanda</w:t>
            </w:r>
            <w:proofErr w:type="spellEnd"/>
            <w:r>
              <w:t xml:space="preserve"> users in Phnom Penh, Cambodia, and assessed the mediating role of customer satisfaction. A quantitative correlational design was employed. Data were collected through a structured questionnaire from 600 university students who had previously used </w:t>
            </w:r>
            <w:proofErr w:type="spellStart"/>
            <w:r>
              <w:t>Foodpanda</w:t>
            </w:r>
            <w:proofErr w:type="spellEnd"/>
            <w:r>
              <w:t xml:space="preserve"> and were </w:t>
            </w:r>
            <w:proofErr w:type="spellStart"/>
            <w:r>
              <w:t>analysed</w:t>
            </w:r>
            <w:proofErr w:type="spellEnd"/>
            <w:r>
              <w:t xml:space="preserve"> using SPSS and AMOS. Exploratory factor analysis was conducted using an independent sample, followed by confirmatory factor analysis and structural equation modelling with the main sample. The results indicated that service quality and perceived convenience had significant positive effects on customer satisfaction and reuse intention. Customer satisfaction also had a significant positive effect on reuse intention. Perceived convenience showed the strongest association with both customer satisfaction and reuse intention. The model explained 80% of the variance in customer satisfaction and 80% of the variance in reuse intention. Sobel test results further indicated that customer satisfaction significantly and partially mediated the relationships between service quality, perceived convenience, and reuse intention. These findings suggest that platform convenience and reliable service performance jointly support satisfaction and continued use among young users. The study provides context-specific evidence from Cambodia and highlights the importance of considering both direct and satisfaction-mediated pathways when examining post-adoption </w:t>
            </w:r>
            <w:proofErr w:type="spellStart"/>
            <w:r>
              <w:t>behaviour</w:t>
            </w:r>
            <w:proofErr w:type="spellEnd"/>
            <w:r>
              <w:t xml:space="preserve"> in online food delivery services.</w:t>
            </w:r>
          </w:p>
        </w:tc>
      </w:tr>
    </w:tbl>
    <w:p w14:paraId="467055C4" w14:textId="77777777" w:rsidR="00636EB2" w:rsidRPr="00FE45F6" w:rsidRDefault="00636EB2" w:rsidP="00441B6F">
      <w:pPr>
        <w:pStyle w:val="Body"/>
        <w:spacing w:after="0"/>
        <w:rPr>
          <w:rFonts w:ascii="Arial" w:hAnsi="Arial" w:cs="Arial"/>
          <w:i/>
          <w:color w:val="000000" w:themeColor="text1"/>
        </w:rPr>
      </w:pPr>
    </w:p>
    <w:p w14:paraId="5E972B46" w14:textId="20B77CAF" w:rsidR="003F0AAE" w:rsidRPr="00FE45F6" w:rsidRDefault="00A24E7E" w:rsidP="003F0AAE">
      <w:pPr>
        <w:pStyle w:val="Body"/>
        <w:spacing w:after="0"/>
        <w:rPr>
          <w:color w:val="000000" w:themeColor="text1"/>
        </w:rPr>
      </w:pPr>
      <w:r w:rsidRPr="00FE45F6">
        <w:rPr>
          <w:rFonts w:ascii="Arial" w:hAnsi="Arial" w:cs="Arial"/>
          <w:i/>
          <w:color w:val="000000" w:themeColor="text1"/>
        </w:rPr>
        <w:t xml:space="preserve">Keywords: </w:t>
      </w:r>
      <w:r w:rsidR="00FC62B6">
        <w:t xml:space="preserve">customer satisfaction; </w:t>
      </w:r>
      <w:proofErr w:type="spellStart"/>
      <w:r w:rsidR="00FC62B6">
        <w:t>Foodpanda</w:t>
      </w:r>
      <w:proofErr w:type="spellEnd"/>
      <w:r w:rsidR="00FC62B6">
        <w:t>; online food delivery; perceived convenience; reuse intention; service quality; structural equation modelling; university students; young consumers</w:t>
      </w:r>
    </w:p>
    <w:p w14:paraId="68640BEC" w14:textId="77777777" w:rsidR="00790ADA" w:rsidRPr="00FE45F6" w:rsidRDefault="00902823" w:rsidP="009C4AE1">
      <w:pPr>
        <w:pStyle w:val="AbstHead"/>
        <w:spacing w:after="200"/>
        <w:jc w:val="both"/>
        <w:rPr>
          <w:rFonts w:ascii="Arial" w:hAnsi="Arial" w:cs="Arial"/>
        </w:rPr>
      </w:pPr>
      <w:r w:rsidRPr="00FE45F6">
        <w:rPr>
          <w:rFonts w:ascii="Arial" w:hAnsi="Arial" w:cs="Arial"/>
        </w:rPr>
        <w:lastRenderedPageBreak/>
        <w:t xml:space="preserve">1. </w:t>
      </w:r>
      <w:r w:rsidR="00B01FCD" w:rsidRPr="00FE45F6">
        <w:rPr>
          <w:rFonts w:ascii="Arial" w:hAnsi="Arial" w:cs="Arial"/>
        </w:rPr>
        <w:t>INTRODUCTION</w:t>
      </w:r>
    </w:p>
    <w:p w14:paraId="612A415D" w14:textId="77777777" w:rsidR="00FC0415" w:rsidRPr="00FE45F6" w:rsidRDefault="00FC0415" w:rsidP="00FC0415">
      <w:pPr>
        <w:keepNext/>
        <w:keepLines/>
        <w:pBdr>
          <w:top w:val="nil"/>
          <w:left w:val="nil"/>
          <w:bottom w:val="nil"/>
          <w:right w:val="nil"/>
          <w:between w:val="nil"/>
        </w:pBdr>
        <w:spacing w:after="200"/>
        <w:ind w:right="99"/>
        <w:jc w:val="both"/>
        <w:rPr>
          <w:rFonts w:ascii="Arial" w:eastAsia="Book Antiqua" w:hAnsi="Arial" w:cs="Arial"/>
        </w:rPr>
      </w:pPr>
      <w:r w:rsidRPr="00FE45F6">
        <w:rPr>
          <w:rFonts w:ascii="Arial" w:eastAsia="Book Antiqua" w:hAnsi="Arial" w:cs="Arial"/>
        </w:rPr>
        <w:t xml:space="preserve">The rapid advancement of </w:t>
      </w:r>
      <w:proofErr w:type="spellStart"/>
      <w:r w:rsidRPr="00FE45F6">
        <w:rPr>
          <w:rFonts w:ascii="Arial" w:eastAsia="Book Antiqua" w:hAnsi="Arial" w:cs="Arial"/>
        </w:rPr>
        <w:t>digitalisation</w:t>
      </w:r>
      <w:proofErr w:type="spellEnd"/>
      <w:r w:rsidRPr="00FE45F6">
        <w:rPr>
          <w:rFonts w:ascii="Arial" w:eastAsia="Book Antiqua" w:hAnsi="Arial" w:cs="Arial"/>
        </w:rPr>
        <w:t xml:space="preserve"> has transformed the way businesses interact with customers. In today’s digital landscape, customers are no longer passive purchasers but actively evaluate services, engage with brands, and develop long-term relationships </w:t>
      </w:r>
      <w:r w:rsidRPr="00FE45F6">
        <w:rPr>
          <w:rFonts w:ascii="Arial" w:eastAsia="Book Antiqua" w:hAnsi="Arial" w:cs="Arial"/>
          <w:color w:val="0000FF"/>
        </w:rPr>
        <w:t>(Srivastava et al., 2025)</w:t>
      </w:r>
      <w:r w:rsidRPr="00FE45F6">
        <w:rPr>
          <w:rFonts w:ascii="Arial" w:eastAsia="Book Antiqua" w:hAnsi="Arial" w:cs="Arial"/>
        </w:rPr>
        <w:t xml:space="preserve">. Consequently, mobile service applications have become essential tools for facilitating customer engagement, service experiences, and satisfaction because they enable users to access services, complete transactions, and communicate with providers more conveniently </w:t>
      </w:r>
      <w:r w:rsidRPr="00FE45F6">
        <w:rPr>
          <w:rFonts w:ascii="Arial" w:eastAsia="Book Antiqua" w:hAnsi="Arial" w:cs="Arial"/>
          <w:color w:val="0000FF"/>
        </w:rPr>
        <w:t>(</w:t>
      </w:r>
      <w:proofErr w:type="spellStart"/>
      <w:r w:rsidRPr="00FE45F6">
        <w:rPr>
          <w:rFonts w:ascii="Arial" w:eastAsia="Book Antiqua" w:hAnsi="Arial" w:cs="Arial"/>
          <w:color w:val="0000FF"/>
        </w:rPr>
        <w:t>Prasetyo</w:t>
      </w:r>
      <w:proofErr w:type="spellEnd"/>
      <w:r w:rsidRPr="00FE45F6">
        <w:rPr>
          <w:rFonts w:ascii="Arial" w:eastAsia="Book Antiqua" w:hAnsi="Arial" w:cs="Arial"/>
          <w:color w:val="0000FF"/>
        </w:rPr>
        <w:t xml:space="preserve"> et al., 2021; Wilson et al., 2024)</w:t>
      </w:r>
      <w:r w:rsidRPr="00FE45F6">
        <w:rPr>
          <w:rFonts w:ascii="Arial" w:eastAsia="Book Antiqua" w:hAnsi="Arial" w:cs="Arial"/>
        </w:rPr>
        <w:t xml:space="preserve">. The growth of online food delivery applications has further reshaped consumer </w:t>
      </w:r>
      <w:proofErr w:type="spellStart"/>
      <w:r w:rsidRPr="00FE45F6">
        <w:rPr>
          <w:rFonts w:ascii="Arial" w:eastAsia="Book Antiqua" w:hAnsi="Arial" w:cs="Arial"/>
        </w:rPr>
        <w:t>behaviour</w:t>
      </w:r>
      <w:proofErr w:type="spellEnd"/>
      <w:r w:rsidRPr="00FE45F6">
        <w:rPr>
          <w:rFonts w:ascii="Arial" w:eastAsia="Book Antiqua" w:hAnsi="Arial" w:cs="Arial"/>
        </w:rPr>
        <w:t xml:space="preserve"> by providing faster, easier, and more convenient access to food and beverages </w:t>
      </w:r>
      <w:r w:rsidRPr="00FE45F6">
        <w:rPr>
          <w:rFonts w:ascii="Arial" w:eastAsia="Book Antiqua" w:hAnsi="Arial" w:cs="Arial"/>
          <w:color w:val="0000FF"/>
        </w:rPr>
        <w:t>(Hoang &amp; Le Tan, 2023; Kee et al., 2025)</w:t>
      </w:r>
      <w:r w:rsidRPr="00FE45F6">
        <w:rPr>
          <w:rFonts w:ascii="Arial" w:eastAsia="Book Antiqua" w:hAnsi="Arial" w:cs="Arial"/>
        </w:rPr>
        <w:t xml:space="preserve">. Through these platforms, customers can browse restaurants, place orders, make payments, and receive deliveries through a single digital interface, saving time and effort in the purchasing process </w:t>
      </w:r>
      <w:r w:rsidRPr="00FE45F6">
        <w:rPr>
          <w:rFonts w:ascii="Arial" w:eastAsia="Book Antiqua" w:hAnsi="Arial" w:cs="Arial"/>
          <w:color w:val="0000FF"/>
        </w:rPr>
        <w:t>(Hoang &amp; Le Tan, 2023; Kee et al., 2025)</w:t>
      </w:r>
      <w:r w:rsidRPr="00FE45F6">
        <w:rPr>
          <w:rFonts w:ascii="Arial" w:eastAsia="Book Antiqua" w:hAnsi="Arial" w:cs="Arial"/>
        </w:rPr>
        <w:t xml:space="preserve">. </w:t>
      </w:r>
      <w:r w:rsidRPr="00FE45F6">
        <w:rPr>
          <w:rFonts w:ascii="Arial" w:eastAsia="Arial" w:hAnsi="Arial"/>
        </w:rPr>
        <w:t>Recent research on delivery-service quality further identifies reliability, responsiveness, convenience, communication, delivery flexibility, and service transparency as relevant elements of customers’ evaluations (Santiago, 2025).</w:t>
      </w:r>
    </w:p>
    <w:p w14:paraId="2D1A6474" w14:textId="4E7C5FBB" w:rsidR="00FC0415" w:rsidRPr="00FE45F6" w:rsidRDefault="00FC0415" w:rsidP="00A566B0">
      <w:pPr>
        <w:keepNext/>
        <w:keepLines/>
        <w:pBdr>
          <w:top w:val="nil"/>
          <w:left w:val="nil"/>
          <w:bottom w:val="nil"/>
          <w:right w:val="nil"/>
          <w:between w:val="nil"/>
        </w:pBdr>
        <w:spacing w:after="200"/>
        <w:ind w:right="99"/>
        <w:jc w:val="both"/>
        <w:rPr>
          <w:rFonts w:ascii="Arial" w:eastAsia="Book Antiqua" w:hAnsi="Arial" w:cs="Arial"/>
        </w:rPr>
      </w:pPr>
      <w:r w:rsidRPr="00FE45F6">
        <w:rPr>
          <w:rFonts w:ascii="Arial" w:eastAsia="Book Antiqua" w:hAnsi="Arial" w:cs="Arial"/>
        </w:rPr>
        <w:t xml:space="preserve">Among these platforms,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has emerged as a leading food delivery application, offering diverse restaurant options, user-friendly features, and efficient delivery services </w:t>
      </w:r>
      <w:r w:rsidRPr="00FE45F6">
        <w:rPr>
          <w:rFonts w:ascii="Arial" w:eastAsia="Book Antiqua" w:hAnsi="Arial" w:cs="Arial"/>
          <w:color w:val="0000FF"/>
        </w:rPr>
        <w:t>(Kee et al., 2025)</w:t>
      </w:r>
      <w:r w:rsidRPr="00FE45F6">
        <w:rPr>
          <w:rFonts w:ascii="Arial" w:eastAsia="Book Antiqua" w:hAnsi="Arial" w:cs="Arial"/>
        </w:rPr>
        <w:t xml:space="preserve">. Headquartered in Berlin, Germany,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operates in more than 40 countries worldwide, with its strong market presence reflected in diverse food choices, seamless ordering processes, and accessible delivery services </w:t>
      </w:r>
      <w:r w:rsidRPr="00FE45F6">
        <w:rPr>
          <w:rFonts w:ascii="Arial" w:eastAsia="Book Antiqua" w:hAnsi="Arial" w:cs="Arial"/>
          <w:color w:val="0000FF"/>
        </w:rPr>
        <w:t>(Kee et al., 2025; Ly, 2025)</w:t>
      </w:r>
      <w:r w:rsidRPr="00FE45F6">
        <w:rPr>
          <w:rFonts w:ascii="Arial" w:eastAsia="Book Antiqua" w:hAnsi="Arial" w:cs="Arial"/>
        </w:rPr>
        <w:t xml:space="preserve">. In Cambodia,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has operated since 2019 and continues to strengthen its position through technological innovations and initiatives that support customers, restaurant partners, and delivery riders as part of its expanding digital ecosystem </w:t>
      </w:r>
      <w:r w:rsidRPr="00FE45F6">
        <w:rPr>
          <w:rFonts w:ascii="Arial" w:eastAsia="Book Antiqua" w:hAnsi="Arial" w:cs="Arial"/>
          <w:color w:val="0000FF"/>
        </w:rPr>
        <w:t>(</w:t>
      </w:r>
      <w:r w:rsidR="0067287F" w:rsidRPr="0067287F">
        <w:rPr>
          <w:rFonts w:ascii="Arial" w:eastAsia="Book Antiqua" w:hAnsi="Arial" w:cs="Arial"/>
          <w:color w:val="0000FF"/>
        </w:rPr>
        <w:t>Dareth</w:t>
      </w:r>
      <w:r w:rsidRPr="00FE45F6">
        <w:rPr>
          <w:rFonts w:ascii="Arial" w:eastAsia="Book Antiqua" w:hAnsi="Arial" w:cs="Arial"/>
          <w:color w:val="0000FF"/>
        </w:rPr>
        <w:t>, 202</w:t>
      </w:r>
      <w:r w:rsidR="0067287F">
        <w:rPr>
          <w:rFonts w:ascii="Arial" w:eastAsia="Book Antiqua" w:hAnsi="Arial" w:cs="Arial"/>
          <w:color w:val="0000FF"/>
        </w:rPr>
        <w:t>4</w:t>
      </w:r>
      <w:r w:rsidRPr="00FE45F6">
        <w:rPr>
          <w:rFonts w:ascii="Arial" w:eastAsia="Book Antiqua" w:hAnsi="Arial" w:cs="Arial"/>
          <w:color w:val="0000FF"/>
        </w:rPr>
        <w:t>)</w:t>
      </w:r>
      <w:r w:rsidRPr="00FE45F6">
        <w:rPr>
          <w:rFonts w:ascii="Arial" w:eastAsia="Book Antiqua" w:hAnsi="Arial" w:cs="Arial"/>
        </w:rPr>
        <w:t>.</w:t>
      </w:r>
    </w:p>
    <w:p w14:paraId="688C7D8C" w14:textId="77777777" w:rsidR="009C4AE1" w:rsidRPr="00FE45F6" w:rsidRDefault="00FC0415" w:rsidP="009C4AE1">
      <w:pPr>
        <w:keepNext/>
        <w:keepLines/>
        <w:pBdr>
          <w:top w:val="nil"/>
          <w:left w:val="nil"/>
          <w:bottom w:val="nil"/>
          <w:right w:val="nil"/>
          <w:between w:val="nil"/>
        </w:pBdr>
        <w:spacing w:after="200"/>
        <w:ind w:right="99"/>
        <w:jc w:val="both"/>
        <w:rPr>
          <w:rFonts w:ascii="Arial" w:eastAsia="Book Antiqua" w:hAnsi="Arial" w:cs="Arial"/>
        </w:rPr>
      </w:pPr>
      <w:r w:rsidRPr="00FE45F6">
        <w:rPr>
          <w:rFonts w:ascii="Arial" w:eastAsia="Book Antiqua" w:hAnsi="Arial" w:cs="Arial"/>
        </w:rPr>
        <w:t xml:space="preserve">Its growing popularity and established market presence make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an appropriate context for examining the factors that influence customer satisfaction and reuse intention </w:t>
      </w:r>
      <w:r w:rsidRPr="00FE45F6">
        <w:rPr>
          <w:rFonts w:ascii="Arial" w:eastAsia="Book Antiqua" w:hAnsi="Arial" w:cs="Arial"/>
          <w:color w:val="0000FF"/>
        </w:rPr>
        <w:t>(</w:t>
      </w:r>
      <w:proofErr w:type="spellStart"/>
      <w:r w:rsidRPr="00FE45F6">
        <w:rPr>
          <w:rFonts w:ascii="Arial" w:eastAsia="Book Antiqua" w:hAnsi="Arial" w:cs="Arial"/>
          <w:color w:val="0000FF"/>
        </w:rPr>
        <w:t>Prasetyo</w:t>
      </w:r>
      <w:proofErr w:type="spellEnd"/>
      <w:r w:rsidRPr="00FE45F6">
        <w:rPr>
          <w:rFonts w:ascii="Arial" w:eastAsia="Book Antiqua" w:hAnsi="Arial" w:cs="Arial"/>
          <w:color w:val="0000FF"/>
        </w:rPr>
        <w:t xml:space="preserve"> et al., 2021)</w:t>
      </w:r>
      <w:r w:rsidRPr="00FE45F6">
        <w:rPr>
          <w:rFonts w:ascii="Arial" w:eastAsia="Book Antiqua" w:hAnsi="Arial" w:cs="Arial"/>
        </w:rPr>
        <w:t xml:space="preserve">. Therefore, several studies have explored the factors that influence customer satisfaction and other customer-related outcomes associated with the use of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across diverse contexts. A study by </w:t>
      </w:r>
      <w:r w:rsidRPr="00FE45F6">
        <w:rPr>
          <w:rFonts w:ascii="Arial" w:eastAsia="Book Antiqua" w:hAnsi="Arial" w:cs="Arial"/>
          <w:color w:val="0000FF"/>
        </w:rPr>
        <w:t>Kee et al. (2025)</w:t>
      </w:r>
      <w:r w:rsidRPr="00FE45F6">
        <w:rPr>
          <w:rFonts w:ascii="Arial" w:eastAsia="Book Antiqua" w:hAnsi="Arial" w:cs="Arial"/>
        </w:rPr>
        <w:t xml:space="preserve">, conducted among 154 Malaysian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found that customer satisfaction was significantly influenced by perceived usefulness, perceived trust, and perceived convenience. Similarly, </w:t>
      </w:r>
      <w:r w:rsidRPr="00FE45F6">
        <w:rPr>
          <w:rFonts w:ascii="Arial" w:eastAsia="Book Antiqua" w:hAnsi="Arial" w:cs="Arial"/>
          <w:color w:val="0000FF"/>
        </w:rPr>
        <w:t xml:space="preserve">Mohd </w:t>
      </w:r>
      <w:proofErr w:type="spellStart"/>
      <w:r w:rsidRPr="00FE45F6">
        <w:rPr>
          <w:rFonts w:ascii="Arial" w:eastAsia="Book Antiqua" w:hAnsi="Arial" w:cs="Arial"/>
          <w:color w:val="0000FF"/>
        </w:rPr>
        <w:t>Sidik</w:t>
      </w:r>
      <w:proofErr w:type="spellEnd"/>
      <w:r w:rsidRPr="00FE45F6">
        <w:rPr>
          <w:rFonts w:ascii="Arial" w:eastAsia="Book Antiqua" w:hAnsi="Arial" w:cs="Arial"/>
          <w:color w:val="0000FF"/>
        </w:rPr>
        <w:t xml:space="preserve"> et al. (2025)</w:t>
      </w:r>
      <w:r w:rsidRPr="00FE45F6">
        <w:rPr>
          <w:rFonts w:ascii="Arial" w:eastAsia="Book Antiqua" w:hAnsi="Arial" w:cs="Arial"/>
        </w:rPr>
        <w:t xml:space="preserve">, based on a survey of 136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student users in Terengganu, Malaysia, found that application design, security, food quality, and delivery service positively influenced customer satisfaction, with application design being the strongest determinant.</w:t>
      </w:r>
      <w:r w:rsidRPr="00FE45F6">
        <w:rPr>
          <w:rFonts w:ascii="Arial" w:eastAsia="Arial" w:hAnsi="Arial"/>
        </w:rPr>
        <w:t xml:space="preserve"> Broader evidence from online food delivery research indicates that perceived convenience and service quality can shape consumers’ attitudes and </w:t>
      </w:r>
      <w:proofErr w:type="spellStart"/>
      <w:r w:rsidRPr="00FE45F6">
        <w:rPr>
          <w:rFonts w:ascii="Arial" w:eastAsia="Arial" w:hAnsi="Arial"/>
        </w:rPr>
        <w:t>behavioural</w:t>
      </w:r>
      <w:proofErr w:type="spellEnd"/>
      <w:r w:rsidRPr="00FE45F6">
        <w:rPr>
          <w:rFonts w:ascii="Arial" w:eastAsia="Arial" w:hAnsi="Arial"/>
        </w:rPr>
        <w:t xml:space="preserve"> intentions, while service-quality dimensions are associated with satisfaction, loyalty, and intention to use these services (Chowdhury, 2023; Arli et al., 2024). Research distinguishing online and offline delivery quality further suggests that customer satisfaction develops across connected digital and fulfilment experiences, while e-commerce distribution evidence associates delivery flexibility and last-mile efficiency with repurchase and retention outcomes (Seo &amp; Roh, 2025; </w:t>
      </w:r>
      <w:proofErr w:type="spellStart"/>
      <w:r w:rsidRPr="00FE45F6">
        <w:rPr>
          <w:rFonts w:ascii="Arial" w:eastAsia="Arial" w:hAnsi="Arial"/>
        </w:rPr>
        <w:t>Osokolo</w:t>
      </w:r>
      <w:proofErr w:type="spellEnd"/>
      <w:r w:rsidRPr="00FE45F6">
        <w:rPr>
          <w:rFonts w:ascii="Arial" w:eastAsia="Arial" w:hAnsi="Arial"/>
        </w:rPr>
        <w:t xml:space="preserve"> et al., 2026).</w:t>
      </w:r>
    </w:p>
    <w:p w14:paraId="70B941AB" w14:textId="77777777" w:rsidR="00B24155" w:rsidRPr="00FE45F6" w:rsidRDefault="009C4AE1" w:rsidP="009C4AE1">
      <w:pPr>
        <w:spacing w:after="200"/>
        <w:jc w:val="both"/>
        <w:rPr>
          <w:rFonts w:ascii="Arial" w:eastAsia="Book Antiqua" w:hAnsi="Arial" w:cs="Arial"/>
        </w:rPr>
      </w:pPr>
      <w:r w:rsidRPr="00FE45F6">
        <w:rPr>
          <w:rFonts w:ascii="Arial" w:eastAsia="Book Antiqua" w:hAnsi="Arial" w:cs="Arial"/>
        </w:rPr>
        <w:t xml:space="preserve">Additionally, </w:t>
      </w:r>
      <w:r w:rsidRPr="00FE45F6">
        <w:rPr>
          <w:rFonts w:ascii="Arial" w:eastAsia="Book Antiqua" w:hAnsi="Arial" w:cs="Arial"/>
          <w:color w:val="0000FF"/>
        </w:rPr>
        <w:t>Irshad et al. (2022)</w:t>
      </w:r>
      <w:r w:rsidRPr="00FE45F6">
        <w:rPr>
          <w:rFonts w:ascii="Arial" w:eastAsia="Book Antiqua" w:hAnsi="Arial" w:cs="Arial"/>
        </w:rPr>
        <w:t xml:space="preserve">, using data from 280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Myanmar, revealed that service quality, food quality, service provider quality, and application quality are key factors that contribute to customer satisfaction. These findings suggest that customer satisfaction with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platforms is shaped by various service-related factors; however, previous studies have primarily focused on identifying the determinants of satisfaction rather than explaining how these factors contribute to reuse intention. Despite the growth of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in Cambodia, limited research has examined the roles of service quality and perceived convenience in shaping customer satisfaction and reuse intention among young </w:t>
      </w:r>
      <w:r w:rsidRPr="00FE45F6">
        <w:rPr>
          <w:rFonts w:ascii="Arial" w:eastAsia="Book Antiqua" w:hAnsi="Arial" w:cs="Arial"/>
        </w:rPr>
        <w:lastRenderedPageBreak/>
        <w:t xml:space="preserve">Cambodian users. Therefore, this study addresses the gap in empirical research by investigating the relationships among service quality, perceived convenience, customer satisfaction,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through a structural equation modelling (SEM) approach.</w:t>
      </w:r>
    </w:p>
    <w:p w14:paraId="0E1926D9" w14:textId="77777777" w:rsidR="00D638BD" w:rsidRPr="00FE45F6" w:rsidRDefault="00B24155" w:rsidP="00CE6C40">
      <w:pPr>
        <w:jc w:val="both"/>
        <w:rPr>
          <w:rFonts w:ascii="Arial" w:eastAsia="Book Antiqua" w:hAnsi="Arial" w:cs="Arial"/>
          <w:color w:val="000000" w:themeColor="text1"/>
        </w:rPr>
      </w:pPr>
      <w:r w:rsidRPr="00FE45F6">
        <w:rPr>
          <w:rFonts w:ascii="Arial" w:eastAsia="Book Antiqua" w:hAnsi="Arial" w:cs="Arial"/>
          <w:color w:val="000000" w:themeColor="text1"/>
        </w:rPr>
        <w:t xml:space="preserve">This study contributes to the scientific community by providing empirical evidence from Cambodia, an emerging market where research on customer satisfaction and reuse intention among young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users in Cambodia remains limited. It extends the online food delivery literature by integrating service quality, perceived convenience, customer satisfaction, and reuse intention into a comprehensive research model while examining the mediating role of customer satisfaction. Methodologically, this study employs SEM to validate the proposed relationships among the constructs. The findings not only provide a foundation for future comparative and cross-cultural research on customer </w:t>
      </w:r>
      <w:proofErr w:type="spellStart"/>
      <w:r w:rsidRPr="00FE45F6">
        <w:rPr>
          <w:rFonts w:ascii="Arial" w:eastAsia="Book Antiqua" w:hAnsi="Arial" w:cs="Arial"/>
          <w:color w:val="000000" w:themeColor="text1"/>
        </w:rPr>
        <w:t>behaviour</w:t>
      </w:r>
      <w:proofErr w:type="spellEnd"/>
      <w:r w:rsidRPr="00FE45F6">
        <w:rPr>
          <w:rFonts w:ascii="Arial" w:eastAsia="Book Antiqua" w:hAnsi="Arial" w:cs="Arial"/>
          <w:color w:val="000000" w:themeColor="text1"/>
        </w:rPr>
        <w:t xml:space="preserve"> in digital food delivery services but also offer practical insights for improving service performance and customer retention strategies. Overall, this study aims to investigate the effects of service quality and perceived convenience on customer satisfaction and reuse intention among young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users in Cambodia, as well as the mediating role of customer satisfaction. To achieve this purpose, the study addresses the following research questions:</w:t>
      </w:r>
    </w:p>
    <w:p w14:paraId="75F411B2" w14:textId="77777777" w:rsidR="00CE6C40" w:rsidRPr="00FE45F6" w:rsidRDefault="00CE6C40" w:rsidP="00CE6C40">
      <w:pPr>
        <w:jc w:val="both"/>
        <w:rPr>
          <w:rFonts w:ascii="Arial" w:eastAsia="Book Antiqua" w:hAnsi="Arial" w:cs="Arial"/>
          <w:color w:val="000000" w:themeColor="text1"/>
        </w:rPr>
      </w:pPr>
    </w:p>
    <w:p w14:paraId="2F57C2B7"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RQ1.</w:t>
      </w:r>
      <w:r w:rsidRPr="00FE45F6">
        <w:rPr>
          <w:rFonts w:ascii="Arial" w:eastAsia="Book Antiqua" w:hAnsi="Arial" w:cs="Arial"/>
          <w:color w:val="000000" w:themeColor="text1"/>
        </w:rPr>
        <w:t xml:space="preserve"> How does service quality influence customer satisfaction among young Cambodian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users?</w:t>
      </w:r>
    </w:p>
    <w:p w14:paraId="54D5B36E"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RQ2.</w:t>
      </w:r>
      <w:r w:rsidRPr="00FE45F6">
        <w:rPr>
          <w:rFonts w:ascii="Arial" w:eastAsia="Book Antiqua" w:hAnsi="Arial" w:cs="Arial"/>
          <w:color w:val="000000" w:themeColor="text1"/>
        </w:rPr>
        <w:t xml:space="preserve"> How does perceived convenience influence customer satisfaction among young Cambodian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users?</w:t>
      </w:r>
    </w:p>
    <w:p w14:paraId="255171B5"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RQ3.</w:t>
      </w:r>
      <w:r w:rsidRPr="00FE45F6">
        <w:rPr>
          <w:rFonts w:ascii="Arial" w:eastAsia="Book Antiqua" w:hAnsi="Arial" w:cs="Arial"/>
          <w:color w:val="000000" w:themeColor="text1"/>
        </w:rPr>
        <w:t xml:space="preserve"> How does service quality influence reuse intention towards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among young Cambodian users?</w:t>
      </w:r>
    </w:p>
    <w:p w14:paraId="4083F210"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RQ4.</w:t>
      </w:r>
      <w:r w:rsidRPr="00FE45F6">
        <w:rPr>
          <w:rFonts w:ascii="Arial" w:eastAsia="Book Antiqua" w:hAnsi="Arial" w:cs="Arial"/>
          <w:color w:val="000000" w:themeColor="text1"/>
        </w:rPr>
        <w:t xml:space="preserve"> How does perceived convenience influence reuse intention towards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among young Cambodian users?</w:t>
      </w:r>
    </w:p>
    <w:p w14:paraId="20EA2A54"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RQ5.</w:t>
      </w:r>
      <w:r w:rsidRPr="00FE45F6">
        <w:rPr>
          <w:rFonts w:ascii="Arial" w:eastAsia="Book Antiqua" w:hAnsi="Arial" w:cs="Arial"/>
          <w:color w:val="000000" w:themeColor="text1"/>
        </w:rPr>
        <w:t xml:space="preserve"> How does customer satisfaction influence reuse intention towards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among young Cambodian users?</w:t>
      </w:r>
    </w:p>
    <w:p w14:paraId="52669C2D"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RQ6.</w:t>
      </w:r>
      <w:r w:rsidRPr="00FE45F6">
        <w:rPr>
          <w:rFonts w:ascii="Arial" w:eastAsia="Book Antiqua" w:hAnsi="Arial" w:cs="Arial"/>
          <w:color w:val="000000" w:themeColor="text1"/>
        </w:rPr>
        <w:t xml:space="preserve"> How does customer satisfaction mediate the relationship between service quality and reuse intention?</w:t>
      </w:r>
    </w:p>
    <w:p w14:paraId="45824503" w14:textId="77777777" w:rsidR="00D638BD" w:rsidRPr="00FE45F6" w:rsidRDefault="00D638BD" w:rsidP="00D638BD">
      <w:pPr>
        <w:jc w:val="both"/>
        <w:rPr>
          <w:rFonts w:ascii="Arial" w:eastAsia="Book Antiqua" w:hAnsi="Arial" w:cs="Arial"/>
          <w:color w:val="000000" w:themeColor="text1"/>
        </w:rPr>
      </w:pPr>
      <w:r w:rsidRPr="00FE45F6">
        <w:rPr>
          <w:rFonts w:ascii="Arial" w:eastAsia="Book Antiqua" w:hAnsi="Arial" w:cs="Arial"/>
          <w:b/>
          <w:bCs/>
          <w:color w:val="000000" w:themeColor="text1"/>
        </w:rPr>
        <w:t>RQ7.</w:t>
      </w:r>
      <w:r w:rsidRPr="00FE45F6">
        <w:rPr>
          <w:rFonts w:ascii="Arial" w:eastAsia="Book Antiqua" w:hAnsi="Arial" w:cs="Arial"/>
          <w:color w:val="000000" w:themeColor="text1"/>
        </w:rPr>
        <w:t xml:space="preserve"> How does customer satisfaction mediate the relationship between perceived convenience and reuse intention?</w:t>
      </w:r>
    </w:p>
    <w:p w14:paraId="319E55B0" w14:textId="77777777" w:rsidR="00D638BD" w:rsidRPr="00FE45F6" w:rsidRDefault="00D638BD" w:rsidP="00D638BD">
      <w:pPr>
        <w:jc w:val="both"/>
        <w:rPr>
          <w:rFonts w:ascii="Arial" w:eastAsia="Book Antiqua" w:hAnsi="Arial" w:cs="Arial"/>
          <w:bCs/>
          <w:caps/>
          <w:color w:val="000000" w:themeColor="text1"/>
        </w:rPr>
      </w:pPr>
    </w:p>
    <w:p w14:paraId="224A135C" w14:textId="77777777" w:rsidR="009C4AE1" w:rsidRPr="00FE45F6" w:rsidRDefault="009C4AE1" w:rsidP="00D638BD">
      <w:pPr>
        <w:pStyle w:val="AbstHead"/>
        <w:spacing w:after="200"/>
        <w:jc w:val="both"/>
        <w:rPr>
          <w:rFonts w:ascii="Arial" w:hAnsi="Arial" w:cs="Arial"/>
        </w:rPr>
      </w:pPr>
      <w:r w:rsidRPr="00FE45F6">
        <w:rPr>
          <w:rFonts w:ascii="Arial" w:hAnsi="Arial" w:cs="Arial"/>
        </w:rPr>
        <w:t>II. Literature review</w:t>
      </w:r>
    </w:p>
    <w:p w14:paraId="0ED582C5" w14:textId="77777777" w:rsidR="009C4AE1" w:rsidRPr="00FE45F6" w:rsidRDefault="00B04495" w:rsidP="009C4AE1">
      <w:pPr>
        <w:spacing w:after="200"/>
        <w:jc w:val="both"/>
        <w:rPr>
          <w:rFonts w:ascii="Arial" w:eastAsia="Book Antiqua" w:hAnsi="Arial" w:cs="Arial"/>
          <w:b/>
          <w:bCs/>
          <w:sz w:val="22"/>
          <w:szCs w:val="22"/>
        </w:rPr>
      </w:pPr>
      <w:r w:rsidRPr="00FE45F6">
        <w:rPr>
          <w:rFonts w:ascii="Arial" w:eastAsia="Book Antiqua" w:hAnsi="Arial" w:cs="Arial"/>
          <w:b/>
          <w:bCs/>
          <w:sz w:val="22"/>
          <w:szCs w:val="22"/>
        </w:rPr>
        <w:t xml:space="preserve">2.1. Overview of the </w:t>
      </w:r>
      <w:proofErr w:type="spellStart"/>
      <w:r w:rsidRPr="00FE45F6">
        <w:rPr>
          <w:rFonts w:ascii="Arial" w:eastAsia="Book Antiqua" w:hAnsi="Arial" w:cs="Arial"/>
          <w:b/>
          <w:bCs/>
          <w:sz w:val="22"/>
          <w:szCs w:val="22"/>
        </w:rPr>
        <w:t>Foodpanda</w:t>
      </w:r>
      <w:proofErr w:type="spellEnd"/>
      <w:r w:rsidRPr="00FE45F6">
        <w:rPr>
          <w:rFonts w:ascii="Arial" w:eastAsia="Book Antiqua" w:hAnsi="Arial" w:cs="Arial"/>
          <w:b/>
          <w:bCs/>
          <w:sz w:val="22"/>
          <w:szCs w:val="22"/>
        </w:rPr>
        <w:t xml:space="preserve"> Platform</w:t>
      </w:r>
    </w:p>
    <w:p w14:paraId="30068AF2" w14:textId="77777777" w:rsidR="00B01A6F" w:rsidRPr="00FE45F6" w:rsidRDefault="006874B5" w:rsidP="009C4AE1">
      <w:pPr>
        <w:spacing w:after="200"/>
        <w:jc w:val="both"/>
        <w:rPr>
          <w:rFonts w:ascii="Arial" w:eastAsia="Book Antiqua" w:hAnsi="Arial" w:cs="Arial"/>
        </w:rPr>
      </w:pPr>
      <w:r w:rsidRPr="00FE45F6">
        <w:rPr>
          <w:rFonts w:ascii="Arial" w:eastAsia="Book Antiqua" w:hAnsi="Arial" w:cs="Arial"/>
        </w:rPr>
        <w:t xml:space="preserve">According to </w:t>
      </w:r>
      <w:r w:rsidRPr="00FE45F6">
        <w:rPr>
          <w:rFonts w:ascii="Arial" w:eastAsia="Book Antiqua" w:hAnsi="Arial" w:cs="Arial"/>
          <w:color w:val="0000FF"/>
        </w:rPr>
        <w:t>Kee et al. (2025)</w:t>
      </w:r>
      <w:r w:rsidRPr="00FE45F6">
        <w:rPr>
          <w:rFonts w:ascii="Arial" w:eastAsia="Book Antiqua" w:hAnsi="Arial" w:cs="Arial"/>
        </w:rPr>
        <w:t xml:space="preserve">,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is one of the leading mobile food delivery applications, transforming the way consumers access food and beverages by connecting users with a wide range of restaurants through a digital platform and providing convenient delivery services. The platform has expanded its operations to numerous developed and developing countries, including Bangladesh </w:t>
      </w:r>
      <w:r w:rsidRPr="00FE45F6">
        <w:rPr>
          <w:rFonts w:ascii="Arial" w:eastAsia="Book Antiqua" w:hAnsi="Arial" w:cs="Arial"/>
          <w:color w:val="0000FF"/>
        </w:rPr>
        <w:t>(Hasan, 2023)</w:t>
      </w:r>
      <w:r w:rsidRPr="00FE45F6">
        <w:rPr>
          <w:rFonts w:ascii="Arial" w:eastAsia="Book Antiqua" w:hAnsi="Arial" w:cs="Arial"/>
        </w:rPr>
        <w:t xml:space="preserve">, Myanmar </w:t>
      </w:r>
      <w:r w:rsidRPr="00FE45F6">
        <w:rPr>
          <w:rFonts w:ascii="Arial" w:eastAsia="Book Antiqua" w:hAnsi="Arial" w:cs="Arial"/>
          <w:color w:val="0000FF"/>
        </w:rPr>
        <w:t>(Irshad et al., 2022)</w:t>
      </w:r>
      <w:r w:rsidRPr="00FE45F6">
        <w:rPr>
          <w:rFonts w:ascii="Arial" w:eastAsia="Book Antiqua" w:hAnsi="Arial" w:cs="Arial"/>
        </w:rPr>
        <w:t xml:space="preserve">, Malaysia </w:t>
      </w:r>
      <w:r w:rsidRPr="00FE45F6">
        <w:rPr>
          <w:rFonts w:ascii="Arial" w:eastAsia="Book Antiqua" w:hAnsi="Arial" w:cs="Arial"/>
          <w:color w:val="0000FF"/>
        </w:rPr>
        <w:t>(Kee et al., 2025)</w:t>
      </w:r>
      <w:r w:rsidRPr="00FE45F6">
        <w:rPr>
          <w:rFonts w:ascii="Arial" w:eastAsia="Book Antiqua" w:hAnsi="Arial" w:cs="Arial"/>
        </w:rPr>
        <w:t xml:space="preserve">, Vietnam </w:t>
      </w:r>
      <w:r w:rsidRPr="00FE45F6">
        <w:rPr>
          <w:rFonts w:ascii="Arial" w:eastAsia="Book Antiqua" w:hAnsi="Arial" w:cs="Arial"/>
          <w:color w:val="0000FF"/>
        </w:rPr>
        <w:t>(Hieu et al., 2026)</w:t>
      </w:r>
      <w:r w:rsidRPr="00FE45F6">
        <w:rPr>
          <w:rFonts w:ascii="Arial" w:eastAsia="Book Antiqua" w:hAnsi="Arial" w:cs="Arial"/>
        </w:rPr>
        <w:t xml:space="preserve">, Thailand </w:t>
      </w:r>
      <w:r w:rsidRPr="00FE45F6">
        <w:rPr>
          <w:rFonts w:ascii="Arial" w:eastAsia="Book Antiqua" w:hAnsi="Arial" w:cs="Arial"/>
          <w:color w:val="0000FF"/>
        </w:rPr>
        <w:t>(</w:t>
      </w:r>
      <w:proofErr w:type="spellStart"/>
      <w:r w:rsidRPr="00FE45F6">
        <w:rPr>
          <w:rFonts w:ascii="Arial" w:eastAsia="Book Antiqua" w:hAnsi="Arial" w:cs="Arial"/>
          <w:color w:val="0000FF"/>
        </w:rPr>
        <w:t>Thuannadee</w:t>
      </w:r>
      <w:proofErr w:type="spellEnd"/>
      <w:r w:rsidRPr="00FE45F6">
        <w:rPr>
          <w:rFonts w:ascii="Arial" w:eastAsia="Book Antiqua" w:hAnsi="Arial" w:cs="Arial"/>
          <w:color w:val="0000FF"/>
        </w:rPr>
        <w:t xml:space="preserve"> &amp; </w:t>
      </w:r>
      <w:proofErr w:type="spellStart"/>
      <w:r w:rsidRPr="00FE45F6">
        <w:rPr>
          <w:rFonts w:ascii="Arial" w:eastAsia="Book Antiqua" w:hAnsi="Arial" w:cs="Arial"/>
          <w:color w:val="0000FF"/>
        </w:rPr>
        <w:t>Praneetpholkrang</w:t>
      </w:r>
      <w:proofErr w:type="spellEnd"/>
      <w:r w:rsidRPr="00FE45F6">
        <w:rPr>
          <w:rFonts w:ascii="Arial" w:eastAsia="Book Antiqua" w:hAnsi="Arial" w:cs="Arial"/>
          <w:color w:val="0000FF"/>
        </w:rPr>
        <w:t>, 2026)</w:t>
      </w:r>
      <w:r w:rsidRPr="00FE45F6">
        <w:rPr>
          <w:rFonts w:ascii="Arial" w:eastAsia="Book Antiqua" w:hAnsi="Arial" w:cs="Arial"/>
        </w:rPr>
        <w:t xml:space="preserve">, and Cambodia </w:t>
      </w:r>
      <w:r w:rsidRPr="00FE45F6">
        <w:rPr>
          <w:rFonts w:ascii="Arial" w:eastAsia="Book Antiqua" w:hAnsi="Arial" w:cs="Arial"/>
          <w:color w:val="0000FF"/>
        </w:rPr>
        <w:t>(Ly, 2025)</w:t>
      </w:r>
      <w:r w:rsidRPr="00FE45F6">
        <w:rPr>
          <w:rFonts w:ascii="Arial" w:eastAsia="Book Antiqua" w:hAnsi="Arial" w:cs="Arial"/>
        </w:rPr>
        <w:t xml:space="preserve">. Additionally,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provides diverse dining options, a user-friendly mobile application, and an efficient service system </w:t>
      </w:r>
      <w:r w:rsidRPr="00FE45F6">
        <w:rPr>
          <w:rFonts w:ascii="Arial" w:eastAsia="Book Antiqua" w:hAnsi="Arial" w:cs="Arial"/>
          <w:color w:val="0000FF"/>
        </w:rPr>
        <w:t>(Sabeh et al., 2021; Kee et al., 2025)</w:t>
      </w:r>
      <w:r w:rsidRPr="00FE45F6">
        <w:rPr>
          <w:rFonts w:ascii="Arial" w:eastAsia="Book Antiqua" w:hAnsi="Arial" w:cs="Arial"/>
        </w:rPr>
        <w:t xml:space="preserve">. These features have contributed to its growing popularity among users and increased competition in the online food delivery industry </w:t>
      </w:r>
      <w:r w:rsidRPr="00FE45F6">
        <w:rPr>
          <w:rFonts w:ascii="Arial" w:eastAsia="Book Antiqua" w:hAnsi="Arial" w:cs="Arial"/>
          <w:color w:val="0000FF"/>
        </w:rPr>
        <w:t>(Kee et al., 2025)</w:t>
      </w:r>
      <w:r w:rsidRPr="00FE45F6">
        <w:rPr>
          <w:rFonts w:ascii="Arial" w:eastAsia="Book Antiqua" w:hAnsi="Arial" w:cs="Arial"/>
        </w:rPr>
        <w:t xml:space="preserve">. Therefore,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has become an important context for scholars examining the factors that influence customer satisfaction with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across diverse regions, as these insights can help improve service quality and user experiences. </w:t>
      </w:r>
    </w:p>
    <w:p w14:paraId="060D356B" w14:textId="77777777" w:rsidR="00464F63" w:rsidRPr="00FE45F6" w:rsidRDefault="00464F63" w:rsidP="00464F63">
      <w:pPr>
        <w:spacing w:after="200"/>
        <w:jc w:val="both"/>
        <w:rPr>
          <w:rFonts w:ascii="Arial" w:eastAsia="Book Antiqua" w:hAnsi="Arial" w:cs="Arial"/>
        </w:rPr>
      </w:pPr>
      <w:r w:rsidRPr="00FE45F6">
        <w:rPr>
          <w:rFonts w:ascii="Arial" w:eastAsia="Book Antiqua" w:hAnsi="Arial" w:cs="Arial"/>
        </w:rPr>
        <w:t xml:space="preserve">Previous studies have identified several factors influencing customer satisfaction and use of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across different contexts. </w:t>
      </w:r>
      <w:r w:rsidRPr="00FE45F6">
        <w:rPr>
          <w:rFonts w:ascii="Arial" w:eastAsia="Book Antiqua" w:hAnsi="Arial" w:cs="Arial"/>
          <w:color w:val="0000FF"/>
        </w:rPr>
        <w:t>Liu et al. (2021)</w:t>
      </w:r>
      <w:r w:rsidRPr="00FE45F6">
        <w:rPr>
          <w:rFonts w:ascii="Arial" w:eastAsia="Book Antiqua" w:hAnsi="Arial" w:cs="Arial"/>
        </w:rPr>
        <w:t xml:space="preserve">, using data from 256 users in Taiwan, </w:t>
      </w:r>
      <w:r w:rsidRPr="00FE45F6">
        <w:rPr>
          <w:rFonts w:ascii="Arial" w:eastAsia="Book Antiqua" w:hAnsi="Arial" w:cs="Arial"/>
        </w:rPr>
        <w:lastRenderedPageBreak/>
        <w:t xml:space="preserve">found that most service elements met customers' expectations and contributed to high satisfaction. Similarly, </w:t>
      </w:r>
      <w:r w:rsidRPr="00FE45F6">
        <w:rPr>
          <w:rFonts w:ascii="Arial" w:eastAsia="Book Antiqua" w:hAnsi="Arial" w:cs="Arial"/>
          <w:color w:val="0000FF"/>
        </w:rPr>
        <w:t>Hasan (2023)</w:t>
      </w:r>
      <w:r w:rsidRPr="00FE45F6">
        <w:rPr>
          <w:rFonts w:ascii="Arial" w:eastAsia="Book Antiqua" w:hAnsi="Arial" w:cs="Arial"/>
        </w:rPr>
        <w:t xml:space="preserve">, based on 388 users in Bangladesh, reported that perceived usefulness, perceived ease of use, and convenience significantly influenced customers' intentions to use the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mobile application. Likewise, </w:t>
      </w:r>
      <w:r w:rsidRPr="00FE45F6">
        <w:rPr>
          <w:rFonts w:ascii="Arial" w:eastAsia="Book Antiqua" w:hAnsi="Arial" w:cs="Arial"/>
          <w:color w:val="0000FF"/>
        </w:rPr>
        <w:t xml:space="preserve">Irshad et al. (2022) </w:t>
      </w:r>
      <w:r w:rsidRPr="00FE45F6">
        <w:rPr>
          <w:rFonts w:ascii="Arial" w:eastAsia="Book Antiqua" w:hAnsi="Arial" w:cs="Arial"/>
        </w:rPr>
        <w:t xml:space="preserve">found that service quality, food quality, service provider quality, and application quality significantly enhanced customer satisfaction among 280 users in Myanmar. Furthermore, </w:t>
      </w:r>
      <w:r w:rsidRPr="00FE45F6">
        <w:rPr>
          <w:rFonts w:ascii="Arial" w:eastAsia="Book Antiqua" w:hAnsi="Arial" w:cs="Arial"/>
          <w:color w:val="0000FF"/>
        </w:rPr>
        <w:t xml:space="preserve">Mohd </w:t>
      </w:r>
      <w:proofErr w:type="spellStart"/>
      <w:r w:rsidRPr="00FE45F6">
        <w:rPr>
          <w:rFonts w:ascii="Arial" w:eastAsia="Book Antiqua" w:hAnsi="Arial" w:cs="Arial"/>
          <w:color w:val="0000FF"/>
        </w:rPr>
        <w:t>Sidik</w:t>
      </w:r>
      <w:proofErr w:type="spellEnd"/>
      <w:r w:rsidRPr="00FE45F6">
        <w:rPr>
          <w:rFonts w:ascii="Arial" w:eastAsia="Book Antiqua" w:hAnsi="Arial" w:cs="Arial"/>
          <w:color w:val="0000FF"/>
        </w:rPr>
        <w:t xml:space="preserve"> et al. (2025)</w:t>
      </w:r>
      <w:r w:rsidRPr="00FE45F6">
        <w:rPr>
          <w:rFonts w:ascii="Arial" w:eastAsia="Book Antiqua" w:hAnsi="Arial" w:cs="Arial"/>
        </w:rPr>
        <w:t xml:space="preserve">, surveying 136 student users in Malaysia, identified application design, security, food quality, and delivery service as significant determinants of customer satisfaction. These findings suggest that customer satisfaction with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is shaped by multiple service-related factors, highlighting the importance of further examining these relationships across different contexts.</w:t>
      </w:r>
    </w:p>
    <w:p w14:paraId="43C6F2A2" w14:textId="77777777" w:rsidR="00F76A9D" w:rsidRPr="00FE45F6" w:rsidRDefault="00903A84" w:rsidP="00903A84">
      <w:pPr>
        <w:spacing w:after="200"/>
        <w:jc w:val="both"/>
        <w:rPr>
          <w:rFonts w:ascii="Arial" w:eastAsia="Book Antiqua" w:hAnsi="Arial" w:cs="Arial"/>
          <w:color w:val="000000" w:themeColor="text1"/>
        </w:rPr>
      </w:pPr>
      <w:r w:rsidRPr="00FE45F6">
        <w:rPr>
          <w:rFonts w:ascii="Arial" w:eastAsia="Book Antiqua" w:hAnsi="Arial" w:cs="Arial"/>
        </w:rPr>
        <w:t xml:space="preserve">In the Cambodian context, empirical studies on online food delivery services have increased; however, research on customer </w:t>
      </w:r>
      <w:proofErr w:type="spellStart"/>
      <w:r w:rsidRPr="00FE45F6">
        <w:rPr>
          <w:rFonts w:ascii="Arial" w:eastAsia="Book Antiqua" w:hAnsi="Arial" w:cs="Arial"/>
        </w:rPr>
        <w:t>behaviour</w:t>
      </w:r>
      <w:proofErr w:type="spellEnd"/>
      <w:r w:rsidRPr="00FE45F6">
        <w:rPr>
          <w:rFonts w:ascii="Arial" w:eastAsia="Book Antiqua" w:hAnsi="Arial" w:cs="Arial"/>
        </w:rPr>
        <w:t xml:space="preserve"> in relation to specific platforms remains limited. </w:t>
      </w:r>
      <w:r w:rsidRPr="00FE45F6">
        <w:rPr>
          <w:rFonts w:ascii="Arial" w:eastAsia="Book Antiqua" w:hAnsi="Arial" w:cs="Arial"/>
          <w:color w:val="0000FF"/>
        </w:rPr>
        <w:t>Ren et al. (2020)</w:t>
      </w:r>
      <w:r w:rsidRPr="00FE45F6">
        <w:rPr>
          <w:rFonts w:ascii="Arial" w:eastAsia="Book Antiqua" w:hAnsi="Arial" w:cs="Arial"/>
        </w:rPr>
        <w:t xml:space="preserve"> examined adoption intention, highlighting the roles of performance expectancy and perceived ease of use. </w:t>
      </w:r>
      <w:r w:rsidRPr="00FE45F6">
        <w:rPr>
          <w:rFonts w:ascii="Arial" w:eastAsia="Book Antiqua" w:hAnsi="Arial" w:cs="Arial"/>
          <w:color w:val="0000FF"/>
        </w:rPr>
        <w:t xml:space="preserve">Dareth et al. (2024) </w:t>
      </w:r>
      <w:r w:rsidRPr="00FE45F6">
        <w:rPr>
          <w:rFonts w:ascii="Arial" w:eastAsia="Book Antiqua" w:hAnsi="Arial" w:cs="Arial"/>
        </w:rPr>
        <w:t xml:space="preserve">and </w:t>
      </w:r>
      <w:r w:rsidRPr="00FE45F6">
        <w:rPr>
          <w:rFonts w:ascii="Arial" w:eastAsia="Book Antiqua" w:hAnsi="Arial" w:cs="Arial"/>
          <w:color w:val="0000FF"/>
        </w:rPr>
        <w:t xml:space="preserve">Ly (2025) </w:t>
      </w:r>
      <w:r w:rsidRPr="00FE45F6">
        <w:rPr>
          <w:rFonts w:ascii="Arial" w:eastAsia="Book Antiqua" w:hAnsi="Arial" w:cs="Arial"/>
        </w:rPr>
        <w:t xml:space="preserve">further identified the importance of trust, service quality, and convenience in shaping customer satisfaction and </w:t>
      </w:r>
      <w:r w:rsidRPr="00FE45F6">
        <w:rPr>
          <w:rFonts w:ascii="Arial" w:eastAsia="Book Antiqua" w:hAnsi="Arial" w:cs="Arial"/>
          <w:color w:val="000000" w:themeColor="text1"/>
        </w:rPr>
        <w:t xml:space="preserve">repurchase intention. However, previous studies have mainly focused on users of online food delivery services generally rather than young users, examined the industry broadly rather than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specifically, and provided limited SEM-based evidence on the relationships among service quality, perceived convenience, customer satisfaction, and reuse intention. </w:t>
      </w:r>
    </w:p>
    <w:p w14:paraId="4257037F" w14:textId="77777777" w:rsidR="009C4AE1" w:rsidRPr="00FE45F6" w:rsidRDefault="006966B5" w:rsidP="00903A84">
      <w:pPr>
        <w:spacing w:after="200"/>
        <w:jc w:val="both"/>
        <w:rPr>
          <w:rFonts w:ascii="Arial" w:eastAsia="Book Antiqua" w:hAnsi="Arial" w:cs="Arial"/>
          <w:color w:val="000000" w:themeColor="text1"/>
        </w:rPr>
      </w:pPr>
      <w:r w:rsidRPr="00FE45F6">
        <w:rPr>
          <w:rFonts w:ascii="Arial" w:eastAsia="Book Antiqua" w:hAnsi="Arial" w:cs="Arial"/>
          <w:color w:val="000000" w:themeColor="text1"/>
        </w:rPr>
        <w:t xml:space="preserve">Therefore, this study develops an SEM framework to examine these relationships among young </w:t>
      </w:r>
      <w:proofErr w:type="spellStart"/>
      <w:r w:rsidRPr="00FE45F6">
        <w:rPr>
          <w:rFonts w:ascii="Arial" w:eastAsia="Book Antiqua" w:hAnsi="Arial" w:cs="Arial"/>
          <w:color w:val="000000" w:themeColor="text1"/>
        </w:rPr>
        <w:t>Foodpanda</w:t>
      </w:r>
      <w:proofErr w:type="spellEnd"/>
      <w:r w:rsidRPr="00FE45F6">
        <w:rPr>
          <w:rFonts w:ascii="Arial" w:eastAsia="Book Antiqua" w:hAnsi="Arial" w:cs="Arial"/>
          <w:color w:val="000000" w:themeColor="text1"/>
        </w:rPr>
        <w:t xml:space="preserve"> users in Cambodia, providing conceptual, contextual, and methodological insights into digital food delivery services. The framework includes service quality, perceived convenience, customer satisfaction, and reuse intention. It specifically explores how service quality and perceived convenience affect customer satisfaction, and how these, along with customer satisfaction, influence reuse intention. In addition, customer satisfaction is proposed to mediate the relationships between service quality and reuse intention, as well as between perceived convenience and reuse intention. This study offers valuable insights into digital food delivery services.</w:t>
      </w:r>
    </w:p>
    <w:p w14:paraId="1F2E0664" w14:textId="77777777" w:rsidR="00903A84" w:rsidRPr="00FE45F6" w:rsidRDefault="005D397A" w:rsidP="00903A84">
      <w:pPr>
        <w:spacing w:after="200"/>
        <w:jc w:val="both"/>
        <w:rPr>
          <w:rFonts w:ascii="Arial" w:eastAsia="Book Antiqua" w:hAnsi="Arial" w:cs="Arial"/>
          <w:b/>
          <w:bCs/>
          <w:sz w:val="22"/>
          <w:szCs w:val="22"/>
        </w:rPr>
      </w:pPr>
      <w:r w:rsidRPr="00FE45F6">
        <w:rPr>
          <w:rFonts w:ascii="Arial" w:eastAsia="Book Antiqua" w:hAnsi="Arial" w:cs="Arial"/>
          <w:b/>
          <w:bCs/>
          <w:sz w:val="22"/>
          <w:szCs w:val="22"/>
        </w:rPr>
        <w:t>2.2. Theoretical Foundations</w:t>
      </w:r>
    </w:p>
    <w:p w14:paraId="43B7E958" w14:textId="77777777" w:rsidR="001A6DBE" w:rsidRPr="00FE45F6" w:rsidRDefault="00C62745" w:rsidP="00903A84">
      <w:pPr>
        <w:spacing w:after="200"/>
        <w:jc w:val="both"/>
        <w:rPr>
          <w:rFonts w:ascii="Arial" w:eastAsia="Book Antiqua" w:hAnsi="Arial" w:cs="Arial"/>
        </w:rPr>
      </w:pPr>
      <w:r w:rsidRPr="00FE45F6">
        <w:rPr>
          <w:rFonts w:ascii="Arial" w:eastAsia="Book Antiqua" w:hAnsi="Arial" w:cs="Arial"/>
        </w:rPr>
        <w:t xml:space="preserve">This study is theoretically grounded in the Service Quality Theory (SERVQUAL) </w:t>
      </w:r>
      <w:r w:rsidRPr="00FE45F6">
        <w:rPr>
          <w:rFonts w:ascii="Arial" w:eastAsia="Book Antiqua" w:hAnsi="Arial" w:cs="Arial"/>
          <w:color w:val="0000FF"/>
        </w:rPr>
        <w:t>(Parasuraman et al., 1988)</w:t>
      </w:r>
      <w:r w:rsidRPr="00FE45F6">
        <w:rPr>
          <w:rFonts w:ascii="Arial" w:eastAsia="Book Antiqua" w:hAnsi="Arial" w:cs="Arial"/>
        </w:rPr>
        <w:t xml:space="preserve"> and the Expectation-Confirmation Model (ECM) </w:t>
      </w:r>
      <w:r w:rsidRPr="00FE45F6">
        <w:rPr>
          <w:rFonts w:ascii="Arial" w:eastAsia="Book Antiqua" w:hAnsi="Arial" w:cs="Arial"/>
          <w:color w:val="0000FF"/>
        </w:rPr>
        <w:t>(</w:t>
      </w:r>
      <w:proofErr w:type="spellStart"/>
      <w:r w:rsidRPr="00FE45F6">
        <w:rPr>
          <w:rFonts w:ascii="Arial" w:eastAsia="Book Antiqua" w:hAnsi="Arial" w:cs="Arial"/>
          <w:color w:val="0000FF"/>
        </w:rPr>
        <w:t>Bhattacherjee</w:t>
      </w:r>
      <w:proofErr w:type="spellEnd"/>
      <w:r w:rsidRPr="00FE45F6">
        <w:rPr>
          <w:rFonts w:ascii="Arial" w:eastAsia="Book Antiqua" w:hAnsi="Arial" w:cs="Arial"/>
          <w:color w:val="0000FF"/>
        </w:rPr>
        <w:t>, 2001)</w:t>
      </w:r>
      <w:r w:rsidRPr="00FE45F6">
        <w:rPr>
          <w:rFonts w:ascii="Arial" w:eastAsia="Book Antiqua" w:hAnsi="Arial" w:cs="Arial"/>
        </w:rPr>
        <w:t xml:space="preserve">, which collectively explain how service experiences influence customers’ post-adoption </w:t>
      </w:r>
      <w:proofErr w:type="spellStart"/>
      <w:r w:rsidRPr="00FE45F6">
        <w:rPr>
          <w:rFonts w:ascii="Arial" w:eastAsia="Book Antiqua" w:hAnsi="Arial" w:cs="Arial"/>
        </w:rPr>
        <w:t>behaviours</w:t>
      </w:r>
      <w:proofErr w:type="spellEnd"/>
      <w:r w:rsidRPr="00FE45F6">
        <w:rPr>
          <w:rFonts w:ascii="Arial" w:eastAsia="Book Antiqua" w:hAnsi="Arial" w:cs="Arial"/>
        </w:rPr>
        <w:t xml:space="preserve">. SERVQUAL </w:t>
      </w:r>
      <w:proofErr w:type="spellStart"/>
      <w:r w:rsidRPr="00FE45F6">
        <w:rPr>
          <w:rFonts w:ascii="Arial" w:eastAsia="Book Antiqua" w:hAnsi="Arial" w:cs="Arial"/>
        </w:rPr>
        <w:t>emphasises</w:t>
      </w:r>
      <w:proofErr w:type="spellEnd"/>
      <w:r w:rsidRPr="00FE45F6">
        <w:rPr>
          <w:rFonts w:ascii="Arial" w:eastAsia="Book Antiqua" w:hAnsi="Arial" w:cs="Arial"/>
        </w:rPr>
        <w:t xml:space="preserve"> that customers evaluate service quality based on their perceptions of service performance, including reliability, responsiveness, assurance, empathy, and tangibility </w:t>
      </w:r>
      <w:r w:rsidRPr="00FE45F6">
        <w:rPr>
          <w:rFonts w:ascii="Arial" w:eastAsia="Book Antiqua" w:hAnsi="Arial" w:cs="Arial"/>
          <w:color w:val="0000FF"/>
        </w:rPr>
        <w:t>(Parasuraman et al., 1988)</w:t>
      </w:r>
      <w:r w:rsidRPr="00FE45F6">
        <w:rPr>
          <w:rFonts w:ascii="Arial" w:eastAsia="Book Antiqua" w:hAnsi="Arial" w:cs="Arial"/>
        </w:rPr>
        <w:t xml:space="preserve">. In digital service contexts, service quality and perceived convenience represent important experiential factors that shape customer satisfaction </w:t>
      </w:r>
      <w:r w:rsidRPr="00FE45F6">
        <w:rPr>
          <w:rFonts w:ascii="Arial" w:eastAsia="Book Antiqua" w:hAnsi="Arial" w:cs="Arial"/>
          <w:color w:val="0000FF"/>
        </w:rPr>
        <w:t>(Parasuraman et al., 1988)</w:t>
      </w:r>
      <w:r w:rsidRPr="00FE45F6">
        <w:rPr>
          <w:rFonts w:ascii="Arial" w:eastAsia="Book Antiqua" w:hAnsi="Arial" w:cs="Arial"/>
        </w:rPr>
        <w:t xml:space="preserve">. Meanwhile, ECM explains how satisfaction arising from actual usage experiences influences customers’ intention to continue using a service </w:t>
      </w:r>
      <w:r w:rsidRPr="00FE45F6">
        <w:rPr>
          <w:rFonts w:ascii="Arial" w:eastAsia="Book Antiqua" w:hAnsi="Arial" w:cs="Arial"/>
          <w:color w:val="0000FF"/>
        </w:rPr>
        <w:t>(</w:t>
      </w:r>
      <w:proofErr w:type="spellStart"/>
      <w:r w:rsidRPr="00FE45F6">
        <w:rPr>
          <w:rFonts w:ascii="Arial" w:eastAsia="Book Antiqua" w:hAnsi="Arial" w:cs="Arial"/>
          <w:color w:val="0000FF"/>
        </w:rPr>
        <w:t>Bhattacherjee</w:t>
      </w:r>
      <w:proofErr w:type="spellEnd"/>
      <w:r w:rsidRPr="00FE45F6">
        <w:rPr>
          <w:rFonts w:ascii="Arial" w:eastAsia="Book Antiqua" w:hAnsi="Arial" w:cs="Arial"/>
          <w:color w:val="0000FF"/>
        </w:rPr>
        <w:t>, 2001)</w:t>
      </w:r>
      <w:r w:rsidRPr="00FE45F6">
        <w:rPr>
          <w:rFonts w:ascii="Arial" w:eastAsia="Book Antiqua" w:hAnsi="Arial" w:cs="Arial"/>
        </w:rPr>
        <w:t xml:space="preserve">. </w:t>
      </w:r>
    </w:p>
    <w:p w14:paraId="017FA599" w14:textId="42215B8B" w:rsidR="004A0152" w:rsidRPr="00FE45F6" w:rsidRDefault="004A0152" w:rsidP="00903A84">
      <w:pPr>
        <w:spacing w:after="200"/>
        <w:jc w:val="both"/>
        <w:rPr>
          <w:rFonts w:ascii="Arial" w:eastAsia="Book Antiqua" w:hAnsi="Arial" w:cs="Arial"/>
        </w:rPr>
      </w:pPr>
      <w:r w:rsidRPr="00FE45F6">
        <w:rPr>
          <w:rFonts w:ascii="Arial" w:eastAsia="Book Antiqua" w:hAnsi="Arial" w:cs="Arial"/>
        </w:rPr>
        <w:t xml:space="preserve">Several studies have applied the SERVQUAL model to examine service quality and customer satisfaction across various contexts, including mobile banking in Vietnam </w:t>
      </w:r>
      <w:r w:rsidRPr="00FE45F6">
        <w:rPr>
          <w:rFonts w:ascii="Arial" w:eastAsia="Book Antiqua" w:hAnsi="Arial" w:cs="Arial"/>
          <w:color w:val="0000FF"/>
        </w:rPr>
        <w:t>(Tran et al., 2022)</w:t>
      </w:r>
      <w:r w:rsidRPr="00FE45F6">
        <w:rPr>
          <w:rFonts w:ascii="Arial" w:eastAsia="Book Antiqua" w:hAnsi="Arial" w:cs="Arial"/>
        </w:rPr>
        <w:t xml:space="preserve">, insurance services in Pakistan </w:t>
      </w:r>
      <w:r w:rsidRPr="00FE45F6">
        <w:rPr>
          <w:rFonts w:ascii="Arial" w:eastAsia="Book Antiqua" w:hAnsi="Arial" w:cs="Arial"/>
          <w:color w:val="0000FF"/>
        </w:rPr>
        <w:t>(Rehman et al., 2020)</w:t>
      </w:r>
      <w:r w:rsidRPr="00FE45F6">
        <w:rPr>
          <w:rFonts w:ascii="Arial" w:eastAsia="Book Antiqua" w:hAnsi="Arial" w:cs="Arial"/>
        </w:rPr>
        <w:t xml:space="preserve">, and debit card usage in Cambodia </w:t>
      </w:r>
      <w:r w:rsidRPr="00FE45F6">
        <w:rPr>
          <w:rFonts w:ascii="Arial" w:eastAsia="Book Antiqua" w:hAnsi="Arial" w:cs="Arial"/>
          <w:color w:val="0000FF"/>
        </w:rPr>
        <w:t>(Kriss et al., 2023)</w:t>
      </w:r>
      <w:r w:rsidRPr="00FE45F6">
        <w:rPr>
          <w:rFonts w:ascii="Arial" w:eastAsia="Book Antiqua" w:hAnsi="Arial" w:cs="Arial"/>
        </w:rPr>
        <w:t xml:space="preserve">. Similarly, the ECM framework has been used to explain continuance </w:t>
      </w:r>
      <w:proofErr w:type="spellStart"/>
      <w:r w:rsidRPr="00FE45F6">
        <w:rPr>
          <w:rFonts w:ascii="Arial" w:eastAsia="Book Antiqua" w:hAnsi="Arial" w:cs="Arial"/>
        </w:rPr>
        <w:t>behaviour</w:t>
      </w:r>
      <w:proofErr w:type="spellEnd"/>
      <w:r w:rsidRPr="00FE45F6">
        <w:rPr>
          <w:rFonts w:ascii="Arial" w:eastAsia="Book Antiqua" w:hAnsi="Arial" w:cs="Arial"/>
        </w:rPr>
        <w:t xml:space="preserve"> among mobile banking users in Indonesia </w:t>
      </w:r>
      <w:r w:rsidRPr="00FE45F6">
        <w:rPr>
          <w:rFonts w:ascii="Arial" w:eastAsia="Book Antiqua" w:hAnsi="Arial" w:cs="Arial"/>
          <w:color w:val="0000FF"/>
        </w:rPr>
        <w:t>(</w:t>
      </w:r>
      <w:proofErr w:type="spellStart"/>
      <w:r w:rsidRPr="00FE45F6">
        <w:rPr>
          <w:rFonts w:ascii="Arial" w:eastAsia="Book Antiqua" w:hAnsi="Arial" w:cs="Arial"/>
          <w:color w:val="0000FF"/>
        </w:rPr>
        <w:t>Neviana</w:t>
      </w:r>
      <w:proofErr w:type="spellEnd"/>
      <w:r w:rsidRPr="00FE45F6">
        <w:rPr>
          <w:rFonts w:ascii="Arial" w:eastAsia="Book Antiqua" w:hAnsi="Arial" w:cs="Arial"/>
          <w:color w:val="0000FF"/>
        </w:rPr>
        <w:t xml:space="preserve"> &amp; </w:t>
      </w:r>
      <w:proofErr w:type="spellStart"/>
      <w:r w:rsidRPr="00FE45F6">
        <w:rPr>
          <w:rFonts w:ascii="Arial" w:eastAsia="Book Antiqua" w:hAnsi="Arial" w:cs="Arial"/>
          <w:color w:val="0000FF"/>
        </w:rPr>
        <w:t>Warganegara</w:t>
      </w:r>
      <w:proofErr w:type="spellEnd"/>
      <w:r w:rsidRPr="00FE45F6">
        <w:rPr>
          <w:rFonts w:ascii="Arial" w:eastAsia="Book Antiqua" w:hAnsi="Arial" w:cs="Arial"/>
          <w:color w:val="0000FF"/>
        </w:rPr>
        <w:t xml:space="preserve">, 2026) </w:t>
      </w:r>
      <w:r w:rsidRPr="00FE45F6">
        <w:rPr>
          <w:rFonts w:ascii="Arial" w:eastAsia="Book Antiqua" w:hAnsi="Arial" w:cs="Arial"/>
        </w:rPr>
        <w:t xml:space="preserve">and automotive customers in Malaysia </w:t>
      </w:r>
      <w:r w:rsidRPr="00FE45F6">
        <w:rPr>
          <w:rFonts w:ascii="Arial" w:eastAsia="Book Antiqua" w:hAnsi="Arial" w:cs="Arial"/>
          <w:color w:val="0000FF"/>
        </w:rPr>
        <w:t>(Rahman &amp; Saidin, 2025)</w:t>
      </w:r>
      <w:r w:rsidRPr="00FE45F6">
        <w:rPr>
          <w:rFonts w:ascii="Arial" w:eastAsia="Book Antiqua" w:hAnsi="Arial" w:cs="Arial"/>
        </w:rPr>
        <w:t xml:space="preserve">. These applications highlight the relevance of SERVQUAL and ECM in explaining customer evaluations, satisfaction, and post-adoption </w:t>
      </w:r>
      <w:proofErr w:type="spellStart"/>
      <w:r w:rsidRPr="00FE45F6">
        <w:rPr>
          <w:rFonts w:ascii="Arial" w:eastAsia="Book Antiqua" w:hAnsi="Arial" w:cs="Arial"/>
        </w:rPr>
        <w:t>behaviours</w:t>
      </w:r>
      <w:proofErr w:type="spellEnd"/>
      <w:r w:rsidRPr="00FE45F6">
        <w:rPr>
          <w:rFonts w:ascii="Arial" w:eastAsia="Book Antiqua" w:hAnsi="Arial" w:cs="Arial"/>
        </w:rPr>
        <w:t xml:space="preserve">. Therefore, this study integrates key indicators from both frameworks to </w:t>
      </w:r>
      <w:r w:rsidRPr="00FE45F6">
        <w:rPr>
          <w:rFonts w:ascii="Arial" w:eastAsia="Book Antiqua" w:hAnsi="Arial" w:cs="Arial"/>
        </w:rPr>
        <w:lastRenderedPageBreak/>
        <w:t xml:space="preserve">examine how service quality and perceived convenience influence customer satisfaction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19007CC8" w14:textId="77777777" w:rsidR="008A5A4C" w:rsidRPr="00FE45F6" w:rsidRDefault="008A5A4C" w:rsidP="008A5A4C">
      <w:pPr>
        <w:spacing w:after="200"/>
        <w:jc w:val="both"/>
        <w:rPr>
          <w:rFonts w:ascii="Arial" w:eastAsia="Book Antiqua" w:hAnsi="Arial" w:cs="Arial"/>
          <w:b/>
          <w:bCs/>
          <w:sz w:val="22"/>
          <w:szCs w:val="22"/>
        </w:rPr>
      </w:pPr>
      <w:r w:rsidRPr="00FE45F6">
        <w:rPr>
          <w:rFonts w:ascii="Arial" w:eastAsia="Book Antiqua" w:hAnsi="Arial" w:cs="Arial"/>
          <w:b/>
          <w:bCs/>
          <w:sz w:val="22"/>
          <w:szCs w:val="22"/>
        </w:rPr>
        <w:t>2.3. Hypothesis Development</w:t>
      </w:r>
    </w:p>
    <w:p w14:paraId="42BFBFDA" w14:textId="77777777" w:rsidR="008A5A4C" w:rsidRPr="00FE45F6" w:rsidRDefault="008A5A4C" w:rsidP="00903A84">
      <w:pPr>
        <w:spacing w:after="200"/>
        <w:jc w:val="both"/>
        <w:rPr>
          <w:rFonts w:ascii="Arial" w:eastAsia="Book Antiqua" w:hAnsi="Arial" w:cs="Arial"/>
        </w:rPr>
      </w:pPr>
      <w:r w:rsidRPr="00FE45F6">
        <w:rPr>
          <w:rFonts w:ascii="Arial" w:eastAsia="Book Antiqua" w:hAnsi="Arial" w:cs="Arial"/>
        </w:rPr>
        <w:t xml:space="preserve">2.3.1. Service Quality and Customer Satisfaction </w:t>
      </w:r>
    </w:p>
    <w:p w14:paraId="512FE034" w14:textId="77777777" w:rsidR="00144ECF" w:rsidRPr="00FE45F6" w:rsidRDefault="00144ECF" w:rsidP="00144ECF">
      <w:pPr>
        <w:jc w:val="both"/>
        <w:rPr>
          <w:rFonts w:ascii="Arial" w:eastAsia="Book Antiqua" w:hAnsi="Arial" w:cs="Arial"/>
        </w:rPr>
      </w:pPr>
      <w:r w:rsidRPr="00FE45F6">
        <w:rPr>
          <w:rFonts w:ascii="Arial" w:eastAsia="Book Antiqua" w:hAnsi="Arial" w:cs="Arial"/>
        </w:rPr>
        <w:t xml:space="preserve">Service quality represents a critical dimension of customer experience, reflecting customers’ evaluations of a firm’s ability to provide reliable, responsive, and value-added services </w:t>
      </w:r>
      <w:r w:rsidRPr="00FE45F6">
        <w:rPr>
          <w:rFonts w:ascii="Arial" w:eastAsia="Book Antiqua" w:hAnsi="Arial" w:cs="Arial"/>
          <w:color w:val="0000FF"/>
        </w:rPr>
        <w:t xml:space="preserve">(Mukuka &amp; </w:t>
      </w:r>
      <w:proofErr w:type="spellStart"/>
      <w:r w:rsidRPr="00FE45F6">
        <w:rPr>
          <w:rFonts w:ascii="Arial" w:eastAsia="Book Antiqua" w:hAnsi="Arial" w:cs="Arial"/>
          <w:color w:val="0000FF"/>
        </w:rPr>
        <w:t>Chasha</w:t>
      </w:r>
      <w:proofErr w:type="spellEnd"/>
      <w:r w:rsidRPr="00FE45F6">
        <w:rPr>
          <w:rFonts w:ascii="Arial" w:eastAsia="Book Antiqua" w:hAnsi="Arial" w:cs="Arial"/>
          <w:color w:val="0000FF"/>
        </w:rPr>
        <w:t>, 2025)</w:t>
      </w:r>
      <w:r w:rsidRPr="00FE45F6">
        <w:rPr>
          <w:rFonts w:ascii="Arial" w:eastAsia="Book Antiqua" w:hAnsi="Arial" w:cs="Arial"/>
          <w:color w:val="000000" w:themeColor="text1"/>
        </w:rPr>
        <w:t>.</w:t>
      </w:r>
      <w:r w:rsidRPr="00FE45F6">
        <w:rPr>
          <w:rFonts w:ascii="Arial" w:eastAsia="Book Antiqua" w:hAnsi="Arial" w:cs="Arial"/>
        </w:rPr>
        <w:t xml:space="preserve"> In the context of online food delivery platforms, service providers continuously improve their service performance to meet customer expectations and enhance satisfaction</w:t>
      </w:r>
      <w:r w:rsidR="00CF53BE" w:rsidRPr="00FE45F6">
        <w:rPr>
          <w:rFonts w:ascii="Arial" w:eastAsia="Book Antiqua" w:hAnsi="Arial" w:cs="Arial"/>
        </w:rPr>
        <w:t xml:space="preserve"> </w:t>
      </w:r>
      <w:r w:rsidR="00CF53BE" w:rsidRPr="00FE45F6">
        <w:rPr>
          <w:rFonts w:ascii="Arial" w:eastAsia="Book Antiqua" w:hAnsi="Arial" w:cs="Arial"/>
          <w:color w:val="0000FF"/>
        </w:rPr>
        <w:t xml:space="preserve">(Mohd </w:t>
      </w:r>
      <w:proofErr w:type="spellStart"/>
      <w:r w:rsidR="00CF53BE" w:rsidRPr="00FE45F6">
        <w:rPr>
          <w:rFonts w:ascii="Arial" w:eastAsia="Book Antiqua" w:hAnsi="Arial" w:cs="Arial"/>
          <w:color w:val="0000FF"/>
        </w:rPr>
        <w:t>Sidik</w:t>
      </w:r>
      <w:proofErr w:type="spellEnd"/>
      <w:r w:rsidR="00CF53BE" w:rsidRPr="00FE45F6">
        <w:rPr>
          <w:rFonts w:ascii="Arial" w:eastAsia="Book Antiqua" w:hAnsi="Arial" w:cs="Arial"/>
          <w:color w:val="0000FF"/>
        </w:rPr>
        <w:t xml:space="preserve"> et al., 2025)</w:t>
      </w:r>
      <w:r w:rsidRPr="00FE45F6">
        <w:rPr>
          <w:rFonts w:ascii="Arial" w:eastAsia="Book Antiqua" w:hAnsi="Arial" w:cs="Arial"/>
        </w:rPr>
        <w:t xml:space="preserve">. Service quality is shaped by various factors, including delivery reliability, application performance, order accuracy, and overall service experience, which significantly influence customers’ perceptions and satisfaction </w:t>
      </w:r>
      <w:r w:rsidRPr="00FE45F6">
        <w:rPr>
          <w:rFonts w:ascii="Arial" w:eastAsia="Book Antiqua" w:hAnsi="Arial" w:cs="Arial"/>
          <w:color w:val="0000FF"/>
        </w:rPr>
        <w:t>(Irshad et al., 2022; Lin et al., 2024)</w:t>
      </w:r>
      <w:r w:rsidRPr="00FE45F6">
        <w:rPr>
          <w:rFonts w:ascii="Arial" w:eastAsia="Book Antiqua" w:hAnsi="Arial" w:cs="Arial"/>
          <w:color w:val="000000" w:themeColor="text1"/>
        </w:rPr>
        <w:t>.</w:t>
      </w:r>
      <w:r w:rsidRPr="00FE45F6">
        <w:rPr>
          <w:rFonts w:ascii="Arial" w:eastAsia="Book Antiqua" w:hAnsi="Arial" w:cs="Arial"/>
        </w:rPr>
        <w:t xml:space="preserve"> Therefore, customers who perceive higher service quality are more likely to develop greater satisfaction with food delivery applications</w:t>
      </w:r>
      <w:r w:rsidR="00CF53BE" w:rsidRPr="00FE45F6">
        <w:rPr>
          <w:rFonts w:ascii="Arial" w:eastAsia="Book Antiqua" w:hAnsi="Arial" w:cs="Arial"/>
        </w:rPr>
        <w:t xml:space="preserve"> </w:t>
      </w:r>
      <w:r w:rsidR="00CF53BE" w:rsidRPr="00FE45F6">
        <w:rPr>
          <w:rFonts w:ascii="Arial" w:eastAsia="Book Antiqua" w:hAnsi="Arial" w:cs="Arial"/>
          <w:color w:val="0000FF"/>
        </w:rPr>
        <w:t>(Irshad et al., 2022; Lin et al., 2024)</w:t>
      </w:r>
      <w:r w:rsidRPr="00FE45F6">
        <w:rPr>
          <w:rFonts w:ascii="Arial" w:eastAsia="Book Antiqua" w:hAnsi="Arial" w:cs="Arial"/>
        </w:rPr>
        <w:t>. Accordingly, this study proposes the following hypothesis:</w:t>
      </w:r>
    </w:p>
    <w:p w14:paraId="34B9107F" w14:textId="77777777" w:rsidR="005624D1" w:rsidRPr="00FE45F6" w:rsidRDefault="00144ECF" w:rsidP="001C2BE8">
      <w:pPr>
        <w:jc w:val="both"/>
        <w:rPr>
          <w:rFonts w:ascii="Arial" w:eastAsia="Book Antiqua" w:hAnsi="Arial" w:cs="Arial"/>
        </w:rPr>
      </w:pPr>
      <w:r w:rsidRPr="00FE45F6">
        <w:rPr>
          <w:rFonts w:ascii="Arial" w:eastAsia="Book Antiqua" w:hAnsi="Arial" w:cs="Arial"/>
          <w:b/>
          <w:bCs/>
        </w:rPr>
        <w:t>H1:</w:t>
      </w:r>
      <w:r w:rsidRPr="00FE45F6">
        <w:rPr>
          <w:rFonts w:ascii="Arial" w:eastAsia="Book Antiqua" w:hAnsi="Arial" w:cs="Arial"/>
        </w:rPr>
        <w:t xml:space="preserve"> Service </w:t>
      </w:r>
      <w:r w:rsidR="002731F8" w:rsidRPr="00FE45F6">
        <w:rPr>
          <w:rFonts w:ascii="Arial" w:eastAsia="Book Antiqua" w:hAnsi="Arial" w:cs="Arial"/>
        </w:rPr>
        <w:t>q</w:t>
      </w:r>
      <w:r w:rsidRPr="00FE45F6">
        <w:rPr>
          <w:rFonts w:ascii="Arial" w:eastAsia="Book Antiqua" w:hAnsi="Arial" w:cs="Arial"/>
        </w:rPr>
        <w:t xml:space="preserve">uality has a significant positive effect on customer satisfaction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3ABA974D" w14:textId="77777777" w:rsidR="00FB37CB" w:rsidRPr="00FE45F6" w:rsidRDefault="00FB37CB" w:rsidP="001C2BE8">
      <w:pPr>
        <w:spacing w:before="200" w:after="200"/>
        <w:jc w:val="both"/>
        <w:rPr>
          <w:rFonts w:ascii="Arial" w:eastAsia="Book Antiqua" w:hAnsi="Arial" w:cs="Arial"/>
        </w:rPr>
      </w:pPr>
      <w:r w:rsidRPr="00FE45F6">
        <w:rPr>
          <w:rFonts w:ascii="Arial" w:eastAsia="Book Antiqua" w:hAnsi="Arial" w:cs="Arial"/>
        </w:rPr>
        <w:t xml:space="preserve">2.3.2. Perceived Convenience and Customer Satisfaction </w:t>
      </w:r>
    </w:p>
    <w:p w14:paraId="234B4389" w14:textId="77777777" w:rsidR="00903A84" w:rsidRPr="00FE45F6" w:rsidRDefault="00577003" w:rsidP="00F033D2">
      <w:pPr>
        <w:jc w:val="both"/>
        <w:rPr>
          <w:rFonts w:ascii="Arial" w:eastAsia="Book Antiqua" w:hAnsi="Arial" w:cs="Arial"/>
        </w:rPr>
      </w:pPr>
      <w:r w:rsidRPr="00FE45F6">
        <w:rPr>
          <w:rFonts w:ascii="Arial" w:eastAsia="Book Antiqua" w:hAnsi="Arial" w:cs="Arial"/>
        </w:rPr>
        <w:t xml:space="preserve">Perceived convenience relates to the extent to which a service enables users to save time, reduce effort, and access services easily and flexibly </w:t>
      </w:r>
      <w:r w:rsidRPr="00FE45F6">
        <w:rPr>
          <w:rFonts w:ascii="Arial" w:eastAsia="Book Antiqua" w:hAnsi="Arial" w:cs="Arial"/>
          <w:color w:val="0000FF"/>
        </w:rPr>
        <w:t>(Lok et al., 2024)</w:t>
      </w:r>
      <w:r w:rsidRPr="00FE45F6">
        <w:rPr>
          <w:rFonts w:ascii="Arial" w:eastAsia="Book Antiqua" w:hAnsi="Arial" w:cs="Arial"/>
        </w:rPr>
        <w:t xml:space="preserve">. In digital service contexts, previous studies have highlighted that convenience is a key determinant of customer satisfaction and usage intention </w:t>
      </w:r>
      <w:r w:rsidRPr="00FE45F6">
        <w:rPr>
          <w:rFonts w:ascii="Arial" w:eastAsia="Book Antiqua" w:hAnsi="Arial" w:cs="Arial"/>
          <w:color w:val="0000FF"/>
        </w:rPr>
        <w:t>(Lok et al., 2024)</w:t>
      </w:r>
      <w:r w:rsidRPr="00FE45F6">
        <w:rPr>
          <w:rFonts w:ascii="Arial" w:eastAsia="Book Antiqua" w:hAnsi="Arial" w:cs="Arial"/>
        </w:rPr>
        <w:t xml:space="preserve">. </w:t>
      </w:r>
      <w:r w:rsidRPr="00FE45F6">
        <w:rPr>
          <w:rFonts w:ascii="Arial" w:eastAsia="Book Antiqua" w:hAnsi="Arial" w:cs="Arial"/>
          <w:color w:val="000000" w:themeColor="text1"/>
        </w:rPr>
        <w:t xml:space="preserve">For instance, perceived </w:t>
      </w:r>
      <w:r w:rsidRPr="00FE45F6">
        <w:rPr>
          <w:rFonts w:ascii="Arial" w:eastAsia="Book Antiqua" w:hAnsi="Arial" w:cs="Arial"/>
        </w:rPr>
        <w:t xml:space="preserve">convenience significantly enhances customer satisfaction by improving users’ overall service experiences </w:t>
      </w:r>
      <w:r w:rsidRPr="00FE45F6">
        <w:rPr>
          <w:rFonts w:ascii="Arial" w:eastAsia="Book Antiqua" w:hAnsi="Arial" w:cs="Arial"/>
          <w:color w:val="0000FF"/>
        </w:rPr>
        <w:t>(Yeo et al., 2021; Kee et al., 2025)</w:t>
      </w:r>
      <w:r w:rsidRPr="00FE45F6">
        <w:rPr>
          <w:rFonts w:ascii="Arial" w:eastAsia="Book Antiqua" w:hAnsi="Arial" w:cs="Arial"/>
        </w:rPr>
        <w:t xml:space="preserve">. In online food delivery platforms, convenience allows users to order food anytime and anywhere with minimal effort, thereby improving their overall service experience </w:t>
      </w:r>
      <w:r w:rsidRPr="00FE45F6">
        <w:rPr>
          <w:rFonts w:ascii="Arial" w:eastAsia="Book Antiqua" w:hAnsi="Arial" w:cs="Arial"/>
          <w:color w:val="0000FF"/>
        </w:rPr>
        <w:t>(Yeo et al., 2021; Kee et al., 2025)</w:t>
      </w:r>
      <w:r w:rsidRPr="00FE45F6">
        <w:rPr>
          <w:rFonts w:ascii="Arial" w:eastAsia="Book Antiqua" w:hAnsi="Arial" w:cs="Arial"/>
        </w:rPr>
        <w:t>. Therefore, this study proposes the following hypothesis:</w:t>
      </w:r>
    </w:p>
    <w:p w14:paraId="196A9B17" w14:textId="77777777" w:rsidR="00903A84" w:rsidRPr="00FE45F6" w:rsidRDefault="00577003" w:rsidP="00F033D2">
      <w:pPr>
        <w:jc w:val="both"/>
        <w:rPr>
          <w:rFonts w:ascii="Arial" w:eastAsia="Book Antiqua" w:hAnsi="Arial" w:cs="Arial"/>
        </w:rPr>
      </w:pPr>
      <w:r w:rsidRPr="00FE45F6">
        <w:rPr>
          <w:rFonts w:ascii="Arial" w:eastAsia="Book Antiqua" w:hAnsi="Arial" w:cs="Arial"/>
          <w:b/>
          <w:bCs/>
        </w:rPr>
        <w:t>H2:</w:t>
      </w:r>
      <w:r w:rsidRPr="00FE45F6">
        <w:rPr>
          <w:rFonts w:ascii="Arial" w:eastAsia="Book Antiqua" w:hAnsi="Arial" w:cs="Arial"/>
        </w:rPr>
        <w:t xml:space="preserve"> Perceived convenience has a significant </w:t>
      </w:r>
      <w:r w:rsidR="00324532" w:rsidRPr="00FE45F6">
        <w:rPr>
          <w:rFonts w:ascii="Arial" w:eastAsia="Book Antiqua" w:hAnsi="Arial" w:cs="Arial"/>
        </w:rPr>
        <w:t xml:space="preserve">positive </w:t>
      </w:r>
      <w:r w:rsidRPr="00FE45F6">
        <w:rPr>
          <w:rFonts w:ascii="Arial" w:eastAsia="Book Antiqua" w:hAnsi="Arial" w:cs="Arial"/>
        </w:rPr>
        <w:t xml:space="preserve">effect on customer satisfaction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29CC7D4D" w14:textId="77777777" w:rsidR="005A1149" w:rsidRPr="00FE45F6" w:rsidRDefault="005A1149" w:rsidP="005A1149">
      <w:pPr>
        <w:spacing w:before="200" w:after="200"/>
        <w:jc w:val="both"/>
        <w:rPr>
          <w:rFonts w:ascii="Arial" w:eastAsia="Book Antiqua" w:hAnsi="Arial" w:cs="Arial"/>
          <w:color w:val="000000" w:themeColor="text1"/>
        </w:rPr>
      </w:pPr>
      <w:r w:rsidRPr="00FE45F6">
        <w:rPr>
          <w:rFonts w:ascii="Arial" w:eastAsia="Book Antiqua" w:hAnsi="Arial" w:cs="Arial"/>
          <w:color w:val="000000" w:themeColor="text1"/>
        </w:rPr>
        <w:t>2.3.3. Service Quality and Reuse Intention</w:t>
      </w:r>
    </w:p>
    <w:p w14:paraId="24EFB270" w14:textId="77777777" w:rsidR="005A1149" w:rsidRPr="00FE45F6" w:rsidRDefault="00733D1C" w:rsidP="005A1149">
      <w:pPr>
        <w:jc w:val="both"/>
        <w:rPr>
          <w:rFonts w:ascii="Arial" w:eastAsia="Book Antiqua" w:hAnsi="Arial" w:cs="Arial"/>
        </w:rPr>
      </w:pPr>
      <w:r w:rsidRPr="00FE45F6">
        <w:rPr>
          <w:rFonts w:ascii="Arial" w:eastAsia="Book Antiqua" w:hAnsi="Arial" w:cs="Arial"/>
        </w:rPr>
        <w:t xml:space="preserve">Service quality refers to customers' overall evaluation of a service, based on its reliability, responsiveness, assurance, empathy, and tangibles </w:t>
      </w:r>
      <w:r w:rsidRPr="00FE45F6">
        <w:rPr>
          <w:rFonts w:ascii="Arial" w:eastAsia="Book Antiqua" w:hAnsi="Arial" w:cs="Arial"/>
          <w:color w:val="0000FF"/>
        </w:rPr>
        <w:t xml:space="preserve">(Mohd </w:t>
      </w:r>
      <w:proofErr w:type="spellStart"/>
      <w:r w:rsidRPr="00FE45F6">
        <w:rPr>
          <w:rFonts w:ascii="Arial" w:eastAsia="Book Antiqua" w:hAnsi="Arial" w:cs="Arial"/>
          <w:color w:val="0000FF"/>
        </w:rPr>
        <w:t>Sidik</w:t>
      </w:r>
      <w:proofErr w:type="spellEnd"/>
      <w:r w:rsidRPr="00FE45F6">
        <w:rPr>
          <w:rFonts w:ascii="Arial" w:eastAsia="Book Antiqua" w:hAnsi="Arial" w:cs="Arial"/>
          <w:color w:val="0000FF"/>
        </w:rPr>
        <w:t xml:space="preserve"> et al., 2025)</w:t>
      </w:r>
      <w:r w:rsidRPr="00FE45F6">
        <w:rPr>
          <w:rFonts w:ascii="Arial" w:eastAsia="Book Antiqua" w:hAnsi="Arial" w:cs="Arial"/>
        </w:rPr>
        <w:t xml:space="preserve">. In digital service environments, high service quality encourages users to continue using a platform by enhancing their overall service experience </w:t>
      </w:r>
      <w:r w:rsidRPr="00FE45F6">
        <w:rPr>
          <w:rFonts w:ascii="Arial" w:eastAsia="Book Antiqua" w:hAnsi="Arial" w:cs="Arial"/>
          <w:color w:val="0000FF"/>
        </w:rPr>
        <w:t>(Liu et al., 2021; Do &amp; Kim, 2025)</w:t>
      </w:r>
      <w:r w:rsidRPr="00FE45F6">
        <w:rPr>
          <w:rFonts w:ascii="Arial" w:eastAsia="Book Antiqua" w:hAnsi="Arial" w:cs="Arial"/>
        </w:rPr>
        <w:t xml:space="preserve">. Previous studies have consistently reported that service quality is a significant predictor of continued use or reuse intention across e-commerce, online-to-offline, and mobile shopping platforms </w:t>
      </w:r>
      <w:r w:rsidRPr="00FE45F6">
        <w:rPr>
          <w:rFonts w:ascii="Arial" w:eastAsia="Book Antiqua" w:hAnsi="Arial" w:cs="Arial"/>
          <w:color w:val="0000FF"/>
        </w:rPr>
        <w:t>(</w:t>
      </w:r>
      <w:proofErr w:type="spellStart"/>
      <w:r w:rsidRPr="00FE45F6">
        <w:rPr>
          <w:rFonts w:ascii="Arial" w:eastAsia="Book Antiqua" w:hAnsi="Arial" w:cs="Arial"/>
          <w:color w:val="0000FF"/>
        </w:rPr>
        <w:t>Lv</w:t>
      </w:r>
      <w:proofErr w:type="spellEnd"/>
      <w:r w:rsidRPr="00FE45F6">
        <w:rPr>
          <w:rFonts w:ascii="Arial" w:eastAsia="Book Antiqua" w:hAnsi="Arial" w:cs="Arial"/>
          <w:color w:val="0000FF"/>
        </w:rPr>
        <w:t xml:space="preserve"> et al., 2026; Do &amp; Kim, 2025; Huang et al., 2024)</w:t>
      </w:r>
      <w:r w:rsidRPr="00FE45F6">
        <w:rPr>
          <w:rFonts w:ascii="Arial" w:eastAsia="Book Antiqua" w:hAnsi="Arial" w:cs="Arial"/>
        </w:rPr>
        <w:t xml:space="preserve">. Therefore, users who perceive </w:t>
      </w:r>
      <w:proofErr w:type="spellStart"/>
      <w:r w:rsidRPr="00FE45F6">
        <w:rPr>
          <w:rFonts w:ascii="Arial" w:eastAsia="Book Antiqua" w:hAnsi="Arial" w:cs="Arial"/>
        </w:rPr>
        <w:t>Foodpanda's</w:t>
      </w:r>
      <w:proofErr w:type="spellEnd"/>
      <w:r w:rsidRPr="00FE45F6">
        <w:rPr>
          <w:rFonts w:ascii="Arial" w:eastAsia="Book Antiqua" w:hAnsi="Arial" w:cs="Arial"/>
        </w:rPr>
        <w:t xml:space="preserve"> service quality as reliable and satisfactory are more likely to reuse the platform. Accordingly, this study proposes the following hypothesis:</w:t>
      </w:r>
    </w:p>
    <w:p w14:paraId="1A9D46C2" w14:textId="77777777" w:rsidR="005A1149" w:rsidRPr="00FE45F6" w:rsidRDefault="005A1149" w:rsidP="005A1149">
      <w:pPr>
        <w:spacing w:after="200"/>
        <w:jc w:val="both"/>
        <w:rPr>
          <w:rFonts w:ascii="Arial" w:eastAsia="Book Antiqua" w:hAnsi="Arial" w:cs="Arial"/>
        </w:rPr>
      </w:pPr>
      <w:r w:rsidRPr="00FE45F6">
        <w:rPr>
          <w:rFonts w:ascii="Arial" w:eastAsia="Book Antiqua" w:hAnsi="Arial" w:cs="Arial"/>
          <w:b/>
          <w:bCs/>
        </w:rPr>
        <w:t>H3:</w:t>
      </w:r>
      <w:r w:rsidRPr="00FE45F6">
        <w:rPr>
          <w:rFonts w:ascii="Arial" w:eastAsia="Book Antiqua" w:hAnsi="Arial" w:cs="Arial"/>
        </w:rPr>
        <w:t xml:space="preserve"> Service quality has a significant positive effect on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1EB052AD" w14:textId="77777777" w:rsidR="005A1149" w:rsidRPr="00FE45F6" w:rsidRDefault="005A1149" w:rsidP="005A1149">
      <w:pPr>
        <w:spacing w:before="200" w:after="200"/>
        <w:jc w:val="both"/>
        <w:rPr>
          <w:rFonts w:ascii="Arial" w:eastAsia="Book Antiqua" w:hAnsi="Arial" w:cs="Arial"/>
        </w:rPr>
      </w:pPr>
      <w:r w:rsidRPr="00FE45F6">
        <w:rPr>
          <w:rFonts w:ascii="Arial" w:eastAsia="Book Antiqua" w:hAnsi="Arial" w:cs="Arial"/>
        </w:rPr>
        <w:t>2.3.4. Perceived Convenience and Reuse Intention</w:t>
      </w:r>
    </w:p>
    <w:p w14:paraId="6D607449" w14:textId="77777777" w:rsidR="003F39FB" w:rsidRPr="00FE45F6" w:rsidRDefault="003F39FB" w:rsidP="003F39FB">
      <w:pPr>
        <w:jc w:val="both"/>
        <w:rPr>
          <w:rFonts w:ascii="Arial" w:eastAsia="Book Antiqua" w:hAnsi="Arial" w:cs="Arial"/>
        </w:rPr>
      </w:pPr>
      <w:r w:rsidRPr="00FE45F6">
        <w:rPr>
          <w:rFonts w:ascii="Arial" w:eastAsia="Book Antiqua" w:hAnsi="Arial" w:cs="Arial"/>
        </w:rPr>
        <w:t xml:space="preserve">Perceived convenience is considered an important factor influencing users' intention to continue using digital services, as it reduces the time and effort required to complete transactions </w:t>
      </w:r>
      <w:r w:rsidRPr="00FE45F6">
        <w:rPr>
          <w:rFonts w:ascii="Arial" w:eastAsia="Book Antiqua" w:hAnsi="Arial" w:cs="Arial"/>
          <w:color w:val="0000FF"/>
        </w:rPr>
        <w:t>(Kee et al., 2025)</w:t>
      </w:r>
      <w:r w:rsidRPr="00FE45F6">
        <w:rPr>
          <w:rFonts w:ascii="Arial" w:eastAsia="Book Antiqua" w:hAnsi="Arial" w:cs="Arial"/>
        </w:rPr>
        <w:t xml:space="preserve">. Previous studies have shown that perceived convenience positively influences continuance intention in </w:t>
      </w:r>
      <w:r w:rsidR="00301A3A" w:rsidRPr="00FE45F6">
        <w:rPr>
          <w:rFonts w:ascii="Arial" w:eastAsia="Book Antiqua" w:hAnsi="Arial" w:cs="Arial"/>
        </w:rPr>
        <w:t xml:space="preserve">digital wallets </w:t>
      </w:r>
      <w:r w:rsidRPr="00FE45F6">
        <w:rPr>
          <w:rFonts w:ascii="Arial" w:eastAsia="Book Antiqua" w:hAnsi="Arial" w:cs="Arial"/>
          <w:color w:val="0000FF"/>
        </w:rPr>
        <w:t>(</w:t>
      </w:r>
      <w:proofErr w:type="spellStart"/>
      <w:r w:rsidR="00301A3A" w:rsidRPr="00FE45F6">
        <w:rPr>
          <w:rFonts w:ascii="Arial" w:eastAsia="Book Antiqua" w:hAnsi="Arial" w:cs="Arial"/>
          <w:color w:val="0000FF"/>
        </w:rPr>
        <w:t>Shetu</w:t>
      </w:r>
      <w:proofErr w:type="spellEnd"/>
      <w:r w:rsidRPr="00FE45F6">
        <w:rPr>
          <w:rFonts w:ascii="Arial" w:eastAsia="Book Antiqua" w:hAnsi="Arial" w:cs="Arial"/>
          <w:color w:val="0000FF"/>
        </w:rPr>
        <w:t xml:space="preserve"> et al., 20</w:t>
      </w:r>
      <w:r w:rsidR="00301A3A" w:rsidRPr="00FE45F6">
        <w:rPr>
          <w:rFonts w:ascii="Arial" w:eastAsia="Book Antiqua" w:hAnsi="Arial" w:cs="Arial"/>
          <w:color w:val="0000FF"/>
        </w:rPr>
        <w:t>22</w:t>
      </w:r>
      <w:r w:rsidRPr="00FE45F6">
        <w:rPr>
          <w:rFonts w:ascii="Arial" w:eastAsia="Book Antiqua" w:hAnsi="Arial" w:cs="Arial"/>
          <w:color w:val="0000FF"/>
        </w:rPr>
        <w:t xml:space="preserve">) </w:t>
      </w:r>
      <w:r w:rsidRPr="00FE45F6">
        <w:rPr>
          <w:rFonts w:ascii="Arial" w:eastAsia="Book Antiqua" w:hAnsi="Arial" w:cs="Arial"/>
        </w:rPr>
        <w:t xml:space="preserve">and indirectly </w:t>
      </w:r>
      <w:r w:rsidRPr="00FE45F6">
        <w:rPr>
          <w:rFonts w:ascii="Arial" w:eastAsia="Book Antiqua" w:hAnsi="Arial" w:cs="Arial"/>
        </w:rPr>
        <w:lastRenderedPageBreak/>
        <w:t xml:space="preserve">enhances users' intention to use gamified mobile payment platforms through perceived convenience </w:t>
      </w:r>
      <w:r w:rsidRPr="00FE45F6">
        <w:rPr>
          <w:rFonts w:ascii="Arial" w:eastAsia="Book Antiqua" w:hAnsi="Arial" w:cs="Arial"/>
          <w:color w:val="0000FF"/>
        </w:rPr>
        <w:t>(Lai &amp; Liew, 2021)</w:t>
      </w:r>
      <w:r w:rsidRPr="00FE45F6">
        <w:rPr>
          <w:rFonts w:ascii="Arial" w:eastAsia="Book Antiqua" w:hAnsi="Arial" w:cs="Arial"/>
        </w:rPr>
        <w:t xml:space="preserve">. Based on these findings, it is expected that greater perceived convenience will encourage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to reuse the platform</w:t>
      </w:r>
      <w:r w:rsidR="005A1149" w:rsidRPr="00FE45F6">
        <w:rPr>
          <w:rFonts w:ascii="Arial" w:eastAsia="Book Antiqua" w:hAnsi="Arial" w:cs="Arial"/>
        </w:rPr>
        <w:t xml:space="preserve">. </w:t>
      </w:r>
    </w:p>
    <w:p w14:paraId="285A12A0" w14:textId="77777777" w:rsidR="005A1149" w:rsidRPr="00FE45F6" w:rsidRDefault="005A1149" w:rsidP="003F39FB">
      <w:pPr>
        <w:jc w:val="both"/>
        <w:rPr>
          <w:rFonts w:ascii="Arial" w:eastAsia="Book Antiqua" w:hAnsi="Arial" w:cs="Arial"/>
        </w:rPr>
      </w:pPr>
      <w:r w:rsidRPr="00FE45F6">
        <w:rPr>
          <w:rFonts w:ascii="Arial" w:eastAsia="Book Antiqua" w:hAnsi="Arial" w:cs="Arial"/>
          <w:b/>
          <w:bCs/>
        </w:rPr>
        <w:t>H</w:t>
      </w:r>
      <w:r w:rsidR="003F39FB" w:rsidRPr="00FE45F6">
        <w:rPr>
          <w:rFonts w:ascii="Arial" w:eastAsia="Book Antiqua" w:hAnsi="Arial" w:cs="Arial"/>
          <w:b/>
          <w:bCs/>
        </w:rPr>
        <w:t>4</w:t>
      </w:r>
      <w:r w:rsidRPr="00FE45F6">
        <w:rPr>
          <w:rFonts w:ascii="Arial" w:eastAsia="Book Antiqua" w:hAnsi="Arial" w:cs="Arial"/>
          <w:b/>
          <w:bCs/>
        </w:rPr>
        <w:t>:</w:t>
      </w:r>
      <w:r w:rsidRPr="00FE45F6">
        <w:rPr>
          <w:rFonts w:ascii="Arial" w:eastAsia="Book Antiqua" w:hAnsi="Arial" w:cs="Arial"/>
        </w:rPr>
        <w:t xml:space="preserve"> Perceived convenience has a significant positive effect on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22895294" w14:textId="77777777" w:rsidR="00277818" w:rsidRPr="00FE45F6" w:rsidRDefault="00277818" w:rsidP="00BA3E02">
      <w:pPr>
        <w:spacing w:before="200" w:after="200"/>
        <w:jc w:val="both"/>
        <w:rPr>
          <w:rFonts w:ascii="Arial" w:eastAsia="Book Antiqua" w:hAnsi="Arial" w:cs="Arial"/>
        </w:rPr>
      </w:pPr>
      <w:r w:rsidRPr="00FE45F6">
        <w:rPr>
          <w:rFonts w:ascii="Arial" w:eastAsia="Book Antiqua" w:hAnsi="Arial" w:cs="Arial"/>
        </w:rPr>
        <w:t>2.3.</w:t>
      </w:r>
      <w:r w:rsidR="005A1149" w:rsidRPr="00FE45F6">
        <w:rPr>
          <w:rFonts w:ascii="Arial" w:eastAsia="Book Antiqua" w:hAnsi="Arial" w:cs="Arial"/>
        </w:rPr>
        <w:t>5</w:t>
      </w:r>
      <w:r w:rsidRPr="00FE45F6">
        <w:rPr>
          <w:rFonts w:ascii="Arial" w:eastAsia="Book Antiqua" w:hAnsi="Arial" w:cs="Arial"/>
        </w:rPr>
        <w:t xml:space="preserve">. Customer Satisfaction and </w:t>
      </w:r>
      <w:r w:rsidR="00606518" w:rsidRPr="00FE45F6">
        <w:rPr>
          <w:rFonts w:ascii="Arial" w:eastAsia="Book Antiqua" w:hAnsi="Arial" w:cs="Arial"/>
        </w:rPr>
        <w:t xml:space="preserve">Reuse </w:t>
      </w:r>
      <w:r w:rsidRPr="00FE45F6">
        <w:rPr>
          <w:rFonts w:ascii="Arial" w:eastAsia="Book Antiqua" w:hAnsi="Arial" w:cs="Arial"/>
        </w:rPr>
        <w:t>Intention</w:t>
      </w:r>
    </w:p>
    <w:p w14:paraId="0931B210" w14:textId="77777777" w:rsidR="00903A84" w:rsidRPr="00FE45F6" w:rsidRDefault="00277818" w:rsidP="00F033D2">
      <w:pPr>
        <w:jc w:val="both"/>
        <w:rPr>
          <w:rFonts w:ascii="Arial" w:eastAsia="Book Antiqua" w:hAnsi="Arial" w:cs="Arial"/>
        </w:rPr>
      </w:pPr>
      <w:r w:rsidRPr="00FE45F6">
        <w:rPr>
          <w:rFonts w:ascii="Arial" w:eastAsia="Book Antiqua" w:hAnsi="Arial" w:cs="Arial"/>
        </w:rPr>
        <w:t xml:space="preserve">Satisfied customers are more likely to develop a positive perception of the service and continue using the application in the future </w:t>
      </w:r>
      <w:r w:rsidRPr="00FE45F6">
        <w:rPr>
          <w:rFonts w:ascii="Arial" w:eastAsia="Book Antiqua" w:hAnsi="Arial" w:cs="Arial"/>
          <w:color w:val="0000FF"/>
        </w:rPr>
        <w:t>(Zhang &amp; Kim, 2021)</w:t>
      </w:r>
      <w:r w:rsidRPr="00FE45F6">
        <w:rPr>
          <w:rFonts w:ascii="Arial" w:eastAsia="Book Antiqua" w:hAnsi="Arial" w:cs="Arial"/>
        </w:rPr>
        <w:t xml:space="preserve">. Previous studies have shown that satisfaction significantly influences reuse, as customers who perceive greater value, convenience, and service quality from food delivery applications tend to exhibit stronger repeat-use </w:t>
      </w:r>
      <w:proofErr w:type="spellStart"/>
      <w:r w:rsidRPr="00FE45F6">
        <w:rPr>
          <w:rFonts w:ascii="Arial" w:eastAsia="Book Antiqua" w:hAnsi="Arial" w:cs="Arial"/>
        </w:rPr>
        <w:t>behaviour</w:t>
      </w:r>
      <w:proofErr w:type="spellEnd"/>
      <w:r w:rsidRPr="00FE45F6">
        <w:rPr>
          <w:rFonts w:ascii="Arial" w:eastAsia="Book Antiqua" w:hAnsi="Arial" w:cs="Arial"/>
        </w:rPr>
        <w:t xml:space="preserve"> </w:t>
      </w:r>
      <w:r w:rsidRPr="00FE45F6">
        <w:rPr>
          <w:rFonts w:ascii="Arial" w:eastAsia="Book Antiqua" w:hAnsi="Arial" w:cs="Arial"/>
          <w:color w:val="0000FF"/>
        </w:rPr>
        <w:t xml:space="preserve">(Hoang &amp; Le Tan, 2023; </w:t>
      </w:r>
      <w:proofErr w:type="spellStart"/>
      <w:r w:rsidRPr="00FE45F6">
        <w:rPr>
          <w:rFonts w:ascii="Arial" w:eastAsia="Book Antiqua" w:hAnsi="Arial" w:cs="Arial"/>
          <w:color w:val="0000FF"/>
        </w:rPr>
        <w:t>Nurqamarani</w:t>
      </w:r>
      <w:proofErr w:type="spellEnd"/>
      <w:r w:rsidRPr="00FE45F6">
        <w:rPr>
          <w:rFonts w:ascii="Arial" w:eastAsia="Book Antiqua" w:hAnsi="Arial" w:cs="Arial"/>
          <w:color w:val="0000FF"/>
        </w:rPr>
        <w:t xml:space="preserve"> et al., 2020)</w:t>
      </w:r>
      <w:r w:rsidRPr="00FE45F6">
        <w:rPr>
          <w:rFonts w:ascii="Arial" w:eastAsia="Book Antiqua" w:hAnsi="Arial" w:cs="Arial"/>
        </w:rPr>
        <w:t xml:space="preserve">. Similarly, </w:t>
      </w:r>
      <w:r w:rsidRPr="00FE45F6">
        <w:rPr>
          <w:rFonts w:ascii="Arial" w:eastAsia="Book Antiqua" w:hAnsi="Arial" w:cs="Arial"/>
          <w:color w:val="0000FF"/>
        </w:rPr>
        <w:t xml:space="preserve">Vu et al. (2025) </w:t>
      </w:r>
      <w:r w:rsidRPr="00FE45F6">
        <w:rPr>
          <w:rFonts w:ascii="Arial" w:eastAsia="Book Antiqua" w:hAnsi="Arial" w:cs="Arial"/>
        </w:rPr>
        <w:t xml:space="preserve">confirmed that positive experiences with digital food delivery platforms enhance customers’ willingness to reuse the service. Therefore, this study proposes that customer satisfaction positively influences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5288CF6D" w14:textId="77777777" w:rsidR="00277818" w:rsidRPr="00FE45F6" w:rsidRDefault="00277818" w:rsidP="00903A84">
      <w:pPr>
        <w:spacing w:after="200"/>
        <w:jc w:val="both"/>
        <w:rPr>
          <w:rFonts w:ascii="Arial" w:eastAsia="Book Antiqua" w:hAnsi="Arial" w:cs="Arial"/>
        </w:rPr>
      </w:pPr>
      <w:r w:rsidRPr="00FE45F6">
        <w:rPr>
          <w:rFonts w:ascii="Arial" w:eastAsia="Book Antiqua" w:hAnsi="Arial" w:cs="Arial"/>
          <w:b/>
          <w:bCs/>
        </w:rPr>
        <w:t>H</w:t>
      </w:r>
      <w:r w:rsidR="003F39FB" w:rsidRPr="00FE45F6">
        <w:rPr>
          <w:rFonts w:ascii="Arial" w:eastAsia="Book Antiqua" w:hAnsi="Arial" w:cs="Arial"/>
          <w:b/>
          <w:bCs/>
        </w:rPr>
        <w:t>5</w:t>
      </w:r>
      <w:r w:rsidRPr="00FE45F6">
        <w:rPr>
          <w:rFonts w:ascii="Arial" w:eastAsia="Book Antiqua" w:hAnsi="Arial" w:cs="Arial"/>
          <w:b/>
          <w:bCs/>
        </w:rPr>
        <w:t>:</w:t>
      </w:r>
      <w:r w:rsidRPr="00FE45F6">
        <w:rPr>
          <w:rFonts w:ascii="Arial" w:eastAsia="Book Antiqua" w:hAnsi="Arial" w:cs="Arial"/>
        </w:rPr>
        <w:t xml:space="preserve"> Customer satisfaction has a significant positive effect on </w:t>
      </w:r>
      <w:r w:rsidR="00606518" w:rsidRPr="00FE45F6">
        <w:rPr>
          <w:rFonts w:ascii="Arial" w:eastAsia="Book Antiqua" w:hAnsi="Arial" w:cs="Arial"/>
        </w:rPr>
        <w:t>reuse</w:t>
      </w:r>
      <w:r w:rsidRPr="00FE45F6">
        <w:rPr>
          <w:rFonts w:ascii="Arial" w:eastAsia="Book Antiqua" w:hAnsi="Arial" w:cs="Arial"/>
        </w:rPr>
        <w:t xml:space="preserv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658A6A9A" w14:textId="77777777" w:rsidR="000A3516" w:rsidRPr="00FE45F6" w:rsidRDefault="000A3516" w:rsidP="000A3516">
      <w:pPr>
        <w:spacing w:after="200"/>
        <w:jc w:val="both"/>
        <w:rPr>
          <w:rFonts w:ascii="Arial" w:eastAsia="Book Antiqua" w:hAnsi="Arial" w:cs="Arial"/>
        </w:rPr>
      </w:pPr>
      <w:r w:rsidRPr="00FE45F6">
        <w:rPr>
          <w:rFonts w:ascii="Arial" w:eastAsia="Book Antiqua" w:hAnsi="Arial" w:cs="Arial"/>
        </w:rPr>
        <w:t>2.3.</w:t>
      </w:r>
      <w:r w:rsidR="005A1149" w:rsidRPr="00FE45F6">
        <w:rPr>
          <w:rFonts w:ascii="Arial" w:eastAsia="Book Antiqua" w:hAnsi="Arial" w:cs="Arial"/>
        </w:rPr>
        <w:t>6</w:t>
      </w:r>
      <w:r w:rsidRPr="00FE45F6">
        <w:rPr>
          <w:rFonts w:ascii="Arial" w:eastAsia="Book Antiqua" w:hAnsi="Arial" w:cs="Arial"/>
        </w:rPr>
        <w:t xml:space="preserve">. Mediating Role of Customer Satisfaction </w:t>
      </w:r>
    </w:p>
    <w:p w14:paraId="0A288644" w14:textId="77777777" w:rsidR="007B502A" w:rsidRPr="00FE45F6" w:rsidRDefault="007B502A" w:rsidP="005624D1">
      <w:pPr>
        <w:jc w:val="both"/>
        <w:rPr>
          <w:rFonts w:ascii="Arial" w:eastAsia="Book Antiqua" w:hAnsi="Arial" w:cs="Arial"/>
        </w:rPr>
      </w:pPr>
      <w:r w:rsidRPr="00FE45F6">
        <w:rPr>
          <w:rFonts w:ascii="Arial" w:eastAsia="Book Antiqua" w:hAnsi="Arial" w:cs="Arial"/>
        </w:rPr>
        <w:t xml:space="preserve">Customer satisfaction reflects customers’ evaluations of whether service performance meets or exceeds their expectations </w:t>
      </w:r>
      <w:r w:rsidRPr="00FE45F6">
        <w:rPr>
          <w:rFonts w:ascii="Arial" w:eastAsia="Book Antiqua" w:hAnsi="Arial" w:cs="Arial"/>
          <w:color w:val="0000FF"/>
        </w:rPr>
        <w:t xml:space="preserve">(Maharani &amp; </w:t>
      </w:r>
      <w:proofErr w:type="spellStart"/>
      <w:r w:rsidRPr="00FE45F6">
        <w:rPr>
          <w:rFonts w:ascii="Arial" w:eastAsia="Book Antiqua" w:hAnsi="Arial" w:cs="Arial"/>
          <w:color w:val="0000FF"/>
        </w:rPr>
        <w:t>Sukaatmadja</w:t>
      </w:r>
      <w:proofErr w:type="spellEnd"/>
      <w:r w:rsidRPr="00FE45F6">
        <w:rPr>
          <w:rFonts w:ascii="Arial" w:eastAsia="Book Antiqua" w:hAnsi="Arial" w:cs="Arial"/>
          <w:color w:val="0000FF"/>
        </w:rPr>
        <w:t>, 2024)</w:t>
      </w:r>
      <w:r w:rsidRPr="00FE45F6">
        <w:rPr>
          <w:rFonts w:ascii="Arial" w:eastAsia="Book Antiqua" w:hAnsi="Arial" w:cs="Arial"/>
        </w:rPr>
        <w:t xml:space="preserve">. Previous studies have demonstrated its mediating role between service-related factors and reuse intention </w:t>
      </w:r>
      <w:r w:rsidRPr="00FE45F6">
        <w:rPr>
          <w:rFonts w:ascii="Arial" w:eastAsia="Book Antiqua" w:hAnsi="Arial" w:cs="Arial"/>
          <w:color w:val="0000FF"/>
        </w:rPr>
        <w:t xml:space="preserve">(Maharani &amp; </w:t>
      </w:r>
      <w:proofErr w:type="spellStart"/>
      <w:r w:rsidRPr="00FE45F6">
        <w:rPr>
          <w:rFonts w:ascii="Arial" w:eastAsia="Book Antiqua" w:hAnsi="Arial" w:cs="Arial"/>
          <w:color w:val="0000FF"/>
        </w:rPr>
        <w:t>Sukaatmadja</w:t>
      </w:r>
      <w:proofErr w:type="spellEnd"/>
      <w:r w:rsidRPr="00FE45F6">
        <w:rPr>
          <w:rFonts w:ascii="Arial" w:eastAsia="Book Antiqua" w:hAnsi="Arial" w:cs="Arial"/>
          <w:color w:val="0000FF"/>
        </w:rPr>
        <w:t>, 2024)</w:t>
      </w:r>
      <w:r w:rsidRPr="00FE45F6">
        <w:rPr>
          <w:rFonts w:ascii="Arial" w:eastAsia="Book Antiqua" w:hAnsi="Arial" w:cs="Arial"/>
        </w:rPr>
        <w:t xml:space="preserve">. Specifically, </w:t>
      </w:r>
      <w:r w:rsidRPr="00FE45F6">
        <w:rPr>
          <w:rFonts w:ascii="Arial" w:eastAsia="Book Antiqua" w:hAnsi="Arial" w:cs="Arial"/>
          <w:color w:val="0000FF"/>
        </w:rPr>
        <w:t xml:space="preserve">Jasin and Firmansyah (2023) </w:t>
      </w:r>
      <w:r w:rsidRPr="00FE45F6">
        <w:rPr>
          <w:rFonts w:ascii="Arial" w:eastAsia="Book Antiqua" w:hAnsi="Arial" w:cs="Arial"/>
        </w:rPr>
        <w:t xml:space="preserve">and </w:t>
      </w:r>
      <w:r w:rsidRPr="00FE45F6">
        <w:rPr>
          <w:rFonts w:ascii="Arial" w:eastAsia="Book Antiqua" w:hAnsi="Arial" w:cs="Arial"/>
          <w:color w:val="0000FF"/>
        </w:rPr>
        <w:t xml:space="preserve">Dayani et al. (2022) </w:t>
      </w:r>
      <w:r w:rsidRPr="00FE45F6">
        <w:rPr>
          <w:rFonts w:ascii="Arial" w:eastAsia="Book Antiqua" w:hAnsi="Arial" w:cs="Arial"/>
        </w:rPr>
        <w:t xml:space="preserve">found that customer satisfaction mediates the relationship between e-service quality and repurchase intention, while </w:t>
      </w:r>
      <w:r w:rsidRPr="00FE45F6">
        <w:rPr>
          <w:rFonts w:ascii="Arial" w:eastAsia="Book Antiqua" w:hAnsi="Arial" w:cs="Arial"/>
          <w:color w:val="0000FF"/>
        </w:rPr>
        <w:t xml:space="preserve">Prabowo and </w:t>
      </w:r>
      <w:proofErr w:type="spellStart"/>
      <w:r w:rsidRPr="00FE45F6">
        <w:rPr>
          <w:rFonts w:ascii="Arial" w:eastAsia="Book Antiqua" w:hAnsi="Arial" w:cs="Arial"/>
          <w:color w:val="0000FF"/>
        </w:rPr>
        <w:t>Sukresna</w:t>
      </w:r>
      <w:proofErr w:type="spellEnd"/>
      <w:r w:rsidRPr="00FE45F6">
        <w:rPr>
          <w:rFonts w:ascii="Arial" w:eastAsia="Book Antiqua" w:hAnsi="Arial" w:cs="Arial"/>
          <w:color w:val="0000FF"/>
        </w:rPr>
        <w:t xml:space="preserve"> (2025) </w:t>
      </w:r>
      <w:r w:rsidRPr="00FE45F6">
        <w:rPr>
          <w:rFonts w:ascii="Arial" w:eastAsia="Book Antiqua" w:hAnsi="Arial" w:cs="Arial"/>
        </w:rPr>
        <w:t xml:space="preserve">confirmed its mediating role in the relationship between convenience and reuse intention. Therefore, this study proposes that customer satisfaction mediates the relationships between service quality, perceived convenience,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4FB39CE5" w14:textId="77777777" w:rsidR="005624D1" w:rsidRPr="00FE45F6" w:rsidRDefault="005624D1" w:rsidP="005624D1">
      <w:pPr>
        <w:jc w:val="both"/>
        <w:rPr>
          <w:rFonts w:ascii="Arial" w:eastAsia="Book Antiqua" w:hAnsi="Arial" w:cs="Arial"/>
        </w:rPr>
      </w:pPr>
      <w:r w:rsidRPr="00FE45F6">
        <w:rPr>
          <w:rFonts w:ascii="Arial" w:eastAsia="Book Antiqua" w:hAnsi="Arial" w:cs="Arial"/>
          <w:b/>
          <w:bCs/>
        </w:rPr>
        <w:t>H</w:t>
      </w:r>
      <w:r w:rsidR="003F39FB" w:rsidRPr="00FE45F6">
        <w:rPr>
          <w:rFonts w:ascii="Arial" w:eastAsia="Book Antiqua" w:hAnsi="Arial" w:cs="Arial"/>
          <w:b/>
          <w:bCs/>
        </w:rPr>
        <w:t>6</w:t>
      </w:r>
      <w:r w:rsidRPr="00FE45F6">
        <w:rPr>
          <w:rFonts w:ascii="Arial" w:eastAsia="Book Antiqua" w:hAnsi="Arial" w:cs="Arial"/>
          <w:b/>
          <w:bCs/>
        </w:rPr>
        <w:t>:</w:t>
      </w:r>
      <w:r w:rsidRPr="00FE45F6">
        <w:rPr>
          <w:rFonts w:ascii="Arial" w:eastAsia="Book Antiqua" w:hAnsi="Arial" w:cs="Arial"/>
        </w:rPr>
        <w:t xml:space="preserve"> Customer satisfaction mediates the relationship between service quality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3896CDE4" w14:textId="77777777" w:rsidR="005624D1" w:rsidRPr="00FE45F6" w:rsidRDefault="005624D1" w:rsidP="005624D1">
      <w:pPr>
        <w:jc w:val="both"/>
        <w:rPr>
          <w:rFonts w:ascii="Arial" w:eastAsia="Book Antiqua" w:hAnsi="Arial" w:cs="Arial"/>
        </w:rPr>
      </w:pPr>
      <w:r w:rsidRPr="00FE45F6">
        <w:rPr>
          <w:rFonts w:ascii="Arial" w:eastAsia="Book Antiqua" w:hAnsi="Arial" w:cs="Arial"/>
          <w:b/>
          <w:bCs/>
        </w:rPr>
        <w:t>H</w:t>
      </w:r>
      <w:r w:rsidR="003F39FB" w:rsidRPr="00FE45F6">
        <w:rPr>
          <w:rFonts w:ascii="Arial" w:eastAsia="Book Antiqua" w:hAnsi="Arial" w:cs="Arial"/>
          <w:b/>
          <w:bCs/>
        </w:rPr>
        <w:t>7</w:t>
      </w:r>
      <w:r w:rsidRPr="00FE45F6">
        <w:rPr>
          <w:rFonts w:ascii="Arial" w:eastAsia="Book Antiqua" w:hAnsi="Arial" w:cs="Arial"/>
          <w:b/>
          <w:bCs/>
        </w:rPr>
        <w:t>:</w:t>
      </w:r>
      <w:r w:rsidRPr="00FE45F6">
        <w:rPr>
          <w:rFonts w:ascii="Arial" w:eastAsia="Book Antiqua" w:hAnsi="Arial" w:cs="Arial"/>
        </w:rPr>
        <w:t xml:space="preserve"> Customer satisfaction mediates the relationship between</w:t>
      </w:r>
      <w:r w:rsidR="002731F8" w:rsidRPr="00FE45F6">
        <w:rPr>
          <w:rFonts w:ascii="Arial" w:eastAsia="Book Antiqua" w:hAnsi="Arial" w:cs="Arial"/>
        </w:rPr>
        <w:t xml:space="preserve"> perceived</w:t>
      </w:r>
      <w:r w:rsidRPr="00FE45F6">
        <w:rPr>
          <w:rFonts w:ascii="Arial" w:eastAsia="Book Antiqua" w:hAnsi="Arial" w:cs="Arial"/>
        </w:rPr>
        <w:t xml:space="preserve"> convenience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w:t>
      </w:r>
    </w:p>
    <w:p w14:paraId="0C656F5C" w14:textId="77777777" w:rsidR="005624D1" w:rsidRPr="00FE45F6" w:rsidRDefault="005624D1" w:rsidP="005624D1">
      <w:pPr>
        <w:spacing w:before="200" w:after="200"/>
        <w:jc w:val="both"/>
        <w:rPr>
          <w:rFonts w:ascii="Arial" w:eastAsia="Book Antiqua" w:hAnsi="Arial" w:cs="Arial"/>
          <w:b/>
          <w:bCs/>
          <w:sz w:val="22"/>
          <w:szCs w:val="22"/>
        </w:rPr>
      </w:pPr>
      <w:r w:rsidRPr="00FE45F6">
        <w:rPr>
          <w:rFonts w:ascii="Arial" w:eastAsia="Book Antiqua" w:hAnsi="Arial" w:cs="Arial"/>
          <w:b/>
          <w:bCs/>
          <w:sz w:val="22"/>
          <w:szCs w:val="22"/>
        </w:rPr>
        <w:t>2.</w:t>
      </w:r>
      <w:r w:rsidR="00696BD9" w:rsidRPr="00FE45F6">
        <w:rPr>
          <w:rFonts w:ascii="Arial" w:eastAsia="Book Antiqua" w:hAnsi="Arial" w:cs="Arial"/>
          <w:b/>
          <w:bCs/>
          <w:sz w:val="22"/>
          <w:szCs w:val="22"/>
        </w:rPr>
        <w:t>4</w:t>
      </w:r>
      <w:r w:rsidRPr="00FE45F6">
        <w:rPr>
          <w:rFonts w:ascii="Arial" w:eastAsia="Book Antiqua" w:hAnsi="Arial" w:cs="Arial"/>
          <w:b/>
          <w:bCs/>
          <w:sz w:val="22"/>
          <w:szCs w:val="22"/>
        </w:rPr>
        <w:t xml:space="preserve">. </w:t>
      </w:r>
      <w:r w:rsidR="003C673F" w:rsidRPr="00FE45F6">
        <w:rPr>
          <w:rFonts w:ascii="Arial" w:eastAsia="Book Antiqua" w:hAnsi="Arial" w:cs="Arial"/>
          <w:b/>
          <w:bCs/>
          <w:sz w:val="22"/>
          <w:szCs w:val="22"/>
        </w:rPr>
        <w:t>Conceptual Framework</w:t>
      </w:r>
    </w:p>
    <w:p w14:paraId="2A6DD37F" w14:textId="77777777" w:rsidR="00F52493" w:rsidRPr="00FE45F6" w:rsidRDefault="00E41F4E" w:rsidP="005624D1">
      <w:pPr>
        <w:jc w:val="both"/>
        <w:rPr>
          <w:rFonts w:ascii="Arial" w:eastAsia="Book Antiqua" w:hAnsi="Arial" w:cs="Arial"/>
        </w:rPr>
      </w:pPr>
      <w:r w:rsidRPr="00FE45F6">
        <w:rPr>
          <w:rFonts w:ascii="Arial" w:eastAsia="Book Antiqua" w:hAnsi="Arial" w:cs="Arial"/>
          <w:noProof/>
        </w:rPr>
        <w:t>Drawing on the SERVQUAL model, ECM, and prior studies, this research proposes a conceptual framework examining the relationships among service quality, perceived convenience, customer satisfaction, and reuse intention among young Foodpanda users in Cambodia. The framework investigates the effects of service quality and perceived convenience on customer satisfaction and reuse intention, the effect of customer satisfaction on reuse intention, and the mediating role of customer satisfaction. The proposed framework is presented in Figure 1.</w:t>
      </w:r>
    </w:p>
    <w:p w14:paraId="52577605" w14:textId="77777777" w:rsidR="00F52493" w:rsidRPr="00FE45F6" w:rsidRDefault="00F52493" w:rsidP="005624D1">
      <w:pPr>
        <w:jc w:val="both"/>
        <w:rPr>
          <w:rFonts w:ascii="Arial" w:eastAsia="Book Antiqua" w:hAnsi="Arial" w:cs="Arial"/>
        </w:rPr>
      </w:pPr>
    </w:p>
    <w:p w14:paraId="00577137" w14:textId="77777777" w:rsidR="00F52493" w:rsidRPr="00FE45F6" w:rsidRDefault="00824C4C" w:rsidP="005624D1">
      <w:pPr>
        <w:jc w:val="both"/>
        <w:rPr>
          <w:rFonts w:ascii="Arial" w:eastAsia="Book Antiqua" w:hAnsi="Arial" w:cs="Arial"/>
        </w:rPr>
      </w:pPr>
      <w:r w:rsidRPr="00FE45F6">
        <w:rPr>
          <w:rFonts w:ascii="Arial" w:eastAsia="Book Antiqua" w:hAnsi="Arial" w:cs="Arial"/>
          <w:noProof/>
        </w:rPr>
        <mc:AlternateContent>
          <mc:Choice Requires="wpc">
            <w:drawing>
              <wp:anchor distT="0" distB="0" distL="114300" distR="114300" simplePos="0" relativeHeight="251663360" behindDoc="0" locked="0" layoutInCell="1" allowOverlap="1" wp14:anchorId="5D98C119" wp14:editId="222B2BEA">
                <wp:simplePos x="0" y="0"/>
                <wp:positionH relativeFrom="column">
                  <wp:posOffset>389255</wp:posOffset>
                </wp:positionH>
                <wp:positionV relativeFrom="paragraph">
                  <wp:posOffset>115226</wp:posOffset>
                </wp:positionV>
                <wp:extent cx="4465320" cy="2701290"/>
                <wp:effectExtent l="0" t="0"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 name="Straight Connector 54"/>
                        <wps:cNvCnPr/>
                        <wps:spPr>
                          <a:xfrm>
                            <a:off x="636235" y="2311313"/>
                            <a:ext cx="0" cy="18377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stCxn id="14" idx="3"/>
                        </wps:cNvCnPr>
                        <wps:spPr>
                          <a:xfrm>
                            <a:off x="1036629" y="626074"/>
                            <a:ext cx="741539" cy="72389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a:stCxn id="29" idx="3"/>
                        </wps:cNvCnPr>
                        <wps:spPr>
                          <a:xfrm flipV="1">
                            <a:off x="1036629" y="1349974"/>
                            <a:ext cx="741406" cy="7419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flipV="1">
                            <a:off x="620699" y="227349"/>
                            <a:ext cx="0" cy="18594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Rectangle: Rounded Corners 14"/>
                        <wps:cNvSpPr/>
                        <wps:spPr>
                          <a:xfrm>
                            <a:off x="208034" y="402236"/>
                            <a:ext cx="828675" cy="447675"/>
                          </a:xfrm>
                          <a:prstGeom prst="roundRect">
                            <a:avLst/>
                          </a:prstGeom>
                          <a:solidFill>
                            <a:schemeClr val="accent5">
                              <a:lumMod val="20000"/>
                              <a:lumOff val="80000"/>
                            </a:schemeClr>
                          </a:solidFill>
                          <a:ln w="12700">
                            <a:solidFill>
                              <a:schemeClr val="accent5"/>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208034" y="1868111"/>
                            <a:ext cx="828675" cy="447675"/>
                          </a:xfrm>
                          <a:prstGeom prst="roundRect">
                            <a:avLst/>
                          </a:prstGeom>
                          <a:solidFill>
                            <a:schemeClr val="accent5">
                              <a:lumMod val="20000"/>
                              <a:lumOff val="80000"/>
                            </a:schemeClr>
                          </a:solidFill>
                          <a:ln w="12700">
                            <a:solidFill>
                              <a:schemeClr val="accent5"/>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ectangle: Rounded Corners 34"/>
                        <wps:cNvSpPr/>
                        <wps:spPr>
                          <a:xfrm>
                            <a:off x="3439813" y="1123551"/>
                            <a:ext cx="827405" cy="447675"/>
                          </a:xfrm>
                          <a:prstGeom prst="roundRect">
                            <a:avLst/>
                          </a:prstGeom>
                          <a:solidFill>
                            <a:schemeClr val="accent4">
                              <a:lumMod val="20000"/>
                              <a:lumOff val="80000"/>
                            </a:schemeClr>
                          </a:solidFill>
                          <a:ln w="12700">
                            <a:solidFill>
                              <a:schemeClr val="accent4"/>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flipV="1">
                            <a:off x="2606095" y="1349973"/>
                            <a:ext cx="833718"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303199" y="414299"/>
                            <a:ext cx="635000" cy="435610"/>
                          </a:xfrm>
                          <a:prstGeom prst="rect">
                            <a:avLst/>
                          </a:prstGeom>
                          <a:noFill/>
                          <a:ln>
                            <a:noFill/>
                          </a:ln>
                        </wps:spPr>
                        <wps:txbx>
                          <w:txbxContent>
                            <w:p w14:paraId="19D61D0F"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Service</w:t>
                              </w:r>
                            </w:p>
                            <w:p w14:paraId="46258CB5"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Quality</w:t>
                              </w:r>
                            </w:p>
                          </w:txbxContent>
                        </wps:txbx>
                        <wps:bodyPr wrap="none" lIns="91440" tIns="45720" rIns="91440" bIns="45720" anchor="ctr">
                          <a:noAutofit/>
                        </wps:bodyPr>
                      </wps:wsp>
                      <wps:wsp>
                        <wps:cNvPr id="19" name="Text Box 19"/>
                        <wps:cNvSpPr txBox="1"/>
                        <wps:spPr>
                          <a:xfrm>
                            <a:off x="117302" y="1861399"/>
                            <a:ext cx="1019108" cy="421640"/>
                          </a:xfrm>
                          <a:prstGeom prst="rect">
                            <a:avLst/>
                          </a:prstGeom>
                          <a:noFill/>
                          <a:ln>
                            <a:noFill/>
                          </a:ln>
                        </wps:spPr>
                        <wps:txbx>
                          <w:txbxContent>
                            <w:p w14:paraId="2A307A77"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Perceived Convenience</w:t>
                              </w:r>
                            </w:p>
                          </w:txbxContent>
                        </wps:txbx>
                        <wps:bodyPr wrap="square" lIns="91440" tIns="45720" rIns="91440" bIns="45720" anchor="ctr">
                          <a:spAutoFit/>
                        </wps:bodyPr>
                      </wps:wsp>
                      <wps:wsp>
                        <wps:cNvPr id="43" name="Rectangle: Rounded Corners 43"/>
                        <wps:cNvSpPr/>
                        <wps:spPr>
                          <a:xfrm>
                            <a:off x="1779205" y="1139448"/>
                            <a:ext cx="826770" cy="447675"/>
                          </a:xfrm>
                          <a:prstGeom prst="roundRect">
                            <a:avLst/>
                          </a:prstGeom>
                          <a:solidFill>
                            <a:schemeClr val="accent6">
                              <a:lumMod val="20000"/>
                              <a:lumOff val="80000"/>
                            </a:schemeClr>
                          </a:solidFill>
                          <a:ln w="12700">
                            <a:solidFill>
                              <a:schemeClr val="accent6"/>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744261" y="1137543"/>
                            <a:ext cx="902970" cy="421640"/>
                          </a:xfrm>
                          <a:prstGeom prst="rect">
                            <a:avLst/>
                          </a:prstGeom>
                          <a:noFill/>
                          <a:ln>
                            <a:noFill/>
                          </a:ln>
                        </wps:spPr>
                        <wps:txbx>
                          <w:txbxContent>
                            <w:p w14:paraId="72A748D7"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Customer </w:t>
                              </w:r>
                            </w:p>
                            <w:p w14:paraId="16A24676"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Satisfaction</w:t>
                              </w:r>
                            </w:p>
                          </w:txbxContent>
                        </wps:txbx>
                        <wps:bodyPr wrap="none" lIns="91440" tIns="45720" rIns="91440" bIns="45720" anchor="ctr">
                          <a:spAutoFit/>
                        </wps:bodyPr>
                      </wps:wsp>
                      <wps:wsp>
                        <wps:cNvPr id="44" name="Text Box 20"/>
                        <wps:cNvSpPr txBox="1"/>
                        <wps:spPr>
                          <a:xfrm>
                            <a:off x="3474287" y="1118471"/>
                            <a:ext cx="719455" cy="421640"/>
                          </a:xfrm>
                          <a:prstGeom prst="rect">
                            <a:avLst/>
                          </a:prstGeom>
                          <a:noFill/>
                          <a:ln>
                            <a:noFill/>
                          </a:ln>
                        </wps:spPr>
                        <wps:txbx>
                          <w:txbxContent>
                            <w:p w14:paraId="457E895D" w14:textId="77777777"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Reuse</w:t>
                              </w:r>
                            </w:p>
                            <w:p w14:paraId="226892F9" w14:textId="77777777"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Intention</w:t>
                              </w:r>
                            </w:p>
                          </w:txbxContent>
                        </wps:txbx>
                        <wps:bodyPr wrap="none" lIns="91440" tIns="45720" rIns="91440" bIns="45720" anchor="ctr">
                          <a:spAutoFit/>
                        </wps:bodyPr>
                      </wps:wsp>
                      <wps:wsp>
                        <wps:cNvPr id="55" name="Straight Arrow Connector 55"/>
                        <wps:cNvCnPr/>
                        <wps:spPr>
                          <a:xfrm flipV="1">
                            <a:off x="3828690" y="1568418"/>
                            <a:ext cx="0" cy="9260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flipV="1">
                            <a:off x="632771" y="2491909"/>
                            <a:ext cx="31959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flipV="1">
                            <a:off x="615936" y="228230"/>
                            <a:ext cx="3218079"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a:endCxn id="44" idx="0"/>
                        </wps:cNvCnPr>
                        <wps:spPr>
                          <a:xfrm>
                            <a:off x="3834015" y="223505"/>
                            <a:ext cx="0" cy="8947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Rectangle 3"/>
                        <wps:cNvSpPr/>
                        <wps:spPr>
                          <a:xfrm>
                            <a:off x="1891202" y="160632"/>
                            <a:ext cx="472181" cy="16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805286" y="112991"/>
                            <a:ext cx="655320" cy="256540"/>
                          </a:xfrm>
                          <a:prstGeom prst="rect">
                            <a:avLst/>
                          </a:prstGeom>
                          <a:noFill/>
                          <a:ln>
                            <a:noFill/>
                          </a:ln>
                        </wps:spPr>
                        <wps:txbx>
                          <w:txbxContent>
                            <w:p w14:paraId="108CA629" w14:textId="77777777" w:rsidR="00D0465E" w:rsidRPr="00D0465E" w:rsidRDefault="00D0465E" w:rsidP="003708C7">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3</w:t>
                              </w: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 + 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6</w:t>
                              </w:r>
                            </w:p>
                          </w:txbxContent>
                        </wps:txbx>
                        <wps:bodyPr wrap="square" lIns="91440" tIns="45720" rIns="91440" bIns="45720" anchor="ctr">
                          <a:spAutoFit/>
                        </wps:bodyPr>
                      </wps:wsp>
                      <wps:wsp>
                        <wps:cNvPr id="7" name="Rectangle 7"/>
                        <wps:cNvSpPr/>
                        <wps:spPr>
                          <a:xfrm>
                            <a:off x="1988095" y="2395832"/>
                            <a:ext cx="438995" cy="1608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0"/>
                        <wps:cNvSpPr txBox="1"/>
                        <wps:spPr>
                          <a:xfrm>
                            <a:off x="1881626" y="2364863"/>
                            <a:ext cx="655320" cy="255905"/>
                          </a:xfrm>
                          <a:prstGeom prst="rect">
                            <a:avLst/>
                          </a:prstGeom>
                          <a:noFill/>
                          <a:ln>
                            <a:noFill/>
                          </a:ln>
                        </wps:spPr>
                        <wps:txbx>
                          <w:txbxContent>
                            <w:p w14:paraId="6D83EAB9"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4</w:t>
                              </w:r>
                              <w:r>
                                <w:rPr>
                                  <w:rFonts w:ascii="Arial" w:hAnsi="Arial"/>
                                  <w:b/>
                                  <w:bCs/>
                                  <w:shadow/>
                                  <w:color w:val="000000"/>
                                  <w14:shadow w14:blurRad="38100" w14:dist="19050" w14:dir="2700000" w14:sx="100000" w14:sy="100000" w14:kx="0" w14:ky="0" w14:algn="tl">
                                    <w14:schemeClr w14:val="dk1">
                                      <w14:alpha w14:val="60000"/>
                                    </w14:schemeClr>
                                  </w14:shadow>
                                </w:rPr>
                                <w:t xml:space="preserve"> + 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7</w:t>
                              </w:r>
                            </w:p>
                          </w:txbxContent>
                        </wps:txbx>
                        <wps:bodyPr wrap="square" lIns="91440" tIns="45720" rIns="91440" bIns="45720" anchor="ctr">
                          <a:spAutoFit/>
                        </wps:bodyPr>
                      </wps:wsp>
                      <wps:wsp>
                        <wps:cNvPr id="8" name="Rectangle 8"/>
                        <wps:cNvSpPr/>
                        <wps:spPr>
                          <a:xfrm>
                            <a:off x="1309625" y="810195"/>
                            <a:ext cx="153938" cy="3080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 Box 60"/>
                        <wps:cNvSpPr txBox="1"/>
                        <wps:spPr>
                          <a:xfrm>
                            <a:off x="1060631" y="829343"/>
                            <a:ext cx="655320" cy="255270"/>
                          </a:xfrm>
                          <a:prstGeom prst="rect">
                            <a:avLst/>
                          </a:prstGeom>
                          <a:noFill/>
                          <a:ln>
                            <a:noFill/>
                          </a:ln>
                        </wps:spPr>
                        <wps:txbx>
                          <w:txbxContent>
                            <w:p w14:paraId="77C15EC6"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vertAlign w:val="subscript"/>
                                  <w14:shadow w14:blurRad="38100" w14:dist="19050" w14:dir="2700000" w14:sx="100000" w14:sy="100000" w14:kx="0" w14:ky="0" w14:algn="tl">
                                    <w14:schemeClr w14:val="dk1">
                                      <w14:alpha w14:val="60000"/>
                                    </w14:schemeClr>
                                  </w14:shadow>
                                </w:rPr>
                                <w:t>1</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wps:txbx>
                        <wps:bodyPr wrap="square" lIns="91440" tIns="45720" rIns="91440" bIns="45720" anchor="ctr">
                          <a:spAutoFit/>
                        </wps:bodyPr>
                      </wps:wsp>
                      <wps:wsp>
                        <wps:cNvPr id="9" name="Rectangle 9"/>
                        <wps:cNvSpPr/>
                        <wps:spPr>
                          <a:xfrm>
                            <a:off x="1309561" y="1635435"/>
                            <a:ext cx="132639" cy="232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0"/>
                        <wps:cNvSpPr txBox="1"/>
                        <wps:spPr>
                          <a:xfrm>
                            <a:off x="1065412" y="1621074"/>
                            <a:ext cx="655320" cy="254635"/>
                          </a:xfrm>
                          <a:prstGeom prst="rect">
                            <a:avLst/>
                          </a:prstGeom>
                          <a:noFill/>
                          <a:ln>
                            <a:noFill/>
                          </a:ln>
                        </wps:spPr>
                        <wps:txbx>
                          <w:txbxContent>
                            <w:p w14:paraId="3665215D"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2</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wps:txbx>
                        <wps:bodyPr wrap="square" lIns="91440" tIns="45720" rIns="91440" bIns="45720" anchor="ctr">
                          <a:spAutoFit/>
                        </wps:bodyPr>
                      </wps:wsp>
                      <wps:wsp>
                        <wps:cNvPr id="10" name="Rectangle 10"/>
                        <wps:cNvSpPr/>
                        <wps:spPr>
                          <a:xfrm>
                            <a:off x="2957444" y="1300923"/>
                            <a:ext cx="143256" cy="1127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0"/>
                        <wps:cNvSpPr txBox="1"/>
                        <wps:spPr>
                          <a:xfrm>
                            <a:off x="2879895" y="1222214"/>
                            <a:ext cx="338455" cy="288290"/>
                          </a:xfrm>
                          <a:prstGeom prst="rect">
                            <a:avLst/>
                          </a:prstGeom>
                          <a:noFill/>
                          <a:ln>
                            <a:noFill/>
                          </a:ln>
                        </wps:spPr>
                        <wps:txbx>
                          <w:txbxContent>
                            <w:p w14:paraId="6A23A92F"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position w:val="-5"/>
                                  <w:vertAlign w:val="subscript"/>
                                  <w14:shadow w14:blurRad="38100" w14:dist="19050" w14:dir="2700000" w14:sx="100000" w14:sy="100000" w14:kx="0" w14:ky="0" w14:algn="tl">
                                    <w14:schemeClr w14:val="dk1">
                                      <w14:alpha w14:val="60000"/>
                                    </w14:schemeClr>
                                  </w14:shadow>
                                </w:rPr>
                                <w:t>5</w:t>
                              </w:r>
                            </w:p>
                          </w:txbxContent>
                        </wps:txbx>
                        <wps:bodyPr wrap="square" lIns="91440" tIns="45720" rIns="91440" bIns="45720" anchor="ctr">
                          <a:spAutoFit/>
                        </wps:bodyPr>
                      </wps:wsp>
                    </wpc:wpc>
                  </a:graphicData>
                </a:graphic>
                <wp14:sizeRelH relativeFrom="margin">
                  <wp14:pctWidth>0</wp14:pctWidth>
                </wp14:sizeRelH>
                <wp14:sizeRelV relativeFrom="margin">
                  <wp14:pctHeight>0</wp14:pctHeight>
                </wp14:sizeRelV>
              </wp:anchor>
            </w:drawing>
          </mc:Choice>
          <mc:Fallback>
            <w:pict>
              <v:group w14:anchorId="5D98C119" id="Canvas 2" o:spid="_x0000_s1026" editas="canvas" style="position:absolute;left:0;text-align:left;margin-left:30.65pt;margin-top:9.05pt;width:351.6pt;height:212.7pt;z-index:251663360;mso-width-relative:margin;mso-height-relative:margin" coordsize="44653,2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653;height:27012;visibility:visible;mso-wrap-style:square">
                  <v:fill o:detectmouseclick="t"/>
                  <v:path o:connecttype="none"/>
                </v:shape>
                <v:line id="Straight Connector 54" o:spid="_x0000_s1028" style="position:absolute;visibility:visible;mso-wrap-style:square" from="6362,23113" to="6362,2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" strokecolor="black [3213]" strokeweight="1pt"/>
                <v:shapetype id="_x0000_t32" coordsize="21600,21600" o:spt="32" o:oned="t" path="m,l21600,21600e" filled="f">
                  <v:path arrowok="t" fillok="f" o:connecttype="none"/>
                  <o:lock v:ext="edit" shapetype="t"/>
                </v:shapetype>
                <v:shape id="Straight Arrow Connector 15" o:spid="_x0000_s1029" type="#_x0000_t32" style="position:absolute;left:10366;top:6260;width:7415;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" strokecolor="black [3213]" strokeweight="1pt">
                  <v:stroke endarrow="block"/>
                </v:shape>
                <v:shape id="Straight Arrow Connector 16" o:spid="_x0000_s1030" type="#_x0000_t32" style="position:absolute;left:10366;top:13499;width:7414;height:7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" strokecolor="black [3213]" strokeweight="1pt">
                  <v:stroke endarrow="block"/>
                </v:shape>
                <v:line id="Straight Connector 57" o:spid="_x0000_s1031" style="position:absolute;flip:y;visibility:visible;mso-wrap-style:square" from="6206,2273" to="620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" strokecolor="black [3213]" strokeweight="1pt"/>
                <v:roundrect id="Rectangle: Rounded Corners 14" o:spid="_x0000_s1032" style="position:absolute;left:2080;top:4022;width:828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" fillcolor="#daeef3 [664]" strokecolor="#4bacc6 [3208]" strokeweight="1pt"/>
                <v:roundrect id="Rectangle: Rounded Corners 29" o:spid="_x0000_s1033" style="position:absolute;left:2080;top:18681;width:828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" fillcolor="#daeef3 [664]" strokecolor="#4bacc6 [3208]" strokeweight="1pt"/>
                <v:roundrect id="Rectangle: Rounded Corners 34" o:spid="_x0000_s1034" style="position:absolute;left:34398;top:11235;width:8274;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" fillcolor="#e5dfec [663]" strokecolor="#8064a2 [3207]" strokeweight="1pt"/>
                <v:shape id="Straight Arrow Connector 17" o:spid="_x0000_s1035" type="#_x0000_t32" style="position:absolute;left:26060;top:13499;width:83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" strokecolor="black [3213]" strokeweight="1pt">
                  <v:stroke endarrow="block"/>
                </v:shape>
                <v:shapetype id="_x0000_t202" coordsize="21600,21600" o:spt="202" path="m,l,21600r21600,l21600,xe">
                  <v:stroke joinstyle="miter"/>
                  <v:path gradientshapeok="t" o:connecttype="rect"/>
                </v:shapetype>
                <v:shape id="Text Box 18" o:spid="_x0000_s1036" type="#_x0000_t202" style="position:absolute;left:3031;top:4142;width:6350;height:4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" filled="f" stroked="f">
                  <v:textbox>
                    <w:txbxContent>
                      <w:p w14:paraId="19D61D0F"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Service</w:t>
                        </w:r>
                      </w:p>
                      <w:p w14:paraId="46258CB5"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Quality</w:t>
                        </w:r>
                      </w:p>
                    </w:txbxContent>
                  </v:textbox>
                </v:shape>
                <v:shape id="Text Box 19" o:spid="_x0000_s1037" type="#_x0000_t202" style="position:absolute;left:1173;top:18613;width:10191;height:4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" filled="f" stroked="f">
                  <v:textbox style="mso-fit-shape-to-text:t">
                    <w:txbxContent>
                      <w:p w14:paraId="2A307A77"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Perceived Convenience</w:t>
                        </w:r>
                      </w:p>
                    </w:txbxContent>
                  </v:textbox>
                </v:shape>
                <v:roundrect id="Rectangle: Rounded Corners 43" o:spid="_x0000_s1038" style="position:absolute;left:17792;top:11394;width:826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" fillcolor="#fde9d9 [665]" strokecolor="#f79646 [3209]" strokeweight="1pt"/>
                <v:shape id="Text Box 20" o:spid="_x0000_s1039" type="#_x0000_t202" style="position:absolute;left:17442;top:11375;width:9030;height:42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" filled="f" stroked="f">
                  <v:textbox style="mso-fit-shape-to-text:t">
                    <w:txbxContent>
                      <w:p w14:paraId="72A748D7"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Customer </w:t>
                        </w:r>
                      </w:p>
                      <w:p w14:paraId="16A24676"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Satisfaction</w:t>
                        </w:r>
                      </w:p>
                    </w:txbxContent>
                  </v:textbox>
                </v:shape>
                <v:shape id="Text Box 20" o:spid="_x0000_s1040" type="#_x0000_t202" style="position:absolute;left:34742;top:11184;width:7195;height:42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" filled="f" stroked="f">
                  <v:textbox style="mso-fit-shape-to-text:t">
                    <w:txbxContent>
                      <w:p w14:paraId="457E895D" w14:textId="77777777"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Reuse</w:t>
                        </w:r>
                      </w:p>
                      <w:p w14:paraId="226892F9" w14:textId="77777777"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Intention</w:t>
                        </w:r>
                      </w:p>
                    </w:txbxContent>
                  </v:textbox>
                </v:shape>
                <v:shape id="Straight Arrow Connector 55" o:spid="_x0000_s1041" type="#_x0000_t32" style="position:absolute;left:38286;top:15684;width:0;height:92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" strokecolor="black [3213]" strokeweight="1pt">
                  <v:stroke endarrow="block"/>
                </v:shape>
                <v:line id="Straight Connector 56" o:spid="_x0000_s1042" style="position:absolute;flip:y;visibility:visible;mso-wrap-style:square" from="6327,24919" to="38286,24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" strokecolor="black [3213]" strokeweight="1pt"/>
                <v:line id="Straight Connector 58" o:spid="_x0000_s1043" style="position:absolute;flip:y;visibility:visible;mso-wrap-style:square" from="6159,2282" to="38340,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" strokecolor="black [3213]" strokeweight="1pt"/>
                <v:shape id="Straight Arrow Connector 59" o:spid="_x0000_s1044" type="#_x0000_t32" style="position:absolute;left:38340;top:2235;width:0;height:8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" strokecolor="black [3213]" strokeweight="1pt">
                  <v:stroke endarrow="block"/>
                </v:shape>
                <v:rect id="Rectangle 3" o:spid="_x0000_s1045" style="position:absolute;left:18912;top:1606;width:4721;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" fillcolor="white [3212]" stroked="f" strokeweight="2pt"/>
                <v:shape id="Text Box 60" o:spid="_x0000_s1046" type="#_x0000_t202" style="position:absolute;left:18052;top:1129;width:6554;height:2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" filled="f" stroked="f">
                  <v:textbox style="mso-fit-shape-to-text:t">
                    <w:txbxContent>
                      <w:p w14:paraId="108CA629" w14:textId="77777777" w:rsidR="00D0465E" w:rsidRPr="00D0465E" w:rsidRDefault="00D0465E" w:rsidP="003708C7">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3</w:t>
                        </w: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 + 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6</w:t>
                        </w:r>
                      </w:p>
                    </w:txbxContent>
                  </v:textbox>
                </v:shape>
                <v:rect id="Rectangle 7" o:spid="_x0000_s1047" style="position:absolute;left:19880;top:23958;width:4390;height:1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" fillcolor="white [3212]" stroked="f" strokeweight="2pt"/>
                <v:shape id="Text Box 60" o:spid="_x0000_s1048" type="#_x0000_t202" style="position:absolute;left:18816;top:23648;width:6553;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" filled="f" stroked="f">
                  <v:textbox style="mso-fit-shape-to-text:t">
                    <w:txbxContent>
                      <w:p w14:paraId="6D83EAB9"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4</w:t>
                        </w:r>
                        <w:r>
                          <w:rPr>
                            <w:rFonts w:ascii="Arial" w:hAnsi="Arial"/>
                            <w:b/>
                            <w:bCs/>
                            <w:shadow/>
                            <w:color w:val="000000"/>
                            <w14:shadow w14:blurRad="38100" w14:dist="19050" w14:dir="2700000" w14:sx="100000" w14:sy="100000" w14:kx="0" w14:ky="0" w14:algn="tl">
                              <w14:schemeClr w14:val="dk1">
                                <w14:alpha w14:val="60000"/>
                              </w14:schemeClr>
                            </w14:shadow>
                          </w:rPr>
                          <w:t xml:space="preserve"> + 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7</w:t>
                        </w:r>
                      </w:p>
                    </w:txbxContent>
                  </v:textbox>
                </v:shape>
                <v:rect id="Rectangle 8" o:spid="_x0000_s1049" style="position:absolute;left:13096;top:8101;width:1539;height:3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" fillcolor="white [3212]" stroked="f" strokeweight="2pt"/>
                <v:shape id="Text Box 60" o:spid="_x0000_s1050" type="#_x0000_t202" style="position:absolute;left:10606;top:8293;width:6553;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" filled="f" stroked="f">
                  <v:textbox style="mso-fit-shape-to-text:t">
                    <w:txbxContent>
                      <w:p w14:paraId="77C15EC6"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vertAlign w:val="subscript"/>
                            <w14:shadow w14:blurRad="38100" w14:dist="19050" w14:dir="2700000" w14:sx="100000" w14:sy="100000" w14:kx="0" w14:ky="0" w14:algn="tl">
                              <w14:schemeClr w14:val="dk1">
                                <w14:alpha w14:val="60000"/>
                              </w14:schemeClr>
                            </w14:shadow>
                          </w:rPr>
                          <w:t>1</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v:textbox>
                </v:shape>
                <v:rect id="Rectangle 9" o:spid="_x0000_s1051" style="position:absolute;left:13095;top:16354;width:1327;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" fillcolor="white [3212]" stroked="f" strokeweight="2pt"/>
                <v:shape id="Text Box 60" o:spid="_x0000_s1052" type="#_x0000_t202" style="position:absolute;left:10654;top:16210;width:6553;height: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" filled="f" stroked="f">
                  <v:textbox style="mso-fit-shape-to-text:t">
                    <w:txbxContent>
                      <w:p w14:paraId="3665215D"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2</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v:textbox>
                </v:shape>
                <v:rect id="Rectangle 10" o:spid="_x0000_s1053" style="position:absolute;left:29574;top:13009;width:1433;height: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" fillcolor="white [3212]" stroked="f" strokeweight="2pt"/>
                <v:shape id="Text Box 60" o:spid="_x0000_s1054" type="#_x0000_t202" style="position:absolute;left:28798;top:12222;width:3385;height:2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" filled="f" stroked="f">
                  <v:textbox style="mso-fit-shape-to-text:t">
                    <w:txbxContent>
                      <w:p w14:paraId="6A23A92F" w14:textId="77777777"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position w:val="-5"/>
                            <w:vertAlign w:val="subscript"/>
                            <w14:shadow w14:blurRad="38100" w14:dist="19050" w14:dir="2700000" w14:sx="100000" w14:sy="100000" w14:kx="0" w14:ky="0" w14:algn="tl">
                              <w14:schemeClr w14:val="dk1">
                                <w14:alpha w14:val="60000"/>
                              </w14:schemeClr>
                            </w14:shadow>
                          </w:rPr>
                          <w:t>5</w:t>
                        </w:r>
                      </w:p>
                    </w:txbxContent>
                  </v:textbox>
                </v:shape>
              </v:group>
            </w:pict>
          </mc:Fallback>
        </mc:AlternateContent>
      </w:r>
    </w:p>
    <w:p w14:paraId="359F04D3" w14:textId="77777777" w:rsidR="00F52493" w:rsidRPr="00FE45F6" w:rsidRDefault="00310B42" w:rsidP="00310B42">
      <w:pPr>
        <w:tabs>
          <w:tab w:val="left" w:pos="5501"/>
        </w:tabs>
        <w:jc w:val="both"/>
        <w:rPr>
          <w:rFonts w:ascii="Arial" w:eastAsia="Book Antiqua" w:hAnsi="Arial" w:cs="Arial"/>
        </w:rPr>
      </w:pPr>
      <w:r w:rsidRPr="00FE45F6">
        <w:rPr>
          <w:rFonts w:ascii="Arial" w:eastAsia="Book Antiqua" w:hAnsi="Arial" w:cs="Arial"/>
        </w:rPr>
        <w:tab/>
      </w:r>
    </w:p>
    <w:p w14:paraId="3088F530" w14:textId="77777777" w:rsidR="00F52493" w:rsidRPr="00FE45F6" w:rsidRDefault="00F52493" w:rsidP="005624D1">
      <w:pPr>
        <w:jc w:val="both"/>
        <w:rPr>
          <w:rFonts w:ascii="Arial" w:eastAsia="Book Antiqua" w:hAnsi="Arial" w:cs="Arial"/>
        </w:rPr>
      </w:pPr>
    </w:p>
    <w:p w14:paraId="1132EED5" w14:textId="77777777" w:rsidR="00F52493" w:rsidRPr="00FE45F6" w:rsidRDefault="00F52493" w:rsidP="005624D1">
      <w:pPr>
        <w:jc w:val="both"/>
        <w:rPr>
          <w:rFonts w:ascii="Arial" w:eastAsia="Book Antiqua" w:hAnsi="Arial" w:cs="Arial"/>
        </w:rPr>
      </w:pPr>
    </w:p>
    <w:p w14:paraId="6A01244A" w14:textId="77777777" w:rsidR="00F52493" w:rsidRPr="00FE45F6" w:rsidRDefault="00F52493" w:rsidP="005624D1">
      <w:pPr>
        <w:jc w:val="both"/>
        <w:rPr>
          <w:rFonts w:ascii="Arial" w:eastAsia="Book Antiqua" w:hAnsi="Arial" w:cs="Arial"/>
        </w:rPr>
      </w:pPr>
    </w:p>
    <w:p w14:paraId="48DA0C97" w14:textId="77777777" w:rsidR="00F52493" w:rsidRPr="00FE45F6" w:rsidRDefault="00F52493" w:rsidP="005624D1">
      <w:pPr>
        <w:jc w:val="both"/>
        <w:rPr>
          <w:rFonts w:ascii="Arial" w:eastAsia="Book Antiqua" w:hAnsi="Arial" w:cs="Arial"/>
        </w:rPr>
      </w:pPr>
    </w:p>
    <w:p w14:paraId="7021D14C" w14:textId="77777777" w:rsidR="00F52493" w:rsidRPr="00FE45F6" w:rsidRDefault="00F52493" w:rsidP="005624D1">
      <w:pPr>
        <w:jc w:val="both"/>
        <w:rPr>
          <w:rFonts w:ascii="Arial" w:eastAsia="Book Antiqua" w:hAnsi="Arial" w:cs="Arial"/>
        </w:rPr>
      </w:pPr>
    </w:p>
    <w:p w14:paraId="5C6745A5" w14:textId="77777777" w:rsidR="00F52493" w:rsidRPr="00FE45F6" w:rsidRDefault="00F52493" w:rsidP="005624D1">
      <w:pPr>
        <w:jc w:val="both"/>
        <w:rPr>
          <w:rFonts w:ascii="Arial" w:eastAsia="Book Antiqua" w:hAnsi="Arial" w:cs="Arial"/>
        </w:rPr>
      </w:pPr>
    </w:p>
    <w:p w14:paraId="00E7C0A8" w14:textId="77777777" w:rsidR="00F52493" w:rsidRPr="00FE45F6" w:rsidRDefault="00F52493" w:rsidP="005624D1">
      <w:pPr>
        <w:jc w:val="both"/>
        <w:rPr>
          <w:rFonts w:ascii="Arial" w:eastAsia="Book Antiqua" w:hAnsi="Arial" w:cs="Arial"/>
        </w:rPr>
      </w:pPr>
    </w:p>
    <w:p w14:paraId="55D6AE38" w14:textId="77777777" w:rsidR="00F52493" w:rsidRPr="00FE45F6" w:rsidRDefault="00F52493" w:rsidP="005624D1">
      <w:pPr>
        <w:jc w:val="both"/>
        <w:rPr>
          <w:rFonts w:ascii="Arial" w:eastAsia="Book Antiqua" w:hAnsi="Arial" w:cs="Arial"/>
        </w:rPr>
      </w:pPr>
    </w:p>
    <w:p w14:paraId="27E6753C" w14:textId="77777777" w:rsidR="00F52493" w:rsidRPr="00FE45F6" w:rsidRDefault="00F52493" w:rsidP="005624D1">
      <w:pPr>
        <w:jc w:val="both"/>
        <w:rPr>
          <w:rFonts w:ascii="Arial" w:eastAsia="Book Antiqua" w:hAnsi="Arial" w:cs="Arial"/>
        </w:rPr>
      </w:pPr>
    </w:p>
    <w:p w14:paraId="4F2C4A66" w14:textId="77777777" w:rsidR="00F52493" w:rsidRPr="00FE45F6" w:rsidRDefault="00F52493" w:rsidP="005624D1">
      <w:pPr>
        <w:jc w:val="both"/>
        <w:rPr>
          <w:rFonts w:ascii="Arial" w:eastAsia="Book Antiqua" w:hAnsi="Arial" w:cs="Arial"/>
        </w:rPr>
      </w:pPr>
    </w:p>
    <w:p w14:paraId="712F0F75" w14:textId="77777777" w:rsidR="001C2BE8" w:rsidRPr="00FE45F6" w:rsidRDefault="001C2BE8" w:rsidP="00B847FA">
      <w:pPr>
        <w:rPr>
          <w:rFonts w:ascii="Arial" w:eastAsia="Book Antiqua" w:hAnsi="Arial" w:cs="Arial"/>
          <w:b/>
          <w:bCs/>
        </w:rPr>
      </w:pPr>
    </w:p>
    <w:p w14:paraId="3570E4A1" w14:textId="77777777" w:rsidR="00970399" w:rsidRPr="00FE45F6" w:rsidRDefault="00970399" w:rsidP="00B847FA">
      <w:pPr>
        <w:rPr>
          <w:rFonts w:ascii="Arial" w:eastAsia="Book Antiqua" w:hAnsi="Arial" w:cs="Arial"/>
          <w:b/>
          <w:bCs/>
        </w:rPr>
      </w:pPr>
    </w:p>
    <w:p w14:paraId="46FFC855" w14:textId="77777777" w:rsidR="00D0465E" w:rsidRPr="00FE45F6" w:rsidRDefault="00D0465E" w:rsidP="00D0465E">
      <w:pPr>
        <w:spacing w:after="200"/>
        <w:rPr>
          <w:rFonts w:ascii="Arial" w:eastAsia="Book Antiqua" w:hAnsi="Arial" w:cs="Arial"/>
          <w:b/>
          <w:bCs/>
        </w:rPr>
      </w:pPr>
    </w:p>
    <w:p w14:paraId="5DB54888" w14:textId="77777777" w:rsidR="007B502A" w:rsidRPr="00FE45F6" w:rsidRDefault="007B502A" w:rsidP="00D0465E">
      <w:pPr>
        <w:spacing w:after="200"/>
        <w:jc w:val="center"/>
        <w:rPr>
          <w:rFonts w:ascii="Arial" w:eastAsia="Book Antiqua" w:hAnsi="Arial" w:cs="Arial"/>
          <w:b/>
          <w:bCs/>
        </w:rPr>
      </w:pPr>
    </w:p>
    <w:p w14:paraId="0EAC7994" w14:textId="77777777" w:rsidR="00824C4C" w:rsidRPr="00FE45F6" w:rsidRDefault="00824C4C" w:rsidP="00824C4C">
      <w:pPr>
        <w:spacing w:after="120"/>
        <w:jc w:val="center"/>
        <w:rPr>
          <w:rFonts w:ascii="Arial" w:eastAsia="Book Antiqua" w:hAnsi="Arial" w:cs="Arial"/>
          <w:b/>
          <w:bCs/>
        </w:rPr>
      </w:pPr>
    </w:p>
    <w:p w14:paraId="09C0D306" w14:textId="77777777" w:rsidR="00824C4C" w:rsidRPr="00FE45F6" w:rsidRDefault="00824C4C" w:rsidP="00824C4C">
      <w:pPr>
        <w:spacing w:after="120"/>
        <w:jc w:val="center"/>
        <w:rPr>
          <w:rFonts w:ascii="Arial" w:eastAsia="Book Antiqua" w:hAnsi="Arial" w:cs="Arial"/>
          <w:b/>
          <w:bCs/>
        </w:rPr>
      </w:pPr>
    </w:p>
    <w:p w14:paraId="456C3FC2" w14:textId="77777777" w:rsidR="00970399" w:rsidRPr="00FE45F6" w:rsidRDefault="00F52493" w:rsidP="00824C4C">
      <w:pPr>
        <w:spacing w:after="120"/>
        <w:jc w:val="center"/>
        <w:rPr>
          <w:rFonts w:ascii="Arial" w:eastAsia="Book Antiqua" w:hAnsi="Arial" w:cs="Arial"/>
          <w:b/>
          <w:bCs/>
        </w:rPr>
      </w:pPr>
      <w:r w:rsidRPr="00FE45F6">
        <w:rPr>
          <w:rFonts w:ascii="Arial" w:eastAsia="Book Antiqua" w:hAnsi="Arial" w:cs="Arial"/>
          <w:b/>
          <w:bCs/>
        </w:rPr>
        <w:t>Figure 1. Conceptual Framework</w:t>
      </w:r>
    </w:p>
    <w:p w14:paraId="64D6C041" w14:textId="77777777" w:rsidR="00F52493" w:rsidRPr="00FE45F6" w:rsidRDefault="00F52493" w:rsidP="00F52493">
      <w:pPr>
        <w:pStyle w:val="AbstHead"/>
        <w:spacing w:after="200"/>
        <w:jc w:val="both"/>
        <w:rPr>
          <w:rFonts w:ascii="Arial" w:hAnsi="Arial" w:cs="Arial"/>
        </w:rPr>
      </w:pPr>
      <w:r w:rsidRPr="00FE45F6">
        <w:rPr>
          <w:rFonts w:ascii="Arial" w:hAnsi="Arial" w:cs="Arial"/>
        </w:rPr>
        <w:t>III. Materials and methods</w:t>
      </w:r>
    </w:p>
    <w:p w14:paraId="1D9A6218" w14:textId="77777777" w:rsidR="00483D94" w:rsidRPr="00FE45F6" w:rsidRDefault="000E2739" w:rsidP="005624D1">
      <w:pPr>
        <w:jc w:val="both"/>
        <w:rPr>
          <w:rFonts w:ascii="Arial" w:eastAsia="Book Antiqua" w:hAnsi="Arial" w:cs="Arial"/>
          <w:b/>
          <w:bCs/>
          <w:sz w:val="22"/>
          <w:szCs w:val="22"/>
        </w:rPr>
      </w:pPr>
      <w:r w:rsidRPr="00FE45F6">
        <w:rPr>
          <w:rFonts w:ascii="Arial" w:eastAsia="Book Antiqua" w:hAnsi="Arial" w:cs="Arial"/>
          <w:b/>
          <w:bCs/>
          <w:sz w:val="22"/>
          <w:szCs w:val="22"/>
        </w:rPr>
        <w:t>3.1 Research Design</w:t>
      </w:r>
    </w:p>
    <w:p w14:paraId="46B1FC73" w14:textId="77777777" w:rsidR="006966B5" w:rsidRPr="00FE45F6" w:rsidRDefault="006966B5" w:rsidP="00730D09">
      <w:pPr>
        <w:spacing w:before="200"/>
        <w:jc w:val="both"/>
        <w:rPr>
          <w:rFonts w:ascii="Arial" w:eastAsia="Book Antiqua" w:hAnsi="Arial" w:cs="Arial"/>
        </w:rPr>
      </w:pPr>
      <w:r w:rsidRPr="00FE45F6">
        <w:rPr>
          <w:rFonts w:ascii="Arial" w:eastAsia="Book Antiqua" w:hAnsi="Arial" w:cs="Arial"/>
        </w:rPr>
        <w:t xml:space="preserve">This study adopted a quantitative correlational design to examine the relationships among service quality, perceived convenience, customer satisfaction,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The quantitative approach enabled systematic measurement of the constructs and statistical analysis of the proposed relationships. Data were collected using survey questionnaires, enabling an efficient assessment of users’ perceptions and experiences. Overall, this research design was appropriate for achieving the research objectives and testing the proposed hypotheses.</w:t>
      </w:r>
    </w:p>
    <w:p w14:paraId="352E976D" w14:textId="77777777" w:rsidR="00730D09" w:rsidRPr="00FE45F6" w:rsidRDefault="00730D09" w:rsidP="00730D09">
      <w:pPr>
        <w:spacing w:before="200"/>
        <w:jc w:val="both"/>
        <w:rPr>
          <w:rFonts w:ascii="Arial" w:eastAsia="Book Antiqua" w:hAnsi="Arial" w:cs="Arial"/>
          <w:b/>
          <w:bCs/>
          <w:sz w:val="22"/>
          <w:szCs w:val="22"/>
        </w:rPr>
      </w:pPr>
      <w:r w:rsidRPr="00FE45F6">
        <w:rPr>
          <w:rFonts w:ascii="Arial" w:eastAsia="Book Antiqua" w:hAnsi="Arial" w:cs="Arial"/>
          <w:b/>
          <w:bCs/>
          <w:sz w:val="22"/>
          <w:szCs w:val="22"/>
        </w:rPr>
        <w:t>3.2 Sample and Sampling Design</w:t>
      </w:r>
    </w:p>
    <w:p w14:paraId="57740DA8" w14:textId="77777777" w:rsidR="00730D09" w:rsidRPr="00FE45F6" w:rsidRDefault="00730D09" w:rsidP="00730D09">
      <w:pPr>
        <w:rPr>
          <w:rFonts w:ascii="Arial" w:eastAsia="Book Antiqua" w:hAnsi="Arial" w:cs="Arial"/>
          <w:b/>
          <w:bCs/>
          <w:sz w:val="22"/>
          <w:szCs w:val="22"/>
        </w:rPr>
      </w:pPr>
    </w:p>
    <w:p w14:paraId="1A3CD6CD" w14:textId="77777777" w:rsidR="00730D09" w:rsidRPr="00FE45F6" w:rsidRDefault="00730D09" w:rsidP="00184456">
      <w:pPr>
        <w:spacing w:after="200"/>
        <w:jc w:val="both"/>
        <w:rPr>
          <w:rFonts w:ascii="Arial" w:eastAsia="Book Antiqua" w:hAnsi="Arial" w:cs="Arial"/>
        </w:rPr>
      </w:pPr>
      <w:r w:rsidRPr="00FE45F6">
        <w:rPr>
          <w:rFonts w:ascii="Arial" w:eastAsia="Book Antiqua" w:hAnsi="Arial" w:cs="Arial"/>
        </w:rPr>
        <w:t xml:space="preserve">As the population size was unknown, the sample size was calculated using Cochran’s formula: n = z²/4(e)² </w:t>
      </w:r>
      <w:r w:rsidRPr="00FE45F6">
        <w:rPr>
          <w:rFonts w:ascii="Arial" w:eastAsia="Book Antiqua" w:hAnsi="Arial" w:cs="Arial"/>
          <w:color w:val="0000FF"/>
        </w:rPr>
        <w:t>(</w:t>
      </w:r>
      <w:proofErr w:type="spellStart"/>
      <w:r w:rsidRPr="00FE45F6">
        <w:rPr>
          <w:rFonts w:ascii="Arial" w:eastAsia="Book Antiqua" w:hAnsi="Arial" w:cs="Arial"/>
          <w:color w:val="0000FF"/>
        </w:rPr>
        <w:t>Uakarn</w:t>
      </w:r>
      <w:proofErr w:type="spellEnd"/>
      <w:r w:rsidRPr="00FE45F6">
        <w:rPr>
          <w:rFonts w:ascii="Arial" w:eastAsia="Book Antiqua" w:hAnsi="Arial" w:cs="Arial"/>
          <w:color w:val="0000FF"/>
        </w:rPr>
        <w:t xml:space="preserve"> et al., 2021)</w:t>
      </w:r>
      <w:r w:rsidRPr="00FE45F6">
        <w:rPr>
          <w:rFonts w:ascii="Arial" w:eastAsia="Book Antiqua" w:hAnsi="Arial" w:cs="Arial"/>
        </w:rPr>
        <w:t xml:space="preserve">. Based on a 95% confidence level (z = 1.96) and a 5% margin of error, the required sample size was 385 </w:t>
      </w:r>
      <w:r w:rsidRPr="00FE45F6">
        <w:rPr>
          <w:rFonts w:ascii="Arial" w:eastAsia="Book Antiqua" w:hAnsi="Arial" w:cs="Arial"/>
          <w:color w:val="0000FF"/>
        </w:rPr>
        <w:t>(</w:t>
      </w:r>
      <w:proofErr w:type="spellStart"/>
      <w:r w:rsidRPr="00FE45F6">
        <w:rPr>
          <w:rFonts w:ascii="Arial" w:eastAsia="Book Antiqua" w:hAnsi="Arial" w:cs="Arial"/>
          <w:color w:val="0000FF"/>
        </w:rPr>
        <w:t>Uakarn</w:t>
      </w:r>
      <w:proofErr w:type="spellEnd"/>
      <w:r w:rsidRPr="00FE45F6">
        <w:rPr>
          <w:rFonts w:ascii="Arial" w:eastAsia="Book Antiqua" w:hAnsi="Arial" w:cs="Arial"/>
          <w:color w:val="0000FF"/>
        </w:rPr>
        <w:t xml:space="preserve"> et al., 2021)</w:t>
      </w:r>
      <w:r w:rsidRPr="00FE45F6">
        <w:rPr>
          <w:rFonts w:ascii="Arial" w:eastAsia="Book Antiqua" w:hAnsi="Arial" w:cs="Arial"/>
        </w:rPr>
        <w:t xml:space="preserve">. Additionally, following the recommendation of </w:t>
      </w:r>
      <w:r w:rsidRPr="00FE45F6">
        <w:rPr>
          <w:rFonts w:ascii="Arial" w:eastAsia="Book Antiqua" w:hAnsi="Arial" w:cs="Arial"/>
          <w:color w:val="0000FF"/>
        </w:rPr>
        <w:t>Hair et al. (2019)</w:t>
      </w:r>
      <w:r w:rsidRPr="00FE45F6">
        <w:rPr>
          <w:rFonts w:ascii="Arial" w:eastAsia="Book Antiqua" w:hAnsi="Arial" w:cs="Arial"/>
        </w:rPr>
        <w:t xml:space="preserve">, studies applying structural equation modelling require an adequate sample size that exceeds the minimum calculated requirement to enhance the robustness, stability, and accuracy of model estimation. Thus, 600 university students from BELTEI International University (Campus 1 and Campus 2) in Phnom Penh, Cambodia, were recruited through convenience sampling </w:t>
      </w:r>
      <w:r w:rsidRPr="00FE45F6">
        <w:rPr>
          <w:rFonts w:ascii="Arial" w:eastAsia="Book Antiqua" w:hAnsi="Arial" w:cs="Arial"/>
          <w:color w:val="0000FF"/>
        </w:rPr>
        <w:t>(Golzar et al., 2022)</w:t>
      </w:r>
      <w:r w:rsidRPr="00FE45F6">
        <w:rPr>
          <w:rFonts w:ascii="Arial" w:eastAsia="Book Antiqua" w:hAnsi="Arial" w:cs="Arial"/>
        </w:rPr>
        <w:t xml:space="preserve">. This sample size satisfied the recommended 40:1 case-to-variable ratio for regression analysis, supporting the reliability and stability of the statistical model </w:t>
      </w:r>
      <w:r w:rsidRPr="00FE45F6">
        <w:rPr>
          <w:rFonts w:ascii="Arial" w:eastAsia="Book Antiqua" w:hAnsi="Arial" w:cs="Arial"/>
          <w:color w:val="0000FF"/>
        </w:rPr>
        <w:t>(Norng, 2022)</w:t>
      </w:r>
      <w:r w:rsidRPr="00FE45F6">
        <w:rPr>
          <w:rFonts w:ascii="Arial" w:eastAsia="Book Antiqua" w:hAnsi="Arial" w:cs="Arial"/>
        </w:rPr>
        <w:t xml:space="preserve">. All respondents had prior experience using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to purchase food or beverages and were familiar with the platform, enabling them to provide relevant information. However, due to the non-random sampling method, the findings should be interpreted as reflecting trends within this specific context rather than being </w:t>
      </w:r>
      <w:proofErr w:type="spellStart"/>
      <w:r w:rsidRPr="00FE45F6">
        <w:rPr>
          <w:rFonts w:ascii="Arial" w:eastAsia="Book Antiqua" w:hAnsi="Arial" w:cs="Arial"/>
        </w:rPr>
        <w:t>generalised</w:t>
      </w:r>
      <w:proofErr w:type="spellEnd"/>
      <w:r w:rsidRPr="00FE45F6">
        <w:rPr>
          <w:rFonts w:ascii="Arial" w:eastAsia="Book Antiqua" w:hAnsi="Arial" w:cs="Arial"/>
        </w:rPr>
        <w:t xml:space="preserve"> to the broader student population.</w:t>
      </w:r>
    </w:p>
    <w:p w14:paraId="2B09381D" w14:textId="77777777" w:rsidR="002124C4" w:rsidRPr="00FE45F6" w:rsidRDefault="001D2E96" w:rsidP="002124C4">
      <w:pPr>
        <w:spacing w:after="200"/>
        <w:jc w:val="both"/>
        <w:rPr>
          <w:rFonts w:ascii="Arial" w:eastAsia="Book Antiqua" w:hAnsi="Arial" w:cs="Arial"/>
          <w:b/>
          <w:bCs/>
          <w:sz w:val="22"/>
          <w:szCs w:val="22"/>
        </w:rPr>
      </w:pPr>
      <w:r w:rsidRPr="00FE45F6">
        <w:rPr>
          <w:rFonts w:ascii="Arial" w:eastAsia="Book Antiqua" w:hAnsi="Arial" w:cs="Arial"/>
          <w:b/>
          <w:bCs/>
          <w:sz w:val="22"/>
          <w:szCs w:val="22"/>
        </w:rPr>
        <w:t xml:space="preserve">3.3 Research Instruments </w:t>
      </w:r>
    </w:p>
    <w:p w14:paraId="1BBA6882" w14:textId="77777777" w:rsidR="006966B5" w:rsidRPr="00FE45F6" w:rsidRDefault="006966B5" w:rsidP="006966B5">
      <w:pPr>
        <w:spacing w:after="200"/>
        <w:jc w:val="both"/>
        <w:rPr>
          <w:rFonts w:ascii="Arial" w:eastAsia="Book Antiqua" w:hAnsi="Arial" w:cs="Arial"/>
        </w:rPr>
      </w:pPr>
      <w:r w:rsidRPr="00FE45F6">
        <w:rPr>
          <w:rFonts w:ascii="Arial" w:eastAsia="Book Antiqua" w:hAnsi="Arial" w:cs="Arial"/>
        </w:rPr>
        <w:t xml:space="preserve">The questionnaire consisted of two sections: demographic information and measurement items adapted from previous studies, as presented in Table 1. The items were modified to fit the local context and translated into Khmer and back-translated by bilingual colleagues. Minor revisions were made after pilot testing to ensure clarity. A bilingual (Khmer–English) questionnaire was administered for data collection, with responses measured on a five-point Likert scale ranging from 1 (strongly disagree) to 5 (strongly agree). Mean scores were interpreted as follows: 1.00–1.80 = strongly disagree, 1.81–2.60 = disagree, 2.61–3.40 = neutral, 3.41–4.20 = agree, and 4.21–5.00 = strongly agree </w:t>
      </w:r>
      <w:r w:rsidRPr="00FE45F6">
        <w:rPr>
          <w:rFonts w:ascii="Arial" w:eastAsia="Book Antiqua" w:hAnsi="Arial" w:cs="Arial"/>
          <w:color w:val="0000FF"/>
        </w:rPr>
        <w:t>(</w:t>
      </w:r>
      <w:proofErr w:type="spellStart"/>
      <w:r w:rsidRPr="00FE45F6">
        <w:rPr>
          <w:rFonts w:ascii="Arial" w:eastAsia="Book Antiqua" w:hAnsi="Arial" w:cs="Arial"/>
          <w:color w:val="0000FF"/>
        </w:rPr>
        <w:t>Nyutu</w:t>
      </w:r>
      <w:proofErr w:type="spellEnd"/>
      <w:r w:rsidRPr="00FE45F6">
        <w:rPr>
          <w:rFonts w:ascii="Arial" w:eastAsia="Book Antiqua" w:hAnsi="Arial" w:cs="Arial"/>
          <w:color w:val="0000FF"/>
        </w:rPr>
        <w:t xml:space="preserve"> et al., 2021)</w:t>
      </w:r>
      <w:r w:rsidRPr="00FE45F6">
        <w:rPr>
          <w:rFonts w:ascii="Arial" w:eastAsia="Book Antiqua" w:hAnsi="Arial" w:cs="Arial"/>
        </w:rPr>
        <w:t xml:space="preserve">. Finally, data </w:t>
      </w:r>
      <w:r w:rsidRPr="00FE45F6">
        <w:rPr>
          <w:rFonts w:ascii="Arial" w:eastAsia="Book Antiqua" w:hAnsi="Arial" w:cs="Arial"/>
        </w:rPr>
        <w:lastRenderedPageBreak/>
        <w:t xml:space="preserve">normality was assessed using skewness and kurtosis, with values between −2 and +2 considered acceptable </w:t>
      </w:r>
      <w:r w:rsidRPr="00FE45F6">
        <w:rPr>
          <w:rFonts w:ascii="Arial" w:eastAsia="Book Antiqua" w:hAnsi="Arial" w:cs="Arial"/>
          <w:color w:val="0000FF"/>
        </w:rPr>
        <w:t>(George &amp; Mallery, 2024)</w:t>
      </w:r>
      <w:r w:rsidRPr="00FE45F6">
        <w:rPr>
          <w:rFonts w:ascii="Arial" w:eastAsia="Book Antiqua" w:hAnsi="Arial" w:cs="Arial"/>
        </w:rPr>
        <w:t>.</w:t>
      </w:r>
    </w:p>
    <w:p w14:paraId="59481100" w14:textId="77777777" w:rsidR="005101AA" w:rsidRPr="00FE45F6" w:rsidRDefault="005101AA" w:rsidP="00772E50">
      <w:pPr>
        <w:spacing w:after="200"/>
        <w:jc w:val="center"/>
        <w:rPr>
          <w:rFonts w:ascii="Arial" w:eastAsia="Book Antiqua" w:hAnsi="Arial" w:cs="Arial"/>
          <w:b/>
          <w:bCs/>
        </w:rPr>
      </w:pPr>
      <w:r w:rsidRPr="00FE45F6">
        <w:rPr>
          <w:rFonts w:ascii="Arial" w:eastAsia="Book Antiqua" w:hAnsi="Arial" w:cs="Arial"/>
          <w:b/>
          <w:bCs/>
        </w:rPr>
        <w:t>Table 1. A summary of the construct measurement</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843"/>
        <w:gridCol w:w="3950"/>
      </w:tblGrid>
      <w:tr w:rsidR="005101AA" w:rsidRPr="00FE45F6" w14:paraId="1F5E6E2C" w14:textId="77777777" w:rsidTr="00714CC8">
        <w:tc>
          <w:tcPr>
            <w:tcW w:w="2405" w:type="dxa"/>
            <w:tcBorders>
              <w:top w:val="single" w:sz="4" w:space="0" w:color="auto"/>
              <w:bottom w:val="single" w:sz="4" w:space="0" w:color="auto"/>
            </w:tcBorders>
          </w:tcPr>
          <w:p w14:paraId="3CC11BAB" w14:textId="77777777" w:rsidR="005101AA" w:rsidRPr="00FE45F6" w:rsidRDefault="005101AA" w:rsidP="005101AA">
            <w:pPr>
              <w:jc w:val="both"/>
              <w:rPr>
                <w:rFonts w:ascii="Arial" w:eastAsia="Book Antiqua" w:hAnsi="Arial" w:cs="Arial"/>
                <w:b/>
                <w:bCs/>
                <w:sz w:val="20"/>
                <w:szCs w:val="20"/>
              </w:rPr>
            </w:pPr>
            <w:r w:rsidRPr="00FE45F6">
              <w:rPr>
                <w:rFonts w:ascii="Arial" w:hAnsi="Arial" w:cs="Arial"/>
                <w:b/>
                <w:bCs/>
                <w:sz w:val="20"/>
                <w:szCs w:val="20"/>
              </w:rPr>
              <w:t>Description of Items</w:t>
            </w:r>
          </w:p>
        </w:tc>
        <w:tc>
          <w:tcPr>
            <w:tcW w:w="1843" w:type="dxa"/>
            <w:tcBorders>
              <w:top w:val="single" w:sz="4" w:space="0" w:color="auto"/>
              <w:bottom w:val="single" w:sz="4" w:space="0" w:color="auto"/>
            </w:tcBorders>
          </w:tcPr>
          <w:p w14:paraId="574F53D3" w14:textId="77777777" w:rsidR="005101AA" w:rsidRPr="00FE45F6" w:rsidRDefault="005101AA" w:rsidP="005101AA">
            <w:pPr>
              <w:jc w:val="both"/>
              <w:rPr>
                <w:rFonts w:ascii="Arial" w:eastAsia="Book Antiqua" w:hAnsi="Arial" w:cs="Arial"/>
                <w:b/>
                <w:bCs/>
                <w:sz w:val="20"/>
                <w:szCs w:val="20"/>
              </w:rPr>
            </w:pPr>
            <w:r w:rsidRPr="00FE45F6">
              <w:rPr>
                <w:rFonts w:ascii="Arial" w:hAnsi="Arial" w:cs="Arial"/>
                <w:b/>
                <w:bCs/>
                <w:sz w:val="20"/>
                <w:szCs w:val="20"/>
              </w:rPr>
              <w:t>Number of Items</w:t>
            </w:r>
          </w:p>
        </w:tc>
        <w:tc>
          <w:tcPr>
            <w:tcW w:w="3950" w:type="dxa"/>
            <w:tcBorders>
              <w:top w:val="single" w:sz="4" w:space="0" w:color="auto"/>
              <w:bottom w:val="single" w:sz="4" w:space="0" w:color="auto"/>
            </w:tcBorders>
          </w:tcPr>
          <w:p w14:paraId="194FA44A" w14:textId="77777777" w:rsidR="005101AA" w:rsidRPr="00FE45F6" w:rsidRDefault="005101AA" w:rsidP="005101AA">
            <w:pPr>
              <w:jc w:val="both"/>
              <w:rPr>
                <w:rFonts w:ascii="Arial" w:eastAsia="Book Antiqua" w:hAnsi="Arial" w:cs="Arial"/>
                <w:b/>
                <w:bCs/>
                <w:sz w:val="20"/>
                <w:szCs w:val="20"/>
              </w:rPr>
            </w:pPr>
            <w:r w:rsidRPr="00FE45F6">
              <w:rPr>
                <w:rFonts w:ascii="Arial" w:hAnsi="Arial" w:cs="Arial"/>
                <w:b/>
                <w:bCs/>
                <w:sz w:val="20"/>
                <w:szCs w:val="20"/>
              </w:rPr>
              <w:t>Sources</w:t>
            </w:r>
          </w:p>
        </w:tc>
      </w:tr>
      <w:tr w:rsidR="005101AA" w:rsidRPr="00FE45F6" w14:paraId="4467DEAA" w14:textId="77777777" w:rsidTr="00714CC8">
        <w:tc>
          <w:tcPr>
            <w:tcW w:w="2405" w:type="dxa"/>
            <w:tcBorders>
              <w:top w:val="single" w:sz="4" w:space="0" w:color="auto"/>
            </w:tcBorders>
          </w:tcPr>
          <w:p w14:paraId="04B545CF"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Service Quality</w:t>
            </w:r>
          </w:p>
        </w:tc>
        <w:tc>
          <w:tcPr>
            <w:tcW w:w="1843" w:type="dxa"/>
            <w:tcBorders>
              <w:top w:val="single" w:sz="4" w:space="0" w:color="auto"/>
            </w:tcBorders>
          </w:tcPr>
          <w:p w14:paraId="3943D60A"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 xml:space="preserve">SQ1 </w:t>
            </w:r>
            <w:r w:rsidRPr="00FE45F6">
              <w:rPr>
                <w:rFonts w:ascii="Arial" w:eastAsia="Book Antiqua" w:hAnsi="Arial" w:cs="Arial"/>
                <w:sz w:val="20"/>
                <w:szCs w:val="20"/>
              </w:rPr>
              <w:sym w:font="Symbol" w:char="F0AE"/>
            </w:r>
            <w:r w:rsidRPr="00FE45F6">
              <w:rPr>
                <w:rFonts w:ascii="Arial" w:eastAsia="Book Antiqua" w:hAnsi="Arial" w:cs="Arial"/>
                <w:sz w:val="20"/>
                <w:szCs w:val="20"/>
              </w:rPr>
              <w:t xml:space="preserve"> SQ</w:t>
            </w:r>
            <w:r w:rsidR="00052195" w:rsidRPr="00FE45F6">
              <w:rPr>
                <w:rFonts w:ascii="Arial" w:eastAsia="Book Antiqua" w:hAnsi="Arial" w:cs="Arial"/>
                <w:sz w:val="20"/>
                <w:szCs w:val="20"/>
              </w:rPr>
              <w:t>7</w:t>
            </w:r>
          </w:p>
        </w:tc>
        <w:tc>
          <w:tcPr>
            <w:tcW w:w="3950" w:type="dxa"/>
            <w:tcBorders>
              <w:top w:val="single" w:sz="4" w:space="0" w:color="auto"/>
            </w:tcBorders>
          </w:tcPr>
          <w:p w14:paraId="7A770E2D" w14:textId="77777777" w:rsidR="005101AA" w:rsidRPr="00FE45F6" w:rsidRDefault="004A3DCB" w:rsidP="005101AA">
            <w:pPr>
              <w:jc w:val="both"/>
              <w:rPr>
                <w:rFonts w:ascii="Arial" w:eastAsia="Book Antiqua" w:hAnsi="Arial" w:cs="Arial"/>
                <w:color w:val="0000FF"/>
                <w:sz w:val="20"/>
                <w:szCs w:val="20"/>
              </w:rPr>
            </w:pPr>
            <w:r w:rsidRPr="00FE45F6">
              <w:rPr>
                <w:rFonts w:ascii="Arial" w:eastAsia="Book Antiqua" w:hAnsi="Arial" w:cs="Arial"/>
                <w:color w:val="0000FF"/>
                <w:sz w:val="20"/>
                <w:szCs w:val="20"/>
                <w:lang w:val="es-US"/>
              </w:rPr>
              <w:t xml:space="preserve">Fauzi &amp; </w:t>
            </w:r>
            <w:proofErr w:type="spellStart"/>
            <w:r w:rsidRPr="00FE45F6">
              <w:rPr>
                <w:rFonts w:ascii="Arial" w:eastAsia="Book Antiqua" w:hAnsi="Arial" w:cs="Arial"/>
                <w:color w:val="0000FF"/>
                <w:sz w:val="20"/>
                <w:szCs w:val="20"/>
                <w:lang w:val="es-US"/>
              </w:rPr>
              <w:t>Purnomo</w:t>
            </w:r>
            <w:proofErr w:type="spellEnd"/>
            <w:r w:rsidRPr="00FE45F6">
              <w:rPr>
                <w:rFonts w:ascii="Arial" w:eastAsia="Book Antiqua" w:hAnsi="Arial" w:cs="Arial"/>
                <w:color w:val="0000FF"/>
                <w:sz w:val="20"/>
                <w:szCs w:val="20"/>
                <w:lang w:val="es-US"/>
              </w:rPr>
              <w:t xml:space="preserve"> (2023), </w:t>
            </w:r>
            <w:r w:rsidR="00A451F5" w:rsidRPr="00FE45F6">
              <w:rPr>
                <w:rFonts w:ascii="Arial" w:eastAsia="Book Antiqua" w:hAnsi="Arial" w:cs="Arial"/>
                <w:color w:val="0000FF"/>
                <w:sz w:val="20"/>
                <w:szCs w:val="20"/>
                <w:lang w:val="es-US"/>
              </w:rPr>
              <w:t xml:space="preserve">Halim et al. </w:t>
            </w:r>
            <w:r w:rsidR="00A451F5" w:rsidRPr="00FE45F6">
              <w:rPr>
                <w:rFonts w:ascii="Arial" w:eastAsia="Book Antiqua" w:hAnsi="Arial" w:cs="Arial"/>
                <w:color w:val="0000FF"/>
                <w:sz w:val="20"/>
                <w:szCs w:val="20"/>
              </w:rPr>
              <w:t>(2025)</w:t>
            </w:r>
          </w:p>
        </w:tc>
      </w:tr>
      <w:tr w:rsidR="005101AA" w:rsidRPr="00731916" w14:paraId="5527C408" w14:textId="77777777" w:rsidTr="00714CC8">
        <w:tc>
          <w:tcPr>
            <w:tcW w:w="2405" w:type="dxa"/>
          </w:tcPr>
          <w:p w14:paraId="5FD60595"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Perceived Convenience</w:t>
            </w:r>
          </w:p>
        </w:tc>
        <w:tc>
          <w:tcPr>
            <w:tcW w:w="1843" w:type="dxa"/>
          </w:tcPr>
          <w:p w14:paraId="30A11F90"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 xml:space="preserve">PC1 </w:t>
            </w:r>
            <w:r w:rsidRPr="00FE45F6">
              <w:rPr>
                <w:rFonts w:ascii="Arial" w:eastAsia="Book Antiqua" w:hAnsi="Arial" w:cs="Arial"/>
                <w:sz w:val="20"/>
                <w:szCs w:val="20"/>
              </w:rPr>
              <w:sym w:font="Symbol" w:char="F0AE"/>
            </w:r>
            <w:r w:rsidRPr="00FE45F6">
              <w:rPr>
                <w:rFonts w:ascii="Arial" w:eastAsia="Book Antiqua" w:hAnsi="Arial" w:cs="Arial"/>
                <w:sz w:val="20"/>
                <w:szCs w:val="20"/>
              </w:rPr>
              <w:t xml:space="preserve"> PC7</w:t>
            </w:r>
          </w:p>
        </w:tc>
        <w:tc>
          <w:tcPr>
            <w:tcW w:w="3950" w:type="dxa"/>
          </w:tcPr>
          <w:p w14:paraId="3044A983" w14:textId="77777777" w:rsidR="005101AA" w:rsidRPr="00FE45F6" w:rsidRDefault="0001300A" w:rsidP="005101AA">
            <w:pPr>
              <w:jc w:val="both"/>
              <w:rPr>
                <w:rFonts w:ascii="Arial" w:eastAsia="Book Antiqua" w:hAnsi="Arial" w:cs="Arial"/>
                <w:color w:val="0000FF"/>
                <w:sz w:val="20"/>
                <w:szCs w:val="20"/>
                <w:lang w:val="es-US"/>
              </w:rPr>
            </w:pPr>
            <w:r w:rsidRPr="00FE45F6">
              <w:rPr>
                <w:rFonts w:ascii="Arial" w:eastAsia="Book Antiqua" w:hAnsi="Arial" w:cs="Arial"/>
                <w:color w:val="0000FF"/>
                <w:sz w:val="20"/>
                <w:szCs w:val="20"/>
                <w:lang w:val="es-US"/>
              </w:rPr>
              <w:t xml:space="preserve">Aurelia et al. (2026); </w:t>
            </w:r>
            <w:proofErr w:type="spellStart"/>
            <w:r w:rsidRPr="00FE45F6">
              <w:rPr>
                <w:rFonts w:ascii="Arial" w:eastAsia="Book Antiqua" w:hAnsi="Arial" w:cs="Arial"/>
                <w:color w:val="0000FF"/>
                <w:sz w:val="20"/>
                <w:szCs w:val="20"/>
                <w:lang w:val="es-US"/>
              </w:rPr>
              <w:t>Juniantara</w:t>
            </w:r>
            <w:proofErr w:type="spellEnd"/>
            <w:r w:rsidRPr="00FE45F6">
              <w:rPr>
                <w:rFonts w:ascii="Arial" w:eastAsia="Book Antiqua" w:hAnsi="Arial" w:cs="Arial"/>
                <w:color w:val="0000FF"/>
                <w:sz w:val="20"/>
                <w:szCs w:val="20"/>
                <w:lang w:val="es-US"/>
              </w:rPr>
              <w:t xml:space="preserve"> &amp; </w:t>
            </w:r>
            <w:proofErr w:type="spellStart"/>
            <w:r w:rsidRPr="00FE45F6">
              <w:rPr>
                <w:rFonts w:ascii="Arial" w:eastAsia="Book Antiqua" w:hAnsi="Arial" w:cs="Arial"/>
                <w:color w:val="0000FF"/>
                <w:sz w:val="20"/>
                <w:szCs w:val="20"/>
                <w:lang w:val="es-US"/>
              </w:rPr>
              <w:t>Aksari</w:t>
            </w:r>
            <w:proofErr w:type="spellEnd"/>
            <w:r w:rsidRPr="00FE45F6">
              <w:rPr>
                <w:rFonts w:ascii="Arial" w:eastAsia="Book Antiqua" w:hAnsi="Arial" w:cs="Arial"/>
                <w:color w:val="0000FF"/>
                <w:sz w:val="20"/>
                <w:szCs w:val="20"/>
                <w:lang w:val="es-US"/>
              </w:rPr>
              <w:t xml:space="preserve"> (2025) </w:t>
            </w:r>
          </w:p>
        </w:tc>
      </w:tr>
      <w:tr w:rsidR="005101AA" w:rsidRPr="00FE45F6" w14:paraId="75D5B177" w14:textId="77777777" w:rsidTr="00714CC8">
        <w:tc>
          <w:tcPr>
            <w:tcW w:w="2405" w:type="dxa"/>
          </w:tcPr>
          <w:p w14:paraId="71983EA5"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Customer Satisfaction</w:t>
            </w:r>
          </w:p>
        </w:tc>
        <w:tc>
          <w:tcPr>
            <w:tcW w:w="1843" w:type="dxa"/>
          </w:tcPr>
          <w:p w14:paraId="78A834AD"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 xml:space="preserve">CS1 </w:t>
            </w:r>
            <w:r w:rsidRPr="00FE45F6">
              <w:rPr>
                <w:rFonts w:ascii="Arial" w:eastAsia="Book Antiqua" w:hAnsi="Arial" w:cs="Arial"/>
                <w:sz w:val="20"/>
                <w:szCs w:val="20"/>
              </w:rPr>
              <w:sym w:font="Symbol" w:char="F0AE"/>
            </w:r>
            <w:r w:rsidRPr="00FE45F6">
              <w:rPr>
                <w:rFonts w:ascii="Arial" w:eastAsia="Book Antiqua" w:hAnsi="Arial" w:cs="Arial"/>
                <w:sz w:val="20"/>
                <w:szCs w:val="20"/>
              </w:rPr>
              <w:t xml:space="preserve"> CS7</w:t>
            </w:r>
          </w:p>
        </w:tc>
        <w:tc>
          <w:tcPr>
            <w:tcW w:w="3950" w:type="dxa"/>
          </w:tcPr>
          <w:p w14:paraId="67F9D10C" w14:textId="77777777" w:rsidR="005101AA" w:rsidRPr="00FE45F6" w:rsidRDefault="00A451F5" w:rsidP="005101AA">
            <w:pPr>
              <w:jc w:val="both"/>
              <w:rPr>
                <w:rFonts w:ascii="Arial" w:eastAsia="Book Antiqua" w:hAnsi="Arial" w:cs="Arial"/>
                <w:color w:val="0000FF"/>
                <w:sz w:val="20"/>
                <w:szCs w:val="20"/>
              </w:rPr>
            </w:pPr>
            <w:r w:rsidRPr="00FE45F6">
              <w:rPr>
                <w:rFonts w:ascii="Arial" w:eastAsia="Book Antiqua" w:hAnsi="Arial" w:cs="Arial"/>
                <w:color w:val="0000FF"/>
                <w:sz w:val="20"/>
                <w:szCs w:val="20"/>
              </w:rPr>
              <w:t>Cuong (2021); Khoo et al. (2023)</w:t>
            </w:r>
          </w:p>
        </w:tc>
      </w:tr>
      <w:tr w:rsidR="005101AA" w:rsidRPr="00731916" w14:paraId="5C2BB530" w14:textId="77777777" w:rsidTr="00714CC8">
        <w:tc>
          <w:tcPr>
            <w:tcW w:w="2405" w:type="dxa"/>
          </w:tcPr>
          <w:p w14:paraId="220628F4"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Reuse Intention</w:t>
            </w:r>
          </w:p>
        </w:tc>
        <w:tc>
          <w:tcPr>
            <w:tcW w:w="1843" w:type="dxa"/>
          </w:tcPr>
          <w:p w14:paraId="615DE2E5" w14:textId="77777777" w:rsidR="005101AA" w:rsidRPr="00FE45F6" w:rsidRDefault="005101AA" w:rsidP="005101AA">
            <w:pPr>
              <w:jc w:val="both"/>
              <w:rPr>
                <w:rFonts w:ascii="Arial" w:eastAsia="Book Antiqua" w:hAnsi="Arial" w:cs="Arial"/>
                <w:sz w:val="20"/>
                <w:szCs w:val="20"/>
              </w:rPr>
            </w:pPr>
            <w:r w:rsidRPr="00FE45F6">
              <w:rPr>
                <w:rFonts w:ascii="Arial" w:eastAsia="Book Antiqua" w:hAnsi="Arial" w:cs="Arial"/>
                <w:sz w:val="20"/>
                <w:szCs w:val="20"/>
              </w:rPr>
              <w:t>RI1</w:t>
            </w:r>
            <w:r w:rsidRPr="00FE45F6">
              <w:rPr>
                <w:rFonts w:ascii="Arial" w:eastAsia="Book Antiqua" w:hAnsi="Arial" w:cs="Arial"/>
                <w:sz w:val="20"/>
                <w:szCs w:val="20"/>
              </w:rPr>
              <w:sym w:font="Symbol" w:char="F0AE"/>
            </w:r>
            <w:r w:rsidRPr="00FE45F6">
              <w:rPr>
                <w:rFonts w:ascii="Arial" w:eastAsia="Book Antiqua" w:hAnsi="Arial" w:cs="Arial"/>
                <w:sz w:val="20"/>
                <w:szCs w:val="20"/>
              </w:rPr>
              <w:t xml:space="preserve"> RI</w:t>
            </w:r>
            <w:r w:rsidR="00052195" w:rsidRPr="00FE45F6">
              <w:rPr>
                <w:rFonts w:ascii="Arial" w:eastAsia="Book Antiqua" w:hAnsi="Arial" w:cs="Arial"/>
                <w:sz w:val="20"/>
                <w:szCs w:val="20"/>
              </w:rPr>
              <w:t>5</w:t>
            </w:r>
          </w:p>
        </w:tc>
        <w:tc>
          <w:tcPr>
            <w:tcW w:w="3950" w:type="dxa"/>
          </w:tcPr>
          <w:p w14:paraId="69D64541" w14:textId="77777777" w:rsidR="005101AA" w:rsidRPr="00FE45F6" w:rsidRDefault="0001300A" w:rsidP="005101AA">
            <w:pPr>
              <w:jc w:val="both"/>
              <w:rPr>
                <w:rFonts w:ascii="Arial" w:eastAsia="Book Antiqua" w:hAnsi="Arial" w:cs="Arial"/>
                <w:color w:val="0000FF"/>
                <w:sz w:val="20"/>
                <w:szCs w:val="20"/>
                <w:lang w:val="es-US"/>
              </w:rPr>
            </w:pPr>
            <w:r w:rsidRPr="00FE45F6">
              <w:rPr>
                <w:rFonts w:ascii="Arial" w:eastAsia="Book Antiqua" w:hAnsi="Arial" w:cs="Arial"/>
                <w:color w:val="0000FF"/>
                <w:sz w:val="20"/>
                <w:szCs w:val="20"/>
                <w:lang w:val="es-US"/>
              </w:rPr>
              <w:t xml:space="preserve">Aurelia et al. (2026); </w:t>
            </w:r>
            <w:proofErr w:type="spellStart"/>
            <w:r w:rsidRPr="00FE45F6">
              <w:rPr>
                <w:rFonts w:ascii="Arial" w:eastAsia="Book Antiqua" w:hAnsi="Arial" w:cs="Arial"/>
                <w:color w:val="0000FF"/>
                <w:sz w:val="20"/>
                <w:szCs w:val="20"/>
                <w:lang w:val="es-US"/>
              </w:rPr>
              <w:t>Juniantara</w:t>
            </w:r>
            <w:proofErr w:type="spellEnd"/>
            <w:r w:rsidRPr="00FE45F6">
              <w:rPr>
                <w:rFonts w:ascii="Arial" w:eastAsia="Book Antiqua" w:hAnsi="Arial" w:cs="Arial"/>
                <w:color w:val="0000FF"/>
                <w:sz w:val="20"/>
                <w:szCs w:val="20"/>
                <w:lang w:val="es-US"/>
              </w:rPr>
              <w:t xml:space="preserve"> &amp; </w:t>
            </w:r>
            <w:proofErr w:type="spellStart"/>
            <w:r w:rsidRPr="00FE45F6">
              <w:rPr>
                <w:rFonts w:ascii="Arial" w:eastAsia="Book Antiqua" w:hAnsi="Arial" w:cs="Arial"/>
                <w:color w:val="0000FF"/>
                <w:sz w:val="20"/>
                <w:szCs w:val="20"/>
                <w:lang w:val="es-US"/>
              </w:rPr>
              <w:t>Aksari</w:t>
            </w:r>
            <w:proofErr w:type="spellEnd"/>
            <w:r w:rsidRPr="00FE45F6">
              <w:rPr>
                <w:rFonts w:ascii="Arial" w:eastAsia="Book Antiqua" w:hAnsi="Arial" w:cs="Arial"/>
                <w:color w:val="0000FF"/>
                <w:sz w:val="20"/>
                <w:szCs w:val="20"/>
                <w:lang w:val="es-US"/>
              </w:rPr>
              <w:t xml:space="preserve"> (2025) </w:t>
            </w:r>
          </w:p>
        </w:tc>
      </w:tr>
    </w:tbl>
    <w:p w14:paraId="13D2E5D5" w14:textId="77777777" w:rsidR="003E0A00" w:rsidRPr="00FE45F6" w:rsidRDefault="003E0A00" w:rsidP="003E0A00">
      <w:pPr>
        <w:spacing w:before="200" w:after="200"/>
        <w:jc w:val="both"/>
        <w:rPr>
          <w:rFonts w:ascii="Arial" w:eastAsia="Book Antiqua" w:hAnsi="Arial" w:cs="Arial"/>
          <w:b/>
          <w:bCs/>
          <w:sz w:val="22"/>
          <w:szCs w:val="22"/>
        </w:rPr>
      </w:pPr>
      <w:r w:rsidRPr="00FE45F6">
        <w:rPr>
          <w:rFonts w:ascii="Arial" w:eastAsia="Book Antiqua" w:hAnsi="Arial" w:cs="Arial"/>
          <w:b/>
          <w:bCs/>
          <w:sz w:val="22"/>
          <w:szCs w:val="22"/>
        </w:rPr>
        <w:t>3.4 Data Collection Procedures</w:t>
      </w:r>
    </w:p>
    <w:p w14:paraId="1CC7C55E" w14:textId="77777777" w:rsidR="00542584" w:rsidRPr="00FE45F6" w:rsidRDefault="00867A55" w:rsidP="005101AA">
      <w:pPr>
        <w:spacing w:after="200"/>
        <w:jc w:val="both"/>
        <w:rPr>
          <w:rFonts w:ascii="Arial" w:eastAsia="Book Antiqua" w:hAnsi="Arial" w:cs="Arial"/>
        </w:rPr>
      </w:pPr>
      <w:r w:rsidRPr="00FE45F6">
        <w:rPr>
          <w:rFonts w:ascii="Arial" w:eastAsia="Book Antiqua" w:hAnsi="Arial" w:cs="Arial"/>
        </w:rPr>
        <w:t xml:space="preserve">Data were collected in two sequential stages from undergraduate students. In the first stage, exploratory factor analysis was performed using data from 200 respondents collected on June 1, 2026, to evaluate the initial factor structure and refine the measurement items. In the second stage, the main survey included 600 respondents and was conducted from June 15 to July 15, 2026. Before data collection, permission was obtained from faculty vice-deans, followed by approval from individual lecturers to access their classes. After obtaining institutional and lecturer approval, the researcher explained the study’s purpose, obtained informed consent, and invited students to participate voluntarily. Questionnaires were administered via Google Forms, with the researcher present to clarify instructions and assist respondents; the survey took approximately 15 minutes. Confidentiality and anonymity were maintained throughout. The data were then </w:t>
      </w:r>
      <w:proofErr w:type="spellStart"/>
      <w:r w:rsidRPr="00FE45F6">
        <w:rPr>
          <w:rFonts w:ascii="Arial" w:eastAsia="Book Antiqua" w:hAnsi="Arial" w:cs="Arial"/>
        </w:rPr>
        <w:t>analysed</w:t>
      </w:r>
      <w:proofErr w:type="spellEnd"/>
      <w:r w:rsidRPr="00FE45F6">
        <w:rPr>
          <w:rFonts w:ascii="Arial" w:eastAsia="Book Antiqua" w:hAnsi="Arial" w:cs="Arial"/>
        </w:rPr>
        <w:t xml:space="preserve"> using confirmatory factor analysis and structural equation modelling to validate the measurement model and test the proposed hypotheses.</w:t>
      </w:r>
    </w:p>
    <w:p w14:paraId="36EB6856" w14:textId="77777777" w:rsidR="0001300A" w:rsidRPr="00FE45F6" w:rsidRDefault="003E0A00" w:rsidP="005101AA">
      <w:pPr>
        <w:spacing w:after="200"/>
        <w:jc w:val="both"/>
        <w:rPr>
          <w:rFonts w:ascii="Arial" w:eastAsia="Book Antiqua" w:hAnsi="Arial" w:cs="Arial"/>
          <w:b/>
          <w:bCs/>
        </w:rPr>
      </w:pPr>
      <w:r w:rsidRPr="00FE45F6">
        <w:rPr>
          <w:rFonts w:ascii="Arial" w:eastAsia="Book Antiqua" w:hAnsi="Arial" w:cs="Arial"/>
          <w:b/>
          <w:bCs/>
        </w:rPr>
        <w:t>3.5 Data Analysis Method</w:t>
      </w:r>
    </w:p>
    <w:p w14:paraId="000E8622" w14:textId="77777777" w:rsidR="001B251B" w:rsidRPr="00FE45F6" w:rsidRDefault="003E0A00" w:rsidP="0087090D">
      <w:pPr>
        <w:spacing w:after="200"/>
        <w:jc w:val="both"/>
        <w:rPr>
          <w:rFonts w:ascii="Arial" w:eastAsia="Book Antiqua" w:hAnsi="Arial" w:cs="Arial"/>
        </w:rPr>
      </w:pPr>
      <w:r w:rsidRPr="00FE45F6">
        <w:rPr>
          <w:rFonts w:ascii="Arial" w:eastAsia="Book Antiqua" w:hAnsi="Arial" w:cs="Arial"/>
        </w:rPr>
        <w:t xml:space="preserve">Data were </w:t>
      </w:r>
      <w:proofErr w:type="spellStart"/>
      <w:r w:rsidRPr="00FE45F6">
        <w:rPr>
          <w:rFonts w:ascii="Arial" w:eastAsia="Book Antiqua" w:hAnsi="Arial" w:cs="Arial"/>
        </w:rPr>
        <w:t>analysed</w:t>
      </w:r>
      <w:proofErr w:type="spellEnd"/>
      <w:r w:rsidRPr="00FE45F6">
        <w:rPr>
          <w:rFonts w:ascii="Arial" w:eastAsia="Book Antiqua" w:hAnsi="Arial" w:cs="Arial"/>
        </w:rPr>
        <w:t xml:space="preserve"> using Microsoft Excel 2015, IBM SPSS Statistics 27, and AMOS 23. Microsoft Excel was used for data coding, screening, and cleaning. SPSS was employed for descriptive statistics, reliability analysis, and exploratory factor analysis (EFA). EFA was conducted using principal component analysis with varimax rotation to examine the underlying factor structure and refine the measurement scales </w:t>
      </w:r>
      <w:r w:rsidRPr="00FE45F6">
        <w:rPr>
          <w:rFonts w:ascii="Arial" w:eastAsia="Book Antiqua" w:hAnsi="Arial" w:cs="Arial"/>
          <w:color w:val="0000FF"/>
        </w:rPr>
        <w:t>(Sin et al., 2024)</w:t>
      </w:r>
      <w:r w:rsidRPr="00FE45F6">
        <w:rPr>
          <w:rFonts w:ascii="Arial" w:eastAsia="Book Antiqua" w:hAnsi="Arial" w:cs="Arial"/>
        </w:rPr>
        <w:t xml:space="preserve">. The suitability of the data was assessed using the Kaiser–Meyer–Olkin (KMO) measure (≥ 0.60) and Bartlett’s test of sphericity (p &lt; 0.05) </w:t>
      </w:r>
      <w:r w:rsidRPr="00FE45F6">
        <w:rPr>
          <w:rFonts w:ascii="Arial" w:eastAsia="Book Antiqua" w:hAnsi="Arial" w:cs="Arial"/>
          <w:color w:val="0000FF"/>
        </w:rPr>
        <w:t xml:space="preserve">(Hutcheson &amp; </w:t>
      </w:r>
      <w:proofErr w:type="spellStart"/>
      <w:r w:rsidRPr="00FE45F6">
        <w:rPr>
          <w:rFonts w:ascii="Arial" w:eastAsia="Book Antiqua" w:hAnsi="Arial" w:cs="Arial"/>
          <w:color w:val="0000FF"/>
        </w:rPr>
        <w:t>Sofroniou</w:t>
      </w:r>
      <w:proofErr w:type="spellEnd"/>
      <w:r w:rsidRPr="00FE45F6">
        <w:rPr>
          <w:rFonts w:ascii="Arial" w:eastAsia="Book Antiqua" w:hAnsi="Arial" w:cs="Arial"/>
          <w:color w:val="0000FF"/>
        </w:rPr>
        <w:t>, 1999)</w:t>
      </w:r>
      <w:r w:rsidRPr="00FE45F6">
        <w:rPr>
          <w:rFonts w:ascii="Arial" w:eastAsia="Book Antiqua" w:hAnsi="Arial" w:cs="Arial"/>
        </w:rPr>
        <w:t xml:space="preserve">. Factors were retained based on eigenvalues (E) greater than 1, factor loadings (FL) of at least 0.60, cross-loadings below 0.40, and cumulative variance explained (Cu%) exceeding 60% </w:t>
      </w:r>
      <w:r w:rsidRPr="00FE45F6">
        <w:rPr>
          <w:rFonts w:ascii="Arial" w:eastAsia="Book Antiqua" w:hAnsi="Arial" w:cs="Arial"/>
          <w:color w:val="0000FF"/>
        </w:rPr>
        <w:t>(Hair et al., 2014, 2019).</w:t>
      </w:r>
    </w:p>
    <w:p w14:paraId="483C867D" w14:textId="77777777" w:rsidR="0001300A" w:rsidRPr="00FE45F6" w:rsidRDefault="003E0A00" w:rsidP="003E0A00">
      <w:pPr>
        <w:spacing w:after="200"/>
        <w:jc w:val="both"/>
        <w:rPr>
          <w:rFonts w:ascii="Arial" w:eastAsia="Book Antiqua" w:hAnsi="Arial" w:cs="Arial"/>
        </w:rPr>
      </w:pPr>
      <w:r w:rsidRPr="00FE45F6">
        <w:rPr>
          <w:rFonts w:ascii="Arial" w:eastAsia="Book Antiqua" w:hAnsi="Arial" w:cs="Arial"/>
        </w:rPr>
        <w:t xml:space="preserve">The reliability of each construct was evaluated using Cronbach’s alpha (α ≥ .70) </w:t>
      </w:r>
      <w:r w:rsidRPr="00FE45F6">
        <w:rPr>
          <w:rFonts w:ascii="Arial" w:eastAsia="Book Antiqua" w:hAnsi="Arial" w:cs="Arial"/>
          <w:color w:val="0000FF"/>
        </w:rPr>
        <w:t>(Hair et al., 2014)</w:t>
      </w:r>
      <w:r w:rsidRPr="00FE45F6">
        <w:rPr>
          <w:rFonts w:ascii="Arial" w:eastAsia="Book Antiqua" w:hAnsi="Arial" w:cs="Arial"/>
        </w:rPr>
        <w:t xml:space="preserve">. Subsequently, confirmatory factor analysis (CFA) and structural equation modelling (SEM) were performed using AMOS 23 to validate the measurement model and examine the </w:t>
      </w:r>
      <w:proofErr w:type="spellStart"/>
      <w:r w:rsidRPr="00FE45F6">
        <w:rPr>
          <w:rFonts w:ascii="Arial" w:eastAsia="Book Antiqua" w:hAnsi="Arial" w:cs="Arial"/>
        </w:rPr>
        <w:t>hypothesised</w:t>
      </w:r>
      <w:proofErr w:type="spellEnd"/>
      <w:r w:rsidRPr="00FE45F6">
        <w:rPr>
          <w:rFonts w:ascii="Arial" w:eastAsia="Book Antiqua" w:hAnsi="Arial" w:cs="Arial"/>
        </w:rPr>
        <w:t xml:space="preserve"> relationships. Model fit was evaluated using multiple goodness-of-fit indices, including χ²/</w:t>
      </w:r>
      <w:proofErr w:type="spellStart"/>
      <w:r w:rsidRPr="00FE45F6">
        <w:rPr>
          <w:rFonts w:ascii="Arial" w:eastAsia="Book Antiqua" w:hAnsi="Arial" w:cs="Arial"/>
        </w:rPr>
        <w:t>df</w:t>
      </w:r>
      <w:proofErr w:type="spellEnd"/>
      <w:r w:rsidRPr="00FE45F6">
        <w:rPr>
          <w:rFonts w:ascii="Arial" w:eastAsia="Book Antiqua" w:hAnsi="Arial" w:cs="Arial"/>
        </w:rPr>
        <w:t xml:space="preserve"> (CMIN/DF), RMSEA, NFI, CFI, GFI, AGFI, TLI, IFI, and RFI, based on established recommendations, as presented in Table 2 </w:t>
      </w:r>
      <w:r w:rsidRPr="00FE45F6">
        <w:rPr>
          <w:rFonts w:ascii="Arial" w:eastAsia="Book Antiqua" w:hAnsi="Arial" w:cs="Arial"/>
          <w:color w:val="0000FF"/>
        </w:rPr>
        <w:t xml:space="preserve">(Hair et al., 2014; </w:t>
      </w:r>
      <w:proofErr w:type="spellStart"/>
      <w:r w:rsidRPr="00FE45F6">
        <w:rPr>
          <w:rFonts w:ascii="Arial" w:eastAsia="Book Antiqua" w:hAnsi="Arial" w:cs="Arial"/>
          <w:color w:val="0000FF"/>
        </w:rPr>
        <w:t>Schermelleh</w:t>
      </w:r>
      <w:proofErr w:type="spellEnd"/>
      <w:r w:rsidRPr="00FE45F6">
        <w:rPr>
          <w:rFonts w:ascii="Arial" w:eastAsia="Book Antiqua" w:hAnsi="Arial" w:cs="Arial"/>
          <w:color w:val="0000FF"/>
        </w:rPr>
        <w:t>-Engel et al., 2003)</w:t>
      </w:r>
      <w:r w:rsidRPr="00FE45F6">
        <w:rPr>
          <w:rFonts w:ascii="Arial" w:eastAsia="Book Antiqua" w:hAnsi="Arial" w:cs="Arial"/>
        </w:rPr>
        <w:t>. Where necessary, modification indices were considered to improve model fit, provided the modifications were theoretically justified.</w:t>
      </w:r>
    </w:p>
    <w:p w14:paraId="550055D5" w14:textId="77777777" w:rsidR="001B251B" w:rsidRPr="00FE45F6" w:rsidRDefault="001B251B" w:rsidP="001B251B">
      <w:pPr>
        <w:spacing w:line="259" w:lineRule="auto"/>
        <w:jc w:val="center"/>
        <w:rPr>
          <w:rFonts w:ascii="Arial" w:eastAsia="Calibri" w:hAnsi="Arial" w:cs="Arial"/>
          <w:b/>
          <w:bCs/>
          <w:color w:val="000000" w:themeColor="text1"/>
        </w:rPr>
      </w:pPr>
      <w:r w:rsidRPr="00FE45F6">
        <w:rPr>
          <w:rFonts w:ascii="Arial" w:eastAsia="Calibri" w:hAnsi="Arial" w:cs="Arial"/>
          <w:b/>
          <w:bCs/>
          <w:color w:val="000000" w:themeColor="text1"/>
        </w:rPr>
        <w:t xml:space="preserve">Table 2. Measurement model fit indices  </w:t>
      </w:r>
    </w:p>
    <w:tbl>
      <w:tblPr>
        <w:tblStyle w:val="TableGrid"/>
        <w:tblpPr w:leftFromText="180" w:rightFromText="180" w:vertAnchor="text" w:horzAnchor="margin" w:tblpY="199"/>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76"/>
        <w:gridCol w:w="1933"/>
        <w:gridCol w:w="1899"/>
      </w:tblGrid>
      <w:tr w:rsidR="001B251B" w:rsidRPr="00FE45F6" w14:paraId="6CAB9E5C" w14:textId="77777777" w:rsidTr="00542584">
        <w:trPr>
          <w:trHeight w:val="104"/>
        </w:trPr>
        <w:tc>
          <w:tcPr>
            <w:tcW w:w="4376" w:type="dxa"/>
            <w:tcBorders>
              <w:top w:val="single" w:sz="4" w:space="0" w:color="auto"/>
              <w:bottom w:val="single" w:sz="4" w:space="0" w:color="auto"/>
            </w:tcBorders>
            <w:shd w:val="clear" w:color="auto" w:fill="FFFFFF" w:themeFill="background1"/>
          </w:tcPr>
          <w:p w14:paraId="08E9AD7D" w14:textId="77777777" w:rsidR="001B251B" w:rsidRPr="00FE45F6" w:rsidRDefault="001B251B" w:rsidP="001B251B">
            <w:pPr>
              <w:tabs>
                <w:tab w:val="left" w:pos="949"/>
              </w:tabs>
              <w:ind w:left="-111"/>
              <w:rPr>
                <w:rFonts w:ascii="Arial" w:hAnsi="Arial" w:cs="Arial"/>
                <w:b/>
                <w:bCs/>
                <w:color w:val="000000" w:themeColor="text1"/>
                <w:sz w:val="20"/>
              </w:rPr>
            </w:pPr>
            <w:r w:rsidRPr="00FE45F6">
              <w:rPr>
                <w:rFonts w:ascii="Arial" w:hAnsi="Arial" w:cs="Arial"/>
                <w:b/>
                <w:bCs/>
                <w:color w:val="000000" w:themeColor="text1"/>
                <w:sz w:val="20"/>
              </w:rPr>
              <w:t>Model Fit Indices</w:t>
            </w:r>
          </w:p>
        </w:tc>
        <w:tc>
          <w:tcPr>
            <w:tcW w:w="1933" w:type="dxa"/>
            <w:tcBorders>
              <w:top w:val="single" w:sz="4" w:space="0" w:color="auto"/>
              <w:bottom w:val="single" w:sz="4" w:space="0" w:color="auto"/>
            </w:tcBorders>
            <w:shd w:val="clear" w:color="auto" w:fill="FFFFFF" w:themeFill="background1"/>
          </w:tcPr>
          <w:p w14:paraId="07B1577A" w14:textId="77777777" w:rsidR="001B251B" w:rsidRPr="00FE45F6" w:rsidRDefault="001B251B" w:rsidP="001B251B">
            <w:pPr>
              <w:tabs>
                <w:tab w:val="left" w:pos="949"/>
              </w:tabs>
              <w:jc w:val="both"/>
              <w:rPr>
                <w:rFonts w:ascii="Arial" w:hAnsi="Arial" w:cs="Arial"/>
                <w:b/>
                <w:bCs/>
                <w:color w:val="000000" w:themeColor="text1"/>
                <w:sz w:val="20"/>
              </w:rPr>
            </w:pPr>
            <w:r w:rsidRPr="00FE45F6">
              <w:rPr>
                <w:rFonts w:ascii="Arial" w:hAnsi="Arial" w:cs="Arial"/>
                <w:b/>
                <w:bCs/>
                <w:color w:val="000000" w:themeColor="text1"/>
                <w:sz w:val="20"/>
              </w:rPr>
              <w:t>Acceptable Fit</w:t>
            </w:r>
          </w:p>
        </w:tc>
        <w:tc>
          <w:tcPr>
            <w:tcW w:w="0" w:type="auto"/>
            <w:tcBorders>
              <w:top w:val="single" w:sz="4" w:space="0" w:color="auto"/>
              <w:bottom w:val="single" w:sz="4" w:space="0" w:color="auto"/>
            </w:tcBorders>
            <w:shd w:val="clear" w:color="auto" w:fill="FFFFFF" w:themeFill="background1"/>
          </w:tcPr>
          <w:p w14:paraId="3975863D" w14:textId="77777777" w:rsidR="001B251B" w:rsidRPr="00FE45F6" w:rsidRDefault="001B251B" w:rsidP="001B251B">
            <w:pPr>
              <w:tabs>
                <w:tab w:val="left" w:pos="949"/>
              </w:tabs>
              <w:ind w:left="218"/>
              <w:jc w:val="both"/>
              <w:rPr>
                <w:rFonts w:ascii="Arial" w:hAnsi="Arial" w:cs="Arial"/>
                <w:b/>
                <w:bCs/>
                <w:color w:val="000000" w:themeColor="text1"/>
                <w:sz w:val="20"/>
              </w:rPr>
            </w:pPr>
            <w:r w:rsidRPr="00FE45F6">
              <w:rPr>
                <w:rFonts w:ascii="Arial" w:hAnsi="Arial" w:cs="Arial"/>
                <w:b/>
                <w:bCs/>
                <w:color w:val="000000" w:themeColor="text1"/>
                <w:sz w:val="20"/>
              </w:rPr>
              <w:t>Good Fit</w:t>
            </w:r>
          </w:p>
        </w:tc>
      </w:tr>
      <w:tr w:rsidR="001B251B" w:rsidRPr="00FE45F6" w14:paraId="34569D8B" w14:textId="77777777" w:rsidTr="00542584">
        <w:trPr>
          <w:trHeight w:val="222"/>
        </w:trPr>
        <w:tc>
          <w:tcPr>
            <w:tcW w:w="4376" w:type="dxa"/>
            <w:tcBorders>
              <w:top w:val="single" w:sz="4" w:space="0" w:color="auto"/>
            </w:tcBorders>
            <w:shd w:val="clear" w:color="auto" w:fill="FFFFFF" w:themeFill="background1"/>
          </w:tcPr>
          <w:p w14:paraId="0EE72536" w14:textId="77777777" w:rsidR="001B251B" w:rsidRPr="00FE45F6" w:rsidRDefault="001B251B" w:rsidP="001B251B">
            <w:pPr>
              <w:tabs>
                <w:tab w:val="left" w:pos="949"/>
              </w:tabs>
              <w:ind w:left="-111"/>
              <w:rPr>
                <w:rFonts w:ascii="Arial" w:hAnsi="Arial" w:cs="Arial"/>
                <w:color w:val="000000" w:themeColor="text1"/>
                <w:sz w:val="20"/>
              </w:rPr>
            </w:pPr>
            <w:r w:rsidRPr="00FE45F6">
              <w:rPr>
                <w:rFonts w:ascii="Arial" w:hAnsi="Arial" w:cs="Arial"/>
                <w:color w:val="000000" w:themeColor="text1"/>
                <w:sz w:val="20"/>
                <w:szCs w:val="32"/>
              </w:rPr>
              <w:lastRenderedPageBreak/>
              <w:t xml:space="preserve">Chi-square divided by degrees of freedom </w:t>
            </w:r>
            <w:r w:rsidRPr="00FE45F6">
              <w:rPr>
                <w:rFonts w:ascii="Arial" w:hAnsi="Arial" w:cs="Arial"/>
                <w:color w:val="000000" w:themeColor="text1"/>
                <w:sz w:val="20"/>
              </w:rPr>
              <w:t>(χ2 /</w:t>
            </w:r>
            <w:proofErr w:type="spellStart"/>
            <w:r w:rsidRPr="00FE45F6">
              <w:rPr>
                <w:rFonts w:ascii="Arial" w:hAnsi="Arial" w:cs="Arial"/>
                <w:color w:val="000000" w:themeColor="text1"/>
                <w:sz w:val="20"/>
              </w:rPr>
              <w:t>df</w:t>
            </w:r>
            <w:proofErr w:type="spellEnd"/>
            <w:r w:rsidRPr="00FE45F6">
              <w:rPr>
                <w:rFonts w:ascii="Arial" w:hAnsi="Arial" w:cs="Arial"/>
                <w:color w:val="000000" w:themeColor="text1"/>
                <w:sz w:val="20"/>
              </w:rPr>
              <w:t>)</w:t>
            </w:r>
          </w:p>
        </w:tc>
        <w:tc>
          <w:tcPr>
            <w:tcW w:w="1933" w:type="dxa"/>
            <w:tcBorders>
              <w:top w:val="single" w:sz="4" w:space="0" w:color="auto"/>
            </w:tcBorders>
            <w:shd w:val="clear" w:color="auto" w:fill="FFFFFF" w:themeFill="background1"/>
          </w:tcPr>
          <w:p w14:paraId="548B50C6"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2&lt; χ2≤ 3</w:t>
            </w:r>
          </w:p>
        </w:tc>
        <w:tc>
          <w:tcPr>
            <w:tcW w:w="0" w:type="auto"/>
            <w:tcBorders>
              <w:top w:val="single" w:sz="4" w:space="0" w:color="auto"/>
            </w:tcBorders>
            <w:shd w:val="clear" w:color="auto" w:fill="FFFFFF" w:themeFill="background1"/>
          </w:tcPr>
          <w:p w14:paraId="7FA692B1" w14:textId="77777777" w:rsidR="001B251B" w:rsidRPr="00FE45F6" w:rsidRDefault="001B251B" w:rsidP="001B251B">
            <w:pPr>
              <w:ind w:left="218" w:right="-344"/>
              <w:jc w:val="both"/>
              <w:rPr>
                <w:rFonts w:ascii="Arial" w:hAnsi="Arial" w:cs="Arial"/>
                <w:color w:val="000000" w:themeColor="text1"/>
                <w:sz w:val="20"/>
              </w:rPr>
            </w:pPr>
            <w:r w:rsidRPr="00FE45F6">
              <w:rPr>
                <w:rFonts w:ascii="Arial" w:hAnsi="Arial" w:cs="Arial"/>
                <w:color w:val="000000" w:themeColor="text1"/>
                <w:sz w:val="20"/>
              </w:rPr>
              <w:t>0≤χ2/df≤2</w:t>
            </w:r>
          </w:p>
        </w:tc>
      </w:tr>
      <w:tr w:rsidR="001B251B" w:rsidRPr="00FE45F6" w14:paraId="1C62E16D" w14:textId="77777777" w:rsidTr="00542584">
        <w:trPr>
          <w:trHeight w:val="128"/>
        </w:trPr>
        <w:tc>
          <w:tcPr>
            <w:tcW w:w="4376" w:type="dxa"/>
            <w:shd w:val="clear" w:color="auto" w:fill="FFFFFF" w:themeFill="background1"/>
          </w:tcPr>
          <w:p w14:paraId="79E6A01B"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Root Mean Square Error of Approximation (</w:t>
            </w:r>
            <w:r w:rsidRPr="00FE45F6">
              <w:rPr>
                <w:rFonts w:ascii="Arial" w:hAnsi="Arial" w:cs="Arial"/>
                <w:color w:val="000000" w:themeColor="text1"/>
                <w:sz w:val="20"/>
              </w:rPr>
              <w:t>RMSEA)</w:t>
            </w:r>
          </w:p>
        </w:tc>
        <w:tc>
          <w:tcPr>
            <w:tcW w:w="1933" w:type="dxa"/>
            <w:shd w:val="clear" w:color="auto" w:fill="FFFFFF" w:themeFill="background1"/>
          </w:tcPr>
          <w:p w14:paraId="1F991802"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0.05&lt;RMSEA≤0.08</w:t>
            </w:r>
          </w:p>
        </w:tc>
        <w:tc>
          <w:tcPr>
            <w:tcW w:w="0" w:type="auto"/>
            <w:shd w:val="clear" w:color="auto" w:fill="FFFFFF" w:themeFill="background1"/>
          </w:tcPr>
          <w:p w14:paraId="4F3AC34B"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0≤RMSEA≤0.05</w:t>
            </w:r>
          </w:p>
        </w:tc>
      </w:tr>
      <w:tr w:rsidR="001B251B" w:rsidRPr="00FE45F6" w14:paraId="18755B60" w14:textId="77777777" w:rsidTr="00542584">
        <w:trPr>
          <w:trHeight w:val="62"/>
        </w:trPr>
        <w:tc>
          <w:tcPr>
            <w:tcW w:w="4376" w:type="dxa"/>
            <w:shd w:val="clear" w:color="auto" w:fill="FFFFFF" w:themeFill="background1"/>
          </w:tcPr>
          <w:p w14:paraId="186EC986"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Normed Fit Index (</w:t>
            </w:r>
            <w:r w:rsidRPr="00FE45F6">
              <w:rPr>
                <w:rFonts w:ascii="Arial" w:hAnsi="Arial" w:cs="Arial"/>
                <w:color w:val="000000" w:themeColor="text1"/>
                <w:sz w:val="20"/>
              </w:rPr>
              <w:t>NFI)</w:t>
            </w:r>
          </w:p>
        </w:tc>
        <w:tc>
          <w:tcPr>
            <w:tcW w:w="1933" w:type="dxa"/>
            <w:shd w:val="clear" w:color="auto" w:fill="FFFFFF" w:themeFill="background1"/>
          </w:tcPr>
          <w:p w14:paraId="6D35D29F"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0.90≤NFI&lt;0.95</w:t>
            </w:r>
          </w:p>
        </w:tc>
        <w:tc>
          <w:tcPr>
            <w:tcW w:w="0" w:type="auto"/>
            <w:shd w:val="clear" w:color="auto" w:fill="FFFFFF" w:themeFill="background1"/>
          </w:tcPr>
          <w:p w14:paraId="44DE1FC3"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0.95≤NFI≤1.00</w:t>
            </w:r>
          </w:p>
        </w:tc>
      </w:tr>
      <w:tr w:rsidR="001B251B" w:rsidRPr="00FE45F6" w14:paraId="221833CC" w14:textId="77777777" w:rsidTr="00542584">
        <w:trPr>
          <w:trHeight w:val="62"/>
        </w:trPr>
        <w:tc>
          <w:tcPr>
            <w:tcW w:w="4376" w:type="dxa"/>
            <w:shd w:val="clear" w:color="auto" w:fill="FFFFFF" w:themeFill="background1"/>
          </w:tcPr>
          <w:p w14:paraId="693F3C0D"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Comparative Fit Index (</w:t>
            </w:r>
            <w:r w:rsidRPr="00FE45F6">
              <w:rPr>
                <w:rFonts w:ascii="Arial" w:hAnsi="Arial" w:cs="Arial"/>
                <w:color w:val="000000" w:themeColor="text1"/>
                <w:sz w:val="20"/>
              </w:rPr>
              <w:t>CFI)</w:t>
            </w:r>
          </w:p>
        </w:tc>
        <w:tc>
          <w:tcPr>
            <w:tcW w:w="1933" w:type="dxa"/>
            <w:shd w:val="clear" w:color="auto" w:fill="FFFFFF" w:themeFill="background1"/>
          </w:tcPr>
          <w:p w14:paraId="39EFB82F"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0.95≤CFI&lt;0.97</w:t>
            </w:r>
          </w:p>
        </w:tc>
        <w:tc>
          <w:tcPr>
            <w:tcW w:w="0" w:type="auto"/>
            <w:shd w:val="clear" w:color="auto" w:fill="FFFFFF" w:themeFill="background1"/>
          </w:tcPr>
          <w:p w14:paraId="3C79A769"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0.97≤CFI≤1.00</w:t>
            </w:r>
          </w:p>
        </w:tc>
      </w:tr>
      <w:tr w:rsidR="001B251B" w:rsidRPr="00FE45F6" w14:paraId="6732AF7D" w14:textId="77777777" w:rsidTr="00542584">
        <w:trPr>
          <w:trHeight w:val="62"/>
        </w:trPr>
        <w:tc>
          <w:tcPr>
            <w:tcW w:w="4376" w:type="dxa"/>
            <w:shd w:val="clear" w:color="auto" w:fill="FFFFFF" w:themeFill="background1"/>
          </w:tcPr>
          <w:p w14:paraId="1587EBFC"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Goodness -of-Fit Index (</w:t>
            </w:r>
            <w:r w:rsidRPr="00FE45F6">
              <w:rPr>
                <w:rFonts w:ascii="Arial" w:hAnsi="Arial" w:cs="Arial"/>
                <w:color w:val="000000" w:themeColor="text1"/>
                <w:sz w:val="20"/>
              </w:rPr>
              <w:t>GFI)</w:t>
            </w:r>
          </w:p>
        </w:tc>
        <w:tc>
          <w:tcPr>
            <w:tcW w:w="1933" w:type="dxa"/>
            <w:shd w:val="clear" w:color="auto" w:fill="FFFFFF" w:themeFill="background1"/>
          </w:tcPr>
          <w:p w14:paraId="1A74D1FB"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0.90≤GFI&lt;0.95</w:t>
            </w:r>
          </w:p>
        </w:tc>
        <w:tc>
          <w:tcPr>
            <w:tcW w:w="0" w:type="auto"/>
            <w:shd w:val="clear" w:color="auto" w:fill="FFFFFF" w:themeFill="background1"/>
          </w:tcPr>
          <w:p w14:paraId="0EA83CD7"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0.95≤GFI≤1.00</w:t>
            </w:r>
          </w:p>
        </w:tc>
      </w:tr>
      <w:tr w:rsidR="001B251B" w:rsidRPr="00FE45F6" w14:paraId="31DE467E" w14:textId="77777777" w:rsidTr="00542584">
        <w:trPr>
          <w:trHeight w:val="62"/>
        </w:trPr>
        <w:tc>
          <w:tcPr>
            <w:tcW w:w="4376" w:type="dxa"/>
            <w:shd w:val="clear" w:color="auto" w:fill="FFFFFF" w:themeFill="background1"/>
          </w:tcPr>
          <w:p w14:paraId="1E832EC5"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Adjusted Good-of-Fit Index (</w:t>
            </w:r>
            <w:r w:rsidRPr="00FE45F6">
              <w:rPr>
                <w:rFonts w:ascii="Arial" w:hAnsi="Arial" w:cs="Arial"/>
                <w:color w:val="000000" w:themeColor="text1"/>
                <w:sz w:val="20"/>
              </w:rPr>
              <w:t>AGFI)</w:t>
            </w:r>
          </w:p>
        </w:tc>
        <w:tc>
          <w:tcPr>
            <w:tcW w:w="1933" w:type="dxa"/>
            <w:shd w:val="clear" w:color="auto" w:fill="FFFFFF" w:themeFill="background1"/>
          </w:tcPr>
          <w:p w14:paraId="29A605AC"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0.85≤AGFI&lt;0.90</w:t>
            </w:r>
          </w:p>
        </w:tc>
        <w:tc>
          <w:tcPr>
            <w:tcW w:w="0" w:type="auto"/>
            <w:shd w:val="clear" w:color="auto" w:fill="FFFFFF" w:themeFill="background1"/>
          </w:tcPr>
          <w:p w14:paraId="6134639C"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0.90≤AGFI≤1.00</w:t>
            </w:r>
          </w:p>
        </w:tc>
      </w:tr>
      <w:tr w:rsidR="001B251B" w:rsidRPr="00FE45F6" w14:paraId="3671FEF7" w14:textId="77777777" w:rsidTr="00542584">
        <w:trPr>
          <w:trHeight w:val="176"/>
        </w:trPr>
        <w:tc>
          <w:tcPr>
            <w:tcW w:w="4376" w:type="dxa"/>
            <w:shd w:val="clear" w:color="auto" w:fill="FFFFFF" w:themeFill="background1"/>
          </w:tcPr>
          <w:p w14:paraId="37431C0D"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Tucker-Lewis Index (</w:t>
            </w:r>
            <w:r w:rsidRPr="00FE45F6">
              <w:rPr>
                <w:rFonts w:ascii="Arial" w:hAnsi="Arial" w:cs="Arial"/>
                <w:color w:val="000000" w:themeColor="text1"/>
                <w:sz w:val="20"/>
              </w:rPr>
              <w:t>TLI)</w:t>
            </w:r>
          </w:p>
        </w:tc>
        <w:tc>
          <w:tcPr>
            <w:tcW w:w="1933" w:type="dxa"/>
            <w:shd w:val="clear" w:color="auto" w:fill="FFFFFF" w:themeFill="background1"/>
          </w:tcPr>
          <w:p w14:paraId="2497F51E"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0.90≤TLI&lt;0.95</w:t>
            </w:r>
          </w:p>
        </w:tc>
        <w:tc>
          <w:tcPr>
            <w:tcW w:w="0" w:type="auto"/>
            <w:shd w:val="clear" w:color="auto" w:fill="FFFFFF" w:themeFill="background1"/>
          </w:tcPr>
          <w:p w14:paraId="74A343EE"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0.95≤TLI≤1.00</w:t>
            </w:r>
          </w:p>
        </w:tc>
      </w:tr>
      <w:tr w:rsidR="001B251B" w:rsidRPr="00FE45F6" w14:paraId="01011769" w14:textId="77777777" w:rsidTr="00542584">
        <w:trPr>
          <w:trHeight w:val="176"/>
        </w:trPr>
        <w:tc>
          <w:tcPr>
            <w:tcW w:w="4376" w:type="dxa"/>
            <w:shd w:val="clear" w:color="auto" w:fill="FFFFFF" w:themeFill="background1"/>
          </w:tcPr>
          <w:p w14:paraId="4E4F2D29" w14:textId="77777777" w:rsidR="001B251B" w:rsidRPr="00FE45F6" w:rsidRDefault="001B251B" w:rsidP="001B251B">
            <w:pPr>
              <w:tabs>
                <w:tab w:val="left" w:pos="949"/>
              </w:tabs>
              <w:ind w:left="-111"/>
              <w:jc w:val="both"/>
              <w:rPr>
                <w:rFonts w:ascii="Arial" w:hAnsi="Arial" w:cs="Arial"/>
                <w:color w:val="000000" w:themeColor="text1"/>
                <w:sz w:val="20"/>
                <w:szCs w:val="32"/>
              </w:rPr>
            </w:pPr>
            <w:r w:rsidRPr="00FE45F6">
              <w:rPr>
                <w:rFonts w:ascii="Arial" w:hAnsi="Arial" w:cs="Arial"/>
                <w:color w:val="000000" w:themeColor="text1"/>
                <w:sz w:val="20"/>
                <w:szCs w:val="32"/>
              </w:rPr>
              <w:t>Incremental Fit Index (</w:t>
            </w:r>
            <w:r w:rsidRPr="00FE45F6">
              <w:rPr>
                <w:rFonts w:ascii="Arial" w:hAnsi="Arial" w:cs="Arial"/>
                <w:color w:val="000000" w:themeColor="text1"/>
                <w:sz w:val="20"/>
              </w:rPr>
              <w:t>IFI)</w:t>
            </w:r>
          </w:p>
        </w:tc>
        <w:tc>
          <w:tcPr>
            <w:tcW w:w="1933" w:type="dxa"/>
            <w:shd w:val="clear" w:color="auto" w:fill="FFFFFF" w:themeFill="background1"/>
          </w:tcPr>
          <w:p w14:paraId="4E845928"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0.90≤RFI&lt;0.95</w:t>
            </w:r>
          </w:p>
        </w:tc>
        <w:tc>
          <w:tcPr>
            <w:tcW w:w="0" w:type="auto"/>
            <w:shd w:val="clear" w:color="auto" w:fill="FFFFFF" w:themeFill="background1"/>
          </w:tcPr>
          <w:p w14:paraId="465D3683"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0.95≤RFI≤1.00</w:t>
            </w:r>
          </w:p>
        </w:tc>
      </w:tr>
      <w:tr w:rsidR="001B251B" w:rsidRPr="00FE45F6" w14:paraId="66F7D8CC" w14:textId="77777777" w:rsidTr="00542584">
        <w:trPr>
          <w:trHeight w:val="85"/>
        </w:trPr>
        <w:tc>
          <w:tcPr>
            <w:tcW w:w="4376" w:type="dxa"/>
            <w:shd w:val="clear" w:color="auto" w:fill="FFFFFF" w:themeFill="background1"/>
          </w:tcPr>
          <w:p w14:paraId="21EBC620" w14:textId="77777777" w:rsidR="001B251B" w:rsidRPr="00FE45F6" w:rsidRDefault="001B251B" w:rsidP="001B251B">
            <w:pPr>
              <w:tabs>
                <w:tab w:val="left" w:pos="949"/>
              </w:tabs>
              <w:ind w:left="-111"/>
              <w:jc w:val="both"/>
              <w:rPr>
                <w:rFonts w:ascii="Arial" w:hAnsi="Arial" w:cs="Arial"/>
                <w:color w:val="000000" w:themeColor="text1"/>
                <w:sz w:val="20"/>
              </w:rPr>
            </w:pPr>
            <w:r w:rsidRPr="00FE45F6">
              <w:rPr>
                <w:rFonts w:ascii="Arial" w:hAnsi="Arial" w:cs="Arial"/>
                <w:color w:val="000000" w:themeColor="text1"/>
                <w:sz w:val="20"/>
                <w:szCs w:val="32"/>
              </w:rPr>
              <w:t>Relative Fit Index (</w:t>
            </w:r>
            <w:r w:rsidRPr="00FE45F6">
              <w:rPr>
                <w:rFonts w:ascii="Arial" w:hAnsi="Arial" w:cs="Arial"/>
                <w:color w:val="000000" w:themeColor="text1"/>
                <w:sz w:val="20"/>
              </w:rPr>
              <w:t>RFI)</w:t>
            </w:r>
          </w:p>
        </w:tc>
        <w:tc>
          <w:tcPr>
            <w:tcW w:w="1933" w:type="dxa"/>
            <w:shd w:val="clear" w:color="auto" w:fill="FFFFFF" w:themeFill="background1"/>
          </w:tcPr>
          <w:p w14:paraId="6D1C8F31" w14:textId="77777777" w:rsidR="001B251B" w:rsidRPr="00FE45F6" w:rsidRDefault="001B251B" w:rsidP="001B251B">
            <w:pPr>
              <w:tabs>
                <w:tab w:val="left" w:pos="949"/>
              </w:tabs>
              <w:jc w:val="both"/>
              <w:rPr>
                <w:rFonts w:ascii="Arial" w:hAnsi="Arial" w:cs="Arial"/>
                <w:color w:val="000000" w:themeColor="text1"/>
                <w:sz w:val="20"/>
              </w:rPr>
            </w:pPr>
            <w:r w:rsidRPr="00FE45F6">
              <w:rPr>
                <w:rFonts w:ascii="Arial" w:hAnsi="Arial" w:cs="Arial"/>
                <w:color w:val="000000" w:themeColor="text1"/>
                <w:sz w:val="20"/>
              </w:rPr>
              <w:t>0.90≤IFI&lt;0.95</w:t>
            </w:r>
          </w:p>
        </w:tc>
        <w:tc>
          <w:tcPr>
            <w:tcW w:w="0" w:type="auto"/>
            <w:shd w:val="clear" w:color="auto" w:fill="FFFFFF" w:themeFill="background1"/>
          </w:tcPr>
          <w:p w14:paraId="7BAE40C6" w14:textId="77777777" w:rsidR="001B251B" w:rsidRPr="00FE45F6" w:rsidRDefault="001B251B" w:rsidP="001B251B">
            <w:pPr>
              <w:tabs>
                <w:tab w:val="left" w:pos="949"/>
              </w:tabs>
              <w:ind w:left="218"/>
              <w:jc w:val="both"/>
              <w:rPr>
                <w:rFonts w:ascii="Arial" w:hAnsi="Arial" w:cs="Arial"/>
                <w:color w:val="000000" w:themeColor="text1"/>
                <w:sz w:val="20"/>
              </w:rPr>
            </w:pPr>
            <w:r w:rsidRPr="00FE45F6">
              <w:rPr>
                <w:rFonts w:ascii="Arial" w:hAnsi="Arial" w:cs="Arial"/>
                <w:color w:val="000000" w:themeColor="text1"/>
                <w:sz w:val="20"/>
              </w:rPr>
              <w:t>0.95≤IFI≤1.00</w:t>
            </w:r>
          </w:p>
        </w:tc>
      </w:tr>
    </w:tbl>
    <w:p w14:paraId="4D450777" w14:textId="77777777" w:rsidR="0001300A" w:rsidRPr="00FE45F6" w:rsidRDefault="00542584" w:rsidP="00542584">
      <w:pPr>
        <w:spacing w:before="200" w:after="200"/>
        <w:jc w:val="both"/>
        <w:rPr>
          <w:rFonts w:ascii="Arial" w:eastAsia="Book Antiqua" w:hAnsi="Arial" w:cs="Arial"/>
        </w:rPr>
      </w:pPr>
      <w:r w:rsidRPr="00FE45F6">
        <w:rPr>
          <w:rFonts w:ascii="Arial" w:eastAsia="Book Antiqua" w:hAnsi="Arial" w:cs="Arial"/>
        </w:rPr>
        <w:t xml:space="preserve">Convergent validity was assessed using average variance extracted (AVE) and composite reliability (CR), with recommended thresholds of AVE ≥ 0.50 and CR ≥ 0.70, respectively </w:t>
      </w:r>
      <w:r w:rsidRPr="00FE45F6">
        <w:rPr>
          <w:rFonts w:ascii="Arial" w:eastAsia="Book Antiqua" w:hAnsi="Arial" w:cs="Arial"/>
          <w:color w:val="0000FF"/>
        </w:rPr>
        <w:t>(Henseler et al., 2015)</w:t>
      </w:r>
      <w:r w:rsidRPr="00FE45F6">
        <w:rPr>
          <w:rFonts w:ascii="Arial" w:eastAsia="Book Antiqua" w:hAnsi="Arial" w:cs="Arial"/>
        </w:rPr>
        <w:t xml:space="preserve">. </w:t>
      </w:r>
      <w:proofErr w:type="spellStart"/>
      <w:r w:rsidRPr="00FE45F6">
        <w:rPr>
          <w:rFonts w:ascii="Arial" w:eastAsia="Book Antiqua" w:hAnsi="Arial" w:cs="Arial"/>
        </w:rPr>
        <w:t>Standardised</w:t>
      </w:r>
      <w:proofErr w:type="spellEnd"/>
      <w:r w:rsidRPr="00FE45F6">
        <w:rPr>
          <w:rFonts w:ascii="Arial" w:eastAsia="Book Antiqua" w:hAnsi="Arial" w:cs="Arial"/>
        </w:rPr>
        <w:t xml:space="preserve"> loadings above 0.60, with t-values &gt; 1.96 and p &lt; 0.001, were required to confirm convergent validity </w:t>
      </w:r>
      <w:r w:rsidRPr="00FE45F6">
        <w:rPr>
          <w:rFonts w:ascii="Arial" w:eastAsia="Book Antiqua" w:hAnsi="Arial" w:cs="Arial"/>
          <w:color w:val="0000FF"/>
        </w:rPr>
        <w:t>(Hair et al., 2014)</w:t>
      </w:r>
      <w:r w:rsidRPr="00FE45F6">
        <w:rPr>
          <w:rFonts w:ascii="Arial" w:eastAsia="Book Antiqua" w:hAnsi="Arial" w:cs="Arial"/>
        </w:rPr>
        <w:t xml:space="preserve">. Discriminant validity was evaluated using the </w:t>
      </w:r>
      <w:proofErr w:type="spellStart"/>
      <w:r w:rsidRPr="00FE45F6">
        <w:rPr>
          <w:rFonts w:ascii="Arial" w:eastAsia="Book Antiqua" w:hAnsi="Arial" w:cs="Arial"/>
        </w:rPr>
        <w:t>heterotrait</w:t>
      </w:r>
      <w:proofErr w:type="spellEnd"/>
      <w:r w:rsidRPr="00FE45F6">
        <w:rPr>
          <w:rFonts w:ascii="Arial" w:eastAsia="Book Antiqua" w:hAnsi="Arial" w:cs="Arial"/>
        </w:rPr>
        <w:t>–</w:t>
      </w:r>
      <w:proofErr w:type="spellStart"/>
      <w:r w:rsidRPr="00FE45F6">
        <w:rPr>
          <w:rFonts w:ascii="Arial" w:eastAsia="Book Antiqua" w:hAnsi="Arial" w:cs="Arial"/>
        </w:rPr>
        <w:t>monotrait</w:t>
      </w:r>
      <w:proofErr w:type="spellEnd"/>
      <w:r w:rsidRPr="00FE45F6">
        <w:rPr>
          <w:rFonts w:ascii="Arial" w:eastAsia="Book Antiqua" w:hAnsi="Arial" w:cs="Arial"/>
        </w:rPr>
        <w:t xml:space="preserve"> (HTMT) ratio, applying threshold values of .85 (strict criterion) and .90 (liberal criterion) </w:t>
      </w:r>
      <w:r w:rsidRPr="00FE45F6">
        <w:rPr>
          <w:rFonts w:ascii="Arial" w:eastAsia="Book Antiqua" w:hAnsi="Arial" w:cs="Arial"/>
          <w:color w:val="0000FF"/>
        </w:rPr>
        <w:t>(Henseler et al., 2015)</w:t>
      </w:r>
      <w:r w:rsidRPr="00FE45F6">
        <w:rPr>
          <w:rFonts w:ascii="Arial" w:eastAsia="Book Antiqua" w:hAnsi="Arial" w:cs="Arial"/>
        </w:rPr>
        <w:t xml:space="preserve">. Pearson correlation analysis examined the strength and direction of relationships among variables </w:t>
      </w:r>
      <w:r w:rsidRPr="00FE45F6">
        <w:rPr>
          <w:rFonts w:ascii="Arial" w:eastAsia="Book Antiqua" w:hAnsi="Arial" w:cs="Arial"/>
          <w:color w:val="0000FF"/>
        </w:rPr>
        <w:t>(Krehbiel, 2004)</w:t>
      </w:r>
      <w:r w:rsidRPr="00FE45F6">
        <w:rPr>
          <w:rFonts w:ascii="Arial" w:eastAsia="Book Antiqua" w:hAnsi="Arial" w:cs="Arial"/>
        </w:rPr>
        <w:t xml:space="preserve">. Common method bias was evaluated using the common latent factor (CLF) technique, comparing CFA models with and without a CLF; a difference of less than 0.20 in </w:t>
      </w:r>
      <w:proofErr w:type="spellStart"/>
      <w:r w:rsidRPr="00FE45F6">
        <w:rPr>
          <w:rFonts w:ascii="Arial" w:eastAsia="Book Antiqua" w:hAnsi="Arial" w:cs="Arial"/>
        </w:rPr>
        <w:t>standardised</w:t>
      </w:r>
      <w:proofErr w:type="spellEnd"/>
      <w:r w:rsidRPr="00FE45F6">
        <w:rPr>
          <w:rFonts w:ascii="Arial" w:eastAsia="Book Antiqua" w:hAnsi="Arial" w:cs="Arial"/>
        </w:rPr>
        <w:t xml:space="preserve"> loadings indicated bias was not a serious concern </w:t>
      </w:r>
      <w:r w:rsidRPr="00FE45F6">
        <w:rPr>
          <w:rFonts w:ascii="Arial" w:eastAsia="Book Antiqua" w:hAnsi="Arial" w:cs="Arial"/>
          <w:color w:val="0000FF"/>
        </w:rPr>
        <w:t>(</w:t>
      </w:r>
      <w:proofErr w:type="spellStart"/>
      <w:r w:rsidRPr="00FE45F6">
        <w:rPr>
          <w:rFonts w:ascii="Arial" w:eastAsia="Book Antiqua" w:hAnsi="Arial" w:cs="Arial"/>
          <w:color w:val="0000FF"/>
        </w:rPr>
        <w:t>Afthanorhan</w:t>
      </w:r>
      <w:proofErr w:type="spellEnd"/>
      <w:r w:rsidRPr="00FE45F6">
        <w:rPr>
          <w:rFonts w:ascii="Arial" w:eastAsia="Book Antiqua" w:hAnsi="Arial" w:cs="Arial"/>
          <w:color w:val="0000FF"/>
        </w:rPr>
        <w:t xml:space="preserve"> et al., 2021; Podsakoff et al., 2003)</w:t>
      </w:r>
      <w:r w:rsidRPr="00FE45F6">
        <w:rPr>
          <w:rFonts w:ascii="Arial" w:eastAsia="Book Antiqua" w:hAnsi="Arial" w:cs="Arial"/>
          <w:color w:val="000000" w:themeColor="text1"/>
        </w:rPr>
        <w:t xml:space="preserve">. In addition, the Sobel test was employed to evaluate the significance of the indirect effects. An indirect effect was considered statistically significant when the absolute Z-value exceeded 1.96 (p &lt; 0.05), 2.58 (p &lt; 0.01), and 3.29 (p &lt; 0.001) </w:t>
      </w:r>
      <w:r w:rsidRPr="00FE45F6">
        <w:rPr>
          <w:rFonts w:ascii="Arial" w:eastAsia="Book Antiqua" w:hAnsi="Arial" w:cs="Arial"/>
          <w:color w:val="0000FF"/>
        </w:rPr>
        <w:t>(Sobel, 1982)</w:t>
      </w:r>
      <w:r w:rsidRPr="00FE45F6">
        <w:rPr>
          <w:rFonts w:ascii="Arial" w:eastAsia="Book Antiqua" w:hAnsi="Arial" w:cs="Arial"/>
          <w:color w:val="000000" w:themeColor="text1"/>
        </w:rPr>
        <w:t xml:space="preserve">. Finally, all hypotheses were estimated simultaneously using SEM, and the results are reported as </w:t>
      </w:r>
      <w:proofErr w:type="spellStart"/>
      <w:r w:rsidRPr="00FE45F6">
        <w:rPr>
          <w:rFonts w:ascii="Arial" w:eastAsia="Book Antiqua" w:hAnsi="Arial" w:cs="Arial"/>
          <w:color w:val="000000" w:themeColor="text1"/>
        </w:rPr>
        <w:t>standardised</w:t>
      </w:r>
      <w:proofErr w:type="spellEnd"/>
      <w:r w:rsidRPr="00FE45F6">
        <w:rPr>
          <w:rFonts w:ascii="Arial" w:eastAsia="Book Antiqua" w:hAnsi="Arial" w:cs="Arial"/>
          <w:color w:val="000000" w:themeColor="text1"/>
        </w:rPr>
        <w:t xml:space="preserve"> path coefficients.</w:t>
      </w:r>
    </w:p>
    <w:p w14:paraId="6C3C35A5" w14:textId="77777777" w:rsidR="00772E50" w:rsidRPr="00FE45F6" w:rsidRDefault="00772E50" w:rsidP="00772E50">
      <w:pPr>
        <w:pStyle w:val="AbstHead"/>
        <w:spacing w:after="200"/>
        <w:jc w:val="both"/>
        <w:rPr>
          <w:rFonts w:ascii="Arial" w:hAnsi="Arial" w:cs="Arial"/>
        </w:rPr>
      </w:pPr>
      <w:r w:rsidRPr="00FE45F6">
        <w:rPr>
          <w:rFonts w:ascii="Arial" w:hAnsi="Arial" w:cs="Arial"/>
        </w:rPr>
        <w:t>IV. RESULTS AND DISCUSSION</w:t>
      </w:r>
    </w:p>
    <w:p w14:paraId="5CE2FDD7" w14:textId="77777777" w:rsidR="001E2852" w:rsidRPr="00FE45F6" w:rsidRDefault="009D4098" w:rsidP="005101AA">
      <w:pPr>
        <w:spacing w:after="200"/>
        <w:jc w:val="both"/>
        <w:rPr>
          <w:rFonts w:ascii="Arial" w:eastAsia="Book Antiqua" w:hAnsi="Arial" w:cs="Arial"/>
          <w:b/>
          <w:bCs/>
          <w:sz w:val="22"/>
          <w:szCs w:val="22"/>
        </w:rPr>
      </w:pPr>
      <w:r w:rsidRPr="00FE45F6">
        <w:rPr>
          <w:rFonts w:ascii="Arial" w:eastAsia="Book Antiqua" w:hAnsi="Arial" w:cs="Arial"/>
          <w:b/>
          <w:bCs/>
          <w:sz w:val="22"/>
          <w:szCs w:val="22"/>
        </w:rPr>
        <w:t>4.1. Results</w:t>
      </w:r>
    </w:p>
    <w:p w14:paraId="0B310789" w14:textId="77777777" w:rsidR="009D4098" w:rsidRPr="00FE45F6" w:rsidRDefault="0068410B" w:rsidP="005101AA">
      <w:pPr>
        <w:spacing w:after="200"/>
        <w:jc w:val="both"/>
        <w:rPr>
          <w:rFonts w:ascii="Arial" w:eastAsia="Book Antiqua" w:hAnsi="Arial" w:cs="Arial"/>
          <w:color w:val="0D0D0D" w:themeColor="text1" w:themeTint="F2"/>
        </w:rPr>
      </w:pPr>
      <w:r w:rsidRPr="00FE45F6">
        <w:rPr>
          <w:rFonts w:ascii="Arial" w:eastAsia="Book Antiqua" w:hAnsi="Arial" w:cs="Arial"/>
          <w:color w:val="0D0D0D" w:themeColor="text1" w:themeTint="F2"/>
        </w:rPr>
        <w:t xml:space="preserve">The results of this study are presented in several sections, including respondent demographics, descriptive statistics, EFA, reliability analysis, CFA, validity assessments, common method bias, correlation analysis, SEM results from tests of the </w:t>
      </w:r>
      <w:proofErr w:type="spellStart"/>
      <w:r w:rsidRPr="00FE45F6">
        <w:rPr>
          <w:rFonts w:ascii="Arial" w:eastAsia="Book Antiqua" w:hAnsi="Arial" w:cs="Arial"/>
          <w:color w:val="0D0D0D" w:themeColor="text1" w:themeTint="F2"/>
        </w:rPr>
        <w:t>hypothesised</w:t>
      </w:r>
      <w:proofErr w:type="spellEnd"/>
      <w:r w:rsidRPr="00FE45F6">
        <w:rPr>
          <w:rFonts w:ascii="Arial" w:eastAsia="Book Antiqua" w:hAnsi="Arial" w:cs="Arial"/>
          <w:color w:val="0D0D0D" w:themeColor="text1" w:themeTint="F2"/>
        </w:rPr>
        <w:t xml:space="preserve"> relationships, and mediation analysis using the Sobel test.</w:t>
      </w:r>
    </w:p>
    <w:p w14:paraId="72FAD1DB" w14:textId="77777777" w:rsidR="009D4098" w:rsidRPr="00FE45F6" w:rsidRDefault="009D4098" w:rsidP="005101AA">
      <w:pPr>
        <w:spacing w:after="200"/>
        <w:jc w:val="both"/>
        <w:rPr>
          <w:rFonts w:ascii="Arial" w:eastAsia="Book Antiqua" w:hAnsi="Arial" w:cs="Arial"/>
          <w:b/>
          <w:bCs/>
        </w:rPr>
      </w:pPr>
      <w:r w:rsidRPr="00FE45F6">
        <w:rPr>
          <w:rFonts w:ascii="Arial" w:eastAsia="Book Antiqua" w:hAnsi="Arial" w:cs="Arial"/>
          <w:b/>
          <w:bCs/>
        </w:rPr>
        <w:t>4.1.1. Respondent Demographics</w:t>
      </w:r>
    </w:p>
    <w:p w14:paraId="1B51BC84" w14:textId="77777777" w:rsidR="00A94087" w:rsidRPr="00FE45F6" w:rsidRDefault="00A94087" w:rsidP="005101AA">
      <w:pPr>
        <w:spacing w:after="200"/>
        <w:jc w:val="both"/>
        <w:rPr>
          <w:rFonts w:ascii="Arial" w:eastAsia="Book Antiqua" w:hAnsi="Arial" w:cs="Arial"/>
        </w:rPr>
      </w:pPr>
      <w:r w:rsidRPr="00FE45F6">
        <w:rPr>
          <w:rFonts w:ascii="Arial" w:eastAsia="Book Antiqua" w:hAnsi="Arial" w:cs="Arial"/>
        </w:rPr>
        <w:t>Table 3 presents the demographic characteristics of the 600 participants. The sample included more female than male respondents, with the majority aged 21–23 years. Most participants were from the Faculty of Business Administration, followed by Information Technology and Science, and Finance and Banking. Regarding personal income, the largest proportion reported earning USD 201–300 per month. In terms of order value, most respondents spent below USD 5 per order, followed by USD 5–9.99, while fewer participants reported higher spending levels.</w:t>
      </w:r>
    </w:p>
    <w:p w14:paraId="29B9D478" w14:textId="77777777" w:rsidR="001E2852" w:rsidRPr="00FE45F6" w:rsidRDefault="00A94087" w:rsidP="00A94087">
      <w:pPr>
        <w:spacing w:after="200"/>
        <w:jc w:val="center"/>
        <w:rPr>
          <w:rFonts w:ascii="Arial" w:eastAsia="Book Antiqua" w:hAnsi="Arial" w:cs="Arial"/>
          <w:b/>
          <w:bCs/>
        </w:rPr>
      </w:pPr>
      <w:r w:rsidRPr="00FE45F6">
        <w:rPr>
          <w:rFonts w:ascii="Arial" w:eastAsia="Book Antiqua" w:hAnsi="Arial" w:cs="Arial"/>
          <w:b/>
          <w:bCs/>
        </w:rPr>
        <w:t>Table 3. Demographic characteristics of the respondents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3663"/>
        <w:gridCol w:w="1415"/>
        <w:gridCol w:w="1295"/>
      </w:tblGrid>
      <w:tr w:rsidR="00EF28D6" w:rsidRPr="00FE45F6" w14:paraId="1D13D790" w14:textId="77777777" w:rsidTr="008042B5">
        <w:tc>
          <w:tcPr>
            <w:tcW w:w="1838" w:type="dxa"/>
            <w:tcBorders>
              <w:top w:val="single" w:sz="4" w:space="0" w:color="auto"/>
              <w:bottom w:val="single" w:sz="4" w:space="0" w:color="auto"/>
            </w:tcBorders>
          </w:tcPr>
          <w:p w14:paraId="5918C221" w14:textId="77777777" w:rsidR="00EF28D6" w:rsidRPr="00FE45F6" w:rsidRDefault="00EF28D6" w:rsidP="00EF28D6">
            <w:pPr>
              <w:jc w:val="both"/>
              <w:rPr>
                <w:rFonts w:ascii="Arial" w:eastAsia="Book Antiqua" w:hAnsi="Arial" w:cs="Arial"/>
                <w:b/>
                <w:bCs/>
                <w:sz w:val="20"/>
                <w:szCs w:val="20"/>
              </w:rPr>
            </w:pPr>
            <w:r w:rsidRPr="00FE45F6">
              <w:rPr>
                <w:rFonts w:ascii="Arial" w:hAnsi="Arial" w:cs="Arial"/>
                <w:b/>
                <w:bCs/>
                <w:sz w:val="20"/>
                <w:szCs w:val="20"/>
              </w:rPr>
              <w:t>Demographic</w:t>
            </w:r>
          </w:p>
        </w:tc>
        <w:tc>
          <w:tcPr>
            <w:tcW w:w="3686" w:type="dxa"/>
            <w:tcBorders>
              <w:top w:val="single" w:sz="4" w:space="0" w:color="auto"/>
              <w:bottom w:val="single" w:sz="4" w:space="0" w:color="auto"/>
            </w:tcBorders>
          </w:tcPr>
          <w:p w14:paraId="25DC5138" w14:textId="77777777" w:rsidR="00EF28D6" w:rsidRPr="00FE45F6" w:rsidRDefault="00EF28D6" w:rsidP="00EF28D6">
            <w:pPr>
              <w:jc w:val="both"/>
              <w:rPr>
                <w:rFonts w:ascii="Arial" w:eastAsia="Book Antiqua" w:hAnsi="Arial" w:cs="Arial"/>
                <w:b/>
                <w:bCs/>
                <w:sz w:val="20"/>
                <w:szCs w:val="20"/>
              </w:rPr>
            </w:pPr>
            <w:r w:rsidRPr="00FE45F6">
              <w:rPr>
                <w:rFonts w:ascii="Arial" w:hAnsi="Arial" w:cs="Arial"/>
                <w:b/>
                <w:bCs/>
                <w:sz w:val="20"/>
                <w:szCs w:val="20"/>
              </w:rPr>
              <w:t>Description</w:t>
            </w:r>
          </w:p>
        </w:tc>
        <w:tc>
          <w:tcPr>
            <w:tcW w:w="1417" w:type="dxa"/>
            <w:tcBorders>
              <w:top w:val="single" w:sz="4" w:space="0" w:color="auto"/>
              <w:bottom w:val="single" w:sz="4" w:space="0" w:color="auto"/>
            </w:tcBorders>
          </w:tcPr>
          <w:p w14:paraId="10249408" w14:textId="77777777" w:rsidR="00EF28D6" w:rsidRPr="00FE45F6" w:rsidRDefault="00EF28D6" w:rsidP="00EF28D6">
            <w:pPr>
              <w:jc w:val="both"/>
              <w:rPr>
                <w:rFonts w:ascii="Arial" w:eastAsia="Book Antiqua" w:hAnsi="Arial" w:cs="Arial"/>
                <w:b/>
                <w:bCs/>
                <w:sz w:val="20"/>
                <w:szCs w:val="20"/>
              </w:rPr>
            </w:pPr>
            <w:r w:rsidRPr="00FE45F6">
              <w:rPr>
                <w:rFonts w:ascii="Arial" w:hAnsi="Arial" w:cs="Arial"/>
                <w:b/>
                <w:bCs/>
                <w:sz w:val="20"/>
                <w:szCs w:val="20"/>
              </w:rPr>
              <w:t>Frequency</w:t>
            </w:r>
          </w:p>
        </w:tc>
        <w:tc>
          <w:tcPr>
            <w:tcW w:w="1257" w:type="dxa"/>
            <w:tcBorders>
              <w:top w:val="single" w:sz="4" w:space="0" w:color="auto"/>
              <w:bottom w:val="single" w:sz="4" w:space="0" w:color="auto"/>
            </w:tcBorders>
          </w:tcPr>
          <w:p w14:paraId="664FC3B5" w14:textId="77777777" w:rsidR="00EF28D6" w:rsidRPr="00FE45F6" w:rsidRDefault="00581DE8" w:rsidP="00EF28D6">
            <w:pPr>
              <w:jc w:val="both"/>
              <w:rPr>
                <w:rFonts w:ascii="Arial" w:eastAsia="Book Antiqua" w:hAnsi="Arial" w:cs="Arial"/>
                <w:b/>
                <w:bCs/>
                <w:sz w:val="20"/>
                <w:szCs w:val="20"/>
              </w:rPr>
            </w:pPr>
            <w:r w:rsidRPr="00FE45F6">
              <w:rPr>
                <w:rFonts w:ascii="Arial" w:hAnsi="Arial" w:cs="Arial"/>
                <w:b/>
                <w:bCs/>
                <w:sz w:val="20"/>
                <w:szCs w:val="20"/>
              </w:rPr>
              <w:t>Percentage</w:t>
            </w:r>
          </w:p>
        </w:tc>
      </w:tr>
      <w:tr w:rsidR="00EF28D6" w:rsidRPr="00FE45F6" w14:paraId="025CDFE6" w14:textId="77777777" w:rsidTr="008042B5">
        <w:tc>
          <w:tcPr>
            <w:tcW w:w="1838" w:type="dxa"/>
            <w:tcBorders>
              <w:top w:val="single" w:sz="4" w:space="0" w:color="auto"/>
            </w:tcBorders>
          </w:tcPr>
          <w:p w14:paraId="1D417CDE" w14:textId="77777777" w:rsidR="00EF28D6" w:rsidRPr="00FE45F6" w:rsidRDefault="00EF28D6" w:rsidP="00AB3BAD">
            <w:pPr>
              <w:rPr>
                <w:rFonts w:ascii="Arial" w:eastAsia="Book Antiqua" w:hAnsi="Arial" w:cs="Arial"/>
                <w:sz w:val="20"/>
                <w:szCs w:val="20"/>
              </w:rPr>
            </w:pPr>
            <w:r w:rsidRPr="00FE45F6">
              <w:rPr>
                <w:rFonts w:ascii="Arial" w:eastAsia="Book Antiqua" w:hAnsi="Arial" w:cs="Arial"/>
                <w:sz w:val="20"/>
                <w:szCs w:val="20"/>
              </w:rPr>
              <w:t>Gender</w:t>
            </w:r>
          </w:p>
        </w:tc>
        <w:tc>
          <w:tcPr>
            <w:tcW w:w="3686" w:type="dxa"/>
            <w:tcBorders>
              <w:top w:val="single" w:sz="4" w:space="0" w:color="auto"/>
            </w:tcBorders>
          </w:tcPr>
          <w:p w14:paraId="7460040C" w14:textId="77777777" w:rsidR="00EF28D6" w:rsidRPr="00FE45F6" w:rsidRDefault="00EF28D6" w:rsidP="00EF28D6">
            <w:pPr>
              <w:jc w:val="both"/>
              <w:rPr>
                <w:rFonts w:ascii="Arial" w:eastAsia="Book Antiqua" w:hAnsi="Arial" w:cs="Arial"/>
                <w:sz w:val="20"/>
                <w:szCs w:val="20"/>
              </w:rPr>
            </w:pPr>
            <w:r w:rsidRPr="00FE45F6">
              <w:rPr>
                <w:rFonts w:ascii="Arial" w:eastAsia="Book Antiqua" w:hAnsi="Arial" w:cs="Arial"/>
                <w:sz w:val="20"/>
                <w:szCs w:val="20"/>
              </w:rPr>
              <w:t>Male</w:t>
            </w:r>
          </w:p>
        </w:tc>
        <w:tc>
          <w:tcPr>
            <w:tcW w:w="1417" w:type="dxa"/>
            <w:tcBorders>
              <w:top w:val="single" w:sz="4" w:space="0" w:color="auto"/>
            </w:tcBorders>
          </w:tcPr>
          <w:p w14:paraId="2288316E" w14:textId="77777777" w:rsidR="00EF28D6" w:rsidRPr="00FE45F6" w:rsidRDefault="00B84B7B" w:rsidP="00EF28D6">
            <w:pPr>
              <w:jc w:val="both"/>
              <w:rPr>
                <w:rFonts w:ascii="Arial" w:eastAsia="Book Antiqua" w:hAnsi="Arial" w:cs="Arial"/>
                <w:sz w:val="20"/>
                <w:szCs w:val="20"/>
              </w:rPr>
            </w:pPr>
            <w:r w:rsidRPr="00FE45F6">
              <w:rPr>
                <w:rFonts w:ascii="Arial" w:eastAsia="Book Antiqua" w:hAnsi="Arial" w:cs="Arial"/>
                <w:sz w:val="20"/>
                <w:szCs w:val="20"/>
              </w:rPr>
              <w:t>220</w:t>
            </w:r>
          </w:p>
        </w:tc>
        <w:tc>
          <w:tcPr>
            <w:tcW w:w="1257" w:type="dxa"/>
            <w:tcBorders>
              <w:top w:val="single" w:sz="4" w:space="0" w:color="auto"/>
            </w:tcBorders>
          </w:tcPr>
          <w:p w14:paraId="5DDD002E" w14:textId="77777777" w:rsidR="00EF28D6" w:rsidRPr="00FE45F6" w:rsidRDefault="00B84B7B" w:rsidP="00EF28D6">
            <w:pPr>
              <w:jc w:val="both"/>
              <w:rPr>
                <w:rFonts w:ascii="Arial" w:eastAsia="Book Antiqua" w:hAnsi="Arial" w:cs="Arial"/>
                <w:sz w:val="20"/>
                <w:szCs w:val="20"/>
              </w:rPr>
            </w:pPr>
            <w:r w:rsidRPr="00FE45F6">
              <w:rPr>
                <w:rFonts w:ascii="Arial" w:eastAsia="Book Antiqua" w:hAnsi="Arial" w:cs="Arial"/>
                <w:sz w:val="20"/>
                <w:szCs w:val="20"/>
              </w:rPr>
              <w:t>37</w:t>
            </w:r>
          </w:p>
        </w:tc>
      </w:tr>
      <w:tr w:rsidR="00EF28D6" w:rsidRPr="00FE45F6" w14:paraId="12313358" w14:textId="77777777" w:rsidTr="008042B5">
        <w:tc>
          <w:tcPr>
            <w:tcW w:w="1838" w:type="dxa"/>
          </w:tcPr>
          <w:p w14:paraId="40061F58" w14:textId="77777777" w:rsidR="00EF28D6" w:rsidRPr="00FE45F6" w:rsidRDefault="00EF28D6" w:rsidP="00AB3BAD">
            <w:pPr>
              <w:rPr>
                <w:rFonts w:ascii="Arial" w:eastAsia="Book Antiqua" w:hAnsi="Arial" w:cs="Arial"/>
                <w:sz w:val="20"/>
                <w:szCs w:val="20"/>
              </w:rPr>
            </w:pPr>
          </w:p>
        </w:tc>
        <w:tc>
          <w:tcPr>
            <w:tcW w:w="3686" w:type="dxa"/>
          </w:tcPr>
          <w:p w14:paraId="45ED53EE" w14:textId="77777777" w:rsidR="00EF28D6" w:rsidRPr="00FE45F6" w:rsidRDefault="00EF28D6" w:rsidP="00EF28D6">
            <w:pPr>
              <w:jc w:val="both"/>
              <w:rPr>
                <w:rFonts w:ascii="Arial" w:eastAsia="Book Antiqua" w:hAnsi="Arial" w:cs="Arial"/>
                <w:sz w:val="20"/>
                <w:szCs w:val="20"/>
              </w:rPr>
            </w:pPr>
            <w:r w:rsidRPr="00FE45F6">
              <w:rPr>
                <w:rFonts w:ascii="Arial" w:eastAsia="Book Antiqua" w:hAnsi="Arial" w:cs="Arial"/>
                <w:sz w:val="20"/>
                <w:szCs w:val="20"/>
              </w:rPr>
              <w:t>Female</w:t>
            </w:r>
          </w:p>
        </w:tc>
        <w:tc>
          <w:tcPr>
            <w:tcW w:w="1417" w:type="dxa"/>
          </w:tcPr>
          <w:p w14:paraId="3CB99D97" w14:textId="77777777" w:rsidR="00EF28D6" w:rsidRPr="00FE45F6" w:rsidRDefault="00B84B7B" w:rsidP="00EF28D6">
            <w:pPr>
              <w:jc w:val="both"/>
              <w:rPr>
                <w:rFonts w:ascii="Arial" w:eastAsia="Book Antiqua" w:hAnsi="Arial" w:cs="Arial"/>
                <w:sz w:val="20"/>
                <w:szCs w:val="20"/>
              </w:rPr>
            </w:pPr>
            <w:r w:rsidRPr="00FE45F6">
              <w:rPr>
                <w:rFonts w:ascii="Arial" w:eastAsia="Book Antiqua" w:hAnsi="Arial" w:cs="Arial"/>
                <w:sz w:val="20"/>
                <w:szCs w:val="20"/>
              </w:rPr>
              <w:t>380</w:t>
            </w:r>
          </w:p>
        </w:tc>
        <w:tc>
          <w:tcPr>
            <w:tcW w:w="1257" w:type="dxa"/>
          </w:tcPr>
          <w:p w14:paraId="37DF7250" w14:textId="77777777" w:rsidR="00EF28D6" w:rsidRPr="00FE45F6" w:rsidRDefault="00B84B7B" w:rsidP="00EF28D6">
            <w:pPr>
              <w:jc w:val="both"/>
              <w:rPr>
                <w:rFonts w:ascii="Arial" w:eastAsia="Book Antiqua" w:hAnsi="Arial" w:cs="Arial"/>
                <w:sz w:val="20"/>
                <w:szCs w:val="20"/>
              </w:rPr>
            </w:pPr>
            <w:r w:rsidRPr="00FE45F6">
              <w:rPr>
                <w:rFonts w:ascii="Arial" w:eastAsia="Book Antiqua" w:hAnsi="Arial" w:cs="Arial"/>
                <w:sz w:val="20"/>
                <w:szCs w:val="20"/>
              </w:rPr>
              <w:t>63</w:t>
            </w:r>
          </w:p>
        </w:tc>
      </w:tr>
      <w:tr w:rsidR="00574204" w:rsidRPr="00FE45F6" w14:paraId="745640AA" w14:textId="77777777" w:rsidTr="008042B5">
        <w:tc>
          <w:tcPr>
            <w:tcW w:w="1838" w:type="dxa"/>
          </w:tcPr>
          <w:p w14:paraId="048B6700" w14:textId="77777777" w:rsidR="00574204" w:rsidRPr="00FE45F6" w:rsidRDefault="00574204" w:rsidP="00574204">
            <w:pPr>
              <w:rPr>
                <w:rFonts w:ascii="Arial" w:eastAsia="Book Antiqua" w:hAnsi="Arial" w:cs="Arial"/>
                <w:sz w:val="20"/>
                <w:szCs w:val="20"/>
              </w:rPr>
            </w:pPr>
            <w:r w:rsidRPr="00FE45F6">
              <w:rPr>
                <w:rFonts w:ascii="Arial" w:eastAsia="Book Antiqua" w:hAnsi="Arial" w:cs="Arial"/>
                <w:sz w:val="20"/>
                <w:szCs w:val="20"/>
              </w:rPr>
              <w:t>Age</w:t>
            </w:r>
          </w:p>
        </w:tc>
        <w:tc>
          <w:tcPr>
            <w:tcW w:w="3686" w:type="dxa"/>
          </w:tcPr>
          <w:p w14:paraId="72FB2F08"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18–20 years</w:t>
            </w:r>
          </w:p>
        </w:tc>
        <w:tc>
          <w:tcPr>
            <w:tcW w:w="1417" w:type="dxa"/>
          </w:tcPr>
          <w:p w14:paraId="2948436A"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100</w:t>
            </w:r>
          </w:p>
        </w:tc>
        <w:tc>
          <w:tcPr>
            <w:tcW w:w="1257" w:type="dxa"/>
          </w:tcPr>
          <w:p w14:paraId="544EF693"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16.7</w:t>
            </w:r>
          </w:p>
        </w:tc>
      </w:tr>
      <w:tr w:rsidR="00574204" w:rsidRPr="00FE45F6" w14:paraId="04AD50D5" w14:textId="77777777" w:rsidTr="008042B5">
        <w:tc>
          <w:tcPr>
            <w:tcW w:w="1838" w:type="dxa"/>
          </w:tcPr>
          <w:p w14:paraId="2BFB9CBD" w14:textId="77777777" w:rsidR="00574204" w:rsidRPr="00FE45F6" w:rsidRDefault="00574204" w:rsidP="00574204">
            <w:pPr>
              <w:rPr>
                <w:rFonts w:ascii="Arial" w:eastAsia="Book Antiqua" w:hAnsi="Arial" w:cs="Arial"/>
                <w:sz w:val="20"/>
                <w:szCs w:val="20"/>
              </w:rPr>
            </w:pPr>
          </w:p>
        </w:tc>
        <w:tc>
          <w:tcPr>
            <w:tcW w:w="3686" w:type="dxa"/>
          </w:tcPr>
          <w:p w14:paraId="6EB8D68C"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21–23 years</w:t>
            </w:r>
          </w:p>
        </w:tc>
        <w:tc>
          <w:tcPr>
            <w:tcW w:w="1417" w:type="dxa"/>
          </w:tcPr>
          <w:p w14:paraId="440BBB89"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409</w:t>
            </w:r>
          </w:p>
        </w:tc>
        <w:tc>
          <w:tcPr>
            <w:tcW w:w="1257" w:type="dxa"/>
          </w:tcPr>
          <w:p w14:paraId="11264838"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68.2</w:t>
            </w:r>
          </w:p>
        </w:tc>
      </w:tr>
      <w:tr w:rsidR="00574204" w:rsidRPr="00FE45F6" w14:paraId="5207962E" w14:textId="77777777" w:rsidTr="008042B5">
        <w:tc>
          <w:tcPr>
            <w:tcW w:w="1838" w:type="dxa"/>
          </w:tcPr>
          <w:p w14:paraId="0802AF9C" w14:textId="77777777" w:rsidR="00574204" w:rsidRPr="00FE45F6" w:rsidRDefault="00574204" w:rsidP="00574204">
            <w:pPr>
              <w:rPr>
                <w:rFonts w:ascii="Arial" w:eastAsia="Book Antiqua" w:hAnsi="Arial" w:cs="Arial"/>
                <w:sz w:val="20"/>
                <w:szCs w:val="20"/>
              </w:rPr>
            </w:pPr>
          </w:p>
        </w:tc>
        <w:tc>
          <w:tcPr>
            <w:tcW w:w="3686" w:type="dxa"/>
          </w:tcPr>
          <w:p w14:paraId="6A1797EF"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24–26 years</w:t>
            </w:r>
          </w:p>
        </w:tc>
        <w:tc>
          <w:tcPr>
            <w:tcW w:w="1417" w:type="dxa"/>
          </w:tcPr>
          <w:p w14:paraId="262CA8BB"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75</w:t>
            </w:r>
          </w:p>
        </w:tc>
        <w:tc>
          <w:tcPr>
            <w:tcW w:w="1257" w:type="dxa"/>
          </w:tcPr>
          <w:p w14:paraId="1A51DFE8"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12.5</w:t>
            </w:r>
          </w:p>
        </w:tc>
      </w:tr>
      <w:tr w:rsidR="00574204" w:rsidRPr="00FE45F6" w14:paraId="007EBA5E" w14:textId="77777777" w:rsidTr="008042B5">
        <w:tc>
          <w:tcPr>
            <w:tcW w:w="1838" w:type="dxa"/>
          </w:tcPr>
          <w:p w14:paraId="081946D2" w14:textId="77777777" w:rsidR="00574204" w:rsidRPr="00FE45F6" w:rsidRDefault="00574204" w:rsidP="00574204">
            <w:pPr>
              <w:rPr>
                <w:rFonts w:ascii="Arial" w:eastAsia="Book Antiqua" w:hAnsi="Arial" w:cs="Arial"/>
                <w:sz w:val="20"/>
                <w:szCs w:val="20"/>
              </w:rPr>
            </w:pPr>
          </w:p>
        </w:tc>
        <w:tc>
          <w:tcPr>
            <w:tcW w:w="3686" w:type="dxa"/>
          </w:tcPr>
          <w:p w14:paraId="4CBE8D2D"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27–34 years</w:t>
            </w:r>
          </w:p>
        </w:tc>
        <w:tc>
          <w:tcPr>
            <w:tcW w:w="1417" w:type="dxa"/>
          </w:tcPr>
          <w:p w14:paraId="453ADB9A"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16</w:t>
            </w:r>
          </w:p>
        </w:tc>
        <w:tc>
          <w:tcPr>
            <w:tcW w:w="1257" w:type="dxa"/>
          </w:tcPr>
          <w:p w14:paraId="7E077E21" w14:textId="77777777" w:rsidR="00574204" w:rsidRPr="00FE45F6" w:rsidRDefault="00574204" w:rsidP="00574204">
            <w:pPr>
              <w:jc w:val="both"/>
              <w:rPr>
                <w:rFonts w:ascii="Arial" w:eastAsia="Book Antiqua" w:hAnsi="Arial" w:cs="Arial"/>
                <w:sz w:val="20"/>
                <w:szCs w:val="20"/>
              </w:rPr>
            </w:pPr>
            <w:r w:rsidRPr="00FE45F6">
              <w:rPr>
                <w:rFonts w:ascii="Arial" w:hAnsi="Arial" w:cs="Arial"/>
                <w:sz w:val="20"/>
                <w:szCs w:val="20"/>
              </w:rPr>
              <w:t>2.7</w:t>
            </w:r>
          </w:p>
        </w:tc>
      </w:tr>
      <w:tr w:rsidR="001F0C04" w:rsidRPr="00FE45F6" w14:paraId="570C88D5" w14:textId="77777777" w:rsidTr="008042B5">
        <w:tc>
          <w:tcPr>
            <w:tcW w:w="1838" w:type="dxa"/>
          </w:tcPr>
          <w:p w14:paraId="18C05DBA" w14:textId="77777777" w:rsidR="001F0C04" w:rsidRPr="00FE45F6" w:rsidRDefault="001F0C04" w:rsidP="001F0C04">
            <w:pPr>
              <w:rPr>
                <w:rFonts w:ascii="Arial" w:eastAsia="Book Antiqua" w:hAnsi="Arial" w:cs="Arial"/>
                <w:sz w:val="20"/>
                <w:szCs w:val="20"/>
              </w:rPr>
            </w:pPr>
            <w:r w:rsidRPr="00FE45F6">
              <w:rPr>
                <w:rFonts w:ascii="Arial" w:eastAsia="Book Antiqua" w:hAnsi="Arial" w:cs="Arial"/>
                <w:sz w:val="20"/>
                <w:szCs w:val="20"/>
              </w:rPr>
              <w:t xml:space="preserve">Faculty </w:t>
            </w:r>
          </w:p>
        </w:tc>
        <w:tc>
          <w:tcPr>
            <w:tcW w:w="3686" w:type="dxa"/>
          </w:tcPr>
          <w:p w14:paraId="26D8572E"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Business Administration</w:t>
            </w:r>
          </w:p>
        </w:tc>
        <w:tc>
          <w:tcPr>
            <w:tcW w:w="1417" w:type="dxa"/>
            <w:vAlign w:val="center"/>
          </w:tcPr>
          <w:p w14:paraId="54953DF0"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382</w:t>
            </w:r>
          </w:p>
        </w:tc>
        <w:tc>
          <w:tcPr>
            <w:tcW w:w="1257" w:type="dxa"/>
            <w:vAlign w:val="center"/>
          </w:tcPr>
          <w:p w14:paraId="7C76078C"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63.7</w:t>
            </w:r>
          </w:p>
        </w:tc>
      </w:tr>
      <w:tr w:rsidR="001F0C04" w:rsidRPr="00FE45F6" w14:paraId="4C0F7D5B" w14:textId="77777777" w:rsidTr="008042B5">
        <w:tc>
          <w:tcPr>
            <w:tcW w:w="1838" w:type="dxa"/>
          </w:tcPr>
          <w:p w14:paraId="16EA40B4" w14:textId="77777777" w:rsidR="001F0C04" w:rsidRPr="00FE45F6" w:rsidRDefault="001F0C04" w:rsidP="001F0C04">
            <w:pPr>
              <w:rPr>
                <w:rFonts w:ascii="Arial" w:eastAsia="Book Antiqua" w:hAnsi="Arial" w:cs="Arial"/>
                <w:sz w:val="20"/>
                <w:szCs w:val="20"/>
              </w:rPr>
            </w:pPr>
          </w:p>
        </w:tc>
        <w:tc>
          <w:tcPr>
            <w:tcW w:w="3686" w:type="dxa"/>
          </w:tcPr>
          <w:p w14:paraId="33C0ED64"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Information Technology and Science</w:t>
            </w:r>
          </w:p>
        </w:tc>
        <w:tc>
          <w:tcPr>
            <w:tcW w:w="1417" w:type="dxa"/>
            <w:vAlign w:val="center"/>
          </w:tcPr>
          <w:p w14:paraId="0B5FF16B"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63</w:t>
            </w:r>
          </w:p>
        </w:tc>
        <w:tc>
          <w:tcPr>
            <w:tcW w:w="1257" w:type="dxa"/>
            <w:vAlign w:val="center"/>
          </w:tcPr>
          <w:p w14:paraId="7ABD5269"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10.5</w:t>
            </w:r>
          </w:p>
        </w:tc>
      </w:tr>
      <w:tr w:rsidR="001F0C04" w:rsidRPr="00FE45F6" w14:paraId="2E942BFF" w14:textId="77777777" w:rsidTr="008042B5">
        <w:tc>
          <w:tcPr>
            <w:tcW w:w="1838" w:type="dxa"/>
          </w:tcPr>
          <w:p w14:paraId="0948E59A" w14:textId="77777777" w:rsidR="001F0C04" w:rsidRPr="00FE45F6" w:rsidRDefault="001F0C04" w:rsidP="001F0C04">
            <w:pPr>
              <w:rPr>
                <w:rFonts w:ascii="Arial" w:eastAsia="Book Antiqua" w:hAnsi="Arial" w:cs="Arial"/>
                <w:sz w:val="20"/>
                <w:szCs w:val="20"/>
              </w:rPr>
            </w:pPr>
          </w:p>
        </w:tc>
        <w:tc>
          <w:tcPr>
            <w:tcW w:w="3686" w:type="dxa"/>
          </w:tcPr>
          <w:p w14:paraId="4C9CFABE"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Finance and Banking</w:t>
            </w:r>
          </w:p>
        </w:tc>
        <w:tc>
          <w:tcPr>
            <w:tcW w:w="1417" w:type="dxa"/>
          </w:tcPr>
          <w:p w14:paraId="3D4C34E6"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61</w:t>
            </w:r>
          </w:p>
        </w:tc>
        <w:tc>
          <w:tcPr>
            <w:tcW w:w="1257" w:type="dxa"/>
          </w:tcPr>
          <w:p w14:paraId="2F962848"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10.2</w:t>
            </w:r>
          </w:p>
        </w:tc>
      </w:tr>
      <w:tr w:rsidR="001F0C04" w:rsidRPr="00FE45F6" w14:paraId="7329F413" w14:textId="77777777" w:rsidTr="008042B5">
        <w:tc>
          <w:tcPr>
            <w:tcW w:w="1838" w:type="dxa"/>
          </w:tcPr>
          <w:p w14:paraId="0568A750" w14:textId="77777777" w:rsidR="001F0C04" w:rsidRPr="00FE45F6" w:rsidRDefault="001F0C04" w:rsidP="001F0C04">
            <w:pPr>
              <w:rPr>
                <w:rFonts w:ascii="Arial" w:eastAsia="Book Antiqua" w:hAnsi="Arial" w:cs="Arial"/>
                <w:sz w:val="20"/>
                <w:szCs w:val="20"/>
              </w:rPr>
            </w:pPr>
          </w:p>
        </w:tc>
        <w:tc>
          <w:tcPr>
            <w:tcW w:w="3686" w:type="dxa"/>
          </w:tcPr>
          <w:p w14:paraId="1AE75B17"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Tourism and Hospitality</w:t>
            </w:r>
          </w:p>
        </w:tc>
        <w:tc>
          <w:tcPr>
            <w:tcW w:w="1417" w:type="dxa"/>
          </w:tcPr>
          <w:p w14:paraId="389E4F95"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44</w:t>
            </w:r>
          </w:p>
        </w:tc>
        <w:tc>
          <w:tcPr>
            <w:tcW w:w="1257" w:type="dxa"/>
          </w:tcPr>
          <w:p w14:paraId="2C5FD2E2"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7.3</w:t>
            </w:r>
          </w:p>
        </w:tc>
      </w:tr>
      <w:tr w:rsidR="001F0C04" w:rsidRPr="00FE45F6" w14:paraId="08E0B3B5" w14:textId="77777777" w:rsidTr="008042B5">
        <w:tc>
          <w:tcPr>
            <w:tcW w:w="1838" w:type="dxa"/>
            <w:tcBorders>
              <w:bottom w:val="nil"/>
            </w:tcBorders>
          </w:tcPr>
          <w:p w14:paraId="2B858426" w14:textId="77777777" w:rsidR="001F0C04" w:rsidRPr="00FE45F6" w:rsidRDefault="001F0C04" w:rsidP="001F0C04">
            <w:pPr>
              <w:rPr>
                <w:rFonts w:ascii="Arial" w:eastAsia="Book Antiqua" w:hAnsi="Arial" w:cs="Arial"/>
                <w:sz w:val="20"/>
                <w:szCs w:val="20"/>
              </w:rPr>
            </w:pPr>
          </w:p>
        </w:tc>
        <w:tc>
          <w:tcPr>
            <w:tcW w:w="3686" w:type="dxa"/>
            <w:tcBorders>
              <w:bottom w:val="nil"/>
            </w:tcBorders>
          </w:tcPr>
          <w:p w14:paraId="3C2B7A66"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Law</w:t>
            </w:r>
          </w:p>
        </w:tc>
        <w:tc>
          <w:tcPr>
            <w:tcW w:w="1417" w:type="dxa"/>
            <w:tcBorders>
              <w:bottom w:val="nil"/>
            </w:tcBorders>
          </w:tcPr>
          <w:p w14:paraId="6B0377AA"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30</w:t>
            </w:r>
          </w:p>
        </w:tc>
        <w:tc>
          <w:tcPr>
            <w:tcW w:w="1257" w:type="dxa"/>
            <w:tcBorders>
              <w:bottom w:val="nil"/>
            </w:tcBorders>
          </w:tcPr>
          <w:p w14:paraId="7F12A213" w14:textId="77777777" w:rsidR="001F0C04" w:rsidRPr="00FE45F6" w:rsidRDefault="001F0C04" w:rsidP="001F0C04">
            <w:pPr>
              <w:jc w:val="both"/>
              <w:rPr>
                <w:rFonts w:ascii="Arial" w:eastAsia="Book Antiqua" w:hAnsi="Arial" w:cs="Arial"/>
                <w:sz w:val="20"/>
                <w:szCs w:val="20"/>
              </w:rPr>
            </w:pPr>
            <w:r w:rsidRPr="00FE45F6">
              <w:rPr>
                <w:rFonts w:ascii="Arial" w:hAnsi="Arial" w:cs="Arial"/>
                <w:sz w:val="20"/>
                <w:szCs w:val="20"/>
              </w:rPr>
              <w:t>5.0</w:t>
            </w:r>
          </w:p>
        </w:tc>
      </w:tr>
      <w:tr w:rsidR="001F0C04" w:rsidRPr="00FE45F6" w14:paraId="7A16879E" w14:textId="77777777" w:rsidTr="008042B5">
        <w:tc>
          <w:tcPr>
            <w:tcW w:w="1838" w:type="dxa"/>
            <w:tcBorders>
              <w:top w:val="nil"/>
              <w:bottom w:val="nil"/>
            </w:tcBorders>
          </w:tcPr>
          <w:p w14:paraId="2F5AE386" w14:textId="77777777" w:rsidR="001F0C04" w:rsidRPr="00FE45F6" w:rsidRDefault="001F0C04" w:rsidP="001F0C04">
            <w:pPr>
              <w:rPr>
                <w:rFonts w:ascii="Arial" w:eastAsia="Book Antiqua" w:hAnsi="Arial" w:cs="Arial"/>
                <w:sz w:val="20"/>
                <w:szCs w:val="20"/>
              </w:rPr>
            </w:pPr>
          </w:p>
        </w:tc>
        <w:tc>
          <w:tcPr>
            <w:tcW w:w="3686" w:type="dxa"/>
            <w:tcBorders>
              <w:top w:val="nil"/>
              <w:bottom w:val="nil"/>
            </w:tcBorders>
          </w:tcPr>
          <w:p w14:paraId="4CD74B12" w14:textId="77777777" w:rsidR="001F0C04" w:rsidRPr="00FE45F6" w:rsidRDefault="001F0C04" w:rsidP="001F0C04">
            <w:pPr>
              <w:jc w:val="both"/>
              <w:rPr>
                <w:rFonts w:ascii="Arial" w:eastAsia="Book Antiqua" w:hAnsi="Arial" w:cs="Arial"/>
                <w:sz w:val="20"/>
                <w:szCs w:val="20"/>
              </w:rPr>
            </w:pPr>
            <w:r w:rsidRPr="00FE45F6">
              <w:rPr>
                <w:rFonts w:ascii="Arial" w:eastAsia="Book Antiqua" w:hAnsi="Arial" w:cs="Arial"/>
                <w:sz w:val="20"/>
                <w:szCs w:val="20"/>
              </w:rPr>
              <w:t>Architecture</w:t>
            </w:r>
          </w:p>
        </w:tc>
        <w:tc>
          <w:tcPr>
            <w:tcW w:w="1417" w:type="dxa"/>
            <w:tcBorders>
              <w:top w:val="nil"/>
              <w:bottom w:val="nil"/>
            </w:tcBorders>
            <w:vAlign w:val="center"/>
          </w:tcPr>
          <w:p w14:paraId="7A67BEA3"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20</w:t>
            </w:r>
          </w:p>
        </w:tc>
        <w:tc>
          <w:tcPr>
            <w:tcW w:w="1257" w:type="dxa"/>
            <w:tcBorders>
              <w:top w:val="nil"/>
              <w:bottom w:val="nil"/>
            </w:tcBorders>
            <w:vAlign w:val="center"/>
          </w:tcPr>
          <w:p w14:paraId="79096FE4" w14:textId="77777777" w:rsidR="001F0C04" w:rsidRPr="00FE45F6" w:rsidRDefault="001F0C04" w:rsidP="001F0C04">
            <w:pPr>
              <w:jc w:val="both"/>
              <w:rPr>
                <w:rFonts w:ascii="Arial" w:eastAsia="Book Antiqua" w:hAnsi="Arial" w:cs="Arial"/>
                <w:sz w:val="20"/>
                <w:szCs w:val="20"/>
              </w:rPr>
            </w:pPr>
            <w:r w:rsidRPr="00FE45F6">
              <w:rPr>
                <w:rFonts w:ascii="Arial" w:hAnsi="Arial" w:cs="Arial"/>
                <w:color w:val="000000"/>
                <w:sz w:val="20"/>
                <w:szCs w:val="20"/>
                <w:lang w:bidi="km-KH"/>
              </w:rPr>
              <w:t>3.3</w:t>
            </w:r>
          </w:p>
        </w:tc>
      </w:tr>
      <w:tr w:rsidR="009325DA" w:rsidRPr="00FE45F6" w14:paraId="573B1E02" w14:textId="77777777" w:rsidTr="008042B5">
        <w:tc>
          <w:tcPr>
            <w:tcW w:w="1838" w:type="dxa"/>
            <w:tcBorders>
              <w:top w:val="nil"/>
              <w:bottom w:val="nil"/>
            </w:tcBorders>
          </w:tcPr>
          <w:p w14:paraId="4D5DBA19" w14:textId="77777777" w:rsidR="009325DA" w:rsidRPr="00FE45F6" w:rsidRDefault="009325DA" w:rsidP="009325DA">
            <w:pPr>
              <w:rPr>
                <w:rFonts w:ascii="Arial" w:eastAsia="Book Antiqua" w:hAnsi="Arial" w:cs="Arial"/>
                <w:sz w:val="20"/>
                <w:szCs w:val="20"/>
              </w:rPr>
            </w:pPr>
            <w:r w:rsidRPr="00FE45F6">
              <w:rPr>
                <w:rFonts w:ascii="Arial" w:eastAsia="Book Antiqua" w:hAnsi="Arial" w:cs="Arial"/>
                <w:sz w:val="20"/>
                <w:szCs w:val="20"/>
              </w:rPr>
              <w:t>Personal Income</w:t>
            </w:r>
          </w:p>
        </w:tc>
        <w:tc>
          <w:tcPr>
            <w:tcW w:w="3686" w:type="dxa"/>
            <w:tcBorders>
              <w:top w:val="nil"/>
              <w:bottom w:val="nil"/>
            </w:tcBorders>
          </w:tcPr>
          <w:p w14:paraId="1FB93B1C" w14:textId="77777777" w:rsidR="009325DA" w:rsidRPr="00FE45F6" w:rsidRDefault="009325DA" w:rsidP="009325DA">
            <w:pPr>
              <w:jc w:val="both"/>
              <w:rPr>
                <w:rFonts w:ascii="Arial" w:eastAsia="Book Antiqua" w:hAnsi="Arial" w:cs="Arial"/>
                <w:sz w:val="20"/>
                <w:szCs w:val="20"/>
              </w:rPr>
            </w:pPr>
            <w:r w:rsidRPr="00FE45F6">
              <w:rPr>
                <w:rFonts w:ascii="Arial" w:eastAsia="Book Antiqua" w:hAnsi="Arial" w:cs="Arial"/>
                <w:sz w:val="20"/>
                <w:szCs w:val="20"/>
              </w:rPr>
              <w:t xml:space="preserve">Less than $100 </w:t>
            </w:r>
          </w:p>
        </w:tc>
        <w:tc>
          <w:tcPr>
            <w:tcW w:w="1417" w:type="dxa"/>
            <w:tcBorders>
              <w:top w:val="nil"/>
              <w:bottom w:val="nil"/>
            </w:tcBorders>
          </w:tcPr>
          <w:p w14:paraId="201D5579"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55</w:t>
            </w:r>
          </w:p>
        </w:tc>
        <w:tc>
          <w:tcPr>
            <w:tcW w:w="1257" w:type="dxa"/>
            <w:tcBorders>
              <w:top w:val="nil"/>
              <w:bottom w:val="nil"/>
            </w:tcBorders>
          </w:tcPr>
          <w:p w14:paraId="2064D48E"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9.2</w:t>
            </w:r>
          </w:p>
        </w:tc>
      </w:tr>
      <w:tr w:rsidR="009325DA" w:rsidRPr="00FE45F6" w14:paraId="2C23C72E" w14:textId="77777777" w:rsidTr="008042B5">
        <w:trPr>
          <w:trHeight w:val="50"/>
        </w:trPr>
        <w:tc>
          <w:tcPr>
            <w:tcW w:w="1838" w:type="dxa"/>
            <w:tcBorders>
              <w:top w:val="nil"/>
              <w:bottom w:val="nil"/>
            </w:tcBorders>
          </w:tcPr>
          <w:p w14:paraId="11FB0513" w14:textId="77777777" w:rsidR="009325DA" w:rsidRPr="00FE45F6" w:rsidRDefault="009325DA" w:rsidP="009325DA">
            <w:pPr>
              <w:rPr>
                <w:rFonts w:ascii="Arial" w:eastAsia="Book Antiqua" w:hAnsi="Arial" w:cs="Arial"/>
                <w:sz w:val="20"/>
                <w:szCs w:val="20"/>
              </w:rPr>
            </w:pPr>
          </w:p>
        </w:tc>
        <w:tc>
          <w:tcPr>
            <w:tcW w:w="3686" w:type="dxa"/>
            <w:tcBorders>
              <w:top w:val="nil"/>
              <w:bottom w:val="nil"/>
            </w:tcBorders>
          </w:tcPr>
          <w:p w14:paraId="65FE7547" w14:textId="77777777" w:rsidR="009325DA" w:rsidRPr="00FE45F6" w:rsidRDefault="009325DA" w:rsidP="009325DA">
            <w:pPr>
              <w:jc w:val="both"/>
              <w:rPr>
                <w:rFonts w:ascii="Arial" w:eastAsia="Book Antiqua" w:hAnsi="Arial" w:cs="Arial"/>
                <w:sz w:val="20"/>
                <w:szCs w:val="20"/>
              </w:rPr>
            </w:pPr>
            <w:r w:rsidRPr="00FE45F6">
              <w:rPr>
                <w:rFonts w:ascii="Arial" w:eastAsia="Book Antiqua" w:hAnsi="Arial" w:cs="Arial"/>
                <w:sz w:val="20"/>
                <w:szCs w:val="20"/>
              </w:rPr>
              <w:t xml:space="preserve">$100–$200 </w:t>
            </w:r>
          </w:p>
        </w:tc>
        <w:tc>
          <w:tcPr>
            <w:tcW w:w="1417" w:type="dxa"/>
            <w:tcBorders>
              <w:top w:val="nil"/>
              <w:bottom w:val="nil"/>
            </w:tcBorders>
          </w:tcPr>
          <w:p w14:paraId="6DE61AA7"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89</w:t>
            </w:r>
          </w:p>
        </w:tc>
        <w:tc>
          <w:tcPr>
            <w:tcW w:w="1257" w:type="dxa"/>
            <w:tcBorders>
              <w:top w:val="nil"/>
              <w:bottom w:val="nil"/>
            </w:tcBorders>
          </w:tcPr>
          <w:p w14:paraId="2F996E28"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14.8</w:t>
            </w:r>
          </w:p>
        </w:tc>
      </w:tr>
      <w:tr w:rsidR="009325DA" w:rsidRPr="00FE45F6" w14:paraId="318F19D4" w14:textId="77777777" w:rsidTr="008042B5">
        <w:tc>
          <w:tcPr>
            <w:tcW w:w="1838" w:type="dxa"/>
            <w:tcBorders>
              <w:top w:val="nil"/>
              <w:bottom w:val="nil"/>
            </w:tcBorders>
          </w:tcPr>
          <w:p w14:paraId="739CF099" w14:textId="77777777" w:rsidR="009325DA" w:rsidRPr="00FE45F6" w:rsidRDefault="009325DA" w:rsidP="009325DA">
            <w:pPr>
              <w:rPr>
                <w:rFonts w:ascii="Arial" w:eastAsia="Book Antiqua" w:hAnsi="Arial" w:cs="Arial"/>
                <w:sz w:val="20"/>
                <w:szCs w:val="20"/>
              </w:rPr>
            </w:pPr>
          </w:p>
        </w:tc>
        <w:tc>
          <w:tcPr>
            <w:tcW w:w="3686" w:type="dxa"/>
            <w:tcBorders>
              <w:top w:val="nil"/>
              <w:bottom w:val="nil"/>
            </w:tcBorders>
          </w:tcPr>
          <w:p w14:paraId="66C702F5" w14:textId="77777777" w:rsidR="009325DA" w:rsidRPr="00FE45F6" w:rsidRDefault="009325DA" w:rsidP="009325DA">
            <w:pPr>
              <w:jc w:val="both"/>
              <w:rPr>
                <w:rFonts w:ascii="Arial" w:eastAsia="Book Antiqua" w:hAnsi="Arial" w:cs="Arial"/>
                <w:sz w:val="20"/>
                <w:szCs w:val="20"/>
              </w:rPr>
            </w:pPr>
            <w:r w:rsidRPr="00FE45F6">
              <w:rPr>
                <w:rFonts w:ascii="Arial" w:eastAsia="Book Antiqua" w:hAnsi="Arial" w:cs="Arial"/>
                <w:sz w:val="20"/>
                <w:szCs w:val="20"/>
              </w:rPr>
              <w:t xml:space="preserve">$201–$300 </w:t>
            </w:r>
          </w:p>
        </w:tc>
        <w:tc>
          <w:tcPr>
            <w:tcW w:w="1417" w:type="dxa"/>
            <w:tcBorders>
              <w:top w:val="nil"/>
              <w:bottom w:val="nil"/>
            </w:tcBorders>
          </w:tcPr>
          <w:p w14:paraId="7BC96810"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228</w:t>
            </w:r>
          </w:p>
        </w:tc>
        <w:tc>
          <w:tcPr>
            <w:tcW w:w="1257" w:type="dxa"/>
            <w:tcBorders>
              <w:top w:val="nil"/>
              <w:bottom w:val="nil"/>
            </w:tcBorders>
          </w:tcPr>
          <w:p w14:paraId="78AA1FB3"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38.0</w:t>
            </w:r>
          </w:p>
        </w:tc>
      </w:tr>
      <w:tr w:rsidR="009325DA" w:rsidRPr="00FE45F6" w14:paraId="040E4082" w14:textId="77777777" w:rsidTr="008042B5">
        <w:tc>
          <w:tcPr>
            <w:tcW w:w="1838" w:type="dxa"/>
            <w:tcBorders>
              <w:top w:val="nil"/>
              <w:bottom w:val="nil"/>
            </w:tcBorders>
          </w:tcPr>
          <w:p w14:paraId="59DEA0F9" w14:textId="77777777" w:rsidR="009325DA" w:rsidRPr="00FE45F6" w:rsidRDefault="009325DA" w:rsidP="009325DA">
            <w:pPr>
              <w:rPr>
                <w:rFonts w:ascii="Arial" w:eastAsia="Book Antiqua" w:hAnsi="Arial" w:cs="Arial"/>
                <w:sz w:val="20"/>
                <w:szCs w:val="20"/>
              </w:rPr>
            </w:pPr>
          </w:p>
        </w:tc>
        <w:tc>
          <w:tcPr>
            <w:tcW w:w="3686" w:type="dxa"/>
            <w:tcBorders>
              <w:top w:val="nil"/>
              <w:bottom w:val="nil"/>
            </w:tcBorders>
          </w:tcPr>
          <w:p w14:paraId="4CD24AD2" w14:textId="77777777" w:rsidR="009325DA" w:rsidRPr="00FE45F6" w:rsidRDefault="009325DA" w:rsidP="009325DA">
            <w:pPr>
              <w:jc w:val="both"/>
              <w:rPr>
                <w:rFonts w:ascii="Arial" w:eastAsia="Book Antiqua" w:hAnsi="Arial" w:cs="Arial"/>
                <w:sz w:val="20"/>
                <w:szCs w:val="20"/>
              </w:rPr>
            </w:pPr>
            <w:r w:rsidRPr="00FE45F6">
              <w:rPr>
                <w:rFonts w:ascii="Arial" w:eastAsia="Book Antiqua" w:hAnsi="Arial" w:cs="Arial"/>
                <w:sz w:val="20"/>
                <w:szCs w:val="20"/>
              </w:rPr>
              <w:t xml:space="preserve">$301–$400 </w:t>
            </w:r>
          </w:p>
        </w:tc>
        <w:tc>
          <w:tcPr>
            <w:tcW w:w="1417" w:type="dxa"/>
            <w:tcBorders>
              <w:top w:val="nil"/>
              <w:bottom w:val="nil"/>
            </w:tcBorders>
          </w:tcPr>
          <w:p w14:paraId="3A8D3660"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138</w:t>
            </w:r>
          </w:p>
        </w:tc>
        <w:tc>
          <w:tcPr>
            <w:tcW w:w="1257" w:type="dxa"/>
            <w:tcBorders>
              <w:top w:val="nil"/>
              <w:bottom w:val="nil"/>
            </w:tcBorders>
          </w:tcPr>
          <w:p w14:paraId="566BE3C8"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23.0</w:t>
            </w:r>
          </w:p>
        </w:tc>
      </w:tr>
      <w:tr w:rsidR="009325DA" w:rsidRPr="00FE45F6" w14:paraId="5FF1E6CE" w14:textId="77777777" w:rsidTr="00685C6F">
        <w:tc>
          <w:tcPr>
            <w:tcW w:w="1838" w:type="dxa"/>
            <w:tcBorders>
              <w:top w:val="nil"/>
              <w:bottom w:val="nil"/>
            </w:tcBorders>
          </w:tcPr>
          <w:p w14:paraId="31CD6E54" w14:textId="77777777" w:rsidR="009325DA" w:rsidRPr="00FE45F6" w:rsidRDefault="009325DA" w:rsidP="009325DA">
            <w:pPr>
              <w:rPr>
                <w:rFonts w:ascii="Arial" w:eastAsia="Book Antiqua" w:hAnsi="Arial" w:cs="Arial"/>
                <w:sz w:val="20"/>
                <w:szCs w:val="20"/>
              </w:rPr>
            </w:pPr>
          </w:p>
        </w:tc>
        <w:tc>
          <w:tcPr>
            <w:tcW w:w="3686" w:type="dxa"/>
            <w:tcBorders>
              <w:top w:val="nil"/>
              <w:bottom w:val="nil"/>
            </w:tcBorders>
          </w:tcPr>
          <w:p w14:paraId="310E61B6" w14:textId="77777777" w:rsidR="009325DA" w:rsidRPr="00FE45F6" w:rsidRDefault="009325DA" w:rsidP="009325DA">
            <w:pPr>
              <w:jc w:val="both"/>
              <w:rPr>
                <w:rFonts w:ascii="Arial" w:eastAsia="Book Antiqua" w:hAnsi="Arial" w:cs="Arial"/>
                <w:sz w:val="20"/>
                <w:szCs w:val="20"/>
              </w:rPr>
            </w:pPr>
            <w:r w:rsidRPr="00FE45F6">
              <w:rPr>
                <w:rFonts w:ascii="Arial" w:eastAsia="Book Antiqua" w:hAnsi="Arial" w:cs="Arial"/>
                <w:sz w:val="20"/>
                <w:szCs w:val="20"/>
              </w:rPr>
              <w:t>Above $400</w:t>
            </w:r>
          </w:p>
        </w:tc>
        <w:tc>
          <w:tcPr>
            <w:tcW w:w="1417" w:type="dxa"/>
            <w:tcBorders>
              <w:top w:val="nil"/>
              <w:bottom w:val="nil"/>
            </w:tcBorders>
          </w:tcPr>
          <w:p w14:paraId="0FC74AC0"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90</w:t>
            </w:r>
          </w:p>
        </w:tc>
        <w:tc>
          <w:tcPr>
            <w:tcW w:w="1257" w:type="dxa"/>
            <w:tcBorders>
              <w:top w:val="nil"/>
              <w:bottom w:val="nil"/>
            </w:tcBorders>
          </w:tcPr>
          <w:p w14:paraId="6B8B7419"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15.0</w:t>
            </w:r>
          </w:p>
        </w:tc>
      </w:tr>
      <w:tr w:rsidR="009325DA" w:rsidRPr="00FE45F6" w14:paraId="2FDDD2CD" w14:textId="77777777" w:rsidTr="00685C6F">
        <w:tc>
          <w:tcPr>
            <w:tcW w:w="1838" w:type="dxa"/>
            <w:tcBorders>
              <w:top w:val="nil"/>
              <w:bottom w:val="nil"/>
            </w:tcBorders>
          </w:tcPr>
          <w:p w14:paraId="5E305343" w14:textId="77777777" w:rsidR="009325DA" w:rsidRPr="00FE45F6" w:rsidRDefault="009325DA" w:rsidP="009325DA">
            <w:pPr>
              <w:rPr>
                <w:rFonts w:ascii="Arial" w:eastAsia="Book Antiqua" w:hAnsi="Arial" w:cs="Arial"/>
                <w:sz w:val="20"/>
                <w:szCs w:val="20"/>
              </w:rPr>
            </w:pPr>
            <w:r w:rsidRPr="00FE45F6">
              <w:rPr>
                <w:rFonts w:ascii="Arial" w:eastAsia="Book Antiqua" w:hAnsi="Arial" w:cs="Arial"/>
                <w:sz w:val="20"/>
                <w:szCs w:val="20"/>
              </w:rPr>
              <w:t>Order Value</w:t>
            </w:r>
          </w:p>
        </w:tc>
        <w:tc>
          <w:tcPr>
            <w:tcW w:w="3686" w:type="dxa"/>
            <w:tcBorders>
              <w:top w:val="nil"/>
              <w:bottom w:val="nil"/>
            </w:tcBorders>
          </w:tcPr>
          <w:p w14:paraId="7EF716CA"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Below USD 5</w:t>
            </w:r>
          </w:p>
        </w:tc>
        <w:tc>
          <w:tcPr>
            <w:tcW w:w="1417" w:type="dxa"/>
            <w:tcBorders>
              <w:top w:val="nil"/>
              <w:bottom w:val="nil"/>
            </w:tcBorders>
            <w:vAlign w:val="center"/>
          </w:tcPr>
          <w:p w14:paraId="68324156" w14:textId="77777777" w:rsidR="009325DA" w:rsidRPr="00FE45F6" w:rsidRDefault="009325DA" w:rsidP="009325DA">
            <w:pPr>
              <w:jc w:val="both"/>
              <w:rPr>
                <w:rFonts w:ascii="Arial" w:eastAsia="Book Antiqua" w:hAnsi="Arial" w:cs="Arial"/>
                <w:sz w:val="20"/>
                <w:szCs w:val="20"/>
              </w:rPr>
            </w:pPr>
            <w:r w:rsidRPr="00FE45F6">
              <w:rPr>
                <w:rFonts w:ascii="Arial" w:hAnsi="Arial" w:cs="Arial"/>
                <w:color w:val="000000"/>
                <w:sz w:val="20"/>
                <w:szCs w:val="20"/>
                <w:lang w:bidi="km-KH"/>
              </w:rPr>
              <w:t>418</w:t>
            </w:r>
          </w:p>
        </w:tc>
        <w:tc>
          <w:tcPr>
            <w:tcW w:w="1257" w:type="dxa"/>
            <w:tcBorders>
              <w:top w:val="nil"/>
              <w:bottom w:val="nil"/>
            </w:tcBorders>
            <w:vAlign w:val="center"/>
          </w:tcPr>
          <w:p w14:paraId="6B01671E" w14:textId="77777777" w:rsidR="009325DA" w:rsidRPr="00FE45F6" w:rsidRDefault="009325DA" w:rsidP="009325DA">
            <w:pPr>
              <w:jc w:val="both"/>
              <w:rPr>
                <w:rFonts w:ascii="Arial" w:eastAsia="Book Antiqua" w:hAnsi="Arial" w:cs="Arial"/>
                <w:sz w:val="20"/>
                <w:szCs w:val="20"/>
              </w:rPr>
            </w:pPr>
            <w:r w:rsidRPr="00FE45F6">
              <w:rPr>
                <w:rFonts w:ascii="Arial" w:hAnsi="Arial" w:cs="Arial"/>
                <w:color w:val="000000"/>
                <w:sz w:val="20"/>
                <w:szCs w:val="20"/>
                <w:lang w:bidi="km-KH"/>
              </w:rPr>
              <w:t>69.7</w:t>
            </w:r>
          </w:p>
        </w:tc>
      </w:tr>
      <w:tr w:rsidR="009325DA" w:rsidRPr="00FE45F6" w14:paraId="45B932D3" w14:textId="77777777" w:rsidTr="00685C6F">
        <w:tc>
          <w:tcPr>
            <w:tcW w:w="1838" w:type="dxa"/>
            <w:tcBorders>
              <w:top w:val="nil"/>
              <w:bottom w:val="nil"/>
            </w:tcBorders>
          </w:tcPr>
          <w:p w14:paraId="6BECC156" w14:textId="77777777" w:rsidR="009325DA" w:rsidRPr="00FE45F6" w:rsidRDefault="009325DA" w:rsidP="009325DA">
            <w:pPr>
              <w:rPr>
                <w:rFonts w:ascii="Arial" w:eastAsia="Book Antiqua" w:hAnsi="Arial" w:cs="Arial"/>
                <w:sz w:val="20"/>
                <w:szCs w:val="20"/>
              </w:rPr>
            </w:pPr>
          </w:p>
        </w:tc>
        <w:tc>
          <w:tcPr>
            <w:tcW w:w="3686" w:type="dxa"/>
            <w:tcBorders>
              <w:top w:val="nil"/>
              <w:bottom w:val="nil"/>
            </w:tcBorders>
          </w:tcPr>
          <w:p w14:paraId="74C1E94A"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USD 5–9.99</w:t>
            </w:r>
          </w:p>
        </w:tc>
        <w:tc>
          <w:tcPr>
            <w:tcW w:w="1417" w:type="dxa"/>
            <w:tcBorders>
              <w:top w:val="nil"/>
              <w:bottom w:val="nil"/>
            </w:tcBorders>
          </w:tcPr>
          <w:p w14:paraId="4E1FAF32"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101</w:t>
            </w:r>
          </w:p>
        </w:tc>
        <w:tc>
          <w:tcPr>
            <w:tcW w:w="1257" w:type="dxa"/>
            <w:tcBorders>
              <w:top w:val="nil"/>
              <w:bottom w:val="nil"/>
            </w:tcBorders>
          </w:tcPr>
          <w:p w14:paraId="3090FFFC"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101</w:t>
            </w:r>
          </w:p>
        </w:tc>
      </w:tr>
      <w:tr w:rsidR="009325DA" w:rsidRPr="00FE45F6" w14:paraId="2B21F698" w14:textId="77777777" w:rsidTr="00685C6F">
        <w:tc>
          <w:tcPr>
            <w:tcW w:w="1838" w:type="dxa"/>
            <w:tcBorders>
              <w:top w:val="nil"/>
            </w:tcBorders>
          </w:tcPr>
          <w:p w14:paraId="6CDF9F0B" w14:textId="77777777" w:rsidR="009325DA" w:rsidRPr="00FE45F6" w:rsidRDefault="009325DA" w:rsidP="009325DA">
            <w:pPr>
              <w:rPr>
                <w:rFonts w:ascii="Arial" w:eastAsia="Book Antiqua" w:hAnsi="Arial" w:cs="Arial"/>
                <w:sz w:val="20"/>
                <w:szCs w:val="20"/>
              </w:rPr>
            </w:pPr>
          </w:p>
        </w:tc>
        <w:tc>
          <w:tcPr>
            <w:tcW w:w="3686" w:type="dxa"/>
            <w:tcBorders>
              <w:top w:val="nil"/>
            </w:tcBorders>
          </w:tcPr>
          <w:p w14:paraId="59E55365"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USD 10–14.99</w:t>
            </w:r>
          </w:p>
        </w:tc>
        <w:tc>
          <w:tcPr>
            <w:tcW w:w="1417" w:type="dxa"/>
            <w:tcBorders>
              <w:top w:val="nil"/>
            </w:tcBorders>
          </w:tcPr>
          <w:p w14:paraId="4DBD20D5"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60</w:t>
            </w:r>
          </w:p>
        </w:tc>
        <w:tc>
          <w:tcPr>
            <w:tcW w:w="1257" w:type="dxa"/>
            <w:tcBorders>
              <w:top w:val="nil"/>
            </w:tcBorders>
          </w:tcPr>
          <w:p w14:paraId="6BA16EBB"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60</w:t>
            </w:r>
          </w:p>
        </w:tc>
      </w:tr>
      <w:tr w:rsidR="009325DA" w:rsidRPr="00FE45F6" w14:paraId="1CD795B4" w14:textId="77777777" w:rsidTr="008042B5">
        <w:tc>
          <w:tcPr>
            <w:tcW w:w="1838" w:type="dxa"/>
          </w:tcPr>
          <w:p w14:paraId="50FDE608" w14:textId="77777777" w:rsidR="009325DA" w:rsidRPr="00FE45F6" w:rsidRDefault="009325DA" w:rsidP="009325DA">
            <w:pPr>
              <w:rPr>
                <w:rFonts w:ascii="Arial" w:eastAsia="Book Antiqua" w:hAnsi="Arial" w:cs="Arial"/>
                <w:sz w:val="20"/>
                <w:szCs w:val="20"/>
              </w:rPr>
            </w:pPr>
          </w:p>
        </w:tc>
        <w:tc>
          <w:tcPr>
            <w:tcW w:w="3686" w:type="dxa"/>
          </w:tcPr>
          <w:p w14:paraId="376E9F51"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USD 15–19.99</w:t>
            </w:r>
          </w:p>
        </w:tc>
        <w:tc>
          <w:tcPr>
            <w:tcW w:w="1417" w:type="dxa"/>
          </w:tcPr>
          <w:p w14:paraId="29E2BB2C"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21</w:t>
            </w:r>
          </w:p>
        </w:tc>
        <w:tc>
          <w:tcPr>
            <w:tcW w:w="1257" w:type="dxa"/>
          </w:tcPr>
          <w:p w14:paraId="7A334B2A" w14:textId="77777777" w:rsidR="009325DA" w:rsidRPr="00FE45F6" w:rsidRDefault="009325DA" w:rsidP="009325DA">
            <w:pPr>
              <w:jc w:val="both"/>
              <w:rPr>
                <w:rFonts w:ascii="Arial" w:eastAsia="Book Antiqua" w:hAnsi="Arial" w:cs="Arial"/>
                <w:sz w:val="20"/>
                <w:szCs w:val="20"/>
              </w:rPr>
            </w:pPr>
            <w:r w:rsidRPr="00FE45F6">
              <w:rPr>
                <w:rFonts w:ascii="Arial" w:hAnsi="Arial" w:cs="Arial"/>
                <w:sz w:val="20"/>
                <w:szCs w:val="20"/>
              </w:rPr>
              <w:t>21</w:t>
            </w:r>
          </w:p>
        </w:tc>
      </w:tr>
    </w:tbl>
    <w:p w14:paraId="1596CF38" w14:textId="77777777" w:rsidR="001E2852" w:rsidRPr="00FE45F6" w:rsidRDefault="00A94087" w:rsidP="005101AA">
      <w:pPr>
        <w:spacing w:after="200"/>
        <w:jc w:val="both"/>
        <w:rPr>
          <w:rFonts w:ascii="Arial" w:eastAsia="Book Antiqua" w:hAnsi="Arial" w:cs="Arial"/>
          <w:b/>
          <w:bCs/>
        </w:rPr>
      </w:pPr>
      <w:r w:rsidRPr="00FE45F6">
        <w:rPr>
          <w:rFonts w:ascii="Arial" w:eastAsia="Book Antiqua" w:hAnsi="Arial" w:cs="Arial"/>
          <w:b/>
          <w:bCs/>
        </w:rPr>
        <w:t>4.1.2. Descriptive Statistics</w:t>
      </w:r>
    </w:p>
    <w:p w14:paraId="55984CFE" w14:textId="77777777" w:rsidR="008B4D74" w:rsidRPr="00FE45F6" w:rsidRDefault="005131E6" w:rsidP="008042B5">
      <w:pPr>
        <w:autoSpaceDE w:val="0"/>
        <w:autoSpaceDN w:val="0"/>
        <w:adjustRightInd w:val="0"/>
        <w:jc w:val="both"/>
        <w:rPr>
          <w:rFonts w:ascii="Arial" w:hAnsi="Arial" w:cs="Arial"/>
          <w:lang w:bidi="km-KH"/>
        </w:rPr>
      </w:pPr>
      <w:r w:rsidRPr="00FE45F6">
        <w:rPr>
          <w:rFonts w:ascii="Arial" w:hAnsi="Arial" w:cs="Arial"/>
          <w:lang w:bidi="km-KH"/>
        </w:rPr>
        <w:t>Table 4 illustrates that the mean ratings for all study variables ranged from "Agree" to "Strongly Agree," indicating positive perceptions among the respondents. RI recorded the highest mean score, whereas SQ showed the lowest mean score. Nevertheless, the differences among the constructs were relatively small. Overall, the findings suggest that respondents had positive perceptions of all constructs, providing support for the subsequent structural model analysis.</w:t>
      </w:r>
    </w:p>
    <w:p w14:paraId="4ECE8836" w14:textId="77777777" w:rsidR="00A94087" w:rsidRPr="00FE45F6" w:rsidRDefault="008042B5" w:rsidP="008042B5">
      <w:pPr>
        <w:autoSpaceDE w:val="0"/>
        <w:autoSpaceDN w:val="0"/>
        <w:adjustRightInd w:val="0"/>
        <w:spacing w:before="200" w:after="200"/>
        <w:jc w:val="center"/>
        <w:rPr>
          <w:rFonts w:ascii="Arial" w:hAnsi="Arial" w:cs="Arial"/>
          <w:b/>
          <w:bCs/>
          <w:lang w:bidi="km-KH"/>
        </w:rPr>
      </w:pPr>
      <w:r w:rsidRPr="00FE45F6">
        <w:rPr>
          <w:rFonts w:ascii="Arial" w:hAnsi="Arial" w:cs="Arial"/>
          <w:b/>
          <w:bCs/>
          <w:lang w:bidi="km-KH"/>
        </w:rPr>
        <w:t>Table 4: Results of descriptive statistics</w:t>
      </w:r>
    </w:p>
    <w:tbl>
      <w:tblPr>
        <w:tblStyle w:val="TableGrid"/>
        <w:tblW w:w="815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699"/>
        <w:gridCol w:w="763"/>
        <w:gridCol w:w="955"/>
        <w:gridCol w:w="955"/>
        <w:gridCol w:w="905"/>
        <w:gridCol w:w="827"/>
        <w:gridCol w:w="1776"/>
      </w:tblGrid>
      <w:tr w:rsidR="00165EE4" w:rsidRPr="00FE45F6" w14:paraId="65CE114C" w14:textId="77777777" w:rsidTr="008042B5">
        <w:trPr>
          <w:trHeight w:val="247"/>
        </w:trPr>
        <w:tc>
          <w:tcPr>
            <w:tcW w:w="0" w:type="auto"/>
            <w:tcBorders>
              <w:top w:val="single" w:sz="4" w:space="0" w:color="auto"/>
              <w:bottom w:val="single" w:sz="4" w:space="0" w:color="auto"/>
            </w:tcBorders>
          </w:tcPr>
          <w:p w14:paraId="644C5495"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Variables</w:t>
            </w:r>
          </w:p>
        </w:tc>
        <w:tc>
          <w:tcPr>
            <w:tcW w:w="0" w:type="auto"/>
            <w:tcBorders>
              <w:top w:val="single" w:sz="4" w:space="0" w:color="auto"/>
              <w:bottom w:val="single" w:sz="4" w:space="0" w:color="auto"/>
            </w:tcBorders>
          </w:tcPr>
          <w:p w14:paraId="5F55D795"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Min</w:t>
            </w:r>
          </w:p>
        </w:tc>
        <w:tc>
          <w:tcPr>
            <w:tcW w:w="0" w:type="auto"/>
            <w:tcBorders>
              <w:top w:val="single" w:sz="4" w:space="0" w:color="auto"/>
              <w:bottom w:val="single" w:sz="4" w:space="0" w:color="auto"/>
            </w:tcBorders>
          </w:tcPr>
          <w:p w14:paraId="7B3C47D7"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Max.</w:t>
            </w:r>
          </w:p>
        </w:tc>
        <w:tc>
          <w:tcPr>
            <w:tcW w:w="0" w:type="auto"/>
            <w:tcBorders>
              <w:top w:val="single" w:sz="4" w:space="0" w:color="auto"/>
              <w:bottom w:val="single" w:sz="4" w:space="0" w:color="auto"/>
            </w:tcBorders>
          </w:tcPr>
          <w:p w14:paraId="529D05B4"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M</w:t>
            </w:r>
          </w:p>
        </w:tc>
        <w:tc>
          <w:tcPr>
            <w:tcW w:w="0" w:type="auto"/>
            <w:tcBorders>
              <w:top w:val="single" w:sz="4" w:space="0" w:color="auto"/>
              <w:bottom w:val="single" w:sz="4" w:space="0" w:color="auto"/>
            </w:tcBorders>
          </w:tcPr>
          <w:p w14:paraId="6CF0BB4E"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SD</w:t>
            </w:r>
          </w:p>
        </w:tc>
        <w:tc>
          <w:tcPr>
            <w:tcW w:w="0" w:type="auto"/>
            <w:tcBorders>
              <w:top w:val="single" w:sz="4" w:space="0" w:color="auto"/>
              <w:bottom w:val="single" w:sz="4" w:space="0" w:color="auto"/>
            </w:tcBorders>
          </w:tcPr>
          <w:p w14:paraId="6A4E9545" w14:textId="77777777" w:rsidR="00165EE4" w:rsidRPr="00FE45F6" w:rsidRDefault="00165EE4" w:rsidP="00A94087">
            <w:pPr>
              <w:autoSpaceDE w:val="0"/>
              <w:autoSpaceDN w:val="0"/>
              <w:adjustRightInd w:val="0"/>
              <w:rPr>
                <w:rFonts w:ascii="Arial" w:hAnsi="Arial" w:cs="Arial"/>
                <w:b/>
                <w:bCs/>
                <w:sz w:val="20"/>
                <w:szCs w:val="20"/>
              </w:rPr>
            </w:pPr>
            <w:r w:rsidRPr="00FE45F6">
              <w:rPr>
                <w:rFonts w:ascii="Arial" w:hAnsi="Arial" w:cs="Arial"/>
                <w:b/>
                <w:bCs/>
                <w:sz w:val="20"/>
                <w:szCs w:val="20"/>
              </w:rPr>
              <w:t>Ske.</w:t>
            </w:r>
          </w:p>
        </w:tc>
        <w:tc>
          <w:tcPr>
            <w:tcW w:w="0" w:type="auto"/>
            <w:tcBorders>
              <w:top w:val="single" w:sz="4" w:space="0" w:color="auto"/>
              <w:bottom w:val="single" w:sz="4" w:space="0" w:color="auto"/>
            </w:tcBorders>
          </w:tcPr>
          <w:p w14:paraId="63C174AC" w14:textId="77777777" w:rsidR="00165EE4" w:rsidRPr="00FE45F6" w:rsidRDefault="00165EE4" w:rsidP="00A94087">
            <w:pPr>
              <w:autoSpaceDE w:val="0"/>
              <w:autoSpaceDN w:val="0"/>
              <w:adjustRightInd w:val="0"/>
              <w:rPr>
                <w:rFonts w:ascii="Arial" w:hAnsi="Arial" w:cs="Arial"/>
                <w:b/>
                <w:bCs/>
                <w:sz w:val="20"/>
                <w:szCs w:val="20"/>
              </w:rPr>
            </w:pPr>
            <w:r w:rsidRPr="00FE45F6">
              <w:rPr>
                <w:rFonts w:ascii="Arial" w:hAnsi="Arial" w:cs="Arial"/>
                <w:b/>
                <w:bCs/>
                <w:sz w:val="20"/>
                <w:szCs w:val="20"/>
              </w:rPr>
              <w:t>Kur.</w:t>
            </w:r>
          </w:p>
        </w:tc>
        <w:tc>
          <w:tcPr>
            <w:tcW w:w="0" w:type="auto"/>
            <w:tcBorders>
              <w:top w:val="single" w:sz="4" w:space="0" w:color="auto"/>
              <w:bottom w:val="single" w:sz="4" w:space="0" w:color="auto"/>
            </w:tcBorders>
          </w:tcPr>
          <w:p w14:paraId="0FA5C6F3" w14:textId="77777777" w:rsidR="00165EE4" w:rsidRPr="00FE45F6" w:rsidRDefault="00165EE4" w:rsidP="00A94087">
            <w:pPr>
              <w:autoSpaceDE w:val="0"/>
              <w:autoSpaceDN w:val="0"/>
              <w:adjustRightInd w:val="0"/>
              <w:rPr>
                <w:rFonts w:ascii="Arial" w:hAnsi="Arial" w:cs="Arial"/>
                <w:b/>
                <w:bCs/>
                <w:sz w:val="20"/>
                <w:szCs w:val="20"/>
                <w:lang w:bidi="km-KH"/>
              </w:rPr>
            </w:pPr>
            <w:r w:rsidRPr="00FE45F6">
              <w:rPr>
                <w:rFonts w:ascii="Arial" w:hAnsi="Arial" w:cs="Arial"/>
                <w:b/>
                <w:bCs/>
                <w:sz w:val="20"/>
                <w:szCs w:val="20"/>
              </w:rPr>
              <w:t>LA</w:t>
            </w:r>
          </w:p>
        </w:tc>
      </w:tr>
      <w:tr w:rsidR="00165EE4" w:rsidRPr="00FE45F6" w14:paraId="6D3603AB" w14:textId="77777777" w:rsidTr="008042B5">
        <w:trPr>
          <w:trHeight w:val="247"/>
        </w:trPr>
        <w:tc>
          <w:tcPr>
            <w:tcW w:w="0" w:type="auto"/>
            <w:tcBorders>
              <w:top w:val="single" w:sz="4" w:space="0" w:color="auto"/>
            </w:tcBorders>
          </w:tcPr>
          <w:p w14:paraId="2D7A7337"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SQ</w:t>
            </w:r>
          </w:p>
        </w:tc>
        <w:tc>
          <w:tcPr>
            <w:tcW w:w="0" w:type="auto"/>
            <w:tcBorders>
              <w:top w:val="single" w:sz="4" w:space="0" w:color="auto"/>
            </w:tcBorders>
          </w:tcPr>
          <w:p w14:paraId="4DA2E051"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1.00</w:t>
            </w:r>
          </w:p>
        </w:tc>
        <w:tc>
          <w:tcPr>
            <w:tcW w:w="0" w:type="auto"/>
            <w:tcBorders>
              <w:top w:val="single" w:sz="4" w:space="0" w:color="auto"/>
            </w:tcBorders>
          </w:tcPr>
          <w:p w14:paraId="7C846D5F"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5.00</w:t>
            </w:r>
          </w:p>
        </w:tc>
        <w:tc>
          <w:tcPr>
            <w:tcW w:w="0" w:type="auto"/>
            <w:tcBorders>
              <w:top w:val="single" w:sz="4" w:space="0" w:color="auto"/>
            </w:tcBorders>
          </w:tcPr>
          <w:p w14:paraId="7F64CF91"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4.1857</w:t>
            </w:r>
          </w:p>
        </w:tc>
        <w:tc>
          <w:tcPr>
            <w:tcW w:w="0" w:type="auto"/>
            <w:tcBorders>
              <w:top w:val="single" w:sz="4" w:space="0" w:color="auto"/>
            </w:tcBorders>
          </w:tcPr>
          <w:p w14:paraId="597BE9D5"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0.6799</w:t>
            </w:r>
          </w:p>
        </w:tc>
        <w:tc>
          <w:tcPr>
            <w:tcW w:w="0" w:type="auto"/>
            <w:tcBorders>
              <w:top w:val="single" w:sz="4" w:space="0" w:color="auto"/>
            </w:tcBorders>
            <w:vAlign w:val="center"/>
          </w:tcPr>
          <w:p w14:paraId="01C66979"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color w:val="000000"/>
                <w:sz w:val="20"/>
                <w:szCs w:val="20"/>
                <w:lang w:bidi="km-KH"/>
              </w:rPr>
              <w:t>-0.888</w:t>
            </w:r>
          </w:p>
        </w:tc>
        <w:tc>
          <w:tcPr>
            <w:tcW w:w="0" w:type="auto"/>
            <w:tcBorders>
              <w:top w:val="single" w:sz="4" w:space="0" w:color="auto"/>
            </w:tcBorders>
          </w:tcPr>
          <w:p w14:paraId="33C8F94F"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0.675</w:t>
            </w:r>
          </w:p>
        </w:tc>
        <w:tc>
          <w:tcPr>
            <w:tcW w:w="0" w:type="auto"/>
            <w:tcBorders>
              <w:top w:val="single" w:sz="4" w:space="0" w:color="auto"/>
            </w:tcBorders>
          </w:tcPr>
          <w:p w14:paraId="401127F0"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lang w:bidi="km-KH"/>
              </w:rPr>
              <w:t>Agree</w:t>
            </w:r>
          </w:p>
        </w:tc>
      </w:tr>
      <w:tr w:rsidR="00165EE4" w:rsidRPr="00FE45F6" w14:paraId="35C332D6" w14:textId="77777777" w:rsidTr="008042B5">
        <w:trPr>
          <w:trHeight w:val="247"/>
        </w:trPr>
        <w:tc>
          <w:tcPr>
            <w:tcW w:w="0" w:type="auto"/>
          </w:tcPr>
          <w:p w14:paraId="4C379D06"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PC</w:t>
            </w:r>
          </w:p>
        </w:tc>
        <w:tc>
          <w:tcPr>
            <w:tcW w:w="0" w:type="auto"/>
          </w:tcPr>
          <w:p w14:paraId="0C8FCA39"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1.</w:t>
            </w:r>
            <w:r w:rsidR="00AC6564" w:rsidRPr="00FE45F6">
              <w:rPr>
                <w:rFonts w:ascii="Arial" w:hAnsi="Arial" w:cs="Arial"/>
                <w:sz w:val="20"/>
                <w:szCs w:val="20"/>
              </w:rPr>
              <w:t>00</w:t>
            </w:r>
          </w:p>
        </w:tc>
        <w:tc>
          <w:tcPr>
            <w:tcW w:w="0" w:type="auto"/>
          </w:tcPr>
          <w:p w14:paraId="034D946C"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5.00</w:t>
            </w:r>
          </w:p>
        </w:tc>
        <w:tc>
          <w:tcPr>
            <w:tcW w:w="0" w:type="auto"/>
          </w:tcPr>
          <w:p w14:paraId="5243B10D"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4.2188</w:t>
            </w:r>
          </w:p>
        </w:tc>
        <w:tc>
          <w:tcPr>
            <w:tcW w:w="0" w:type="auto"/>
          </w:tcPr>
          <w:p w14:paraId="09EC13F3"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0.6398</w:t>
            </w:r>
          </w:p>
        </w:tc>
        <w:tc>
          <w:tcPr>
            <w:tcW w:w="0" w:type="auto"/>
            <w:vAlign w:val="center"/>
          </w:tcPr>
          <w:p w14:paraId="40C5FBB0"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color w:val="000000"/>
                <w:sz w:val="20"/>
                <w:szCs w:val="20"/>
                <w:lang w:bidi="km-KH"/>
              </w:rPr>
              <w:t>-0.774</w:t>
            </w:r>
          </w:p>
        </w:tc>
        <w:tc>
          <w:tcPr>
            <w:tcW w:w="0" w:type="auto"/>
          </w:tcPr>
          <w:p w14:paraId="06556170"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0.542</w:t>
            </w:r>
          </w:p>
        </w:tc>
        <w:tc>
          <w:tcPr>
            <w:tcW w:w="0" w:type="auto"/>
          </w:tcPr>
          <w:p w14:paraId="1487B8A4"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lang w:bidi="km-KH"/>
              </w:rPr>
              <w:t>Strongly Agree</w:t>
            </w:r>
          </w:p>
        </w:tc>
      </w:tr>
      <w:tr w:rsidR="00165EE4" w:rsidRPr="00FE45F6" w14:paraId="083A8365" w14:textId="77777777" w:rsidTr="008042B5">
        <w:trPr>
          <w:trHeight w:val="247"/>
        </w:trPr>
        <w:tc>
          <w:tcPr>
            <w:tcW w:w="0" w:type="auto"/>
          </w:tcPr>
          <w:p w14:paraId="1C820B9E"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CS</w:t>
            </w:r>
          </w:p>
        </w:tc>
        <w:tc>
          <w:tcPr>
            <w:tcW w:w="0" w:type="auto"/>
          </w:tcPr>
          <w:p w14:paraId="44047800"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1.</w:t>
            </w:r>
            <w:r w:rsidR="005131E6" w:rsidRPr="00FE45F6">
              <w:rPr>
                <w:rFonts w:ascii="Arial" w:hAnsi="Arial" w:cs="Arial"/>
                <w:sz w:val="20"/>
                <w:szCs w:val="20"/>
              </w:rPr>
              <w:t>0</w:t>
            </w:r>
            <w:r w:rsidRPr="00FE45F6">
              <w:rPr>
                <w:rFonts w:ascii="Arial" w:hAnsi="Arial" w:cs="Arial"/>
                <w:sz w:val="20"/>
                <w:szCs w:val="20"/>
              </w:rPr>
              <w:t>0</w:t>
            </w:r>
          </w:p>
        </w:tc>
        <w:tc>
          <w:tcPr>
            <w:tcW w:w="0" w:type="auto"/>
          </w:tcPr>
          <w:p w14:paraId="7A7C7C67"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5.00</w:t>
            </w:r>
          </w:p>
        </w:tc>
        <w:tc>
          <w:tcPr>
            <w:tcW w:w="0" w:type="auto"/>
          </w:tcPr>
          <w:p w14:paraId="14BD648C"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4.2738</w:t>
            </w:r>
          </w:p>
        </w:tc>
        <w:tc>
          <w:tcPr>
            <w:tcW w:w="0" w:type="auto"/>
          </w:tcPr>
          <w:p w14:paraId="40C6FC57"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0.6297</w:t>
            </w:r>
          </w:p>
        </w:tc>
        <w:tc>
          <w:tcPr>
            <w:tcW w:w="0" w:type="auto"/>
            <w:vAlign w:val="center"/>
          </w:tcPr>
          <w:p w14:paraId="2CCB7943"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color w:val="000000"/>
                <w:sz w:val="20"/>
                <w:szCs w:val="20"/>
                <w:lang w:bidi="km-KH"/>
              </w:rPr>
              <w:t>-0.741</w:t>
            </w:r>
          </w:p>
        </w:tc>
        <w:tc>
          <w:tcPr>
            <w:tcW w:w="0" w:type="auto"/>
          </w:tcPr>
          <w:p w14:paraId="14F7C926"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0.135</w:t>
            </w:r>
          </w:p>
        </w:tc>
        <w:tc>
          <w:tcPr>
            <w:tcW w:w="0" w:type="auto"/>
          </w:tcPr>
          <w:p w14:paraId="00EC6710"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lang w:bidi="km-KH"/>
              </w:rPr>
              <w:t>Strongly Agree</w:t>
            </w:r>
          </w:p>
        </w:tc>
      </w:tr>
      <w:tr w:rsidR="00165EE4" w:rsidRPr="00FE45F6" w14:paraId="230DD6F4" w14:textId="77777777" w:rsidTr="008042B5">
        <w:trPr>
          <w:trHeight w:val="247"/>
        </w:trPr>
        <w:tc>
          <w:tcPr>
            <w:tcW w:w="0" w:type="auto"/>
          </w:tcPr>
          <w:p w14:paraId="47CF5E1C"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RI</w:t>
            </w:r>
          </w:p>
        </w:tc>
        <w:tc>
          <w:tcPr>
            <w:tcW w:w="0" w:type="auto"/>
          </w:tcPr>
          <w:p w14:paraId="795A21C9"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1.</w:t>
            </w:r>
            <w:r w:rsidR="00AC6564" w:rsidRPr="00FE45F6">
              <w:rPr>
                <w:rFonts w:ascii="Arial" w:hAnsi="Arial" w:cs="Arial"/>
                <w:sz w:val="20"/>
                <w:szCs w:val="20"/>
              </w:rPr>
              <w:t>00</w:t>
            </w:r>
          </w:p>
        </w:tc>
        <w:tc>
          <w:tcPr>
            <w:tcW w:w="0" w:type="auto"/>
          </w:tcPr>
          <w:p w14:paraId="11CF1ACD"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5.00</w:t>
            </w:r>
          </w:p>
        </w:tc>
        <w:tc>
          <w:tcPr>
            <w:tcW w:w="0" w:type="auto"/>
          </w:tcPr>
          <w:p w14:paraId="5143EAD6"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4.3147</w:t>
            </w:r>
          </w:p>
        </w:tc>
        <w:tc>
          <w:tcPr>
            <w:tcW w:w="0" w:type="auto"/>
          </w:tcPr>
          <w:p w14:paraId="3594EEB5"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0.6279</w:t>
            </w:r>
          </w:p>
        </w:tc>
        <w:tc>
          <w:tcPr>
            <w:tcW w:w="0" w:type="auto"/>
            <w:vAlign w:val="center"/>
          </w:tcPr>
          <w:p w14:paraId="2D965CDD"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color w:val="000000"/>
                <w:sz w:val="20"/>
                <w:szCs w:val="20"/>
                <w:lang w:bidi="km-KH"/>
              </w:rPr>
              <w:t>-0.904</w:t>
            </w:r>
          </w:p>
        </w:tc>
        <w:tc>
          <w:tcPr>
            <w:tcW w:w="0" w:type="auto"/>
          </w:tcPr>
          <w:p w14:paraId="7C754C38"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rPr>
              <w:t>0.775</w:t>
            </w:r>
          </w:p>
        </w:tc>
        <w:tc>
          <w:tcPr>
            <w:tcW w:w="0" w:type="auto"/>
          </w:tcPr>
          <w:p w14:paraId="3AF9FA8D" w14:textId="77777777" w:rsidR="00165EE4" w:rsidRPr="00FE45F6" w:rsidRDefault="00165EE4" w:rsidP="00165EE4">
            <w:pPr>
              <w:autoSpaceDE w:val="0"/>
              <w:autoSpaceDN w:val="0"/>
              <w:adjustRightInd w:val="0"/>
              <w:rPr>
                <w:rFonts w:ascii="Arial" w:hAnsi="Arial" w:cs="Arial"/>
                <w:sz w:val="20"/>
                <w:szCs w:val="20"/>
                <w:lang w:bidi="km-KH"/>
              </w:rPr>
            </w:pPr>
            <w:r w:rsidRPr="00FE45F6">
              <w:rPr>
                <w:rFonts w:ascii="Arial" w:hAnsi="Arial" w:cs="Arial"/>
                <w:sz w:val="20"/>
                <w:szCs w:val="20"/>
                <w:lang w:bidi="km-KH"/>
              </w:rPr>
              <w:t>Strongly Agree</w:t>
            </w:r>
          </w:p>
        </w:tc>
      </w:tr>
    </w:tbl>
    <w:p w14:paraId="64FC1F69" w14:textId="77777777" w:rsidR="00A94087" w:rsidRPr="00FE45F6" w:rsidRDefault="00165EE4" w:rsidP="00165EE4">
      <w:pPr>
        <w:autoSpaceDE w:val="0"/>
        <w:autoSpaceDN w:val="0"/>
        <w:adjustRightInd w:val="0"/>
        <w:jc w:val="both"/>
        <w:rPr>
          <w:rFonts w:ascii="Arial" w:hAnsi="Arial" w:cs="Arial"/>
          <w:sz w:val="18"/>
          <w:szCs w:val="18"/>
          <w:lang w:bidi="km-KH"/>
        </w:rPr>
      </w:pPr>
      <w:r w:rsidRPr="00FE45F6">
        <w:rPr>
          <w:rFonts w:ascii="Arial" w:hAnsi="Arial" w:cs="Arial"/>
          <w:sz w:val="18"/>
          <w:szCs w:val="18"/>
          <w:lang w:bidi="km-KH"/>
        </w:rPr>
        <w:t>Note: Min. = Minimum; Max. = Maximum; M = Mean; SD = Standard Deviation; LA = Level of Agreement</w:t>
      </w:r>
    </w:p>
    <w:p w14:paraId="374DF801" w14:textId="77777777" w:rsidR="001E348C" w:rsidRPr="00FE45F6" w:rsidRDefault="001E348C" w:rsidP="001E348C">
      <w:pPr>
        <w:autoSpaceDE w:val="0"/>
        <w:autoSpaceDN w:val="0"/>
        <w:adjustRightInd w:val="0"/>
        <w:rPr>
          <w:rFonts w:ascii="Times New Roman" w:hAnsi="Times New Roman"/>
          <w:sz w:val="24"/>
          <w:szCs w:val="24"/>
          <w:lang w:bidi="km-KH"/>
        </w:rPr>
      </w:pPr>
    </w:p>
    <w:p w14:paraId="453017AE" w14:textId="77777777" w:rsidR="0001300A" w:rsidRPr="00FE45F6" w:rsidRDefault="004622EC" w:rsidP="005101AA">
      <w:pPr>
        <w:spacing w:after="200"/>
        <w:jc w:val="both"/>
        <w:rPr>
          <w:rFonts w:ascii="Arial" w:eastAsia="Book Antiqua" w:hAnsi="Arial" w:cs="Arial"/>
          <w:b/>
          <w:bCs/>
        </w:rPr>
      </w:pPr>
      <w:r w:rsidRPr="00FE45F6">
        <w:rPr>
          <w:rFonts w:ascii="Arial" w:eastAsia="Book Antiqua" w:hAnsi="Arial" w:cs="Arial"/>
          <w:b/>
          <w:bCs/>
        </w:rPr>
        <w:t xml:space="preserve">4.1.2. </w:t>
      </w:r>
      <w:r w:rsidR="006013A0" w:rsidRPr="00FE45F6">
        <w:rPr>
          <w:rFonts w:ascii="Arial" w:eastAsia="Book Antiqua" w:hAnsi="Arial" w:cs="Arial"/>
          <w:b/>
          <w:bCs/>
        </w:rPr>
        <w:t>Exploratory Factor Analysis</w:t>
      </w:r>
    </w:p>
    <w:p w14:paraId="61093577" w14:textId="77777777" w:rsidR="0091612D" w:rsidRPr="00FE45F6" w:rsidRDefault="009C3C58" w:rsidP="0091612D">
      <w:pPr>
        <w:spacing w:after="200"/>
        <w:jc w:val="both"/>
        <w:rPr>
          <w:rFonts w:ascii="Arial" w:eastAsia="Book Antiqua" w:hAnsi="Arial" w:cs="Arial"/>
        </w:rPr>
      </w:pPr>
      <w:r w:rsidRPr="00FE45F6">
        <w:rPr>
          <w:rFonts w:ascii="Arial" w:eastAsia="Book Antiqua" w:hAnsi="Arial" w:cs="Arial"/>
        </w:rPr>
        <w:t xml:space="preserve">Exploratory factor analysis (EFA) was conducted in the first stage using an independent data set (n = 200) collected separately from the main sample to examine the underlying factor structure and support item refinement. Given the exploratory purpose of this stage, the EFA results were primarily used for item purification and preliminary assessment of the measurement structure rather than definitive construct validation. Item refinement was guided by statistical criteria and theoretical considerations to ensure that retained items adequately represented their intended constructs. The results indicated that two Service Quality items demonstrated factor loadings below the recommended threshold of 0.60, namely SQ1 (FL = 0.546) and SQ6 (FL = 0.587). </w:t>
      </w:r>
    </w:p>
    <w:p w14:paraId="39550C78" w14:textId="77777777" w:rsidR="0001300A" w:rsidRPr="00FE45F6" w:rsidRDefault="0091612D" w:rsidP="0091612D">
      <w:pPr>
        <w:spacing w:after="200"/>
        <w:jc w:val="both"/>
        <w:rPr>
          <w:rFonts w:ascii="Arial" w:eastAsia="Book Antiqua" w:hAnsi="Arial" w:cs="Arial"/>
        </w:rPr>
      </w:pPr>
      <w:r w:rsidRPr="00FE45F6">
        <w:rPr>
          <w:rFonts w:ascii="Arial" w:eastAsia="Book Antiqua" w:hAnsi="Arial" w:cs="Arial"/>
        </w:rPr>
        <w:t>These items showed relatively weak contributions to their respective constructs and may have reduced measurement consistency. Moreover, their lower factor loadings suggested limited representation of the intended construct dimensions, which could affect construct clarity. Therefore, these items were removed to improve the reliability and validity of the refined measurement model. Following item purification, all remaining items achieved factor loadings above 0.60, eigenvalues greater than 1, and cumulative variance exceeding 60%, indicating satisfactory measurement properties. The factor loadings are presented in Table 5.</w:t>
      </w:r>
    </w:p>
    <w:p w14:paraId="0ECC2333" w14:textId="77777777" w:rsidR="00726A26" w:rsidRPr="00FE45F6" w:rsidRDefault="00726A26" w:rsidP="00726A26">
      <w:pPr>
        <w:spacing w:after="200"/>
        <w:jc w:val="center"/>
        <w:rPr>
          <w:rFonts w:ascii="Arial" w:eastAsia="Book Antiqua" w:hAnsi="Arial" w:cs="Arial"/>
          <w:b/>
          <w:bCs/>
        </w:rPr>
      </w:pPr>
      <w:r w:rsidRPr="00FE45F6">
        <w:rPr>
          <w:rFonts w:ascii="Arial" w:eastAsia="Book Antiqua" w:hAnsi="Arial" w:cs="Arial"/>
          <w:b/>
          <w:bCs/>
        </w:rPr>
        <w:lastRenderedPageBreak/>
        <w:t>Table 5. Exploratory factor analysis results</w:t>
      </w:r>
    </w:p>
    <w:tbl>
      <w:tblPr>
        <w:tblStyle w:val="TableGrid"/>
        <w:tblW w:w="821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4515"/>
        <w:gridCol w:w="767"/>
        <w:gridCol w:w="717"/>
        <w:gridCol w:w="717"/>
        <w:gridCol w:w="828"/>
      </w:tblGrid>
      <w:tr w:rsidR="00506F24" w:rsidRPr="00FE45F6" w14:paraId="26A2643F" w14:textId="77777777" w:rsidTr="008B2E6F">
        <w:trPr>
          <w:trHeight w:val="239"/>
        </w:trPr>
        <w:tc>
          <w:tcPr>
            <w:tcW w:w="0" w:type="auto"/>
            <w:gridSpan w:val="2"/>
            <w:vMerge w:val="restart"/>
            <w:tcBorders>
              <w:top w:val="single" w:sz="4" w:space="0" w:color="auto"/>
              <w:bottom w:val="single" w:sz="4" w:space="0" w:color="auto"/>
            </w:tcBorders>
          </w:tcPr>
          <w:p w14:paraId="486F1991"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Constructs</w:t>
            </w:r>
          </w:p>
        </w:tc>
        <w:tc>
          <w:tcPr>
            <w:tcW w:w="0" w:type="auto"/>
            <w:gridSpan w:val="4"/>
            <w:tcBorders>
              <w:top w:val="single" w:sz="4" w:space="0" w:color="auto"/>
              <w:bottom w:val="single" w:sz="4" w:space="0" w:color="auto"/>
            </w:tcBorders>
          </w:tcPr>
          <w:p w14:paraId="6934B8CC"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Factor Analysis</w:t>
            </w:r>
          </w:p>
        </w:tc>
      </w:tr>
      <w:tr w:rsidR="00506F24" w:rsidRPr="00FE45F6" w14:paraId="720F9D8B" w14:textId="77777777" w:rsidTr="00A830C9">
        <w:trPr>
          <w:trHeight w:val="56"/>
        </w:trPr>
        <w:tc>
          <w:tcPr>
            <w:tcW w:w="0" w:type="auto"/>
            <w:gridSpan w:val="2"/>
            <w:vMerge/>
            <w:tcBorders>
              <w:top w:val="single" w:sz="4" w:space="0" w:color="auto"/>
              <w:bottom w:val="single" w:sz="4" w:space="0" w:color="auto"/>
            </w:tcBorders>
          </w:tcPr>
          <w:p w14:paraId="3EEC7B36" w14:textId="77777777" w:rsidR="00800283" w:rsidRPr="00FE45F6" w:rsidRDefault="00800283" w:rsidP="00800283">
            <w:pPr>
              <w:jc w:val="both"/>
              <w:rPr>
                <w:rFonts w:ascii="Arial" w:eastAsia="Book Antiqua" w:hAnsi="Arial" w:cs="Arial"/>
                <w:b/>
                <w:bCs/>
                <w:color w:val="000000" w:themeColor="text1"/>
                <w:sz w:val="20"/>
                <w:szCs w:val="20"/>
              </w:rPr>
            </w:pPr>
          </w:p>
        </w:tc>
        <w:tc>
          <w:tcPr>
            <w:tcW w:w="0" w:type="auto"/>
            <w:tcBorders>
              <w:top w:val="single" w:sz="4" w:space="0" w:color="auto"/>
              <w:bottom w:val="single" w:sz="4" w:space="0" w:color="auto"/>
            </w:tcBorders>
          </w:tcPr>
          <w:p w14:paraId="113F948C"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FL</w:t>
            </w:r>
          </w:p>
        </w:tc>
        <w:tc>
          <w:tcPr>
            <w:tcW w:w="0" w:type="auto"/>
            <w:tcBorders>
              <w:top w:val="single" w:sz="4" w:space="0" w:color="auto"/>
              <w:bottom w:val="single" w:sz="4" w:space="0" w:color="auto"/>
            </w:tcBorders>
          </w:tcPr>
          <w:p w14:paraId="4F326EBD"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KMO</w:t>
            </w:r>
          </w:p>
        </w:tc>
        <w:tc>
          <w:tcPr>
            <w:tcW w:w="0" w:type="auto"/>
            <w:tcBorders>
              <w:top w:val="single" w:sz="4" w:space="0" w:color="auto"/>
              <w:bottom w:val="single" w:sz="4" w:space="0" w:color="auto"/>
            </w:tcBorders>
          </w:tcPr>
          <w:p w14:paraId="5CCF251F"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E</w:t>
            </w:r>
          </w:p>
        </w:tc>
        <w:tc>
          <w:tcPr>
            <w:tcW w:w="0" w:type="auto"/>
            <w:tcBorders>
              <w:top w:val="single" w:sz="4" w:space="0" w:color="auto"/>
              <w:bottom w:val="single" w:sz="4" w:space="0" w:color="auto"/>
            </w:tcBorders>
          </w:tcPr>
          <w:p w14:paraId="11CFF5A6"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Cu%</w:t>
            </w:r>
          </w:p>
        </w:tc>
      </w:tr>
      <w:tr w:rsidR="00506F24" w:rsidRPr="00FE45F6" w14:paraId="344E6B30" w14:textId="77777777" w:rsidTr="00A830C9">
        <w:trPr>
          <w:trHeight w:val="239"/>
        </w:trPr>
        <w:tc>
          <w:tcPr>
            <w:tcW w:w="0" w:type="auto"/>
            <w:gridSpan w:val="6"/>
            <w:tcBorders>
              <w:top w:val="single" w:sz="4" w:space="0" w:color="auto"/>
              <w:bottom w:val="single" w:sz="4" w:space="0" w:color="auto"/>
            </w:tcBorders>
          </w:tcPr>
          <w:p w14:paraId="5C1BDF32" w14:textId="77777777" w:rsidR="005C752A" w:rsidRPr="00FE45F6" w:rsidRDefault="005C752A" w:rsidP="00800283">
            <w:pPr>
              <w:jc w:val="both"/>
              <w:rPr>
                <w:rFonts w:ascii="Arial" w:eastAsia="Book Antiqua" w:hAnsi="Arial" w:cs="Arial"/>
                <w:color w:val="000000" w:themeColor="text1"/>
                <w:sz w:val="20"/>
                <w:szCs w:val="20"/>
              </w:rPr>
            </w:pPr>
            <w:r w:rsidRPr="00FE45F6">
              <w:rPr>
                <w:rFonts w:ascii="Arial" w:eastAsia="Book Antiqua" w:hAnsi="Arial" w:cs="Arial"/>
                <w:b/>
                <w:bCs/>
                <w:color w:val="000000" w:themeColor="text1"/>
                <w:sz w:val="20"/>
                <w:szCs w:val="20"/>
              </w:rPr>
              <w:t>Service Quality</w:t>
            </w:r>
          </w:p>
        </w:tc>
      </w:tr>
      <w:tr w:rsidR="00506F24" w:rsidRPr="00FE45F6" w14:paraId="51329A9E" w14:textId="77777777" w:rsidTr="00A830C9">
        <w:trPr>
          <w:trHeight w:val="239"/>
        </w:trPr>
        <w:tc>
          <w:tcPr>
            <w:tcW w:w="670" w:type="dxa"/>
            <w:tcBorders>
              <w:top w:val="single" w:sz="4" w:space="0" w:color="auto"/>
              <w:bottom w:val="nil"/>
            </w:tcBorders>
          </w:tcPr>
          <w:p w14:paraId="3F72EB1A"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SQ1</w:t>
            </w:r>
          </w:p>
        </w:tc>
        <w:tc>
          <w:tcPr>
            <w:tcW w:w="4576" w:type="dxa"/>
            <w:tcBorders>
              <w:top w:val="single" w:sz="4" w:space="0" w:color="auto"/>
              <w:bottom w:val="nil"/>
            </w:tcBorders>
          </w:tcPr>
          <w:p w14:paraId="36B2160B" w14:textId="77777777" w:rsidR="001654E6" w:rsidRPr="00FE45F6" w:rsidRDefault="001654E6" w:rsidP="001654E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delivers its services on time.</w:t>
            </w:r>
          </w:p>
        </w:tc>
        <w:tc>
          <w:tcPr>
            <w:tcW w:w="0" w:type="auto"/>
            <w:tcBorders>
              <w:top w:val="single" w:sz="4" w:space="0" w:color="auto"/>
              <w:bottom w:val="nil"/>
            </w:tcBorders>
          </w:tcPr>
          <w:p w14:paraId="6904766A"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0.546</w:t>
            </w:r>
          </w:p>
        </w:tc>
        <w:tc>
          <w:tcPr>
            <w:tcW w:w="0" w:type="auto"/>
            <w:tcBorders>
              <w:top w:val="single" w:sz="4" w:space="0" w:color="auto"/>
              <w:bottom w:val="nil"/>
            </w:tcBorders>
          </w:tcPr>
          <w:p w14:paraId="6B3FB937"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0.870</w:t>
            </w:r>
          </w:p>
        </w:tc>
        <w:tc>
          <w:tcPr>
            <w:tcW w:w="0" w:type="auto"/>
            <w:tcBorders>
              <w:top w:val="single" w:sz="4" w:space="0" w:color="auto"/>
              <w:bottom w:val="nil"/>
            </w:tcBorders>
          </w:tcPr>
          <w:p w14:paraId="06B164BA"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3.227</w:t>
            </w:r>
          </w:p>
        </w:tc>
        <w:tc>
          <w:tcPr>
            <w:tcW w:w="0" w:type="auto"/>
            <w:tcBorders>
              <w:top w:val="single" w:sz="4" w:space="0" w:color="auto"/>
              <w:bottom w:val="nil"/>
            </w:tcBorders>
          </w:tcPr>
          <w:p w14:paraId="5E71DCDB"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64.530</w:t>
            </w:r>
          </w:p>
        </w:tc>
      </w:tr>
      <w:tr w:rsidR="00506F24" w:rsidRPr="00FE45F6" w14:paraId="44711E77" w14:textId="77777777" w:rsidTr="007D5B40">
        <w:trPr>
          <w:trHeight w:val="239"/>
        </w:trPr>
        <w:tc>
          <w:tcPr>
            <w:tcW w:w="670" w:type="dxa"/>
            <w:tcBorders>
              <w:top w:val="nil"/>
              <w:bottom w:val="nil"/>
            </w:tcBorders>
          </w:tcPr>
          <w:p w14:paraId="1D62902B"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SQ2</w:t>
            </w:r>
          </w:p>
        </w:tc>
        <w:tc>
          <w:tcPr>
            <w:tcW w:w="4576" w:type="dxa"/>
            <w:tcBorders>
              <w:top w:val="nil"/>
              <w:bottom w:val="nil"/>
            </w:tcBorders>
          </w:tcPr>
          <w:p w14:paraId="69418342" w14:textId="77777777" w:rsidR="001654E6" w:rsidRPr="00FE45F6" w:rsidRDefault="001654E6" w:rsidP="001654E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provides services that meet my needs.</w:t>
            </w:r>
          </w:p>
        </w:tc>
        <w:tc>
          <w:tcPr>
            <w:tcW w:w="0" w:type="auto"/>
            <w:tcBorders>
              <w:top w:val="nil"/>
              <w:bottom w:val="nil"/>
            </w:tcBorders>
          </w:tcPr>
          <w:p w14:paraId="11555951" w14:textId="77777777" w:rsidR="001654E6" w:rsidRPr="00FE45F6" w:rsidRDefault="001654E6" w:rsidP="001654E6">
            <w:pPr>
              <w:jc w:val="both"/>
              <w:rPr>
                <w:rFonts w:ascii="Arial" w:eastAsia="Book Antiqua" w:hAnsi="Arial" w:cs="Arial"/>
                <w:color w:val="000000" w:themeColor="text1"/>
                <w:sz w:val="20"/>
                <w:szCs w:val="20"/>
              </w:rPr>
            </w:pPr>
            <w:r w:rsidRPr="00FE45F6">
              <w:rPr>
                <w:color w:val="000000" w:themeColor="text1"/>
              </w:rPr>
              <w:t>0.775</w:t>
            </w:r>
          </w:p>
        </w:tc>
        <w:tc>
          <w:tcPr>
            <w:tcW w:w="0" w:type="auto"/>
            <w:tcBorders>
              <w:top w:val="nil"/>
              <w:bottom w:val="nil"/>
            </w:tcBorders>
          </w:tcPr>
          <w:p w14:paraId="12501FD7"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26E2436A"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5140F7D9" w14:textId="77777777" w:rsidR="001654E6" w:rsidRPr="00FE45F6" w:rsidRDefault="001654E6" w:rsidP="001654E6">
            <w:pPr>
              <w:jc w:val="both"/>
              <w:rPr>
                <w:rFonts w:ascii="Arial" w:eastAsia="Book Antiqua" w:hAnsi="Arial" w:cs="Arial"/>
                <w:color w:val="000000" w:themeColor="text1"/>
                <w:sz w:val="20"/>
                <w:szCs w:val="20"/>
              </w:rPr>
            </w:pPr>
          </w:p>
        </w:tc>
      </w:tr>
      <w:tr w:rsidR="00506F24" w:rsidRPr="00FE45F6" w14:paraId="040E9799" w14:textId="77777777" w:rsidTr="002B4B2D">
        <w:trPr>
          <w:trHeight w:val="239"/>
        </w:trPr>
        <w:tc>
          <w:tcPr>
            <w:tcW w:w="670" w:type="dxa"/>
            <w:tcBorders>
              <w:top w:val="nil"/>
              <w:bottom w:val="nil"/>
            </w:tcBorders>
          </w:tcPr>
          <w:p w14:paraId="42AAA4E1"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SQ3</w:t>
            </w:r>
          </w:p>
        </w:tc>
        <w:tc>
          <w:tcPr>
            <w:tcW w:w="4576" w:type="dxa"/>
            <w:tcBorders>
              <w:top w:val="nil"/>
              <w:bottom w:val="nil"/>
            </w:tcBorders>
          </w:tcPr>
          <w:p w14:paraId="278429ED" w14:textId="77777777" w:rsidR="001654E6" w:rsidRPr="00FE45F6" w:rsidRDefault="00C130D0"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The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app is well-organized</w:t>
            </w:r>
            <w:r w:rsidR="00DD74EB" w:rsidRPr="00FE45F6">
              <w:rPr>
                <w:rFonts w:ascii="Arial" w:eastAsia="Book Antiqua" w:hAnsi="Arial" w:cs="Arial"/>
                <w:color w:val="000000" w:themeColor="text1"/>
                <w:sz w:val="20"/>
                <w:szCs w:val="20"/>
              </w:rPr>
              <w:t>, making</w:t>
            </w:r>
            <w:r w:rsidRPr="00FE45F6">
              <w:rPr>
                <w:rFonts w:ascii="Arial" w:eastAsia="Book Antiqua" w:hAnsi="Arial" w:cs="Arial"/>
                <w:color w:val="000000" w:themeColor="text1"/>
                <w:sz w:val="20"/>
                <w:szCs w:val="20"/>
              </w:rPr>
              <w:t xml:space="preserve"> it easy to access services.</w:t>
            </w:r>
          </w:p>
        </w:tc>
        <w:tc>
          <w:tcPr>
            <w:tcW w:w="0" w:type="auto"/>
            <w:tcBorders>
              <w:top w:val="nil"/>
              <w:bottom w:val="nil"/>
            </w:tcBorders>
          </w:tcPr>
          <w:p w14:paraId="144928F1" w14:textId="77777777" w:rsidR="001654E6" w:rsidRPr="00FE45F6" w:rsidRDefault="001654E6" w:rsidP="001654E6">
            <w:pPr>
              <w:jc w:val="both"/>
              <w:rPr>
                <w:rFonts w:ascii="Arial" w:eastAsia="Book Antiqua" w:hAnsi="Arial" w:cs="Arial"/>
                <w:color w:val="000000" w:themeColor="text1"/>
                <w:sz w:val="20"/>
                <w:szCs w:val="20"/>
              </w:rPr>
            </w:pPr>
            <w:r w:rsidRPr="00FE45F6">
              <w:rPr>
                <w:color w:val="000000" w:themeColor="text1"/>
              </w:rPr>
              <w:t>0.768</w:t>
            </w:r>
          </w:p>
        </w:tc>
        <w:tc>
          <w:tcPr>
            <w:tcW w:w="0" w:type="auto"/>
            <w:tcBorders>
              <w:top w:val="nil"/>
              <w:bottom w:val="nil"/>
            </w:tcBorders>
          </w:tcPr>
          <w:p w14:paraId="55B44FBC"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0163C341"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6B4653ED" w14:textId="77777777" w:rsidR="001654E6" w:rsidRPr="00FE45F6" w:rsidRDefault="001654E6" w:rsidP="001654E6">
            <w:pPr>
              <w:jc w:val="both"/>
              <w:rPr>
                <w:rFonts w:ascii="Arial" w:eastAsia="Book Antiqua" w:hAnsi="Arial" w:cs="Arial"/>
                <w:color w:val="000000" w:themeColor="text1"/>
                <w:sz w:val="20"/>
                <w:szCs w:val="20"/>
              </w:rPr>
            </w:pPr>
          </w:p>
        </w:tc>
      </w:tr>
      <w:tr w:rsidR="00506F24" w:rsidRPr="00FE45F6" w14:paraId="1EE1EEBC" w14:textId="77777777" w:rsidTr="002B4B2D">
        <w:trPr>
          <w:trHeight w:val="239"/>
        </w:trPr>
        <w:tc>
          <w:tcPr>
            <w:tcW w:w="670" w:type="dxa"/>
            <w:tcBorders>
              <w:top w:val="nil"/>
              <w:bottom w:val="nil"/>
            </w:tcBorders>
          </w:tcPr>
          <w:p w14:paraId="3EDA8832"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SQ4</w:t>
            </w:r>
          </w:p>
        </w:tc>
        <w:tc>
          <w:tcPr>
            <w:tcW w:w="4576" w:type="dxa"/>
            <w:tcBorders>
              <w:top w:val="nil"/>
              <w:bottom w:val="nil"/>
            </w:tcBorders>
          </w:tcPr>
          <w:p w14:paraId="60A7C82B" w14:textId="77777777" w:rsidR="001654E6" w:rsidRPr="00FE45F6" w:rsidRDefault="001654E6" w:rsidP="001654E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delivers food within the promised time.</w:t>
            </w:r>
          </w:p>
        </w:tc>
        <w:tc>
          <w:tcPr>
            <w:tcW w:w="0" w:type="auto"/>
            <w:tcBorders>
              <w:top w:val="nil"/>
              <w:bottom w:val="nil"/>
            </w:tcBorders>
          </w:tcPr>
          <w:p w14:paraId="1FB709F1" w14:textId="77777777" w:rsidR="001654E6" w:rsidRPr="00FE45F6" w:rsidRDefault="001654E6" w:rsidP="001654E6">
            <w:pPr>
              <w:jc w:val="both"/>
              <w:rPr>
                <w:rFonts w:ascii="Arial" w:eastAsia="Book Antiqua" w:hAnsi="Arial" w:cs="Arial"/>
                <w:color w:val="000000" w:themeColor="text1"/>
                <w:sz w:val="20"/>
                <w:szCs w:val="20"/>
              </w:rPr>
            </w:pPr>
            <w:r w:rsidRPr="00FE45F6">
              <w:rPr>
                <w:color w:val="000000" w:themeColor="text1"/>
              </w:rPr>
              <w:t>0.809</w:t>
            </w:r>
          </w:p>
        </w:tc>
        <w:tc>
          <w:tcPr>
            <w:tcW w:w="0" w:type="auto"/>
            <w:tcBorders>
              <w:top w:val="nil"/>
              <w:bottom w:val="nil"/>
            </w:tcBorders>
          </w:tcPr>
          <w:p w14:paraId="4C0520BE"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7BC5E9B8"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72A429BB" w14:textId="77777777" w:rsidR="001654E6" w:rsidRPr="00FE45F6" w:rsidRDefault="001654E6" w:rsidP="001654E6">
            <w:pPr>
              <w:jc w:val="both"/>
              <w:rPr>
                <w:rFonts w:ascii="Arial" w:eastAsia="Book Antiqua" w:hAnsi="Arial" w:cs="Arial"/>
                <w:color w:val="000000" w:themeColor="text1"/>
                <w:sz w:val="20"/>
                <w:szCs w:val="20"/>
              </w:rPr>
            </w:pPr>
          </w:p>
        </w:tc>
      </w:tr>
      <w:tr w:rsidR="00506F24" w:rsidRPr="00FE45F6" w14:paraId="548D70BD" w14:textId="77777777" w:rsidTr="003338E3">
        <w:trPr>
          <w:trHeight w:val="239"/>
        </w:trPr>
        <w:tc>
          <w:tcPr>
            <w:tcW w:w="670" w:type="dxa"/>
            <w:tcBorders>
              <w:top w:val="nil"/>
              <w:bottom w:val="nil"/>
            </w:tcBorders>
          </w:tcPr>
          <w:p w14:paraId="5C906941" w14:textId="77777777" w:rsidR="001654E6" w:rsidRPr="00FE45F6" w:rsidRDefault="001654E6" w:rsidP="001654E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SQ5</w:t>
            </w:r>
          </w:p>
        </w:tc>
        <w:tc>
          <w:tcPr>
            <w:tcW w:w="4576" w:type="dxa"/>
            <w:tcBorders>
              <w:top w:val="nil"/>
              <w:bottom w:val="nil"/>
            </w:tcBorders>
          </w:tcPr>
          <w:p w14:paraId="2B22BCFA" w14:textId="77777777" w:rsidR="001654E6" w:rsidRPr="00FE45F6" w:rsidRDefault="00C130D0" w:rsidP="001654E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provides my requested services accurately and reliably.</w:t>
            </w:r>
          </w:p>
        </w:tc>
        <w:tc>
          <w:tcPr>
            <w:tcW w:w="0" w:type="auto"/>
            <w:tcBorders>
              <w:top w:val="nil"/>
              <w:bottom w:val="nil"/>
            </w:tcBorders>
          </w:tcPr>
          <w:p w14:paraId="6EB89EE8" w14:textId="77777777" w:rsidR="001654E6" w:rsidRPr="00FE45F6" w:rsidRDefault="001654E6" w:rsidP="001654E6">
            <w:pPr>
              <w:jc w:val="both"/>
              <w:rPr>
                <w:rFonts w:ascii="Arial" w:eastAsia="Book Antiqua" w:hAnsi="Arial" w:cs="Arial"/>
                <w:color w:val="000000" w:themeColor="text1"/>
                <w:sz w:val="20"/>
                <w:szCs w:val="20"/>
              </w:rPr>
            </w:pPr>
            <w:r w:rsidRPr="00FE45F6">
              <w:rPr>
                <w:color w:val="000000" w:themeColor="text1"/>
              </w:rPr>
              <w:t>0.823</w:t>
            </w:r>
          </w:p>
        </w:tc>
        <w:tc>
          <w:tcPr>
            <w:tcW w:w="0" w:type="auto"/>
            <w:tcBorders>
              <w:top w:val="nil"/>
              <w:bottom w:val="nil"/>
            </w:tcBorders>
          </w:tcPr>
          <w:p w14:paraId="3BB50D30"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2BC7BB49" w14:textId="77777777" w:rsidR="001654E6" w:rsidRPr="00FE45F6"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2868B8FC" w14:textId="77777777" w:rsidR="001654E6" w:rsidRPr="00FE45F6" w:rsidRDefault="001654E6" w:rsidP="001654E6">
            <w:pPr>
              <w:jc w:val="both"/>
              <w:rPr>
                <w:rFonts w:ascii="Arial" w:eastAsia="Book Antiqua" w:hAnsi="Arial" w:cs="Arial"/>
                <w:color w:val="000000" w:themeColor="text1"/>
                <w:sz w:val="20"/>
                <w:szCs w:val="20"/>
              </w:rPr>
            </w:pPr>
          </w:p>
        </w:tc>
      </w:tr>
      <w:tr w:rsidR="00506F24" w:rsidRPr="00FE45F6" w14:paraId="56111AB3" w14:textId="77777777" w:rsidTr="003338E3">
        <w:trPr>
          <w:trHeight w:val="239"/>
        </w:trPr>
        <w:tc>
          <w:tcPr>
            <w:tcW w:w="670" w:type="dxa"/>
            <w:tcBorders>
              <w:top w:val="nil"/>
              <w:bottom w:val="nil"/>
            </w:tcBorders>
          </w:tcPr>
          <w:p w14:paraId="512AF0A7" w14:textId="77777777" w:rsidR="00800283" w:rsidRPr="00FE45F6" w:rsidRDefault="00800283" w:rsidP="00800283">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SQ6</w:t>
            </w:r>
          </w:p>
        </w:tc>
        <w:tc>
          <w:tcPr>
            <w:tcW w:w="4576" w:type="dxa"/>
            <w:tcBorders>
              <w:top w:val="nil"/>
              <w:bottom w:val="nil"/>
            </w:tcBorders>
          </w:tcPr>
          <w:p w14:paraId="775F2961" w14:textId="77777777" w:rsidR="00800283" w:rsidRPr="00FE45F6" w:rsidRDefault="001654E6" w:rsidP="00800283">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Foodpanda's</w:t>
            </w:r>
            <w:proofErr w:type="spellEnd"/>
            <w:r w:rsidRPr="00FE45F6">
              <w:rPr>
                <w:rFonts w:ascii="Arial" w:eastAsia="Book Antiqua" w:hAnsi="Arial" w:cs="Arial"/>
                <w:color w:val="000000" w:themeColor="text1"/>
                <w:sz w:val="20"/>
                <w:szCs w:val="20"/>
              </w:rPr>
              <w:t xml:space="preserve"> customer service staff are knowledgeable and able to effectively solve my problems.</w:t>
            </w:r>
          </w:p>
        </w:tc>
        <w:tc>
          <w:tcPr>
            <w:tcW w:w="0" w:type="auto"/>
            <w:tcBorders>
              <w:top w:val="nil"/>
              <w:bottom w:val="nil"/>
            </w:tcBorders>
          </w:tcPr>
          <w:p w14:paraId="18C371F7" w14:textId="77777777" w:rsidR="00800283" w:rsidRPr="00FE45F6" w:rsidRDefault="001654E6" w:rsidP="00800283">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0.587</w:t>
            </w:r>
          </w:p>
        </w:tc>
        <w:tc>
          <w:tcPr>
            <w:tcW w:w="0" w:type="auto"/>
            <w:tcBorders>
              <w:top w:val="nil"/>
              <w:bottom w:val="nil"/>
            </w:tcBorders>
          </w:tcPr>
          <w:p w14:paraId="1CF7D0CC" w14:textId="77777777" w:rsidR="00800283" w:rsidRPr="00FE45F6" w:rsidRDefault="00800283" w:rsidP="00800283">
            <w:pPr>
              <w:jc w:val="both"/>
              <w:rPr>
                <w:rFonts w:ascii="Arial" w:eastAsia="Book Antiqua" w:hAnsi="Arial" w:cs="Arial"/>
                <w:color w:val="000000" w:themeColor="text1"/>
                <w:sz w:val="20"/>
                <w:szCs w:val="20"/>
              </w:rPr>
            </w:pPr>
          </w:p>
        </w:tc>
        <w:tc>
          <w:tcPr>
            <w:tcW w:w="0" w:type="auto"/>
            <w:tcBorders>
              <w:top w:val="nil"/>
              <w:bottom w:val="nil"/>
            </w:tcBorders>
          </w:tcPr>
          <w:p w14:paraId="6A11E132" w14:textId="77777777" w:rsidR="00800283" w:rsidRPr="00FE45F6" w:rsidRDefault="00800283" w:rsidP="00800283">
            <w:pPr>
              <w:jc w:val="both"/>
              <w:rPr>
                <w:rFonts w:ascii="Arial" w:eastAsia="Book Antiqua" w:hAnsi="Arial" w:cs="Arial"/>
                <w:color w:val="000000" w:themeColor="text1"/>
                <w:sz w:val="20"/>
                <w:szCs w:val="20"/>
              </w:rPr>
            </w:pPr>
          </w:p>
        </w:tc>
        <w:tc>
          <w:tcPr>
            <w:tcW w:w="0" w:type="auto"/>
            <w:tcBorders>
              <w:top w:val="nil"/>
              <w:bottom w:val="nil"/>
            </w:tcBorders>
          </w:tcPr>
          <w:p w14:paraId="4AF9391E" w14:textId="77777777" w:rsidR="00800283" w:rsidRPr="00FE45F6" w:rsidRDefault="00800283" w:rsidP="00800283">
            <w:pPr>
              <w:jc w:val="both"/>
              <w:rPr>
                <w:rFonts w:ascii="Arial" w:eastAsia="Book Antiqua" w:hAnsi="Arial" w:cs="Arial"/>
                <w:color w:val="000000" w:themeColor="text1"/>
                <w:sz w:val="20"/>
                <w:szCs w:val="20"/>
              </w:rPr>
            </w:pPr>
          </w:p>
        </w:tc>
      </w:tr>
      <w:tr w:rsidR="00506F24" w:rsidRPr="00FE45F6" w14:paraId="0CF7CCD0" w14:textId="77777777" w:rsidTr="00A830C9">
        <w:trPr>
          <w:trHeight w:val="239"/>
        </w:trPr>
        <w:tc>
          <w:tcPr>
            <w:tcW w:w="670" w:type="dxa"/>
            <w:tcBorders>
              <w:top w:val="nil"/>
              <w:bottom w:val="single" w:sz="4" w:space="0" w:color="auto"/>
            </w:tcBorders>
          </w:tcPr>
          <w:p w14:paraId="693A26F5" w14:textId="77777777" w:rsidR="00C22319" w:rsidRPr="00FE45F6" w:rsidRDefault="00C22319" w:rsidP="00800283">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SQ7</w:t>
            </w:r>
          </w:p>
        </w:tc>
        <w:tc>
          <w:tcPr>
            <w:tcW w:w="4576" w:type="dxa"/>
            <w:tcBorders>
              <w:top w:val="nil"/>
              <w:bottom w:val="single" w:sz="4" w:space="0" w:color="auto"/>
            </w:tcBorders>
          </w:tcPr>
          <w:p w14:paraId="76F56E5A" w14:textId="77777777" w:rsidR="00C22319" w:rsidRPr="00FE45F6" w:rsidRDefault="001654E6" w:rsidP="00800283">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responds promptly when I report problems or have inquiries.</w:t>
            </w:r>
          </w:p>
        </w:tc>
        <w:tc>
          <w:tcPr>
            <w:tcW w:w="0" w:type="auto"/>
            <w:tcBorders>
              <w:top w:val="nil"/>
              <w:bottom w:val="single" w:sz="4" w:space="0" w:color="auto"/>
            </w:tcBorders>
          </w:tcPr>
          <w:p w14:paraId="40975B5F" w14:textId="77777777" w:rsidR="00C22319" w:rsidRPr="00FE45F6" w:rsidRDefault="001654E6" w:rsidP="00800283">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0.839</w:t>
            </w:r>
          </w:p>
        </w:tc>
        <w:tc>
          <w:tcPr>
            <w:tcW w:w="0" w:type="auto"/>
            <w:tcBorders>
              <w:top w:val="nil"/>
              <w:bottom w:val="single" w:sz="4" w:space="0" w:color="auto"/>
            </w:tcBorders>
          </w:tcPr>
          <w:p w14:paraId="09991BEA" w14:textId="77777777" w:rsidR="00C22319" w:rsidRPr="00FE45F6" w:rsidRDefault="00C22319" w:rsidP="00800283">
            <w:pPr>
              <w:jc w:val="both"/>
              <w:rPr>
                <w:rFonts w:ascii="Arial" w:eastAsia="Book Antiqua" w:hAnsi="Arial" w:cs="Arial"/>
                <w:color w:val="000000" w:themeColor="text1"/>
                <w:sz w:val="20"/>
                <w:szCs w:val="20"/>
              </w:rPr>
            </w:pPr>
          </w:p>
        </w:tc>
        <w:tc>
          <w:tcPr>
            <w:tcW w:w="0" w:type="auto"/>
            <w:tcBorders>
              <w:top w:val="nil"/>
              <w:bottom w:val="single" w:sz="4" w:space="0" w:color="auto"/>
            </w:tcBorders>
          </w:tcPr>
          <w:p w14:paraId="51D08FA9" w14:textId="77777777" w:rsidR="00C22319" w:rsidRPr="00FE45F6" w:rsidRDefault="00C22319" w:rsidP="00800283">
            <w:pPr>
              <w:jc w:val="both"/>
              <w:rPr>
                <w:rFonts w:ascii="Arial" w:eastAsia="Book Antiqua" w:hAnsi="Arial" w:cs="Arial"/>
                <w:color w:val="000000" w:themeColor="text1"/>
                <w:sz w:val="20"/>
                <w:szCs w:val="20"/>
              </w:rPr>
            </w:pPr>
          </w:p>
        </w:tc>
        <w:tc>
          <w:tcPr>
            <w:tcW w:w="0" w:type="auto"/>
            <w:tcBorders>
              <w:top w:val="nil"/>
              <w:bottom w:val="single" w:sz="4" w:space="0" w:color="auto"/>
            </w:tcBorders>
          </w:tcPr>
          <w:p w14:paraId="49243450" w14:textId="77777777" w:rsidR="00C22319" w:rsidRPr="00FE45F6" w:rsidRDefault="00C22319" w:rsidP="00800283">
            <w:pPr>
              <w:jc w:val="both"/>
              <w:rPr>
                <w:rFonts w:ascii="Arial" w:eastAsia="Book Antiqua" w:hAnsi="Arial" w:cs="Arial"/>
                <w:color w:val="000000" w:themeColor="text1"/>
                <w:sz w:val="20"/>
                <w:szCs w:val="20"/>
              </w:rPr>
            </w:pPr>
          </w:p>
        </w:tc>
      </w:tr>
      <w:tr w:rsidR="00506F24" w:rsidRPr="00FE45F6" w14:paraId="5268B31D" w14:textId="77777777" w:rsidTr="007F685A">
        <w:trPr>
          <w:trHeight w:val="91"/>
        </w:trPr>
        <w:tc>
          <w:tcPr>
            <w:tcW w:w="0" w:type="auto"/>
            <w:gridSpan w:val="6"/>
            <w:tcBorders>
              <w:top w:val="single" w:sz="4" w:space="0" w:color="auto"/>
              <w:bottom w:val="single" w:sz="4" w:space="0" w:color="auto"/>
            </w:tcBorders>
          </w:tcPr>
          <w:p w14:paraId="197902AF"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Perceived Convenience</w:t>
            </w:r>
          </w:p>
        </w:tc>
      </w:tr>
      <w:tr w:rsidR="00506F24" w:rsidRPr="00FE45F6" w14:paraId="386EA518" w14:textId="77777777" w:rsidTr="00A830C9">
        <w:trPr>
          <w:trHeight w:val="239"/>
        </w:trPr>
        <w:tc>
          <w:tcPr>
            <w:tcW w:w="670" w:type="dxa"/>
            <w:tcBorders>
              <w:top w:val="single" w:sz="4" w:space="0" w:color="auto"/>
              <w:bottom w:val="nil"/>
            </w:tcBorders>
          </w:tcPr>
          <w:p w14:paraId="15AC3A93"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PC1</w:t>
            </w:r>
          </w:p>
        </w:tc>
        <w:tc>
          <w:tcPr>
            <w:tcW w:w="4576" w:type="dxa"/>
            <w:tcBorders>
              <w:top w:val="single" w:sz="4" w:space="0" w:color="auto"/>
              <w:bottom w:val="nil"/>
            </w:tcBorders>
          </w:tcPr>
          <w:p w14:paraId="0B4FE77B"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allows me to order food whenever it is convenient for me.</w:t>
            </w:r>
          </w:p>
        </w:tc>
        <w:tc>
          <w:tcPr>
            <w:tcW w:w="0" w:type="auto"/>
            <w:tcBorders>
              <w:top w:val="single" w:sz="4" w:space="0" w:color="auto"/>
              <w:bottom w:val="nil"/>
            </w:tcBorders>
          </w:tcPr>
          <w:p w14:paraId="13701781"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0.791</w:t>
            </w:r>
          </w:p>
        </w:tc>
        <w:tc>
          <w:tcPr>
            <w:tcW w:w="0" w:type="auto"/>
            <w:tcBorders>
              <w:top w:val="single" w:sz="4" w:space="0" w:color="auto"/>
              <w:bottom w:val="nil"/>
            </w:tcBorders>
          </w:tcPr>
          <w:p w14:paraId="4E425DB8"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0.877</w:t>
            </w:r>
          </w:p>
        </w:tc>
        <w:tc>
          <w:tcPr>
            <w:tcW w:w="0" w:type="auto"/>
            <w:tcBorders>
              <w:top w:val="single" w:sz="4" w:space="0" w:color="auto"/>
              <w:bottom w:val="nil"/>
            </w:tcBorders>
          </w:tcPr>
          <w:p w14:paraId="63123BFA"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4.284</w:t>
            </w:r>
          </w:p>
        </w:tc>
        <w:tc>
          <w:tcPr>
            <w:tcW w:w="0" w:type="auto"/>
            <w:tcBorders>
              <w:top w:val="single" w:sz="4" w:space="0" w:color="auto"/>
              <w:bottom w:val="nil"/>
            </w:tcBorders>
          </w:tcPr>
          <w:p w14:paraId="4D93C162"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61.196</w:t>
            </w:r>
          </w:p>
        </w:tc>
      </w:tr>
      <w:tr w:rsidR="00506F24" w:rsidRPr="00FE45F6" w14:paraId="315F2B77" w14:textId="77777777" w:rsidTr="003338E3">
        <w:trPr>
          <w:trHeight w:val="239"/>
        </w:trPr>
        <w:tc>
          <w:tcPr>
            <w:tcW w:w="670" w:type="dxa"/>
            <w:tcBorders>
              <w:top w:val="nil"/>
            </w:tcBorders>
          </w:tcPr>
          <w:p w14:paraId="07C0510E"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PC2</w:t>
            </w:r>
          </w:p>
        </w:tc>
        <w:tc>
          <w:tcPr>
            <w:tcW w:w="4576" w:type="dxa"/>
            <w:tcBorders>
              <w:top w:val="nil"/>
            </w:tcBorders>
          </w:tcPr>
          <w:p w14:paraId="77F23690"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helps me save time when ordering food.</w:t>
            </w:r>
          </w:p>
        </w:tc>
        <w:tc>
          <w:tcPr>
            <w:tcW w:w="0" w:type="auto"/>
            <w:tcBorders>
              <w:top w:val="nil"/>
            </w:tcBorders>
          </w:tcPr>
          <w:p w14:paraId="22242029"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0.849</w:t>
            </w:r>
          </w:p>
        </w:tc>
        <w:tc>
          <w:tcPr>
            <w:tcW w:w="0" w:type="auto"/>
            <w:tcBorders>
              <w:top w:val="nil"/>
            </w:tcBorders>
          </w:tcPr>
          <w:p w14:paraId="5EF28375"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tcBorders>
          </w:tcPr>
          <w:p w14:paraId="18AA130C"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tcBorders>
          </w:tcPr>
          <w:p w14:paraId="4FA96A48"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01704BB7" w14:textId="77777777" w:rsidTr="008B2E6F">
        <w:trPr>
          <w:trHeight w:val="266"/>
        </w:trPr>
        <w:tc>
          <w:tcPr>
            <w:tcW w:w="670" w:type="dxa"/>
          </w:tcPr>
          <w:p w14:paraId="2B134FDF"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PC3</w:t>
            </w:r>
          </w:p>
        </w:tc>
        <w:tc>
          <w:tcPr>
            <w:tcW w:w="4576" w:type="dxa"/>
          </w:tcPr>
          <w:p w14:paraId="1EEBD71C"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provides a convenient way to get meals without leaving my location.</w:t>
            </w:r>
          </w:p>
        </w:tc>
        <w:tc>
          <w:tcPr>
            <w:tcW w:w="0" w:type="auto"/>
          </w:tcPr>
          <w:p w14:paraId="58A81062"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0.852</w:t>
            </w:r>
          </w:p>
        </w:tc>
        <w:tc>
          <w:tcPr>
            <w:tcW w:w="0" w:type="auto"/>
          </w:tcPr>
          <w:p w14:paraId="428956D1"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Pr>
          <w:p w14:paraId="29D47A40"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Pr>
          <w:p w14:paraId="5762B96C"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5F9F9D35" w14:textId="77777777" w:rsidTr="008B2E6F">
        <w:trPr>
          <w:trHeight w:val="252"/>
        </w:trPr>
        <w:tc>
          <w:tcPr>
            <w:tcW w:w="670" w:type="dxa"/>
          </w:tcPr>
          <w:p w14:paraId="4C155909"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PC4</w:t>
            </w:r>
          </w:p>
        </w:tc>
        <w:tc>
          <w:tcPr>
            <w:tcW w:w="4576" w:type="dxa"/>
          </w:tcPr>
          <w:p w14:paraId="6A0598E4"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Foodpanda's</w:t>
            </w:r>
            <w:proofErr w:type="spellEnd"/>
            <w:r w:rsidRPr="00FE45F6">
              <w:rPr>
                <w:rFonts w:ascii="Arial" w:eastAsia="Book Antiqua" w:hAnsi="Arial" w:cs="Arial"/>
                <w:color w:val="000000" w:themeColor="text1"/>
                <w:sz w:val="20"/>
                <w:szCs w:val="20"/>
              </w:rPr>
              <w:t xml:space="preserve"> order alerts and notifications make it more convenient for me to manage my food orders.</w:t>
            </w:r>
          </w:p>
        </w:tc>
        <w:tc>
          <w:tcPr>
            <w:tcW w:w="0" w:type="auto"/>
          </w:tcPr>
          <w:p w14:paraId="73C75A56"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0.725</w:t>
            </w:r>
          </w:p>
        </w:tc>
        <w:tc>
          <w:tcPr>
            <w:tcW w:w="0" w:type="auto"/>
          </w:tcPr>
          <w:p w14:paraId="41E18A95"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Pr>
          <w:p w14:paraId="048E3AFE"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Pr>
          <w:p w14:paraId="5F79D2FA"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5056FBA7" w14:textId="77777777" w:rsidTr="00BF42FC">
        <w:trPr>
          <w:trHeight w:val="266"/>
        </w:trPr>
        <w:tc>
          <w:tcPr>
            <w:tcW w:w="670" w:type="dxa"/>
            <w:tcBorders>
              <w:bottom w:val="nil"/>
            </w:tcBorders>
          </w:tcPr>
          <w:p w14:paraId="095ED2AC"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PC5</w:t>
            </w:r>
          </w:p>
        </w:tc>
        <w:tc>
          <w:tcPr>
            <w:tcW w:w="4576" w:type="dxa"/>
            <w:tcBorders>
              <w:bottom w:val="nil"/>
            </w:tcBorders>
          </w:tcPr>
          <w:p w14:paraId="15C4D0DA"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makes ordering food </w:t>
            </w:r>
            <w:r w:rsidR="00DD74EB" w:rsidRPr="00FE45F6">
              <w:rPr>
                <w:rFonts w:ascii="Arial" w:eastAsia="Book Antiqua" w:hAnsi="Arial" w:cs="Arial"/>
                <w:color w:val="000000" w:themeColor="text1"/>
                <w:sz w:val="20"/>
                <w:szCs w:val="20"/>
              </w:rPr>
              <w:t>a seamless part of</w:t>
            </w:r>
            <w:r w:rsidRPr="00FE45F6">
              <w:rPr>
                <w:rFonts w:ascii="Arial" w:eastAsia="Book Antiqua" w:hAnsi="Arial" w:cs="Arial"/>
                <w:color w:val="000000" w:themeColor="text1"/>
                <w:sz w:val="20"/>
                <w:szCs w:val="20"/>
              </w:rPr>
              <w:t xml:space="preserve"> my daily routine.</w:t>
            </w:r>
          </w:p>
        </w:tc>
        <w:tc>
          <w:tcPr>
            <w:tcW w:w="0" w:type="auto"/>
            <w:tcBorders>
              <w:bottom w:val="nil"/>
            </w:tcBorders>
          </w:tcPr>
          <w:p w14:paraId="3A8CEFCC"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0.705</w:t>
            </w:r>
          </w:p>
        </w:tc>
        <w:tc>
          <w:tcPr>
            <w:tcW w:w="0" w:type="auto"/>
            <w:tcBorders>
              <w:bottom w:val="nil"/>
            </w:tcBorders>
          </w:tcPr>
          <w:p w14:paraId="4BD82C37"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bottom w:val="nil"/>
            </w:tcBorders>
          </w:tcPr>
          <w:p w14:paraId="3F252248"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bottom w:val="nil"/>
            </w:tcBorders>
          </w:tcPr>
          <w:p w14:paraId="0EA0F801"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65C5ADC0" w14:textId="77777777" w:rsidTr="00726A26">
        <w:trPr>
          <w:trHeight w:val="266"/>
        </w:trPr>
        <w:tc>
          <w:tcPr>
            <w:tcW w:w="670" w:type="dxa"/>
            <w:tcBorders>
              <w:top w:val="nil"/>
              <w:bottom w:val="nil"/>
            </w:tcBorders>
          </w:tcPr>
          <w:p w14:paraId="340125D6"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PC6</w:t>
            </w:r>
          </w:p>
        </w:tc>
        <w:tc>
          <w:tcPr>
            <w:tcW w:w="4576" w:type="dxa"/>
            <w:tcBorders>
              <w:top w:val="nil"/>
              <w:bottom w:val="nil"/>
            </w:tcBorders>
          </w:tcPr>
          <w:p w14:paraId="2B15595C" w14:textId="77777777" w:rsidR="00651508" w:rsidRPr="00FE45F6" w:rsidRDefault="00C130D0"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provides a convenient way to access food from multiple restaurants through a single app.</w:t>
            </w:r>
          </w:p>
        </w:tc>
        <w:tc>
          <w:tcPr>
            <w:tcW w:w="0" w:type="auto"/>
            <w:tcBorders>
              <w:top w:val="nil"/>
              <w:bottom w:val="nil"/>
            </w:tcBorders>
          </w:tcPr>
          <w:p w14:paraId="6D11F75C"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0.775</w:t>
            </w:r>
          </w:p>
        </w:tc>
        <w:tc>
          <w:tcPr>
            <w:tcW w:w="0" w:type="auto"/>
            <w:tcBorders>
              <w:top w:val="nil"/>
              <w:bottom w:val="nil"/>
            </w:tcBorders>
          </w:tcPr>
          <w:p w14:paraId="654B7590"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1AE9F9F2"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1D266A38"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3D8AFE6B" w14:textId="77777777" w:rsidTr="00A830C9">
        <w:trPr>
          <w:trHeight w:val="266"/>
        </w:trPr>
        <w:tc>
          <w:tcPr>
            <w:tcW w:w="670" w:type="dxa"/>
            <w:tcBorders>
              <w:top w:val="nil"/>
              <w:bottom w:val="single" w:sz="4" w:space="0" w:color="auto"/>
            </w:tcBorders>
          </w:tcPr>
          <w:p w14:paraId="6BA77C8F" w14:textId="77777777" w:rsidR="00651508" w:rsidRPr="00FE45F6" w:rsidRDefault="00651508" w:rsidP="00651508">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PC7</w:t>
            </w:r>
          </w:p>
        </w:tc>
        <w:tc>
          <w:tcPr>
            <w:tcW w:w="4576" w:type="dxa"/>
            <w:tcBorders>
              <w:top w:val="nil"/>
              <w:bottom w:val="single" w:sz="4" w:space="0" w:color="auto"/>
            </w:tcBorders>
          </w:tcPr>
          <w:p w14:paraId="136263AD" w14:textId="77777777" w:rsidR="00651508" w:rsidRPr="00FE45F6" w:rsidRDefault="008A7556" w:rsidP="00651508">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helps me choose food and beverages by providing relevant recommendations.</w:t>
            </w:r>
          </w:p>
        </w:tc>
        <w:tc>
          <w:tcPr>
            <w:tcW w:w="0" w:type="auto"/>
            <w:tcBorders>
              <w:top w:val="nil"/>
              <w:bottom w:val="single" w:sz="4" w:space="0" w:color="auto"/>
            </w:tcBorders>
          </w:tcPr>
          <w:p w14:paraId="4096A2B6" w14:textId="77777777" w:rsidR="00651508" w:rsidRPr="00FE45F6" w:rsidRDefault="00651508" w:rsidP="00651508">
            <w:pPr>
              <w:jc w:val="both"/>
              <w:rPr>
                <w:rFonts w:ascii="Arial" w:eastAsia="Book Antiqua" w:hAnsi="Arial" w:cs="Arial"/>
                <w:color w:val="000000" w:themeColor="text1"/>
                <w:sz w:val="20"/>
                <w:szCs w:val="20"/>
              </w:rPr>
            </w:pPr>
            <w:r w:rsidRPr="00FE45F6">
              <w:rPr>
                <w:color w:val="000000" w:themeColor="text1"/>
              </w:rPr>
              <w:t>0.766</w:t>
            </w:r>
          </w:p>
        </w:tc>
        <w:tc>
          <w:tcPr>
            <w:tcW w:w="0" w:type="auto"/>
            <w:tcBorders>
              <w:top w:val="nil"/>
              <w:bottom w:val="single" w:sz="4" w:space="0" w:color="auto"/>
            </w:tcBorders>
          </w:tcPr>
          <w:p w14:paraId="6DED092A"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bottom w:val="single" w:sz="4" w:space="0" w:color="auto"/>
            </w:tcBorders>
          </w:tcPr>
          <w:p w14:paraId="3985836C" w14:textId="77777777" w:rsidR="00651508" w:rsidRPr="00FE45F6" w:rsidRDefault="00651508" w:rsidP="00651508">
            <w:pPr>
              <w:jc w:val="both"/>
              <w:rPr>
                <w:rFonts w:ascii="Arial" w:eastAsia="Book Antiqua" w:hAnsi="Arial" w:cs="Arial"/>
                <w:color w:val="000000" w:themeColor="text1"/>
                <w:sz w:val="20"/>
                <w:szCs w:val="20"/>
              </w:rPr>
            </w:pPr>
          </w:p>
        </w:tc>
        <w:tc>
          <w:tcPr>
            <w:tcW w:w="0" w:type="auto"/>
            <w:tcBorders>
              <w:top w:val="nil"/>
              <w:bottom w:val="single" w:sz="4" w:space="0" w:color="auto"/>
            </w:tcBorders>
          </w:tcPr>
          <w:p w14:paraId="520FA71E" w14:textId="77777777" w:rsidR="00651508" w:rsidRPr="00FE45F6" w:rsidRDefault="00651508" w:rsidP="00651508">
            <w:pPr>
              <w:jc w:val="both"/>
              <w:rPr>
                <w:rFonts w:ascii="Arial" w:eastAsia="Book Antiqua" w:hAnsi="Arial" w:cs="Arial"/>
                <w:color w:val="000000" w:themeColor="text1"/>
                <w:sz w:val="20"/>
                <w:szCs w:val="20"/>
              </w:rPr>
            </w:pPr>
          </w:p>
        </w:tc>
      </w:tr>
      <w:tr w:rsidR="00506F24" w:rsidRPr="00FE45F6" w14:paraId="2F38A708" w14:textId="77777777" w:rsidTr="00A830C9">
        <w:trPr>
          <w:trHeight w:val="252"/>
        </w:trPr>
        <w:tc>
          <w:tcPr>
            <w:tcW w:w="0" w:type="auto"/>
            <w:gridSpan w:val="6"/>
            <w:tcBorders>
              <w:top w:val="single" w:sz="4" w:space="0" w:color="auto"/>
              <w:bottom w:val="single" w:sz="4" w:space="0" w:color="auto"/>
            </w:tcBorders>
          </w:tcPr>
          <w:p w14:paraId="184F2484"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Customer Satisfaction</w:t>
            </w:r>
          </w:p>
        </w:tc>
      </w:tr>
      <w:tr w:rsidR="00506F24" w:rsidRPr="00FE45F6" w14:paraId="5F20AA35" w14:textId="77777777" w:rsidTr="00A830C9">
        <w:trPr>
          <w:trHeight w:val="266"/>
        </w:trPr>
        <w:tc>
          <w:tcPr>
            <w:tcW w:w="670" w:type="dxa"/>
            <w:tcBorders>
              <w:top w:val="single" w:sz="4" w:space="0" w:color="auto"/>
              <w:bottom w:val="nil"/>
            </w:tcBorders>
          </w:tcPr>
          <w:p w14:paraId="2B6CB7E6"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CS1</w:t>
            </w:r>
          </w:p>
        </w:tc>
        <w:tc>
          <w:tcPr>
            <w:tcW w:w="4576" w:type="dxa"/>
            <w:tcBorders>
              <w:top w:val="single" w:sz="4" w:space="0" w:color="auto"/>
              <w:bottom w:val="nil"/>
            </w:tcBorders>
          </w:tcPr>
          <w:p w14:paraId="04D7ABCE" w14:textId="77777777" w:rsidR="008A7556" w:rsidRPr="00FE45F6" w:rsidRDefault="008A7556" w:rsidP="008A755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Foodpanda's</w:t>
            </w:r>
            <w:proofErr w:type="spellEnd"/>
            <w:r w:rsidRPr="00FE45F6">
              <w:rPr>
                <w:rFonts w:ascii="Arial" w:eastAsia="Book Antiqua" w:hAnsi="Arial" w:cs="Arial"/>
                <w:color w:val="000000" w:themeColor="text1"/>
                <w:sz w:val="20"/>
                <w:szCs w:val="20"/>
              </w:rPr>
              <w:t xml:space="preserve"> services meet my expectations.</w:t>
            </w:r>
          </w:p>
        </w:tc>
        <w:tc>
          <w:tcPr>
            <w:tcW w:w="0" w:type="auto"/>
            <w:tcBorders>
              <w:top w:val="single" w:sz="4" w:space="0" w:color="auto"/>
              <w:bottom w:val="nil"/>
            </w:tcBorders>
          </w:tcPr>
          <w:p w14:paraId="60E6A89E"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0.837</w:t>
            </w:r>
          </w:p>
        </w:tc>
        <w:tc>
          <w:tcPr>
            <w:tcW w:w="0" w:type="auto"/>
            <w:tcBorders>
              <w:top w:val="single" w:sz="4" w:space="0" w:color="auto"/>
              <w:bottom w:val="nil"/>
            </w:tcBorders>
          </w:tcPr>
          <w:p w14:paraId="0BDFAABD"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0.913</w:t>
            </w:r>
          </w:p>
        </w:tc>
        <w:tc>
          <w:tcPr>
            <w:tcW w:w="0" w:type="auto"/>
            <w:tcBorders>
              <w:top w:val="single" w:sz="4" w:space="0" w:color="auto"/>
              <w:bottom w:val="nil"/>
            </w:tcBorders>
          </w:tcPr>
          <w:p w14:paraId="1EA5D95F"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4.835</w:t>
            </w:r>
          </w:p>
        </w:tc>
        <w:tc>
          <w:tcPr>
            <w:tcW w:w="0" w:type="auto"/>
            <w:tcBorders>
              <w:top w:val="single" w:sz="4" w:space="0" w:color="auto"/>
              <w:bottom w:val="nil"/>
            </w:tcBorders>
          </w:tcPr>
          <w:p w14:paraId="5B90DAA4"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69.065</w:t>
            </w:r>
          </w:p>
        </w:tc>
      </w:tr>
      <w:tr w:rsidR="00506F24" w:rsidRPr="00FE45F6" w14:paraId="1B318D25" w14:textId="77777777" w:rsidTr="00BF42FC">
        <w:trPr>
          <w:trHeight w:val="266"/>
        </w:trPr>
        <w:tc>
          <w:tcPr>
            <w:tcW w:w="670" w:type="dxa"/>
            <w:tcBorders>
              <w:top w:val="nil"/>
              <w:bottom w:val="nil"/>
            </w:tcBorders>
          </w:tcPr>
          <w:p w14:paraId="032E8AED"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CS2</w:t>
            </w:r>
          </w:p>
        </w:tc>
        <w:tc>
          <w:tcPr>
            <w:tcW w:w="4576" w:type="dxa"/>
            <w:tcBorders>
              <w:top w:val="nil"/>
              <w:bottom w:val="nil"/>
            </w:tcBorders>
          </w:tcPr>
          <w:p w14:paraId="2B944725"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My experience with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has been better than I expected.</w:t>
            </w:r>
          </w:p>
        </w:tc>
        <w:tc>
          <w:tcPr>
            <w:tcW w:w="0" w:type="auto"/>
            <w:tcBorders>
              <w:top w:val="nil"/>
              <w:bottom w:val="nil"/>
            </w:tcBorders>
          </w:tcPr>
          <w:p w14:paraId="727A0DE3"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0.797</w:t>
            </w:r>
          </w:p>
        </w:tc>
        <w:tc>
          <w:tcPr>
            <w:tcW w:w="0" w:type="auto"/>
            <w:tcBorders>
              <w:top w:val="nil"/>
              <w:bottom w:val="nil"/>
            </w:tcBorders>
          </w:tcPr>
          <w:p w14:paraId="4F73BE31"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26543A0A"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08435C1E"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04CC6F0C" w14:textId="77777777" w:rsidTr="008B2E6F">
        <w:trPr>
          <w:trHeight w:val="252"/>
        </w:trPr>
        <w:tc>
          <w:tcPr>
            <w:tcW w:w="670" w:type="dxa"/>
            <w:tcBorders>
              <w:top w:val="nil"/>
              <w:bottom w:val="nil"/>
            </w:tcBorders>
          </w:tcPr>
          <w:p w14:paraId="5700784A"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CS3</w:t>
            </w:r>
          </w:p>
        </w:tc>
        <w:tc>
          <w:tcPr>
            <w:tcW w:w="4576" w:type="dxa"/>
            <w:tcBorders>
              <w:top w:val="nil"/>
              <w:bottom w:val="nil"/>
            </w:tcBorders>
          </w:tcPr>
          <w:p w14:paraId="4813A365"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Overall, I am happy with the services provided by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w:t>
            </w:r>
          </w:p>
        </w:tc>
        <w:tc>
          <w:tcPr>
            <w:tcW w:w="0" w:type="auto"/>
            <w:tcBorders>
              <w:top w:val="nil"/>
              <w:bottom w:val="nil"/>
            </w:tcBorders>
          </w:tcPr>
          <w:p w14:paraId="347044D7"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0.887</w:t>
            </w:r>
          </w:p>
        </w:tc>
        <w:tc>
          <w:tcPr>
            <w:tcW w:w="0" w:type="auto"/>
            <w:tcBorders>
              <w:top w:val="nil"/>
              <w:bottom w:val="nil"/>
            </w:tcBorders>
          </w:tcPr>
          <w:p w14:paraId="520DBC34"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73F9F765"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5794DC18"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7FE06AF5" w14:textId="77777777" w:rsidTr="008B2E6F">
        <w:trPr>
          <w:trHeight w:val="266"/>
        </w:trPr>
        <w:tc>
          <w:tcPr>
            <w:tcW w:w="670" w:type="dxa"/>
            <w:tcBorders>
              <w:top w:val="nil"/>
              <w:bottom w:val="nil"/>
            </w:tcBorders>
          </w:tcPr>
          <w:p w14:paraId="31CCC92C"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CS4</w:t>
            </w:r>
          </w:p>
        </w:tc>
        <w:tc>
          <w:tcPr>
            <w:tcW w:w="4576" w:type="dxa"/>
            <w:tcBorders>
              <w:top w:val="nil"/>
              <w:bottom w:val="nil"/>
            </w:tcBorders>
          </w:tcPr>
          <w:p w14:paraId="184E5E1A"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Choosing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was the right decision for me.</w:t>
            </w:r>
          </w:p>
        </w:tc>
        <w:tc>
          <w:tcPr>
            <w:tcW w:w="0" w:type="auto"/>
            <w:tcBorders>
              <w:top w:val="nil"/>
              <w:bottom w:val="nil"/>
            </w:tcBorders>
          </w:tcPr>
          <w:p w14:paraId="117CB901"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0.864</w:t>
            </w:r>
          </w:p>
        </w:tc>
        <w:tc>
          <w:tcPr>
            <w:tcW w:w="0" w:type="auto"/>
            <w:tcBorders>
              <w:top w:val="nil"/>
              <w:bottom w:val="nil"/>
            </w:tcBorders>
          </w:tcPr>
          <w:p w14:paraId="78D21F9F"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301402CF"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0ABC9658"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03DDCFCB" w14:textId="77777777" w:rsidTr="008B2E6F">
        <w:trPr>
          <w:trHeight w:val="266"/>
        </w:trPr>
        <w:tc>
          <w:tcPr>
            <w:tcW w:w="670" w:type="dxa"/>
            <w:tcBorders>
              <w:top w:val="nil"/>
              <w:bottom w:val="nil"/>
            </w:tcBorders>
          </w:tcPr>
          <w:p w14:paraId="5F7433A9"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CS5</w:t>
            </w:r>
          </w:p>
        </w:tc>
        <w:tc>
          <w:tcPr>
            <w:tcW w:w="4576" w:type="dxa"/>
            <w:tcBorders>
              <w:top w:val="nil"/>
              <w:bottom w:val="nil"/>
            </w:tcBorders>
          </w:tcPr>
          <w:p w14:paraId="07EEC193" w14:textId="77777777" w:rsidR="008A7556" w:rsidRPr="00FE45F6" w:rsidRDefault="0082000F"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Overall, I am satisfied with my experience using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w:t>
            </w:r>
          </w:p>
        </w:tc>
        <w:tc>
          <w:tcPr>
            <w:tcW w:w="0" w:type="auto"/>
            <w:tcBorders>
              <w:top w:val="nil"/>
              <w:bottom w:val="nil"/>
            </w:tcBorders>
          </w:tcPr>
          <w:p w14:paraId="6D84DC72"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0.817</w:t>
            </w:r>
          </w:p>
        </w:tc>
        <w:tc>
          <w:tcPr>
            <w:tcW w:w="0" w:type="auto"/>
            <w:tcBorders>
              <w:top w:val="nil"/>
              <w:bottom w:val="nil"/>
            </w:tcBorders>
          </w:tcPr>
          <w:p w14:paraId="1D09FC86"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232964F1"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0612373D"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4A7FA1B8" w14:textId="77777777" w:rsidTr="00BF42FC">
        <w:trPr>
          <w:trHeight w:val="266"/>
        </w:trPr>
        <w:tc>
          <w:tcPr>
            <w:tcW w:w="670" w:type="dxa"/>
            <w:tcBorders>
              <w:top w:val="nil"/>
              <w:bottom w:val="nil"/>
            </w:tcBorders>
          </w:tcPr>
          <w:p w14:paraId="6F794DCC" w14:textId="77777777" w:rsidR="008A7556" w:rsidRPr="00FE45F6" w:rsidRDefault="008A7556" w:rsidP="008A7556">
            <w:pPr>
              <w:jc w:val="both"/>
              <w:rPr>
                <w:rFonts w:ascii="Arial" w:eastAsia="Book Antiqua" w:hAnsi="Arial" w:cs="Arial"/>
                <w:color w:val="000000" w:themeColor="text1"/>
              </w:rPr>
            </w:pPr>
            <w:r w:rsidRPr="00FE45F6">
              <w:rPr>
                <w:rFonts w:ascii="Arial" w:eastAsia="Book Antiqua" w:hAnsi="Arial" w:cs="Arial"/>
                <w:color w:val="000000" w:themeColor="text1"/>
              </w:rPr>
              <w:t>CS6</w:t>
            </w:r>
          </w:p>
        </w:tc>
        <w:tc>
          <w:tcPr>
            <w:tcW w:w="4576" w:type="dxa"/>
            <w:tcBorders>
              <w:top w:val="nil"/>
              <w:bottom w:val="nil"/>
            </w:tcBorders>
          </w:tcPr>
          <w:p w14:paraId="1BAA8E03" w14:textId="77777777" w:rsidR="008A7556" w:rsidRPr="00FE45F6" w:rsidRDefault="008A7556" w:rsidP="008A7556">
            <w:pPr>
              <w:jc w:val="both"/>
              <w:rPr>
                <w:rFonts w:ascii="Arial" w:eastAsia="Book Antiqua" w:hAnsi="Arial" w:cs="Arial"/>
                <w:color w:val="000000" w:themeColor="text1"/>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is close to my ideal online food delivery platform.</w:t>
            </w:r>
          </w:p>
        </w:tc>
        <w:tc>
          <w:tcPr>
            <w:tcW w:w="0" w:type="auto"/>
            <w:tcBorders>
              <w:top w:val="nil"/>
              <w:bottom w:val="nil"/>
            </w:tcBorders>
          </w:tcPr>
          <w:p w14:paraId="7916C926" w14:textId="77777777" w:rsidR="008A7556" w:rsidRPr="00FE45F6" w:rsidRDefault="008A7556" w:rsidP="008A7556">
            <w:pPr>
              <w:jc w:val="both"/>
              <w:rPr>
                <w:rFonts w:ascii="Arial" w:eastAsia="Book Antiqua" w:hAnsi="Arial" w:cs="Arial"/>
                <w:color w:val="000000" w:themeColor="text1"/>
              </w:rPr>
            </w:pPr>
            <w:r w:rsidRPr="00FE45F6">
              <w:rPr>
                <w:color w:val="000000" w:themeColor="text1"/>
              </w:rPr>
              <w:t>0.834</w:t>
            </w:r>
          </w:p>
        </w:tc>
        <w:tc>
          <w:tcPr>
            <w:tcW w:w="0" w:type="auto"/>
            <w:tcBorders>
              <w:top w:val="nil"/>
              <w:bottom w:val="nil"/>
            </w:tcBorders>
          </w:tcPr>
          <w:p w14:paraId="7A2FC29E" w14:textId="77777777" w:rsidR="008A7556" w:rsidRPr="00FE45F6" w:rsidRDefault="008A7556" w:rsidP="008A7556">
            <w:pPr>
              <w:jc w:val="both"/>
              <w:rPr>
                <w:rFonts w:ascii="Arial" w:eastAsia="Book Antiqua" w:hAnsi="Arial" w:cs="Arial"/>
                <w:color w:val="000000" w:themeColor="text1"/>
              </w:rPr>
            </w:pPr>
          </w:p>
        </w:tc>
        <w:tc>
          <w:tcPr>
            <w:tcW w:w="0" w:type="auto"/>
            <w:tcBorders>
              <w:top w:val="nil"/>
              <w:bottom w:val="nil"/>
            </w:tcBorders>
          </w:tcPr>
          <w:p w14:paraId="154A2581" w14:textId="77777777" w:rsidR="008A7556" w:rsidRPr="00FE45F6" w:rsidRDefault="008A7556" w:rsidP="008A7556">
            <w:pPr>
              <w:jc w:val="both"/>
              <w:rPr>
                <w:rFonts w:ascii="Arial" w:eastAsia="Book Antiqua" w:hAnsi="Arial" w:cs="Arial"/>
                <w:color w:val="000000" w:themeColor="text1"/>
              </w:rPr>
            </w:pPr>
          </w:p>
        </w:tc>
        <w:tc>
          <w:tcPr>
            <w:tcW w:w="0" w:type="auto"/>
            <w:tcBorders>
              <w:top w:val="nil"/>
              <w:bottom w:val="nil"/>
            </w:tcBorders>
          </w:tcPr>
          <w:p w14:paraId="588D9450" w14:textId="77777777" w:rsidR="008A7556" w:rsidRPr="00FE45F6" w:rsidRDefault="008A7556" w:rsidP="008A7556">
            <w:pPr>
              <w:jc w:val="both"/>
              <w:rPr>
                <w:rFonts w:ascii="Arial" w:eastAsia="Book Antiqua" w:hAnsi="Arial" w:cs="Arial"/>
                <w:color w:val="000000" w:themeColor="text1"/>
              </w:rPr>
            </w:pPr>
          </w:p>
        </w:tc>
      </w:tr>
      <w:tr w:rsidR="00506F24" w:rsidRPr="00FE45F6" w14:paraId="7847A35B" w14:textId="77777777" w:rsidTr="00A830C9">
        <w:trPr>
          <w:trHeight w:val="266"/>
        </w:trPr>
        <w:tc>
          <w:tcPr>
            <w:tcW w:w="670" w:type="dxa"/>
            <w:tcBorders>
              <w:top w:val="nil"/>
              <w:bottom w:val="single" w:sz="4" w:space="0" w:color="auto"/>
            </w:tcBorders>
          </w:tcPr>
          <w:p w14:paraId="1D6BF5D3" w14:textId="77777777" w:rsidR="008A7556" w:rsidRPr="00FE45F6" w:rsidRDefault="008A7556" w:rsidP="008A7556">
            <w:pPr>
              <w:jc w:val="both"/>
              <w:rPr>
                <w:rFonts w:ascii="Arial" w:eastAsia="Book Antiqua" w:hAnsi="Arial" w:cs="Arial"/>
                <w:color w:val="000000" w:themeColor="text1"/>
              </w:rPr>
            </w:pPr>
            <w:r w:rsidRPr="00FE45F6">
              <w:rPr>
                <w:rFonts w:ascii="Arial" w:eastAsia="Book Antiqua" w:hAnsi="Arial" w:cs="Arial"/>
                <w:color w:val="000000" w:themeColor="text1"/>
              </w:rPr>
              <w:t>CS7</w:t>
            </w:r>
          </w:p>
        </w:tc>
        <w:tc>
          <w:tcPr>
            <w:tcW w:w="4576" w:type="dxa"/>
            <w:tcBorders>
              <w:top w:val="nil"/>
              <w:bottom w:val="single" w:sz="4" w:space="0" w:color="auto"/>
            </w:tcBorders>
          </w:tcPr>
          <w:p w14:paraId="51C25B4B" w14:textId="77777777" w:rsidR="008A7556" w:rsidRPr="00FE45F6" w:rsidRDefault="0082000F" w:rsidP="008A7556">
            <w:pPr>
              <w:jc w:val="both"/>
              <w:rPr>
                <w:rFonts w:ascii="Arial" w:eastAsia="Book Antiqua" w:hAnsi="Arial" w:cs="Arial"/>
                <w:color w:val="000000" w:themeColor="text1"/>
              </w:rPr>
            </w:pPr>
            <w:r w:rsidRPr="00FE45F6">
              <w:rPr>
                <w:rFonts w:ascii="Arial" w:eastAsia="Book Antiqua" w:hAnsi="Arial" w:cs="Arial"/>
                <w:color w:val="000000" w:themeColor="text1"/>
                <w:sz w:val="20"/>
                <w:szCs w:val="20"/>
              </w:rPr>
              <w:t xml:space="preserve">Using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makes me feel pleased with my food ordering experience.</w:t>
            </w:r>
          </w:p>
        </w:tc>
        <w:tc>
          <w:tcPr>
            <w:tcW w:w="0" w:type="auto"/>
            <w:tcBorders>
              <w:top w:val="nil"/>
              <w:bottom w:val="single" w:sz="4" w:space="0" w:color="auto"/>
            </w:tcBorders>
          </w:tcPr>
          <w:p w14:paraId="28353C91" w14:textId="77777777" w:rsidR="008A7556" w:rsidRPr="00FE45F6" w:rsidRDefault="008A7556" w:rsidP="008A7556">
            <w:pPr>
              <w:jc w:val="both"/>
              <w:rPr>
                <w:rFonts w:ascii="Arial" w:eastAsia="Book Antiqua" w:hAnsi="Arial" w:cs="Arial"/>
                <w:color w:val="000000" w:themeColor="text1"/>
              </w:rPr>
            </w:pPr>
            <w:r w:rsidRPr="00FE45F6">
              <w:rPr>
                <w:color w:val="000000" w:themeColor="text1"/>
              </w:rPr>
              <w:t>0.776</w:t>
            </w:r>
          </w:p>
        </w:tc>
        <w:tc>
          <w:tcPr>
            <w:tcW w:w="0" w:type="auto"/>
            <w:tcBorders>
              <w:top w:val="nil"/>
              <w:bottom w:val="single" w:sz="4" w:space="0" w:color="auto"/>
            </w:tcBorders>
          </w:tcPr>
          <w:p w14:paraId="1D6144DE" w14:textId="77777777" w:rsidR="008A7556" w:rsidRPr="00FE45F6" w:rsidRDefault="008A7556" w:rsidP="008A7556">
            <w:pPr>
              <w:jc w:val="both"/>
              <w:rPr>
                <w:rFonts w:ascii="Arial" w:eastAsia="Book Antiqua" w:hAnsi="Arial" w:cs="Arial"/>
                <w:color w:val="000000" w:themeColor="text1"/>
              </w:rPr>
            </w:pPr>
          </w:p>
        </w:tc>
        <w:tc>
          <w:tcPr>
            <w:tcW w:w="0" w:type="auto"/>
            <w:tcBorders>
              <w:top w:val="nil"/>
              <w:bottom w:val="single" w:sz="4" w:space="0" w:color="auto"/>
            </w:tcBorders>
          </w:tcPr>
          <w:p w14:paraId="379BC959" w14:textId="77777777" w:rsidR="008A7556" w:rsidRPr="00FE45F6" w:rsidRDefault="008A7556" w:rsidP="008A7556">
            <w:pPr>
              <w:jc w:val="both"/>
              <w:rPr>
                <w:rFonts w:ascii="Arial" w:eastAsia="Book Antiqua" w:hAnsi="Arial" w:cs="Arial"/>
                <w:color w:val="000000" w:themeColor="text1"/>
              </w:rPr>
            </w:pPr>
          </w:p>
        </w:tc>
        <w:tc>
          <w:tcPr>
            <w:tcW w:w="0" w:type="auto"/>
            <w:tcBorders>
              <w:top w:val="nil"/>
              <w:bottom w:val="single" w:sz="4" w:space="0" w:color="auto"/>
            </w:tcBorders>
          </w:tcPr>
          <w:p w14:paraId="6E8826DB" w14:textId="77777777" w:rsidR="008A7556" w:rsidRPr="00FE45F6" w:rsidRDefault="008A7556" w:rsidP="008A7556">
            <w:pPr>
              <w:jc w:val="both"/>
              <w:rPr>
                <w:rFonts w:ascii="Arial" w:eastAsia="Book Antiqua" w:hAnsi="Arial" w:cs="Arial"/>
                <w:color w:val="000000" w:themeColor="text1"/>
              </w:rPr>
            </w:pPr>
          </w:p>
        </w:tc>
      </w:tr>
      <w:tr w:rsidR="00506F24" w:rsidRPr="00FE45F6" w14:paraId="55B7AEAD" w14:textId="77777777" w:rsidTr="00A830C9">
        <w:trPr>
          <w:trHeight w:val="266"/>
        </w:trPr>
        <w:tc>
          <w:tcPr>
            <w:tcW w:w="0" w:type="auto"/>
            <w:gridSpan w:val="6"/>
            <w:tcBorders>
              <w:top w:val="single" w:sz="4" w:space="0" w:color="auto"/>
              <w:bottom w:val="single" w:sz="4" w:space="0" w:color="auto"/>
            </w:tcBorders>
          </w:tcPr>
          <w:p w14:paraId="6F52C760" w14:textId="77777777" w:rsidR="00800283" w:rsidRPr="00FE45F6" w:rsidRDefault="00800283" w:rsidP="00800283">
            <w:pPr>
              <w:jc w:val="both"/>
              <w:rPr>
                <w:rFonts w:ascii="Arial" w:eastAsia="Book Antiqua" w:hAnsi="Arial" w:cs="Arial"/>
                <w:b/>
                <w:bCs/>
                <w:color w:val="000000" w:themeColor="text1"/>
                <w:sz w:val="20"/>
                <w:szCs w:val="20"/>
              </w:rPr>
            </w:pPr>
            <w:r w:rsidRPr="00FE45F6">
              <w:rPr>
                <w:rFonts w:ascii="Arial" w:eastAsia="Book Antiqua" w:hAnsi="Arial" w:cs="Arial"/>
                <w:b/>
                <w:bCs/>
                <w:color w:val="000000" w:themeColor="text1"/>
                <w:sz w:val="20"/>
                <w:szCs w:val="20"/>
              </w:rPr>
              <w:t>Resue Intention</w:t>
            </w:r>
          </w:p>
        </w:tc>
      </w:tr>
      <w:tr w:rsidR="00506F24" w:rsidRPr="00FE45F6" w14:paraId="051660BB" w14:textId="77777777" w:rsidTr="00A830C9">
        <w:trPr>
          <w:trHeight w:val="252"/>
        </w:trPr>
        <w:tc>
          <w:tcPr>
            <w:tcW w:w="670" w:type="dxa"/>
            <w:tcBorders>
              <w:top w:val="single" w:sz="4" w:space="0" w:color="auto"/>
              <w:bottom w:val="nil"/>
            </w:tcBorders>
          </w:tcPr>
          <w:p w14:paraId="02B505FB"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lastRenderedPageBreak/>
              <w:t>RI1</w:t>
            </w:r>
          </w:p>
        </w:tc>
        <w:tc>
          <w:tcPr>
            <w:tcW w:w="4576" w:type="dxa"/>
            <w:tcBorders>
              <w:top w:val="single" w:sz="4" w:space="0" w:color="auto"/>
              <w:bottom w:val="nil"/>
            </w:tcBorders>
          </w:tcPr>
          <w:p w14:paraId="75B32D92" w14:textId="77777777" w:rsidR="008A7556" w:rsidRPr="00FE45F6" w:rsidRDefault="00286CC7"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I expect to use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frequently in the future.</w:t>
            </w:r>
          </w:p>
        </w:tc>
        <w:tc>
          <w:tcPr>
            <w:tcW w:w="0" w:type="auto"/>
            <w:tcBorders>
              <w:top w:val="single" w:sz="4" w:space="0" w:color="auto"/>
              <w:bottom w:val="nil"/>
            </w:tcBorders>
          </w:tcPr>
          <w:p w14:paraId="75E82D81"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0.782</w:t>
            </w:r>
          </w:p>
        </w:tc>
        <w:tc>
          <w:tcPr>
            <w:tcW w:w="0" w:type="auto"/>
            <w:tcBorders>
              <w:top w:val="single" w:sz="4" w:space="0" w:color="auto"/>
              <w:bottom w:val="nil"/>
            </w:tcBorders>
          </w:tcPr>
          <w:p w14:paraId="67269B2E" w14:textId="77777777" w:rsidR="008A7556" w:rsidRPr="00FE45F6" w:rsidRDefault="00052195"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0.868</w:t>
            </w:r>
          </w:p>
        </w:tc>
        <w:tc>
          <w:tcPr>
            <w:tcW w:w="0" w:type="auto"/>
            <w:tcBorders>
              <w:top w:val="single" w:sz="4" w:space="0" w:color="auto"/>
              <w:bottom w:val="nil"/>
            </w:tcBorders>
          </w:tcPr>
          <w:p w14:paraId="4F1C3483" w14:textId="77777777" w:rsidR="008A7556" w:rsidRPr="00FE45F6" w:rsidRDefault="00052195"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3.477</w:t>
            </w:r>
          </w:p>
        </w:tc>
        <w:tc>
          <w:tcPr>
            <w:tcW w:w="0" w:type="auto"/>
            <w:tcBorders>
              <w:top w:val="single" w:sz="4" w:space="0" w:color="auto"/>
              <w:bottom w:val="nil"/>
            </w:tcBorders>
          </w:tcPr>
          <w:p w14:paraId="081768A6" w14:textId="77777777" w:rsidR="008A7556" w:rsidRPr="00FE45F6" w:rsidRDefault="00052195"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69.549</w:t>
            </w:r>
          </w:p>
        </w:tc>
      </w:tr>
      <w:tr w:rsidR="00506F24" w:rsidRPr="00FE45F6" w14:paraId="712301BC" w14:textId="77777777" w:rsidTr="00BF42FC">
        <w:trPr>
          <w:trHeight w:val="266"/>
        </w:trPr>
        <w:tc>
          <w:tcPr>
            <w:tcW w:w="670" w:type="dxa"/>
            <w:tcBorders>
              <w:top w:val="nil"/>
            </w:tcBorders>
          </w:tcPr>
          <w:p w14:paraId="468990CB"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RI2</w:t>
            </w:r>
          </w:p>
        </w:tc>
        <w:tc>
          <w:tcPr>
            <w:tcW w:w="4576" w:type="dxa"/>
            <w:tcBorders>
              <w:top w:val="nil"/>
            </w:tcBorders>
          </w:tcPr>
          <w:p w14:paraId="268491B1"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I intend to continue using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in the future.</w:t>
            </w:r>
          </w:p>
        </w:tc>
        <w:tc>
          <w:tcPr>
            <w:tcW w:w="0" w:type="auto"/>
            <w:tcBorders>
              <w:top w:val="nil"/>
            </w:tcBorders>
          </w:tcPr>
          <w:p w14:paraId="46D5F3E4"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0.903</w:t>
            </w:r>
          </w:p>
        </w:tc>
        <w:tc>
          <w:tcPr>
            <w:tcW w:w="0" w:type="auto"/>
            <w:tcBorders>
              <w:top w:val="nil"/>
            </w:tcBorders>
          </w:tcPr>
          <w:p w14:paraId="18FA3B56"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tcBorders>
          </w:tcPr>
          <w:p w14:paraId="52C30CFC"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Borders>
              <w:top w:val="nil"/>
            </w:tcBorders>
          </w:tcPr>
          <w:p w14:paraId="1FD608F9"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42541C8A" w14:textId="77777777" w:rsidTr="008B2E6F">
        <w:trPr>
          <w:trHeight w:val="266"/>
        </w:trPr>
        <w:tc>
          <w:tcPr>
            <w:tcW w:w="670" w:type="dxa"/>
          </w:tcPr>
          <w:p w14:paraId="67067BDC"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RI3</w:t>
            </w:r>
          </w:p>
        </w:tc>
        <w:tc>
          <w:tcPr>
            <w:tcW w:w="4576" w:type="dxa"/>
          </w:tcPr>
          <w:p w14:paraId="7ECA9CC8" w14:textId="77777777" w:rsidR="008A7556" w:rsidRPr="00FE45F6" w:rsidRDefault="008A7556" w:rsidP="008A7556">
            <w:pPr>
              <w:jc w:val="both"/>
              <w:rPr>
                <w:rFonts w:ascii="Arial" w:eastAsia="Book Antiqua" w:hAnsi="Arial" w:cs="Arial"/>
                <w:color w:val="000000" w:themeColor="text1"/>
                <w:sz w:val="20"/>
                <w:szCs w:val="20"/>
              </w:rPr>
            </w:pP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will be my first choice when I need food delivery services.</w:t>
            </w:r>
          </w:p>
        </w:tc>
        <w:tc>
          <w:tcPr>
            <w:tcW w:w="0" w:type="auto"/>
          </w:tcPr>
          <w:p w14:paraId="3DED9A25"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0.834</w:t>
            </w:r>
          </w:p>
        </w:tc>
        <w:tc>
          <w:tcPr>
            <w:tcW w:w="0" w:type="auto"/>
          </w:tcPr>
          <w:p w14:paraId="5F3F5016"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1AF0433F"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0E5086E8"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26ADDAFE" w14:textId="77777777" w:rsidTr="008B2E6F">
        <w:trPr>
          <w:trHeight w:val="266"/>
        </w:trPr>
        <w:tc>
          <w:tcPr>
            <w:tcW w:w="670" w:type="dxa"/>
          </w:tcPr>
          <w:p w14:paraId="2FD7C50F"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RI4</w:t>
            </w:r>
          </w:p>
        </w:tc>
        <w:tc>
          <w:tcPr>
            <w:tcW w:w="4576" w:type="dxa"/>
          </w:tcPr>
          <w:p w14:paraId="03AF8BA6" w14:textId="77777777" w:rsidR="008A7556" w:rsidRPr="00FE45F6" w:rsidRDefault="00286CC7"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I intend to use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again whenever I order food online.</w:t>
            </w:r>
          </w:p>
        </w:tc>
        <w:tc>
          <w:tcPr>
            <w:tcW w:w="0" w:type="auto"/>
          </w:tcPr>
          <w:p w14:paraId="008CFF74"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0.842</w:t>
            </w:r>
          </w:p>
        </w:tc>
        <w:tc>
          <w:tcPr>
            <w:tcW w:w="0" w:type="auto"/>
          </w:tcPr>
          <w:p w14:paraId="3C30B5B2"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33B73C1E"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178A10A9" w14:textId="77777777" w:rsidR="008A7556" w:rsidRPr="00FE45F6" w:rsidRDefault="008A7556" w:rsidP="008A7556">
            <w:pPr>
              <w:jc w:val="both"/>
              <w:rPr>
                <w:rFonts w:ascii="Arial" w:eastAsia="Book Antiqua" w:hAnsi="Arial" w:cs="Arial"/>
                <w:color w:val="000000" w:themeColor="text1"/>
                <w:sz w:val="20"/>
                <w:szCs w:val="20"/>
              </w:rPr>
            </w:pPr>
          </w:p>
        </w:tc>
      </w:tr>
      <w:tr w:rsidR="00506F24" w:rsidRPr="00FE45F6" w14:paraId="725FC577" w14:textId="77777777" w:rsidTr="008B2E6F">
        <w:trPr>
          <w:trHeight w:val="252"/>
        </w:trPr>
        <w:tc>
          <w:tcPr>
            <w:tcW w:w="670" w:type="dxa"/>
          </w:tcPr>
          <w:p w14:paraId="76B71391"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RI5</w:t>
            </w:r>
          </w:p>
        </w:tc>
        <w:tc>
          <w:tcPr>
            <w:tcW w:w="4576" w:type="dxa"/>
          </w:tcPr>
          <w:p w14:paraId="6876A4F3" w14:textId="77777777" w:rsidR="008A7556" w:rsidRPr="00FE45F6" w:rsidRDefault="008A7556" w:rsidP="008A7556">
            <w:pPr>
              <w:jc w:val="both"/>
              <w:rPr>
                <w:rFonts w:ascii="Arial" w:eastAsia="Book Antiqua" w:hAnsi="Arial" w:cs="Arial"/>
                <w:color w:val="000000" w:themeColor="text1"/>
                <w:sz w:val="20"/>
                <w:szCs w:val="20"/>
              </w:rPr>
            </w:pPr>
            <w:r w:rsidRPr="00FE45F6">
              <w:rPr>
                <w:rFonts w:ascii="Arial" w:eastAsia="Book Antiqua" w:hAnsi="Arial" w:cs="Arial"/>
                <w:color w:val="000000" w:themeColor="text1"/>
                <w:sz w:val="20"/>
                <w:szCs w:val="20"/>
              </w:rPr>
              <w:t xml:space="preserve">I will choose </w:t>
            </w:r>
            <w:proofErr w:type="spellStart"/>
            <w:r w:rsidRPr="00FE45F6">
              <w:rPr>
                <w:rFonts w:ascii="Arial" w:eastAsia="Book Antiqua" w:hAnsi="Arial" w:cs="Arial"/>
                <w:color w:val="000000" w:themeColor="text1"/>
                <w:sz w:val="20"/>
                <w:szCs w:val="20"/>
              </w:rPr>
              <w:t>Foodpanda</w:t>
            </w:r>
            <w:proofErr w:type="spellEnd"/>
            <w:r w:rsidRPr="00FE45F6">
              <w:rPr>
                <w:rFonts w:ascii="Arial" w:eastAsia="Book Antiqua" w:hAnsi="Arial" w:cs="Arial"/>
                <w:color w:val="000000" w:themeColor="text1"/>
                <w:sz w:val="20"/>
                <w:szCs w:val="20"/>
              </w:rPr>
              <w:t xml:space="preserve"> over other food delivery platforms whenever possible.</w:t>
            </w:r>
          </w:p>
        </w:tc>
        <w:tc>
          <w:tcPr>
            <w:tcW w:w="0" w:type="auto"/>
          </w:tcPr>
          <w:p w14:paraId="2AA2E11C" w14:textId="77777777" w:rsidR="008A7556" w:rsidRPr="00FE45F6" w:rsidRDefault="008A7556" w:rsidP="008A7556">
            <w:pPr>
              <w:jc w:val="both"/>
              <w:rPr>
                <w:rFonts w:ascii="Arial" w:eastAsia="Book Antiqua" w:hAnsi="Arial" w:cs="Arial"/>
                <w:color w:val="000000" w:themeColor="text1"/>
                <w:sz w:val="20"/>
                <w:szCs w:val="20"/>
              </w:rPr>
            </w:pPr>
            <w:r w:rsidRPr="00FE45F6">
              <w:rPr>
                <w:color w:val="000000" w:themeColor="text1"/>
              </w:rPr>
              <w:t>0.804</w:t>
            </w:r>
          </w:p>
        </w:tc>
        <w:tc>
          <w:tcPr>
            <w:tcW w:w="0" w:type="auto"/>
          </w:tcPr>
          <w:p w14:paraId="45A2B90D"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0EA20550" w14:textId="77777777" w:rsidR="008A7556" w:rsidRPr="00FE45F6" w:rsidRDefault="008A7556" w:rsidP="008A7556">
            <w:pPr>
              <w:jc w:val="both"/>
              <w:rPr>
                <w:rFonts w:ascii="Arial" w:eastAsia="Book Antiqua" w:hAnsi="Arial" w:cs="Arial"/>
                <w:color w:val="000000" w:themeColor="text1"/>
                <w:sz w:val="20"/>
                <w:szCs w:val="20"/>
              </w:rPr>
            </w:pPr>
          </w:p>
        </w:tc>
        <w:tc>
          <w:tcPr>
            <w:tcW w:w="0" w:type="auto"/>
          </w:tcPr>
          <w:p w14:paraId="78B27C84" w14:textId="77777777" w:rsidR="008A7556" w:rsidRPr="00FE45F6" w:rsidRDefault="008A7556" w:rsidP="008A7556">
            <w:pPr>
              <w:jc w:val="both"/>
              <w:rPr>
                <w:rFonts w:ascii="Arial" w:eastAsia="Book Antiqua" w:hAnsi="Arial" w:cs="Arial"/>
                <w:color w:val="000000" w:themeColor="text1"/>
                <w:sz w:val="20"/>
                <w:szCs w:val="20"/>
              </w:rPr>
            </w:pPr>
          </w:p>
        </w:tc>
      </w:tr>
    </w:tbl>
    <w:p w14:paraId="5F276DA0" w14:textId="77777777" w:rsidR="001654E6" w:rsidRPr="00FE45F6" w:rsidRDefault="001654E6" w:rsidP="001654E6">
      <w:pPr>
        <w:rPr>
          <w:rFonts w:ascii="Arial" w:eastAsia="Book Antiqua" w:hAnsi="Arial" w:cs="Arial"/>
        </w:rPr>
      </w:pPr>
    </w:p>
    <w:p w14:paraId="06A575A9" w14:textId="77777777" w:rsidR="008A7556" w:rsidRPr="00FE45F6" w:rsidRDefault="004622EC" w:rsidP="006013A0">
      <w:pPr>
        <w:spacing w:after="200"/>
        <w:jc w:val="both"/>
        <w:rPr>
          <w:rFonts w:ascii="Arial" w:eastAsia="Book Antiqua" w:hAnsi="Arial" w:cs="Arial"/>
          <w:b/>
          <w:bCs/>
        </w:rPr>
      </w:pPr>
      <w:r w:rsidRPr="00FE45F6">
        <w:rPr>
          <w:rFonts w:ascii="Arial" w:eastAsia="Book Antiqua" w:hAnsi="Arial" w:cs="Arial"/>
          <w:b/>
          <w:bCs/>
        </w:rPr>
        <w:t xml:space="preserve">4.1.3. </w:t>
      </w:r>
      <w:r w:rsidR="006013A0" w:rsidRPr="00FE45F6">
        <w:rPr>
          <w:rFonts w:ascii="Arial" w:eastAsia="Book Antiqua" w:hAnsi="Arial" w:cs="Arial"/>
          <w:b/>
          <w:bCs/>
        </w:rPr>
        <w:t>Reliability Testing</w:t>
      </w:r>
    </w:p>
    <w:p w14:paraId="149F8267" w14:textId="77777777" w:rsidR="002F6AF0" w:rsidRPr="00FE45F6" w:rsidRDefault="002F6AF0" w:rsidP="006013A0">
      <w:pPr>
        <w:spacing w:after="200"/>
        <w:jc w:val="both"/>
        <w:rPr>
          <w:rFonts w:ascii="Arial" w:eastAsia="Book Antiqua" w:hAnsi="Arial" w:cs="Arial"/>
        </w:rPr>
      </w:pPr>
      <w:r w:rsidRPr="00FE45F6">
        <w:rPr>
          <w:rFonts w:ascii="Arial" w:eastAsia="Book Antiqua" w:hAnsi="Arial" w:cs="Arial"/>
        </w:rPr>
        <w:t>Table 6 shows that all constructs achieved satisfactory reliability, with Cronbach’s alpha (α) values ranging from 0.862 to 0.952 and average inter-item correlation (AIIC) values ranging from 0.545 to 0.638. After EFA, two items (SQ1 and SQ6) were removed to improve measurement consistency. Overall, the reliability results indicate that the measurement items demonstrated acceptable internal consistency for further analysis.</w:t>
      </w:r>
    </w:p>
    <w:p w14:paraId="465A7120" w14:textId="77777777" w:rsidR="002F6AF0" w:rsidRPr="00FE45F6" w:rsidRDefault="002F6AF0" w:rsidP="002F6AF0">
      <w:pPr>
        <w:spacing w:after="200"/>
        <w:jc w:val="center"/>
        <w:rPr>
          <w:rFonts w:ascii="Arial" w:eastAsia="Book Antiqua" w:hAnsi="Arial" w:cs="Arial"/>
          <w:b/>
          <w:bCs/>
        </w:rPr>
      </w:pPr>
      <w:r w:rsidRPr="00FE45F6">
        <w:rPr>
          <w:rFonts w:ascii="Arial" w:eastAsia="Book Antiqua" w:hAnsi="Arial" w:cs="Arial"/>
          <w:b/>
          <w:bCs/>
        </w:rPr>
        <w:t>Table 6. Reliability analysis of measurement items</w:t>
      </w:r>
    </w:p>
    <w:tbl>
      <w:tblPr>
        <w:tblStyle w:val="TableGrid"/>
        <w:tblW w:w="816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538"/>
        <w:gridCol w:w="806"/>
        <w:gridCol w:w="1630"/>
        <w:gridCol w:w="1884"/>
        <w:gridCol w:w="782"/>
      </w:tblGrid>
      <w:tr w:rsidR="002F6AF0" w:rsidRPr="00FE45F6" w14:paraId="4C0CD881" w14:textId="77777777" w:rsidTr="008B2E6F">
        <w:trPr>
          <w:trHeight w:val="47"/>
        </w:trPr>
        <w:tc>
          <w:tcPr>
            <w:tcW w:w="0" w:type="auto"/>
            <w:tcBorders>
              <w:top w:val="single" w:sz="4" w:space="0" w:color="auto"/>
              <w:bottom w:val="single" w:sz="4" w:space="0" w:color="auto"/>
            </w:tcBorders>
          </w:tcPr>
          <w:p w14:paraId="16B2ABF3"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lang w:bidi="km-KH"/>
              </w:rPr>
              <w:t>No</w:t>
            </w:r>
          </w:p>
        </w:tc>
        <w:tc>
          <w:tcPr>
            <w:tcW w:w="0" w:type="auto"/>
            <w:tcBorders>
              <w:top w:val="single" w:sz="4" w:space="0" w:color="auto"/>
              <w:bottom w:val="single" w:sz="4" w:space="0" w:color="auto"/>
            </w:tcBorders>
          </w:tcPr>
          <w:p w14:paraId="5F7B3C27"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lang w:bidi="km-KH"/>
              </w:rPr>
              <w:t>Constructs</w:t>
            </w:r>
          </w:p>
        </w:tc>
        <w:tc>
          <w:tcPr>
            <w:tcW w:w="0" w:type="auto"/>
            <w:tcBorders>
              <w:top w:val="single" w:sz="4" w:space="0" w:color="auto"/>
              <w:bottom w:val="single" w:sz="4" w:space="0" w:color="auto"/>
            </w:tcBorders>
          </w:tcPr>
          <w:p w14:paraId="15BF8AD3"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lang w:bidi="km-KH"/>
              </w:rPr>
              <w:t>Items</w:t>
            </w:r>
          </w:p>
        </w:tc>
        <w:tc>
          <w:tcPr>
            <w:tcW w:w="0" w:type="auto"/>
            <w:tcBorders>
              <w:top w:val="single" w:sz="4" w:space="0" w:color="auto"/>
              <w:bottom w:val="single" w:sz="4" w:space="0" w:color="auto"/>
            </w:tcBorders>
          </w:tcPr>
          <w:p w14:paraId="703D6E48"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rPr>
              <w:t>Cronbach’s α</w:t>
            </w:r>
          </w:p>
        </w:tc>
        <w:tc>
          <w:tcPr>
            <w:tcW w:w="0" w:type="auto"/>
            <w:tcBorders>
              <w:top w:val="single" w:sz="4" w:space="0" w:color="auto"/>
              <w:bottom w:val="single" w:sz="4" w:space="0" w:color="auto"/>
            </w:tcBorders>
          </w:tcPr>
          <w:p w14:paraId="7FBCB1BE"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rPr>
              <w:t>Reliability Level</w:t>
            </w:r>
          </w:p>
        </w:tc>
        <w:tc>
          <w:tcPr>
            <w:tcW w:w="0" w:type="auto"/>
            <w:tcBorders>
              <w:top w:val="single" w:sz="4" w:space="0" w:color="auto"/>
              <w:bottom w:val="single" w:sz="4" w:space="0" w:color="auto"/>
            </w:tcBorders>
          </w:tcPr>
          <w:p w14:paraId="04FBD451" w14:textId="77777777" w:rsidR="002F6AF0" w:rsidRPr="00FE45F6" w:rsidRDefault="002F6AF0" w:rsidP="002F6AF0">
            <w:pPr>
              <w:autoSpaceDE w:val="0"/>
              <w:autoSpaceDN w:val="0"/>
              <w:adjustRightInd w:val="0"/>
              <w:rPr>
                <w:rFonts w:ascii="Arial" w:hAnsi="Arial" w:cs="Arial"/>
                <w:b/>
                <w:bCs/>
                <w:sz w:val="20"/>
                <w:szCs w:val="20"/>
                <w:lang w:bidi="km-KH"/>
              </w:rPr>
            </w:pPr>
            <w:r w:rsidRPr="00FE45F6">
              <w:rPr>
                <w:rFonts w:ascii="Arial" w:hAnsi="Arial" w:cs="Arial"/>
                <w:b/>
                <w:bCs/>
                <w:sz w:val="20"/>
                <w:szCs w:val="20"/>
              </w:rPr>
              <w:t>AIIC</w:t>
            </w:r>
          </w:p>
        </w:tc>
      </w:tr>
      <w:tr w:rsidR="002F6AF0" w:rsidRPr="00FE45F6" w14:paraId="1F15CDD1" w14:textId="77777777" w:rsidTr="008B2E6F">
        <w:trPr>
          <w:trHeight w:val="47"/>
        </w:trPr>
        <w:tc>
          <w:tcPr>
            <w:tcW w:w="0" w:type="auto"/>
            <w:tcBorders>
              <w:top w:val="single" w:sz="4" w:space="0" w:color="auto"/>
            </w:tcBorders>
          </w:tcPr>
          <w:p w14:paraId="23DAA5BB"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1</w:t>
            </w:r>
          </w:p>
        </w:tc>
        <w:tc>
          <w:tcPr>
            <w:tcW w:w="0" w:type="auto"/>
            <w:tcBorders>
              <w:top w:val="single" w:sz="4" w:space="0" w:color="auto"/>
            </w:tcBorders>
          </w:tcPr>
          <w:p w14:paraId="1614BABF"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Service Quality</w:t>
            </w:r>
          </w:p>
        </w:tc>
        <w:tc>
          <w:tcPr>
            <w:tcW w:w="0" w:type="auto"/>
            <w:tcBorders>
              <w:top w:val="single" w:sz="4" w:space="0" w:color="auto"/>
            </w:tcBorders>
          </w:tcPr>
          <w:p w14:paraId="344CF3A0"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5</w:t>
            </w:r>
          </w:p>
        </w:tc>
        <w:tc>
          <w:tcPr>
            <w:tcW w:w="0" w:type="auto"/>
            <w:tcBorders>
              <w:top w:val="single" w:sz="4" w:space="0" w:color="auto"/>
            </w:tcBorders>
          </w:tcPr>
          <w:p w14:paraId="072B0A7C"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0.862</w:t>
            </w:r>
          </w:p>
        </w:tc>
        <w:tc>
          <w:tcPr>
            <w:tcW w:w="0" w:type="auto"/>
            <w:tcBorders>
              <w:top w:val="single" w:sz="4" w:space="0" w:color="auto"/>
            </w:tcBorders>
          </w:tcPr>
          <w:p w14:paraId="193DE3DB"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Good</w:t>
            </w:r>
          </w:p>
        </w:tc>
        <w:tc>
          <w:tcPr>
            <w:tcW w:w="0" w:type="auto"/>
            <w:tcBorders>
              <w:top w:val="single" w:sz="4" w:space="0" w:color="auto"/>
            </w:tcBorders>
          </w:tcPr>
          <w:p w14:paraId="765B13DC"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0.556</w:t>
            </w:r>
          </w:p>
        </w:tc>
      </w:tr>
      <w:tr w:rsidR="002F6AF0" w:rsidRPr="00FE45F6" w14:paraId="0D040BE4" w14:textId="77777777" w:rsidTr="008B2E6F">
        <w:trPr>
          <w:trHeight w:val="47"/>
        </w:trPr>
        <w:tc>
          <w:tcPr>
            <w:tcW w:w="0" w:type="auto"/>
          </w:tcPr>
          <w:p w14:paraId="22859E2C"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2</w:t>
            </w:r>
          </w:p>
        </w:tc>
        <w:tc>
          <w:tcPr>
            <w:tcW w:w="0" w:type="auto"/>
          </w:tcPr>
          <w:p w14:paraId="7B11D041"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Perceived Convenience</w:t>
            </w:r>
          </w:p>
        </w:tc>
        <w:tc>
          <w:tcPr>
            <w:tcW w:w="0" w:type="auto"/>
          </w:tcPr>
          <w:p w14:paraId="756F3862"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7</w:t>
            </w:r>
          </w:p>
        </w:tc>
        <w:tc>
          <w:tcPr>
            <w:tcW w:w="0" w:type="auto"/>
          </w:tcPr>
          <w:p w14:paraId="46D301A9"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0.952</w:t>
            </w:r>
          </w:p>
        </w:tc>
        <w:tc>
          <w:tcPr>
            <w:tcW w:w="0" w:type="auto"/>
          </w:tcPr>
          <w:p w14:paraId="27F38630"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Excellent</w:t>
            </w:r>
          </w:p>
        </w:tc>
        <w:tc>
          <w:tcPr>
            <w:tcW w:w="0" w:type="auto"/>
          </w:tcPr>
          <w:p w14:paraId="446FB874"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0.638</w:t>
            </w:r>
          </w:p>
        </w:tc>
      </w:tr>
      <w:tr w:rsidR="002F6AF0" w:rsidRPr="00FE45F6" w14:paraId="39F429AC" w14:textId="77777777" w:rsidTr="008B2E6F">
        <w:trPr>
          <w:trHeight w:val="47"/>
        </w:trPr>
        <w:tc>
          <w:tcPr>
            <w:tcW w:w="0" w:type="auto"/>
          </w:tcPr>
          <w:p w14:paraId="6F48E3D2"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3</w:t>
            </w:r>
          </w:p>
        </w:tc>
        <w:tc>
          <w:tcPr>
            <w:tcW w:w="0" w:type="auto"/>
          </w:tcPr>
          <w:p w14:paraId="5A58DFC1"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Customer Satisfaction</w:t>
            </w:r>
          </w:p>
        </w:tc>
        <w:tc>
          <w:tcPr>
            <w:tcW w:w="0" w:type="auto"/>
          </w:tcPr>
          <w:p w14:paraId="1E8CE1AE"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7</w:t>
            </w:r>
          </w:p>
        </w:tc>
        <w:tc>
          <w:tcPr>
            <w:tcW w:w="0" w:type="auto"/>
          </w:tcPr>
          <w:p w14:paraId="1DBA9FA3"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0.893</w:t>
            </w:r>
          </w:p>
        </w:tc>
        <w:tc>
          <w:tcPr>
            <w:tcW w:w="0" w:type="auto"/>
          </w:tcPr>
          <w:p w14:paraId="1B8AF860"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Good</w:t>
            </w:r>
          </w:p>
        </w:tc>
        <w:tc>
          <w:tcPr>
            <w:tcW w:w="0" w:type="auto"/>
          </w:tcPr>
          <w:p w14:paraId="3D672B47"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0.545</w:t>
            </w:r>
          </w:p>
        </w:tc>
      </w:tr>
      <w:tr w:rsidR="002F6AF0" w:rsidRPr="00FE45F6" w14:paraId="37740D51" w14:textId="77777777" w:rsidTr="008B2E6F">
        <w:trPr>
          <w:trHeight w:val="47"/>
        </w:trPr>
        <w:tc>
          <w:tcPr>
            <w:tcW w:w="0" w:type="auto"/>
          </w:tcPr>
          <w:p w14:paraId="66EF6E05"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4</w:t>
            </w:r>
          </w:p>
        </w:tc>
        <w:tc>
          <w:tcPr>
            <w:tcW w:w="0" w:type="auto"/>
          </w:tcPr>
          <w:p w14:paraId="0A5C9B0C"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Reuse Intention</w:t>
            </w:r>
          </w:p>
        </w:tc>
        <w:tc>
          <w:tcPr>
            <w:tcW w:w="0" w:type="auto"/>
          </w:tcPr>
          <w:p w14:paraId="1DB4DE0C"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5</w:t>
            </w:r>
          </w:p>
        </w:tc>
        <w:tc>
          <w:tcPr>
            <w:tcW w:w="0" w:type="auto"/>
          </w:tcPr>
          <w:p w14:paraId="3EB73F29"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0.890</w:t>
            </w:r>
          </w:p>
        </w:tc>
        <w:tc>
          <w:tcPr>
            <w:tcW w:w="0" w:type="auto"/>
          </w:tcPr>
          <w:p w14:paraId="16FEE8B4"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Good</w:t>
            </w:r>
          </w:p>
        </w:tc>
        <w:tc>
          <w:tcPr>
            <w:tcW w:w="0" w:type="auto"/>
          </w:tcPr>
          <w:p w14:paraId="4C320EF1" w14:textId="77777777" w:rsidR="002F6AF0" w:rsidRPr="00FE45F6" w:rsidRDefault="002F6AF0" w:rsidP="002F6AF0">
            <w:pPr>
              <w:autoSpaceDE w:val="0"/>
              <w:autoSpaceDN w:val="0"/>
              <w:adjustRightInd w:val="0"/>
              <w:rPr>
                <w:rFonts w:ascii="Arial" w:hAnsi="Arial" w:cs="Arial"/>
                <w:sz w:val="20"/>
                <w:szCs w:val="20"/>
                <w:lang w:bidi="km-KH"/>
              </w:rPr>
            </w:pPr>
            <w:r w:rsidRPr="00FE45F6">
              <w:rPr>
                <w:rFonts w:ascii="Arial" w:hAnsi="Arial" w:cs="Arial"/>
                <w:sz w:val="20"/>
                <w:szCs w:val="20"/>
                <w:lang w:bidi="km-KH"/>
              </w:rPr>
              <w:t>0.617</w:t>
            </w:r>
          </w:p>
        </w:tc>
      </w:tr>
    </w:tbl>
    <w:p w14:paraId="7A2FA720" w14:textId="77777777" w:rsidR="008A7556" w:rsidRPr="00FE45F6" w:rsidRDefault="002F6AF0" w:rsidP="008B2E6F">
      <w:pPr>
        <w:autoSpaceDE w:val="0"/>
        <w:autoSpaceDN w:val="0"/>
        <w:adjustRightInd w:val="0"/>
        <w:ind w:right="128"/>
        <w:jc w:val="both"/>
        <w:rPr>
          <w:rFonts w:ascii="Arial" w:hAnsi="Arial" w:cs="Arial"/>
          <w:i/>
          <w:iCs/>
          <w:sz w:val="18"/>
          <w:szCs w:val="18"/>
          <w:lang w:bidi="km-KH"/>
        </w:rPr>
      </w:pPr>
      <w:r w:rsidRPr="00FE45F6">
        <w:rPr>
          <w:rFonts w:ascii="Arial" w:hAnsi="Arial" w:cs="Arial"/>
          <w:i/>
          <w:iCs/>
          <w:sz w:val="18"/>
          <w:szCs w:val="18"/>
          <w:lang w:bidi="km-KH"/>
        </w:rPr>
        <w:t>Note. Cronbach’s α: excellent (&gt; 0.90); good (0.80–0.89); acceptable (0.70–0.79); questionable (0.60–0.69); poor (0.50–0.59); and unacceptable (&lt; 0.50); AIIC: 0.30 ≤ AIIC ≤ 0.70.</w:t>
      </w:r>
    </w:p>
    <w:p w14:paraId="112B7A81" w14:textId="77777777" w:rsidR="0091612D" w:rsidRPr="00FE45F6" w:rsidRDefault="0091612D" w:rsidP="002F6AF0">
      <w:pPr>
        <w:autoSpaceDE w:val="0"/>
        <w:autoSpaceDN w:val="0"/>
        <w:adjustRightInd w:val="0"/>
        <w:ind w:right="-156"/>
        <w:jc w:val="both"/>
        <w:rPr>
          <w:rFonts w:ascii="Arial" w:hAnsi="Arial" w:cs="Arial"/>
          <w:lang w:bidi="km-KH"/>
        </w:rPr>
      </w:pPr>
    </w:p>
    <w:p w14:paraId="4C074E5A" w14:textId="77777777" w:rsidR="009C3C58" w:rsidRPr="00FE45F6" w:rsidRDefault="004622EC" w:rsidP="009C3C58">
      <w:pPr>
        <w:spacing w:after="200"/>
        <w:jc w:val="both"/>
        <w:rPr>
          <w:rFonts w:ascii="Arial" w:eastAsia="Book Antiqua" w:hAnsi="Arial" w:cs="Arial"/>
          <w:b/>
          <w:bCs/>
        </w:rPr>
      </w:pPr>
      <w:r w:rsidRPr="00FE45F6">
        <w:rPr>
          <w:rFonts w:ascii="Arial" w:eastAsia="Book Antiqua" w:hAnsi="Arial" w:cs="Arial"/>
          <w:b/>
          <w:bCs/>
        </w:rPr>
        <w:t xml:space="preserve">4.1.4. </w:t>
      </w:r>
      <w:r w:rsidR="0091612D" w:rsidRPr="00FE45F6">
        <w:rPr>
          <w:rFonts w:ascii="Arial" w:eastAsia="Book Antiqua" w:hAnsi="Arial" w:cs="Arial"/>
          <w:b/>
          <w:bCs/>
        </w:rPr>
        <w:t>Confirmatory Factor Analysis</w:t>
      </w:r>
    </w:p>
    <w:p w14:paraId="4F55A1F8" w14:textId="77777777" w:rsidR="009325DA" w:rsidRPr="00FE45F6" w:rsidRDefault="00F1270C" w:rsidP="00F1270C">
      <w:pPr>
        <w:pStyle w:val="AbstHead"/>
        <w:spacing w:after="200"/>
        <w:jc w:val="both"/>
        <w:rPr>
          <w:rFonts w:ascii="Arial" w:eastAsia="Book Antiqua" w:hAnsi="Arial" w:cs="Arial"/>
          <w:b w:val="0"/>
          <w:caps w:val="0"/>
          <w:sz w:val="20"/>
        </w:rPr>
      </w:pPr>
      <w:r w:rsidRPr="00FE45F6">
        <w:rPr>
          <w:rFonts w:ascii="Arial" w:eastAsia="Book Antiqua" w:hAnsi="Arial" w:cs="Arial"/>
          <w:b w:val="0"/>
          <w:caps w:val="0"/>
          <w:sz w:val="20"/>
        </w:rPr>
        <w:t xml:space="preserve">A confirmatory factor analysis (CFA) was conducted using the main sample (n = 600) following the EFA, which was performed on an independent sample. The CFA aimed to validate the measurement model and confirm the factor structure identified through the EFA. The analysis was conducted in two stages: (1) the first-order measurement model and (2) the second-order measurement model. In the first-order measurement model, each observed item was specified to load on its respective latent construct to examine construct reliability and convergent validity. </w:t>
      </w:r>
      <w:proofErr w:type="spellStart"/>
      <w:r w:rsidRPr="00FE45F6">
        <w:rPr>
          <w:rFonts w:ascii="Arial" w:eastAsia="Book Antiqua" w:hAnsi="Arial" w:cs="Arial"/>
          <w:b w:val="0"/>
          <w:caps w:val="0"/>
          <w:sz w:val="20"/>
        </w:rPr>
        <w:t>Standardised</w:t>
      </w:r>
      <w:proofErr w:type="spellEnd"/>
      <w:r w:rsidRPr="00FE45F6">
        <w:rPr>
          <w:rFonts w:ascii="Arial" w:eastAsia="Book Antiqua" w:hAnsi="Arial" w:cs="Arial"/>
          <w:b w:val="0"/>
          <w:caps w:val="0"/>
          <w:sz w:val="20"/>
        </w:rPr>
        <w:t xml:space="preserve"> factor loadings were evaluated against the recommended threshold of 0.70 or close to 0.70. This benchmark is recommended because a </w:t>
      </w:r>
      <w:proofErr w:type="spellStart"/>
      <w:r w:rsidRPr="00FE45F6">
        <w:rPr>
          <w:rFonts w:ascii="Arial" w:eastAsia="Book Antiqua" w:hAnsi="Arial" w:cs="Arial"/>
          <w:b w:val="0"/>
          <w:caps w:val="0"/>
          <w:sz w:val="20"/>
        </w:rPr>
        <w:t>standardised</w:t>
      </w:r>
      <w:proofErr w:type="spellEnd"/>
      <w:r w:rsidRPr="00FE45F6">
        <w:rPr>
          <w:rFonts w:ascii="Arial" w:eastAsia="Book Antiqua" w:hAnsi="Arial" w:cs="Arial"/>
          <w:b w:val="0"/>
          <w:caps w:val="0"/>
          <w:sz w:val="20"/>
        </w:rPr>
        <w:t xml:space="preserve"> loading of 0.70, when squared ((</w:t>
      </w:r>
      <w:proofErr w:type="gramStart"/>
      <w:r w:rsidRPr="00FE45F6">
        <w:rPr>
          <w:rFonts w:ascii="Arial" w:eastAsia="Book Antiqua" w:hAnsi="Arial" w:cs="Arial"/>
          <w:b w:val="0"/>
          <w:caps w:val="0"/>
          <w:sz w:val="20"/>
        </w:rPr>
        <w:t>0.70)²</w:t>
      </w:r>
      <w:proofErr w:type="gramEnd"/>
      <w:r w:rsidRPr="00FE45F6">
        <w:rPr>
          <w:rFonts w:ascii="Arial" w:eastAsia="Book Antiqua" w:hAnsi="Arial" w:cs="Arial"/>
          <w:b w:val="0"/>
          <w:caps w:val="0"/>
          <w:sz w:val="20"/>
        </w:rPr>
        <w:t xml:space="preserve"> = 0.49), indicates that approximately 49% of an indicator's variance is explained by its underlying construct, thereby contributing to the recommended AVE of at least 0.50 and supporting convergent validity. </w:t>
      </w:r>
    </w:p>
    <w:p w14:paraId="233387AE" w14:textId="77777777" w:rsidR="009325DA" w:rsidRPr="00FE45F6" w:rsidRDefault="009325DA" w:rsidP="009C4AE1">
      <w:pPr>
        <w:pStyle w:val="AbstHead"/>
        <w:spacing w:after="200"/>
        <w:jc w:val="both"/>
        <w:rPr>
          <w:rFonts w:ascii="Arial" w:eastAsia="Book Antiqua" w:hAnsi="Arial" w:cs="Arial"/>
          <w:b w:val="0"/>
          <w:caps w:val="0"/>
          <w:sz w:val="20"/>
        </w:rPr>
      </w:pPr>
      <w:r w:rsidRPr="00FE45F6">
        <w:rPr>
          <w:rFonts w:ascii="Arial" w:eastAsia="Book Antiqua" w:hAnsi="Arial" w:cs="Arial"/>
          <w:b w:val="0"/>
          <w:caps w:val="0"/>
          <w:sz w:val="20"/>
        </w:rPr>
        <w:t xml:space="preserve">Nevertheless, indicators with loadings slightly below 0.70 may be retained if they are theoretically meaningful and do not substantially reduce the construct's AVE below the recommended threshold. Therefore, the decision to retain or remove an indicator was based not only on its </w:t>
      </w:r>
      <w:proofErr w:type="spellStart"/>
      <w:r w:rsidRPr="00FE45F6">
        <w:rPr>
          <w:rFonts w:ascii="Arial" w:eastAsia="Book Antiqua" w:hAnsi="Arial" w:cs="Arial"/>
          <w:b w:val="0"/>
          <w:caps w:val="0"/>
          <w:sz w:val="20"/>
        </w:rPr>
        <w:t>standardised</w:t>
      </w:r>
      <w:proofErr w:type="spellEnd"/>
      <w:r w:rsidRPr="00FE45F6">
        <w:rPr>
          <w:rFonts w:ascii="Arial" w:eastAsia="Book Antiqua" w:hAnsi="Arial" w:cs="Arial"/>
          <w:b w:val="0"/>
          <w:caps w:val="0"/>
          <w:sz w:val="20"/>
        </w:rPr>
        <w:t xml:space="preserve"> loading but also on its contribution to the overall measurement quality and convergent validity of the construct. Accordingly, items with inadequate loadings were reviewed and removed when necessary. The results indicate that three items, namely SQ5 (λ = 0.601), CS5 (λ = 0.657), and RI1 (λ = 0.632), were removed due to their low factor loadings. These items also exhibited weaker higher-order loadings, cross-loading concerns, and high modification indices in the second-order model. Their removal improved the overall measurement quality and model fit. Subsequently, the second-order measurement model was </w:t>
      </w:r>
      <w:r w:rsidRPr="00FE45F6">
        <w:rPr>
          <w:rFonts w:ascii="Arial" w:eastAsia="Book Antiqua" w:hAnsi="Arial" w:cs="Arial"/>
          <w:b w:val="0"/>
          <w:caps w:val="0"/>
          <w:sz w:val="20"/>
        </w:rPr>
        <w:lastRenderedPageBreak/>
        <w:t xml:space="preserve">estimated to examine the relationships between the higher-order constructs and their underlying dimensions. </w:t>
      </w:r>
    </w:p>
    <w:p w14:paraId="0AE8D6DC" w14:textId="77777777" w:rsidR="009C4AE1" w:rsidRPr="00FE45F6" w:rsidRDefault="00506F24" w:rsidP="009C4AE1">
      <w:pPr>
        <w:pStyle w:val="AbstHead"/>
        <w:spacing w:after="200"/>
        <w:jc w:val="both"/>
        <w:rPr>
          <w:rFonts w:ascii="Arial" w:eastAsia="Book Antiqua" w:hAnsi="Arial" w:cs="Arial"/>
          <w:b w:val="0"/>
          <w:caps w:val="0"/>
          <w:sz w:val="20"/>
        </w:rPr>
      </w:pPr>
      <w:r w:rsidRPr="00FE45F6">
        <w:rPr>
          <w:rFonts w:ascii="Arial" w:eastAsia="Book Antiqua" w:hAnsi="Arial" w:cs="Arial"/>
          <w:b w:val="0"/>
          <w:caps w:val="0"/>
          <w:sz w:val="20"/>
        </w:rPr>
        <w:t>After establishing an acceptable first-order measurement model, a second-order factor model was subsequently estimated using the validated first-order factors as indicators of their respective higher-order constructs. All retained first-order factors showed satisfactory higher-order loadings, with loadings either exceeding or closely approaching 0.70, and the overall model demonstrated acceptable fit. The χ²/</w:t>
      </w:r>
      <w:proofErr w:type="spellStart"/>
      <w:r w:rsidRPr="00FE45F6">
        <w:rPr>
          <w:rFonts w:ascii="Arial" w:eastAsia="Book Antiqua" w:hAnsi="Arial" w:cs="Arial"/>
          <w:b w:val="0"/>
          <w:caps w:val="0"/>
          <w:sz w:val="20"/>
        </w:rPr>
        <w:t>df</w:t>
      </w:r>
      <w:proofErr w:type="spellEnd"/>
      <w:r w:rsidRPr="00FE45F6">
        <w:rPr>
          <w:rFonts w:ascii="Arial" w:eastAsia="Book Antiqua" w:hAnsi="Arial" w:cs="Arial"/>
          <w:b w:val="0"/>
          <w:caps w:val="0"/>
          <w:sz w:val="20"/>
        </w:rPr>
        <w:t xml:space="preserve"> ratio was 2.948, below the recommended threshold of 3.00, while the RMSEA value was 0.057, indicating good model fit. The incremental fit indices also showed strong model performance, including NFI = 0.933, CFI = 0.954, TLI = 0.946, IFI = 0.954, and RFI = 0.920. Furthermore, the absolute fit indices, including GFI = 0.922 and AGFI = 0.890, indicated adequate model fit. Overall, the CFA results confirm the validity and stability of the measurement model, supporting its suitability for subsequent structural model analysis.</w:t>
      </w:r>
    </w:p>
    <w:p w14:paraId="218775B0" w14:textId="77777777" w:rsidR="009C4AE1" w:rsidRPr="00FE45F6" w:rsidRDefault="000F0CD6" w:rsidP="0080157B">
      <w:pPr>
        <w:spacing w:after="200"/>
        <w:jc w:val="both"/>
        <w:rPr>
          <w:rFonts w:ascii="Arial" w:eastAsia="Book Antiqua" w:hAnsi="Arial" w:cs="Arial"/>
          <w:b/>
          <w:bCs/>
        </w:rPr>
      </w:pPr>
      <w:r w:rsidRPr="00FE45F6">
        <w:rPr>
          <w:rFonts w:ascii="Arial" w:eastAsia="Book Antiqua" w:hAnsi="Arial" w:cs="Arial"/>
          <w:b/>
          <w:bCs/>
        </w:rPr>
        <w:t xml:space="preserve">4.1.5. </w:t>
      </w:r>
      <w:r w:rsidR="0080157B" w:rsidRPr="00FE45F6">
        <w:rPr>
          <w:rFonts w:ascii="Arial" w:eastAsia="Book Antiqua" w:hAnsi="Arial" w:cs="Arial"/>
          <w:b/>
          <w:bCs/>
        </w:rPr>
        <w:t>Convergent Validity and Composite Reliability</w:t>
      </w:r>
    </w:p>
    <w:p w14:paraId="64BAAA84" w14:textId="77777777" w:rsidR="00FC00B8" w:rsidRPr="00FE45F6" w:rsidRDefault="00D21D48" w:rsidP="0080157B">
      <w:pPr>
        <w:spacing w:after="200"/>
        <w:jc w:val="both"/>
        <w:rPr>
          <w:rFonts w:ascii="Arial" w:eastAsia="Book Antiqua" w:hAnsi="Arial" w:cs="Arial"/>
        </w:rPr>
      </w:pPr>
      <w:r w:rsidRPr="00FE45F6">
        <w:rPr>
          <w:rFonts w:ascii="Arial" w:eastAsia="Book Antiqua" w:hAnsi="Arial" w:cs="Arial"/>
        </w:rPr>
        <w:t xml:space="preserve">Table 7 presents the convergent validity and reliability results of the measurement model. All </w:t>
      </w:r>
      <w:proofErr w:type="spellStart"/>
      <w:r w:rsidRPr="00FE45F6">
        <w:rPr>
          <w:rFonts w:ascii="Arial" w:eastAsia="Book Antiqua" w:hAnsi="Arial" w:cs="Arial"/>
        </w:rPr>
        <w:t>standardised</w:t>
      </w:r>
      <w:proofErr w:type="spellEnd"/>
      <w:r w:rsidRPr="00FE45F6">
        <w:rPr>
          <w:rFonts w:ascii="Arial" w:eastAsia="Book Antiqua" w:hAnsi="Arial" w:cs="Arial"/>
        </w:rPr>
        <w:t xml:space="preserve"> loadings (λ) exceeded the acceptable threshold of 0.60, ranging from 0.670 to 0.787, and all t-values were statistically significant (p &lt; 0.001). CR values ranged from 0.84 to 0.89, AVE values ranged from 0.50 to 0.57, and Cronbach's alpha (α) values ranged from 0.797 to 0.889, all exceeding the recommended thresholds. Although the AVE for the SQ construct was 0.50, it met the minimum recommended threshold, indicating acceptable convergent validity. Overall, these results confirm satisfactory convergent validity and internal consistency of the measurement model.</w:t>
      </w:r>
    </w:p>
    <w:p w14:paraId="682C7207" w14:textId="77777777" w:rsidR="004810B3" w:rsidRPr="00FE45F6" w:rsidRDefault="004810B3" w:rsidP="004810B3">
      <w:pPr>
        <w:spacing w:after="200"/>
        <w:jc w:val="center"/>
        <w:rPr>
          <w:rFonts w:ascii="Arial" w:eastAsia="Book Antiqua" w:hAnsi="Arial" w:cs="Arial"/>
          <w:b/>
          <w:bCs/>
        </w:rPr>
      </w:pPr>
      <w:r w:rsidRPr="00FE45F6">
        <w:rPr>
          <w:rFonts w:ascii="Arial" w:eastAsia="Book Antiqua" w:hAnsi="Arial" w:cs="Arial"/>
          <w:b/>
          <w:bCs/>
        </w:rPr>
        <w:t>Table 7</w:t>
      </w:r>
      <w:r w:rsidR="00D21D48" w:rsidRPr="00FE45F6">
        <w:rPr>
          <w:rFonts w:ascii="Arial" w:eastAsia="Book Antiqua" w:hAnsi="Arial" w:cs="Arial"/>
          <w:b/>
          <w:bCs/>
        </w:rPr>
        <w:t>.</w:t>
      </w:r>
      <w:r w:rsidRPr="00FE45F6">
        <w:rPr>
          <w:rFonts w:ascii="Arial" w:eastAsia="Book Antiqua" w:hAnsi="Arial" w:cs="Arial"/>
          <w:b/>
          <w:bCs/>
        </w:rPr>
        <w:t xml:space="preserve"> Confirmatory factor analysis results</w:t>
      </w:r>
    </w:p>
    <w:tbl>
      <w:tblPr>
        <w:tblW w:w="0" w:type="auto"/>
        <w:tblInd w:w="334" w:type="dxa"/>
        <w:tblLook w:val="04A0" w:firstRow="1" w:lastRow="0" w:firstColumn="1" w:lastColumn="0" w:noHBand="0" w:noVBand="1"/>
      </w:tblPr>
      <w:tblGrid>
        <w:gridCol w:w="760"/>
        <w:gridCol w:w="512"/>
        <w:gridCol w:w="1771"/>
        <w:gridCol w:w="861"/>
        <w:gridCol w:w="917"/>
        <w:gridCol w:w="606"/>
        <w:gridCol w:w="628"/>
        <w:gridCol w:w="1495"/>
      </w:tblGrid>
      <w:tr w:rsidR="004810B3" w:rsidRPr="00FE45F6" w14:paraId="41AE73AF" w14:textId="77777777" w:rsidTr="004844EA">
        <w:trPr>
          <w:trHeight w:val="288"/>
        </w:trPr>
        <w:tc>
          <w:tcPr>
            <w:tcW w:w="0" w:type="auto"/>
            <w:gridSpan w:val="2"/>
            <w:tcBorders>
              <w:top w:val="single" w:sz="4" w:space="0" w:color="auto"/>
              <w:bottom w:val="single" w:sz="4" w:space="0" w:color="auto"/>
            </w:tcBorders>
            <w:noWrap/>
            <w:vAlign w:val="center"/>
            <w:hideMark/>
          </w:tcPr>
          <w:p w14:paraId="0C1F5BD9"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Constructs</w:t>
            </w:r>
          </w:p>
        </w:tc>
        <w:tc>
          <w:tcPr>
            <w:tcW w:w="0" w:type="auto"/>
            <w:tcBorders>
              <w:top w:val="single" w:sz="4" w:space="0" w:color="auto"/>
              <w:bottom w:val="single" w:sz="4" w:space="0" w:color="auto"/>
            </w:tcBorders>
            <w:noWrap/>
            <w:vAlign w:val="center"/>
            <w:hideMark/>
          </w:tcPr>
          <w:p w14:paraId="2A135D7D"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Standardized (</w:t>
            </w:r>
            <w:r w:rsidRPr="00FE45F6">
              <w:rPr>
                <w:rFonts w:ascii="Arial" w:hAnsi="Arial" w:cs="Arial"/>
                <w:b/>
                <w:bCs/>
                <w:color w:val="000000"/>
                <w:lang w:bidi="km-KH"/>
              </w:rPr>
              <w:sym w:font="Symbol" w:char="F06C"/>
            </w:r>
            <w:r w:rsidRPr="00FE45F6">
              <w:rPr>
                <w:rFonts w:ascii="Arial" w:hAnsi="Arial" w:cs="Arial"/>
                <w:b/>
                <w:bCs/>
                <w:color w:val="000000"/>
                <w:lang w:bidi="km-KH"/>
              </w:rPr>
              <w:t>)</w:t>
            </w:r>
          </w:p>
        </w:tc>
        <w:tc>
          <w:tcPr>
            <w:tcW w:w="0" w:type="auto"/>
            <w:tcBorders>
              <w:top w:val="single" w:sz="4" w:space="0" w:color="auto"/>
              <w:bottom w:val="single" w:sz="4" w:space="0" w:color="auto"/>
            </w:tcBorders>
            <w:noWrap/>
            <w:vAlign w:val="center"/>
            <w:hideMark/>
          </w:tcPr>
          <w:p w14:paraId="43F64D17"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t-value</w:t>
            </w:r>
          </w:p>
        </w:tc>
        <w:tc>
          <w:tcPr>
            <w:tcW w:w="0" w:type="auto"/>
            <w:tcBorders>
              <w:top w:val="single" w:sz="4" w:space="0" w:color="auto"/>
              <w:bottom w:val="single" w:sz="4" w:space="0" w:color="auto"/>
            </w:tcBorders>
            <w:noWrap/>
            <w:vAlign w:val="center"/>
            <w:hideMark/>
          </w:tcPr>
          <w:p w14:paraId="5AF84C89"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p-value</w:t>
            </w:r>
          </w:p>
        </w:tc>
        <w:tc>
          <w:tcPr>
            <w:tcW w:w="0" w:type="auto"/>
            <w:tcBorders>
              <w:top w:val="single" w:sz="4" w:space="0" w:color="auto"/>
              <w:bottom w:val="single" w:sz="4" w:space="0" w:color="auto"/>
            </w:tcBorders>
            <w:noWrap/>
            <w:vAlign w:val="center"/>
            <w:hideMark/>
          </w:tcPr>
          <w:p w14:paraId="029D142B"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CR</w:t>
            </w:r>
          </w:p>
        </w:tc>
        <w:tc>
          <w:tcPr>
            <w:tcW w:w="0" w:type="auto"/>
            <w:tcBorders>
              <w:top w:val="single" w:sz="4" w:space="0" w:color="auto"/>
              <w:bottom w:val="single" w:sz="4" w:space="0" w:color="auto"/>
            </w:tcBorders>
            <w:noWrap/>
            <w:vAlign w:val="center"/>
            <w:hideMark/>
          </w:tcPr>
          <w:p w14:paraId="5F1B546A"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AVE</w:t>
            </w:r>
          </w:p>
        </w:tc>
        <w:tc>
          <w:tcPr>
            <w:tcW w:w="0" w:type="auto"/>
            <w:tcBorders>
              <w:top w:val="single" w:sz="4" w:space="0" w:color="auto"/>
              <w:bottom w:val="single" w:sz="4" w:space="0" w:color="auto"/>
            </w:tcBorders>
            <w:noWrap/>
            <w:vAlign w:val="center"/>
            <w:hideMark/>
          </w:tcPr>
          <w:p w14:paraId="36825973" w14:textId="77777777" w:rsidR="004810B3" w:rsidRPr="00FE45F6" w:rsidRDefault="003032E2" w:rsidP="003032E2">
            <w:pPr>
              <w:jc w:val="center"/>
              <w:rPr>
                <w:rFonts w:ascii="Arial" w:hAnsi="Arial" w:cs="Arial"/>
                <w:b/>
                <w:bCs/>
                <w:color w:val="000000"/>
                <w:lang w:bidi="km-KH"/>
              </w:rPr>
            </w:pPr>
            <w:r w:rsidRPr="00FE45F6">
              <w:rPr>
                <w:rFonts w:ascii="Arial" w:hAnsi="Arial" w:cs="Arial"/>
                <w:b/>
                <w:bCs/>
                <w:color w:val="000000"/>
                <w:lang w:bidi="km-KH"/>
              </w:rPr>
              <w:t>Cronbach’s α</w:t>
            </w:r>
          </w:p>
        </w:tc>
      </w:tr>
      <w:tr w:rsidR="004810B3" w:rsidRPr="00FE45F6" w14:paraId="6DA6F5B2" w14:textId="77777777" w:rsidTr="00CF1FDE">
        <w:trPr>
          <w:trHeight w:val="64"/>
        </w:trPr>
        <w:tc>
          <w:tcPr>
            <w:tcW w:w="0" w:type="auto"/>
            <w:gridSpan w:val="8"/>
            <w:tcBorders>
              <w:top w:val="single" w:sz="4" w:space="0" w:color="auto"/>
              <w:bottom w:val="single" w:sz="4" w:space="0" w:color="auto"/>
            </w:tcBorders>
            <w:noWrap/>
            <w:vAlign w:val="center"/>
          </w:tcPr>
          <w:p w14:paraId="5C98D16C" w14:textId="77777777" w:rsidR="004810B3" w:rsidRPr="00FE45F6" w:rsidRDefault="004810B3" w:rsidP="003032E2">
            <w:pPr>
              <w:rPr>
                <w:rFonts w:ascii="Arial" w:hAnsi="Arial" w:cs="Arial"/>
                <w:b/>
                <w:bCs/>
                <w:color w:val="000000"/>
                <w:lang w:bidi="km-KH"/>
              </w:rPr>
            </w:pPr>
            <w:r w:rsidRPr="00FE45F6">
              <w:rPr>
                <w:rFonts w:ascii="Arial" w:hAnsi="Arial" w:cs="Arial"/>
                <w:b/>
                <w:bCs/>
                <w:color w:val="000000"/>
                <w:lang w:bidi="km-KH"/>
              </w:rPr>
              <w:t xml:space="preserve">Service Quality </w:t>
            </w:r>
          </w:p>
        </w:tc>
      </w:tr>
      <w:tr w:rsidR="004810B3" w:rsidRPr="00FE45F6" w14:paraId="480695AD" w14:textId="77777777" w:rsidTr="004844EA">
        <w:trPr>
          <w:trHeight w:val="288"/>
        </w:trPr>
        <w:tc>
          <w:tcPr>
            <w:tcW w:w="0" w:type="auto"/>
            <w:tcBorders>
              <w:top w:val="single" w:sz="4" w:space="0" w:color="auto"/>
            </w:tcBorders>
            <w:noWrap/>
            <w:vAlign w:val="center"/>
            <w:hideMark/>
          </w:tcPr>
          <w:p w14:paraId="392CA939"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SQ4</w:t>
            </w:r>
          </w:p>
        </w:tc>
        <w:tc>
          <w:tcPr>
            <w:tcW w:w="0" w:type="auto"/>
            <w:tcBorders>
              <w:top w:val="single" w:sz="4" w:space="0" w:color="auto"/>
            </w:tcBorders>
            <w:vAlign w:val="center"/>
          </w:tcPr>
          <w:p w14:paraId="0164B76B"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top w:val="single" w:sz="4" w:space="0" w:color="auto"/>
            </w:tcBorders>
            <w:noWrap/>
            <w:vAlign w:val="center"/>
          </w:tcPr>
          <w:p w14:paraId="0FDD30D5"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0.690</w:t>
            </w:r>
          </w:p>
        </w:tc>
        <w:tc>
          <w:tcPr>
            <w:tcW w:w="0" w:type="auto"/>
            <w:tcBorders>
              <w:top w:val="single" w:sz="4" w:space="0" w:color="auto"/>
            </w:tcBorders>
            <w:noWrap/>
            <w:vAlign w:val="center"/>
            <w:hideMark/>
          </w:tcPr>
          <w:p w14:paraId="33A70E42"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t> </w:t>
            </w:r>
            <w:r w:rsidRPr="00FE45F6">
              <w:rPr>
                <w:rFonts w:ascii="Arial" w:hAnsi="Arial" w:cs="Arial"/>
                <w:color w:val="000000"/>
                <w:lang w:bidi="km-KH"/>
              </w:rPr>
              <w:sym w:font="Symbol" w:char="F02D"/>
            </w:r>
          </w:p>
        </w:tc>
        <w:tc>
          <w:tcPr>
            <w:tcW w:w="0" w:type="auto"/>
            <w:tcBorders>
              <w:top w:val="single" w:sz="4" w:space="0" w:color="auto"/>
            </w:tcBorders>
            <w:noWrap/>
            <w:vAlign w:val="center"/>
            <w:hideMark/>
          </w:tcPr>
          <w:p w14:paraId="2ADAC5C5"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sym w:font="Symbol" w:char="F02D"/>
            </w:r>
            <w:r w:rsidRPr="00FE45F6">
              <w:rPr>
                <w:rFonts w:ascii="Arial" w:hAnsi="Arial" w:cs="Arial"/>
                <w:color w:val="000000"/>
                <w:lang w:bidi="km-KH"/>
              </w:rPr>
              <w:t> </w:t>
            </w:r>
          </w:p>
        </w:tc>
        <w:tc>
          <w:tcPr>
            <w:tcW w:w="0" w:type="auto"/>
            <w:vMerge w:val="restart"/>
            <w:tcBorders>
              <w:top w:val="single" w:sz="4" w:space="0" w:color="auto"/>
            </w:tcBorders>
            <w:noWrap/>
            <w:vAlign w:val="center"/>
            <w:hideMark/>
          </w:tcPr>
          <w:p w14:paraId="25E1D2D9"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0.87</w:t>
            </w:r>
          </w:p>
        </w:tc>
        <w:tc>
          <w:tcPr>
            <w:tcW w:w="0" w:type="auto"/>
            <w:vMerge w:val="restart"/>
            <w:tcBorders>
              <w:top w:val="single" w:sz="4" w:space="0" w:color="auto"/>
            </w:tcBorders>
            <w:noWrap/>
            <w:vAlign w:val="center"/>
            <w:hideMark/>
          </w:tcPr>
          <w:p w14:paraId="63629A78"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0.50</w:t>
            </w:r>
          </w:p>
        </w:tc>
        <w:tc>
          <w:tcPr>
            <w:tcW w:w="0" w:type="auto"/>
            <w:vMerge w:val="restart"/>
            <w:tcBorders>
              <w:top w:val="single" w:sz="4" w:space="0" w:color="auto"/>
            </w:tcBorders>
            <w:noWrap/>
            <w:vAlign w:val="center"/>
            <w:hideMark/>
          </w:tcPr>
          <w:p w14:paraId="58CCE8AA"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0.797</w:t>
            </w:r>
          </w:p>
        </w:tc>
      </w:tr>
      <w:tr w:rsidR="00790FD8" w:rsidRPr="00FE45F6" w14:paraId="283A0CD4" w14:textId="77777777" w:rsidTr="003032E2">
        <w:trPr>
          <w:trHeight w:val="288"/>
        </w:trPr>
        <w:tc>
          <w:tcPr>
            <w:tcW w:w="0" w:type="auto"/>
            <w:vAlign w:val="center"/>
            <w:hideMark/>
          </w:tcPr>
          <w:p w14:paraId="3FA8F879" w14:textId="77777777" w:rsidR="00790FD8" w:rsidRPr="00FE45F6" w:rsidRDefault="00790FD8" w:rsidP="003032E2">
            <w:pPr>
              <w:jc w:val="center"/>
              <w:rPr>
                <w:rFonts w:ascii="Arial" w:hAnsi="Arial" w:cs="Arial"/>
                <w:color w:val="000000"/>
                <w:lang w:bidi="km-KH"/>
              </w:rPr>
            </w:pPr>
            <w:r w:rsidRPr="00FE45F6">
              <w:rPr>
                <w:rFonts w:ascii="Arial" w:hAnsi="Arial" w:cs="Arial"/>
                <w:color w:val="000000"/>
                <w:lang w:bidi="km-KH"/>
              </w:rPr>
              <w:t>SQ5</w:t>
            </w:r>
          </w:p>
        </w:tc>
        <w:tc>
          <w:tcPr>
            <w:tcW w:w="0" w:type="auto"/>
          </w:tcPr>
          <w:p w14:paraId="5050FFA4" w14:textId="77777777" w:rsidR="00790FD8" w:rsidRPr="00FE45F6" w:rsidRDefault="00790FD8"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4E6C0D92" w14:textId="77777777" w:rsidR="00790FD8" w:rsidRPr="00FE45F6" w:rsidRDefault="00790FD8" w:rsidP="003032E2">
            <w:pPr>
              <w:jc w:val="center"/>
              <w:rPr>
                <w:rFonts w:ascii="Arial" w:hAnsi="Arial" w:cs="Arial"/>
                <w:color w:val="000000"/>
                <w:lang w:bidi="km-KH"/>
              </w:rPr>
            </w:pPr>
            <w:r w:rsidRPr="00FE45F6">
              <w:rPr>
                <w:rFonts w:ascii="Arial" w:hAnsi="Arial" w:cs="Arial"/>
                <w:color w:val="000000"/>
                <w:lang w:bidi="km-KH"/>
              </w:rPr>
              <w:t>0.695</w:t>
            </w:r>
          </w:p>
        </w:tc>
        <w:tc>
          <w:tcPr>
            <w:tcW w:w="0" w:type="auto"/>
            <w:hideMark/>
          </w:tcPr>
          <w:p w14:paraId="22516F76" w14:textId="77777777" w:rsidR="00790FD8" w:rsidRPr="00FE45F6" w:rsidRDefault="00790FD8" w:rsidP="00BD7F14">
            <w:pPr>
              <w:rPr>
                <w:rFonts w:ascii="Arial" w:hAnsi="Arial" w:cs="Arial"/>
                <w:color w:val="000000"/>
                <w:lang w:bidi="km-KH"/>
              </w:rPr>
            </w:pPr>
            <w:r w:rsidRPr="00FE45F6">
              <w:rPr>
                <w:rFonts w:ascii="Arial" w:hAnsi="Arial" w:cs="Arial"/>
              </w:rPr>
              <w:t>16.434</w:t>
            </w:r>
          </w:p>
        </w:tc>
        <w:tc>
          <w:tcPr>
            <w:tcW w:w="0" w:type="auto"/>
            <w:hideMark/>
          </w:tcPr>
          <w:p w14:paraId="292DB80B" w14:textId="77777777" w:rsidR="00790FD8" w:rsidRPr="00FE45F6" w:rsidRDefault="00790FD8"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59FA3DFC" w14:textId="77777777" w:rsidR="00790FD8" w:rsidRPr="00FE45F6" w:rsidRDefault="00790FD8" w:rsidP="003032E2">
            <w:pPr>
              <w:rPr>
                <w:rFonts w:ascii="Arial" w:hAnsi="Arial" w:cs="Arial"/>
                <w:color w:val="000000"/>
                <w:lang w:bidi="km-KH"/>
              </w:rPr>
            </w:pPr>
          </w:p>
        </w:tc>
        <w:tc>
          <w:tcPr>
            <w:tcW w:w="0" w:type="auto"/>
            <w:vMerge/>
            <w:vAlign w:val="center"/>
            <w:hideMark/>
          </w:tcPr>
          <w:p w14:paraId="7028CB07" w14:textId="77777777" w:rsidR="00790FD8" w:rsidRPr="00FE45F6" w:rsidRDefault="00790FD8" w:rsidP="003032E2">
            <w:pPr>
              <w:rPr>
                <w:rFonts w:ascii="Arial" w:hAnsi="Arial" w:cs="Arial"/>
                <w:color w:val="000000"/>
                <w:lang w:bidi="km-KH"/>
              </w:rPr>
            </w:pPr>
          </w:p>
        </w:tc>
        <w:tc>
          <w:tcPr>
            <w:tcW w:w="0" w:type="auto"/>
            <w:vMerge/>
            <w:vAlign w:val="center"/>
            <w:hideMark/>
          </w:tcPr>
          <w:p w14:paraId="6801CD9E" w14:textId="77777777" w:rsidR="00790FD8" w:rsidRPr="00FE45F6" w:rsidRDefault="00790FD8" w:rsidP="003032E2">
            <w:pPr>
              <w:rPr>
                <w:rFonts w:ascii="Arial" w:hAnsi="Arial" w:cs="Arial"/>
                <w:color w:val="000000"/>
                <w:lang w:bidi="km-KH"/>
              </w:rPr>
            </w:pPr>
          </w:p>
        </w:tc>
      </w:tr>
      <w:tr w:rsidR="00790FD8" w:rsidRPr="00FE45F6" w14:paraId="1031DA55" w14:textId="77777777" w:rsidTr="003032E2">
        <w:trPr>
          <w:trHeight w:val="288"/>
        </w:trPr>
        <w:tc>
          <w:tcPr>
            <w:tcW w:w="0" w:type="auto"/>
            <w:vAlign w:val="center"/>
            <w:hideMark/>
          </w:tcPr>
          <w:p w14:paraId="560AE01B" w14:textId="77777777" w:rsidR="00790FD8" w:rsidRPr="00FE45F6" w:rsidRDefault="00790FD8" w:rsidP="003032E2">
            <w:pPr>
              <w:jc w:val="center"/>
              <w:rPr>
                <w:rFonts w:ascii="Arial" w:hAnsi="Arial" w:cs="Arial"/>
                <w:color w:val="000000"/>
                <w:lang w:bidi="km-KH"/>
              </w:rPr>
            </w:pPr>
            <w:r w:rsidRPr="00FE45F6">
              <w:rPr>
                <w:rFonts w:ascii="Arial" w:eastAsia="Book Antiqua" w:hAnsi="Arial" w:cs="Arial"/>
              </w:rPr>
              <w:t>SQ7</w:t>
            </w:r>
          </w:p>
        </w:tc>
        <w:tc>
          <w:tcPr>
            <w:tcW w:w="0" w:type="auto"/>
          </w:tcPr>
          <w:p w14:paraId="7A444366" w14:textId="77777777" w:rsidR="00790FD8" w:rsidRPr="00FE45F6" w:rsidRDefault="00790FD8"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tcPr>
          <w:p w14:paraId="27DA86DC" w14:textId="77777777" w:rsidR="00790FD8" w:rsidRPr="00FE45F6" w:rsidRDefault="00790FD8" w:rsidP="003032E2">
            <w:pPr>
              <w:jc w:val="center"/>
              <w:rPr>
                <w:rFonts w:ascii="Arial" w:hAnsi="Arial" w:cs="Arial"/>
                <w:color w:val="000000"/>
                <w:lang w:bidi="km-KH"/>
              </w:rPr>
            </w:pPr>
            <w:r w:rsidRPr="00FE45F6">
              <w:rPr>
                <w:rFonts w:ascii="Arial" w:eastAsia="Book Antiqua" w:hAnsi="Arial" w:cs="Arial"/>
              </w:rPr>
              <w:t>0.768</w:t>
            </w:r>
          </w:p>
        </w:tc>
        <w:tc>
          <w:tcPr>
            <w:tcW w:w="0" w:type="auto"/>
            <w:hideMark/>
          </w:tcPr>
          <w:p w14:paraId="0574617E" w14:textId="77777777" w:rsidR="00790FD8" w:rsidRPr="00FE45F6" w:rsidRDefault="00790FD8" w:rsidP="00BD7F14">
            <w:pPr>
              <w:rPr>
                <w:rFonts w:ascii="Arial" w:hAnsi="Arial" w:cs="Arial"/>
                <w:color w:val="000000"/>
                <w:lang w:bidi="km-KH"/>
              </w:rPr>
            </w:pPr>
            <w:r w:rsidRPr="00FE45F6">
              <w:rPr>
                <w:rFonts w:ascii="Arial" w:hAnsi="Arial" w:cs="Arial"/>
              </w:rPr>
              <w:t>15.082</w:t>
            </w:r>
          </w:p>
        </w:tc>
        <w:tc>
          <w:tcPr>
            <w:tcW w:w="0" w:type="auto"/>
            <w:hideMark/>
          </w:tcPr>
          <w:p w14:paraId="5CCCE1C2" w14:textId="77777777" w:rsidR="00790FD8" w:rsidRPr="00FE45F6" w:rsidRDefault="00790FD8"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3AFDB827" w14:textId="77777777" w:rsidR="00790FD8" w:rsidRPr="00FE45F6" w:rsidRDefault="00790FD8" w:rsidP="003032E2">
            <w:pPr>
              <w:rPr>
                <w:rFonts w:ascii="Arial" w:hAnsi="Arial" w:cs="Arial"/>
                <w:color w:val="000000"/>
                <w:lang w:bidi="km-KH"/>
              </w:rPr>
            </w:pPr>
          </w:p>
        </w:tc>
        <w:tc>
          <w:tcPr>
            <w:tcW w:w="0" w:type="auto"/>
            <w:vMerge/>
            <w:vAlign w:val="center"/>
            <w:hideMark/>
          </w:tcPr>
          <w:p w14:paraId="328E807E" w14:textId="77777777" w:rsidR="00790FD8" w:rsidRPr="00FE45F6" w:rsidRDefault="00790FD8" w:rsidP="003032E2">
            <w:pPr>
              <w:rPr>
                <w:rFonts w:ascii="Arial" w:hAnsi="Arial" w:cs="Arial"/>
                <w:color w:val="000000"/>
                <w:lang w:bidi="km-KH"/>
              </w:rPr>
            </w:pPr>
          </w:p>
        </w:tc>
        <w:tc>
          <w:tcPr>
            <w:tcW w:w="0" w:type="auto"/>
            <w:vMerge/>
            <w:vAlign w:val="center"/>
            <w:hideMark/>
          </w:tcPr>
          <w:p w14:paraId="1FE430D3" w14:textId="77777777" w:rsidR="00790FD8" w:rsidRPr="00FE45F6" w:rsidRDefault="00790FD8" w:rsidP="003032E2">
            <w:pPr>
              <w:rPr>
                <w:rFonts w:ascii="Arial" w:hAnsi="Arial" w:cs="Arial"/>
                <w:color w:val="000000"/>
                <w:lang w:bidi="km-KH"/>
              </w:rPr>
            </w:pPr>
          </w:p>
        </w:tc>
      </w:tr>
      <w:tr w:rsidR="00790FD8" w:rsidRPr="00FE45F6" w14:paraId="292BB459" w14:textId="77777777" w:rsidTr="004844EA">
        <w:trPr>
          <w:trHeight w:val="288"/>
        </w:trPr>
        <w:tc>
          <w:tcPr>
            <w:tcW w:w="0" w:type="auto"/>
            <w:tcBorders>
              <w:bottom w:val="single" w:sz="4" w:space="0" w:color="auto"/>
            </w:tcBorders>
            <w:vAlign w:val="center"/>
            <w:hideMark/>
          </w:tcPr>
          <w:p w14:paraId="6391B3E3" w14:textId="77777777" w:rsidR="00790FD8" w:rsidRPr="00FE45F6" w:rsidRDefault="00790FD8" w:rsidP="003032E2">
            <w:pPr>
              <w:jc w:val="center"/>
              <w:rPr>
                <w:rFonts w:ascii="Arial" w:hAnsi="Arial" w:cs="Arial"/>
                <w:color w:val="000000"/>
                <w:lang w:bidi="km-KH"/>
              </w:rPr>
            </w:pPr>
            <w:r w:rsidRPr="00FE45F6">
              <w:rPr>
                <w:rFonts w:ascii="Arial" w:hAnsi="Arial" w:cs="Arial"/>
                <w:color w:val="000000"/>
                <w:lang w:bidi="km-KH"/>
              </w:rPr>
              <w:t>SQ2</w:t>
            </w:r>
          </w:p>
        </w:tc>
        <w:tc>
          <w:tcPr>
            <w:tcW w:w="0" w:type="auto"/>
            <w:tcBorders>
              <w:bottom w:val="single" w:sz="4" w:space="0" w:color="auto"/>
            </w:tcBorders>
          </w:tcPr>
          <w:p w14:paraId="67AEF077" w14:textId="77777777" w:rsidR="00790FD8" w:rsidRPr="00FE45F6" w:rsidRDefault="00790FD8"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bottom w:val="single" w:sz="4" w:space="0" w:color="auto"/>
            </w:tcBorders>
            <w:noWrap/>
            <w:vAlign w:val="center"/>
            <w:hideMark/>
          </w:tcPr>
          <w:p w14:paraId="3D4BFFBD" w14:textId="77777777" w:rsidR="00790FD8" w:rsidRPr="00FE45F6" w:rsidRDefault="00790FD8" w:rsidP="003032E2">
            <w:pPr>
              <w:jc w:val="center"/>
              <w:rPr>
                <w:rFonts w:ascii="Arial" w:hAnsi="Arial" w:cs="Arial"/>
                <w:color w:val="000000"/>
                <w:lang w:bidi="km-KH"/>
              </w:rPr>
            </w:pPr>
            <w:r w:rsidRPr="00FE45F6">
              <w:rPr>
                <w:rFonts w:ascii="Arial" w:hAnsi="Arial" w:cs="Arial"/>
                <w:color w:val="000000"/>
                <w:lang w:bidi="km-KH"/>
              </w:rPr>
              <w:t>0.670</w:t>
            </w:r>
          </w:p>
        </w:tc>
        <w:tc>
          <w:tcPr>
            <w:tcW w:w="0" w:type="auto"/>
            <w:tcBorders>
              <w:bottom w:val="single" w:sz="4" w:space="0" w:color="auto"/>
            </w:tcBorders>
            <w:hideMark/>
          </w:tcPr>
          <w:p w14:paraId="279ECED4" w14:textId="77777777" w:rsidR="00790FD8" w:rsidRPr="00FE45F6" w:rsidRDefault="00790FD8" w:rsidP="00BD7F14">
            <w:pPr>
              <w:rPr>
                <w:rFonts w:ascii="Arial" w:hAnsi="Arial" w:cs="Arial"/>
                <w:color w:val="000000"/>
                <w:lang w:bidi="km-KH"/>
              </w:rPr>
            </w:pPr>
            <w:r w:rsidRPr="00FE45F6">
              <w:rPr>
                <w:rFonts w:ascii="Arial" w:hAnsi="Arial" w:cs="Arial"/>
              </w:rPr>
              <w:t>14.607</w:t>
            </w:r>
          </w:p>
        </w:tc>
        <w:tc>
          <w:tcPr>
            <w:tcW w:w="0" w:type="auto"/>
            <w:tcBorders>
              <w:bottom w:val="single" w:sz="4" w:space="0" w:color="auto"/>
            </w:tcBorders>
            <w:hideMark/>
          </w:tcPr>
          <w:p w14:paraId="12715457" w14:textId="77777777" w:rsidR="00790FD8" w:rsidRPr="00FE45F6" w:rsidRDefault="00790FD8" w:rsidP="00BD7F14">
            <w:pPr>
              <w:rPr>
                <w:rFonts w:ascii="Arial" w:hAnsi="Arial" w:cs="Arial"/>
                <w:color w:val="000000"/>
                <w:lang w:bidi="km-KH"/>
              </w:rPr>
            </w:pPr>
            <w:r w:rsidRPr="00FE45F6">
              <w:rPr>
                <w:rFonts w:ascii="Arial" w:hAnsi="Arial" w:cs="Arial"/>
              </w:rPr>
              <w:t>***</w:t>
            </w:r>
          </w:p>
        </w:tc>
        <w:tc>
          <w:tcPr>
            <w:tcW w:w="0" w:type="auto"/>
            <w:vMerge/>
            <w:tcBorders>
              <w:bottom w:val="single" w:sz="4" w:space="0" w:color="auto"/>
            </w:tcBorders>
            <w:vAlign w:val="center"/>
            <w:hideMark/>
          </w:tcPr>
          <w:p w14:paraId="20BD3F5C" w14:textId="77777777" w:rsidR="00790FD8" w:rsidRPr="00FE45F6" w:rsidRDefault="00790FD8" w:rsidP="003032E2">
            <w:pPr>
              <w:rPr>
                <w:rFonts w:ascii="Arial" w:hAnsi="Arial" w:cs="Arial"/>
                <w:color w:val="000000"/>
                <w:lang w:bidi="km-KH"/>
              </w:rPr>
            </w:pPr>
          </w:p>
        </w:tc>
        <w:tc>
          <w:tcPr>
            <w:tcW w:w="0" w:type="auto"/>
            <w:vMerge/>
            <w:tcBorders>
              <w:bottom w:val="single" w:sz="4" w:space="0" w:color="auto"/>
            </w:tcBorders>
            <w:vAlign w:val="center"/>
            <w:hideMark/>
          </w:tcPr>
          <w:p w14:paraId="17347747" w14:textId="77777777" w:rsidR="00790FD8" w:rsidRPr="00FE45F6" w:rsidRDefault="00790FD8" w:rsidP="003032E2">
            <w:pPr>
              <w:rPr>
                <w:rFonts w:ascii="Arial" w:hAnsi="Arial" w:cs="Arial"/>
                <w:color w:val="000000"/>
                <w:lang w:bidi="km-KH"/>
              </w:rPr>
            </w:pPr>
          </w:p>
        </w:tc>
        <w:tc>
          <w:tcPr>
            <w:tcW w:w="0" w:type="auto"/>
            <w:vMerge/>
            <w:tcBorders>
              <w:bottom w:val="single" w:sz="4" w:space="0" w:color="auto"/>
            </w:tcBorders>
            <w:vAlign w:val="center"/>
            <w:hideMark/>
          </w:tcPr>
          <w:p w14:paraId="52D0A3E0" w14:textId="77777777" w:rsidR="00790FD8" w:rsidRPr="00FE45F6" w:rsidRDefault="00790FD8" w:rsidP="003032E2">
            <w:pPr>
              <w:rPr>
                <w:rFonts w:ascii="Arial" w:hAnsi="Arial" w:cs="Arial"/>
                <w:color w:val="000000"/>
                <w:lang w:bidi="km-KH"/>
              </w:rPr>
            </w:pPr>
          </w:p>
        </w:tc>
      </w:tr>
      <w:tr w:rsidR="004810B3" w:rsidRPr="00FE45F6" w14:paraId="38729E99" w14:textId="77777777" w:rsidTr="00CF1FDE">
        <w:trPr>
          <w:trHeight w:val="64"/>
        </w:trPr>
        <w:tc>
          <w:tcPr>
            <w:tcW w:w="0" w:type="auto"/>
            <w:gridSpan w:val="8"/>
            <w:tcBorders>
              <w:top w:val="single" w:sz="4" w:space="0" w:color="auto"/>
              <w:bottom w:val="single" w:sz="4" w:space="0" w:color="auto"/>
            </w:tcBorders>
            <w:vAlign w:val="center"/>
          </w:tcPr>
          <w:p w14:paraId="0CB28A5C" w14:textId="77777777" w:rsidR="004810B3" w:rsidRPr="00FE45F6" w:rsidRDefault="004810B3" w:rsidP="00BD7F14">
            <w:pPr>
              <w:rPr>
                <w:rFonts w:ascii="Arial" w:hAnsi="Arial" w:cs="Arial"/>
                <w:b/>
                <w:bCs/>
                <w:color w:val="000000"/>
                <w:lang w:bidi="km-KH"/>
              </w:rPr>
            </w:pPr>
            <w:r w:rsidRPr="00FE45F6">
              <w:rPr>
                <w:rFonts w:ascii="Arial" w:hAnsi="Arial" w:cs="Arial"/>
                <w:b/>
                <w:bCs/>
                <w:color w:val="000000"/>
                <w:lang w:bidi="km-KH"/>
              </w:rPr>
              <w:t>Perceived Convenience</w:t>
            </w:r>
          </w:p>
        </w:tc>
      </w:tr>
      <w:tr w:rsidR="004810B3" w:rsidRPr="00FE45F6" w14:paraId="73614927" w14:textId="77777777" w:rsidTr="004844EA">
        <w:trPr>
          <w:trHeight w:val="288"/>
        </w:trPr>
        <w:tc>
          <w:tcPr>
            <w:tcW w:w="0" w:type="auto"/>
            <w:tcBorders>
              <w:top w:val="single" w:sz="4" w:space="0" w:color="auto"/>
            </w:tcBorders>
            <w:noWrap/>
            <w:vAlign w:val="center"/>
            <w:hideMark/>
          </w:tcPr>
          <w:p w14:paraId="203B2FBF"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PC7</w:t>
            </w:r>
          </w:p>
        </w:tc>
        <w:tc>
          <w:tcPr>
            <w:tcW w:w="0" w:type="auto"/>
            <w:tcBorders>
              <w:top w:val="single" w:sz="4" w:space="0" w:color="auto"/>
            </w:tcBorders>
          </w:tcPr>
          <w:p w14:paraId="19A375E6"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top w:val="single" w:sz="4" w:space="0" w:color="auto"/>
            </w:tcBorders>
            <w:noWrap/>
            <w:vAlign w:val="center"/>
            <w:hideMark/>
          </w:tcPr>
          <w:p w14:paraId="2EEEC548"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0.760</w:t>
            </w:r>
          </w:p>
        </w:tc>
        <w:tc>
          <w:tcPr>
            <w:tcW w:w="0" w:type="auto"/>
            <w:tcBorders>
              <w:top w:val="single" w:sz="4" w:space="0" w:color="auto"/>
            </w:tcBorders>
            <w:noWrap/>
            <w:vAlign w:val="center"/>
            <w:hideMark/>
          </w:tcPr>
          <w:p w14:paraId="191334FF"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t> </w:t>
            </w:r>
            <w:r w:rsidRPr="00FE45F6">
              <w:rPr>
                <w:rFonts w:ascii="Arial" w:hAnsi="Arial" w:cs="Arial"/>
                <w:color w:val="000000"/>
                <w:lang w:bidi="km-KH"/>
              </w:rPr>
              <w:sym w:font="Symbol" w:char="F02D"/>
            </w:r>
          </w:p>
        </w:tc>
        <w:tc>
          <w:tcPr>
            <w:tcW w:w="0" w:type="auto"/>
            <w:tcBorders>
              <w:top w:val="single" w:sz="4" w:space="0" w:color="auto"/>
            </w:tcBorders>
            <w:noWrap/>
            <w:vAlign w:val="center"/>
            <w:hideMark/>
          </w:tcPr>
          <w:p w14:paraId="10E4EC50"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sym w:font="Symbol" w:char="F02D"/>
            </w:r>
            <w:r w:rsidRPr="00FE45F6">
              <w:rPr>
                <w:rFonts w:ascii="Arial" w:hAnsi="Arial" w:cs="Arial"/>
                <w:color w:val="000000"/>
                <w:lang w:bidi="km-KH"/>
              </w:rPr>
              <w:t> </w:t>
            </w:r>
          </w:p>
        </w:tc>
        <w:tc>
          <w:tcPr>
            <w:tcW w:w="0" w:type="auto"/>
            <w:vMerge w:val="restart"/>
            <w:tcBorders>
              <w:top w:val="single" w:sz="4" w:space="0" w:color="auto"/>
            </w:tcBorders>
            <w:noWrap/>
            <w:vAlign w:val="center"/>
            <w:hideMark/>
          </w:tcPr>
          <w:p w14:paraId="394A6C17"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0.89</w:t>
            </w:r>
          </w:p>
        </w:tc>
        <w:tc>
          <w:tcPr>
            <w:tcW w:w="0" w:type="auto"/>
            <w:vMerge w:val="restart"/>
            <w:tcBorders>
              <w:top w:val="single" w:sz="4" w:space="0" w:color="auto"/>
            </w:tcBorders>
            <w:noWrap/>
            <w:vAlign w:val="center"/>
            <w:hideMark/>
          </w:tcPr>
          <w:p w14:paraId="77217C94"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0.54</w:t>
            </w:r>
          </w:p>
        </w:tc>
        <w:tc>
          <w:tcPr>
            <w:tcW w:w="0" w:type="auto"/>
            <w:vMerge w:val="restart"/>
            <w:tcBorders>
              <w:top w:val="single" w:sz="4" w:space="0" w:color="auto"/>
            </w:tcBorders>
            <w:noWrap/>
            <w:vAlign w:val="center"/>
            <w:hideMark/>
          </w:tcPr>
          <w:p w14:paraId="5AB52BE1"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0.889</w:t>
            </w:r>
          </w:p>
        </w:tc>
      </w:tr>
      <w:tr w:rsidR="004810B3" w:rsidRPr="00FE45F6" w14:paraId="359902E1" w14:textId="77777777" w:rsidTr="003032E2">
        <w:trPr>
          <w:trHeight w:val="288"/>
        </w:trPr>
        <w:tc>
          <w:tcPr>
            <w:tcW w:w="0" w:type="auto"/>
            <w:vAlign w:val="center"/>
            <w:hideMark/>
          </w:tcPr>
          <w:p w14:paraId="76404504"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PC6</w:t>
            </w:r>
          </w:p>
        </w:tc>
        <w:tc>
          <w:tcPr>
            <w:tcW w:w="0" w:type="auto"/>
          </w:tcPr>
          <w:p w14:paraId="1AA4A15E"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38CF50D1"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0.692</w:t>
            </w:r>
          </w:p>
        </w:tc>
        <w:tc>
          <w:tcPr>
            <w:tcW w:w="0" w:type="auto"/>
            <w:hideMark/>
          </w:tcPr>
          <w:p w14:paraId="045C2836" w14:textId="77777777" w:rsidR="004810B3" w:rsidRPr="00FE45F6" w:rsidRDefault="004810B3" w:rsidP="00BD7F14">
            <w:pPr>
              <w:rPr>
                <w:rFonts w:ascii="Arial" w:hAnsi="Arial" w:cs="Arial"/>
                <w:color w:val="000000"/>
                <w:lang w:bidi="km-KH"/>
              </w:rPr>
            </w:pPr>
            <w:r w:rsidRPr="00FE45F6">
              <w:rPr>
                <w:rFonts w:ascii="Arial" w:hAnsi="Arial" w:cs="Arial"/>
              </w:rPr>
              <w:t>19.011</w:t>
            </w:r>
          </w:p>
        </w:tc>
        <w:tc>
          <w:tcPr>
            <w:tcW w:w="0" w:type="auto"/>
            <w:hideMark/>
          </w:tcPr>
          <w:p w14:paraId="5E7F61A1"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57D1384D" w14:textId="77777777" w:rsidR="004810B3" w:rsidRPr="00FE45F6" w:rsidRDefault="004810B3" w:rsidP="003032E2">
            <w:pPr>
              <w:rPr>
                <w:rFonts w:ascii="Arial" w:hAnsi="Arial" w:cs="Arial"/>
                <w:color w:val="000000"/>
                <w:lang w:bidi="km-KH"/>
              </w:rPr>
            </w:pPr>
          </w:p>
        </w:tc>
        <w:tc>
          <w:tcPr>
            <w:tcW w:w="0" w:type="auto"/>
            <w:vMerge/>
            <w:vAlign w:val="center"/>
            <w:hideMark/>
          </w:tcPr>
          <w:p w14:paraId="1069C182" w14:textId="77777777" w:rsidR="004810B3" w:rsidRPr="00FE45F6" w:rsidRDefault="004810B3" w:rsidP="003032E2">
            <w:pPr>
              <w:rPr>
                <w:rFonts w:ascii="Arial" w:hAnsi="Arial" w:cs="Arial"/>
                <w:color w:val="000000"/>
                <w:lang w:bidi="km-KH"/>
              </w:rPr>
            </w:pPr>
          </w:p>
        </w:tc>
        <w:tc>
          <w:tcPr>
            <w:tcW w:w="0" w:type="auto"/>
            <w:vMerge/>
            <w:vAlign w:val="center"/>
            <w:hideMark/>
          </w:tcPr>
          <w:p w14:paraId="44316268" w14:textId="77777777" w:rsidR="004810B3" w:rsidRPr="00FE45F6" w:rsidRDefault="004810B3" w:rsidP="003032E2">
            <w:pPr>
              <w:rPr>
                <w:rFonts w:ascii="Arial" w:hAnsi="Arial" w:cs="Arial"/>
                <w:color w:val="000000"/>
                <w:lang w:bidi="km-KH"/>
              </w:rPr>
            </w:pPr>
          </w:p>
        </w:tc>
      </w:tr>
      <w:tr w:rsidR="004810B3" w:rsidRPr="00FE45F6" w14:paraId="352A1257" w14:textId="77777777" w:rsidTr="003032E2">
        <w:trPr>
          <w:trHeight w:val="288"/>
        </w:trPr>
        <w:tc>
          <w:tcPr>
            <w:tcW w:w="0" w:type="auto"/>
            <w:vAlign w:val="center"/>
            <w:hideMark/>
          </w:tcPr>
          <w:p w14:paraId="4A103613"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PC5</w:t>
            </w:r>
          </w:p>
        </w:tc>
        <w:tc>
          <w:tcPr>
            <w:tcW w:w="0" w:type="auto"/>
          </w:tcPr>
          <w:p w14:paraId="6AF7438D"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2AE77175"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0.706</w:t>
            </w:r>
          </w:p>
        </w:tc>
        <w:tc>
          <w:tcPr>
            <w:tcW w:w="0" w:type="auto"/>
            <w:hideMark/>
          </w:tcPr>
          <w:p w14:paraId="0BF86B73" w14:textId="77777777" w:rsidR="004810B3" w:rsidRPr="00FE45F6" w:rsidRDefault="004810B3" w:rsidP="00BD7F14">
            <w:pPr>
              <w:rPr>
                <w:rFonts w:ascii="Arial" w:hAnsi="Arial" w:cs="Arial"/>
                <w:color w:val="000000"/>
                <w:lang w:bidi="km-KH"/>
              </w:rPr>
            </w:pPr>
            <w:r w:rsidRPr="00FE45F6">
              <w:rPr>
                <w:rFonts w:ascii="Arial" w:hAnsi="Arial" w:cs="Arial"/>
              </w:rPr>
              <w:t>17.214</w:t>
            </w:r>
          </w:p>
        </w:tc>
        <w:tc>
          <w:tcPr>
            <w:tcW w:w="0" w:type="auto"/>
            <w:hideMark/>
          </w:tcPr>
          <w:p w14:paraId="543EDB5D"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0A726EA8" w14:textId="77777777" w:rsidR="004810B3" w:rsidRPr="00FE45F6" w:rsidRDefault="004810B3" w:rsidP="003032E2">
            <w:pPr>
              <w:rPr>
                <w:rFonts w:ascii="Arial" w:hAnsi="Arial" w:cs="Arial"/>
                <w:color w:val="000000"/>
                <w:lang w:bidi="km-KH"/>
              </w:rPr>
            </w:pPr>
          </w:p>
        </w:tc>
        <w:tc>
          <w:tcPr>
            <w:tcW w:w="0" w:type="auto"/>
            <w:vMerge/>
            <w:vAlign w:val="center"/>
            <w:hideMark/>
          </w:tcPr>
          <w:p w14:paraId="630BDDC6" w14:textId="77777777" w:rsidR="004810B3" w:rsidRPr="00FE45F6" w:rsidRDefault="004810B3" w:rsidP="003032E2">
            <w:pPr>
              <w:rPr>
                <w:rFonts w:ascii="Arial" w:hAnsi="Arial" w:cs="Arial"/>
                <w:color w:val="000000"/>
                <w:lang w:bidi="km-KH"/>
              </w:rPr>
            </w:pPr>
          </w:p>
        </w:tc>
        <w:tc>
          <w:tcPr>
            <w:tcW w:w="0" w:type="auto"/>
            <w:vMerge/>
            <w:vAlign w:val="center"/>
            <w:hideMark/>
          </w:tcPr>
          <w:p w14:paraId="5947DE5A" w14:textId="77777777" w:rsidR="004810B3" w:rsidRPr="00FE45F6" w:rsidRDefault="004810B3" w:rsidP="003032E2">
            <w:pPr>
              <w:rPr>
                <w:rFonts w:ascii="Arial" w:hAnsi="Arial" w:cs="Arial"/>
                <w:color w:val="000000"/>
                <w:lang w:bidi="km-KH"/>
              </w:rPr>
            </w:pPr>
          </w:p>
        </w:tc>
      </w:tr>
      <w:tr w:rsidR="004810B3" w:rsidRPr="00FE45F6" w14:paraId="234E18A8" w14:textId="77777777" w:rsidTr="003032E2">
        <w:trPr>
          <w:trHeight w:val="288"/>
        </w:trPr>
        <w:tc>
          <w:tcPr>
            <w:tcW w:w="0" w:type="auto"/>
            <w:vAlign w:val="center"/>
            <w:hideMark/>
          </w:tcPr>
          <w:p w14:paraId="2A0E5FCF"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PC4</w:t>
            </w:r>
          </w:p>
        </w:tc>
        <w:tc>
          <w:tcPr>
            <w:tcW w:w="0" w:type="auto"/>
          </w:tcPr>
          <w:p w14:paraId="047E57A1"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7DF45D47"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0.700</w:t>
            </w:r>
          </w:p>
        </w:tc>
        <w:tc>
          <w:tcPr>
            <w:tcW w:w="0" w:type="auto"/>
            <w:hideMark/>
          </w:tcPr>
          <w:p w14:paraId="22AB69ED" w14:textId="77777777" w:rsidR="004810B3" w:rsidRPr="00FE45F6" w:rsidRDefault="004810B3" w:rsidP="00BD7F14">
            <w:pPr>
              <w:rPr>
                <w:rFonts w:ascii="Arial" w:hAnsi="Arial" w:cs="Arial"/>
                <w:color w:val="000000"/>
                <w:lang w:bidi="km-KH"/>
              </w:rPr>
            </w:pPr>
            <w:r w:rsidRPr="00FE45F6">
              <w:rPr>
                <w:rFonts w:ascii="Arial" w:hAnsi="Arial" w:cs="Arial"/>
              </w:rPr>
              <w:t>17.219</w:t>
            </w:r>
          </w:p>
        </w:tc>
        <w:tc>
          <w:tcPr>
            <w:tcW w:w="0" w:type="auto"/>
            <w:hideMark/>
          </w:tcPr>
          <w:p w14:paraId="250B69C3"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41E52E50" w14:textId="77777777" w:rsidR="004810B3" w:rsidRPr="00FE45F6" w:rsidRDefault="004810B3" w:rsidP="003032E2">
            <w:pPr>
              <w:rPr>
                <w:rFonts w:ascii="Arial" w:hAnsi="Arial" w:cs="Arial"/>
                <w:color w:val="000000"/>
                <w:lang w:bidi="km-KH"/>
              </w:rPr>
            </w:pPr>
          </w:p>
        </w:tc>
        <w:tc>
          <w:tcPr>
            <w:tcW w:w="0" w:type="auto"/>
            <w:vMerge/>
            <w:vAlign w:val="center"/>
            <w:hideMark/>
          </w:tcPr>
          <w:p w14:paraId="102E900D" w14:textId="77777777" w:rsidR="004810B3" w:rsidRPr="00FE45F6" w:rsidRDefault="004810B3" w:rsidP="003032E2">
            <w:pPr>
              <w:rPr>
                <w:rFonts w:ascii="Arial" w:hAnsi="Arial" w:cs="Arial"/>
                <w:color w:val="000000"/>
                <w:lang w:bidi="km-KH"/>
              </w:rPr>
            </w:pPr>
          </w:p>
        </w:tc>
        <w:tc>
          <w:tcPr>
            <w:tcW w:w="0" w:type="auto"/>
            <w:vMerge/>
            <w:vAlign w:val="center"/>
            <w:hideMark/>
          </w:tcPr>
          <w:p w14:paraId="65590628" w14:textId="77777777" w:rsidR="004810B3" w:rsidRPr="00FE45F6" w:rsidRDefault="004810B3" w:rsidP="003032E2">
            <w:pPr>
              <w:rPr>
                <w:rFonts w:ascii="Arial" w:hAnsi="Arial" w:cs="Arial"/>
                <w:color w:val="000000"/>
                <w:lang w:bidi="km-KH"/>
              </w:rPr>
            </w:pPr>
          </w:p>
        </w:tc>
      </w:tr>
      <w:tr w:rsidR="004810B3" w:rsidRPr="00FE45F6" w14:paraId="20D3BD11" w14:textId="77777777" w:rsidTr="003032E2">
        <w:trPr>
          <w:trHeight w:val="288"/>
        </w:trPr>
        <w:tc>
          <w:tcPr>
            <w:tcW w:w="0" w:type="auto"/>
            <w:vAlign w:val="center"/>
            <w:hideMark/>
          </w:tcPr>
          <w:p w14:paraId="06149CA2"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PC3</w:t>
            </w:r>
          </w:p>
        </w:tc>
        <w:tc>
          <w:tcPr>
            <w:tcW w:w="0" w:type="auto"/>
          </w:tcPr>
          <w:p w14:paraId="5FC99DC9"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54B704EE"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0.752</w:t>
            </w:r>
          </w:p>
        </w:tc>
        <w:tc>
          <w:tcPr>
            <w:tcW w:w="0" w:type="auto"/>
            <w:hideMark/>
          </w:tcPr>
          <w:p w14:paraId="0C45014B" w14:textId="77777777" w:rsidR="004810B3" w:rsidRPr="00FE45F6" w:rsidRDefault="004810B3" w:rsidP="00BD7F14">
            <w:pPr>
              <w:rPr>
                <w:rFonts w:ascii="Arial" w:hAnsi="Arial" w:cs="Arial"/>
                <w:color w:val="000000"/>
                <w:lang w:bidi="km-KH"/>
              </w:rPr>
            </w:pPr>
            <w:r w:rsidRPr="00FE45F6">
              <w:rPr>
                <w:rFonts w:ascii="Arial" w:hAnsi="Arial" w:cs="Arial"/>
              </w:rPr>
              <w:t>18.984</w:t>
            </w:r>
          </w:p>
        </w:tc>
        <w:tc>
          <w:tcPr>
            <w:tcW w:w="0" w:type="auto"/>
            <w:hideMark/>
          </w:tcPr>
          <w:p w14:paraId="4E4F6420"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56C0FD36" w14:textId="77777777" w:rsidR="004810B3" w:rsidRPr="00FE45F6" w:rsidRDefault="004810B3" w:rsidP="003032E2">
            <w:pPr>
              <w:rPr>
                <w:rFonts w:ascii="Arial" w:hAnsi="Arial" w:cs="Arial"/>
                <w:color w:val="000000"/>
                <w:lang w:bidi="km-KH"/>
              </w:rPr>
            </w:pPr>
          </w:p>
        </w:tc>
        <w:tc>
          <w:tcPr>
            <w:tcW w:w="0" w:type="auto"/>
            <w:vMerge/>
            <w:vAlign w:val="center"/>
            <w:hideMark/>
          </w:tcPr>
          <w:p w14:paraId="44BED570" w14:textId="77777777" w:rsidR="004810B3" w:rsidRPr="00FE45F6" w:rsidRDefault="004810B3" w:rsidP="003032E2">
            <w:pPr>
              <w:rPr>
                <w:rFonts w:ascii="Arial" w:hAnsi="Arial" w:cs="Arial"/>
                <w:color w:val="000000"/>
                <w:lang w:bidi="km-KH"/>
              </w:rPr>
            </w:pPr>
          </w:p>
        </w:tc>
        <w:tc>
          <w:tcPr>
            <w:tcW w:w="0" w:type="auto"/>
            <w:vMerge/>
            <w:vAlign w:val="center"/>
            <w:hideMark/>
          </w:tcPr>
          <w:p w14:paraId="680EF4D7" w14:textId="77777777" w:rsidR="004810B3" w:rsidRPr="00FE45F6" w:rsidRDefault="004810B3" w:rsidP="003032E2">
            <w:pPr>
              <w:rPr>
                <w:rFonts w:ascii="Arial" w:hAnsi="Arial" w:cs="Arial"/>
                <w:color w:val="000000"/>
                <w:lang w:bidi="km-KH"/>
              </w:rPr>
            </w:pPr>
          </w:p>
        </w:tc>
      </w:tr>
      <w:tr w:rsidR="004810B3" w:rsidRPr="00FE45F6" w14:paraId="64490D48" w14:textId="77777777" w:rsidTr="003032E2">
        <w:trPr>
          <w:trHeight w:val="288"/>
        </w:trPr>
        <w:tc>
          <w:tcPr>
            <w:tcW w:w="0" w:type="auto"/>
            <w:vAlign w:val="center"/>
            <w:hideMark/>
          </w:tcPr>
          <w:p w14:paraId="7608EA4C"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PC2</w:t>
            </w:r>
          </w:p>
        </w:tc>
        <w:tc>
          <w:tcPr>
            <w:tcW w:w="0" w:type="auto"/>
          </w:tcPr>
          <w:p w14:paraId="4F115D7E"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683C9C96"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0.776</w:t>
            </w:r>
          </w:p>
        </w:tc>
        <w:tc>
          <w:tcPr>
            <w:tcW w:w="0" w:type="auto"/>
            <w:hideMark/>
          </w:tcPr>
          <w:p w14:paraId="78502352" w14:textId="77777777" w:rsidR="004810B3" w:rsidRPr="00FE45F6" w:rsidRDefault="004810B3" w:rsidP="00BD7F14">
            <w:pPr>
              <w:rPr>
                <w:rFonts w:ascii="Arial" w:hAnsi="Arial" w:cs="Arial"/>
                <w:color w:val="000000"/>
                <w:lang w:bidi="km-KH"/>
              </w:rPr>
            </w:pPr>
            <w:r w:rsidRPr="00FE45F6">
              <w:rPr>
                <w:rFonts w:ascii="Arial" w:hAnsi="Arial" w:cs="Arial"/>
              </w:rPr>
              <w:t>19.593</w:t>
            </w:r>
          </w:p>
        </w:tc>
        <w:tc>
          <w:tcPr>
            <w:tcW w:w="0" w:type="auto"/>
            <w:hideMark/>
          </w:tcPr>
          <w:p w14:paraId="3567F228"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6FC1BBA0" w14:textId="77777777" w:rsidR="004810B3" w:rsidRPr="00FE45F6" w:rsidRDefault="004810B3" w:rsidP="003032E2">
            <w:pPr>
              <w:rPr>
                <w:rFonts w:ascii="Arial" w:hAnsi="Arial" w:cs="Arial"/>
                <w:color w:val="000000"/>
                <w:lang w:bidi="km-KH"/>
              </w:rPr>
            </w:pPr>
          </w:p>
        </w:tc>
        <w:tc>
          <w:tcPr>
            <w:tcW w:w="0" w:type="auto"/>
            <w:vMerge/>
            <w:vAlign w:val="center"/>
            <w:hideMark/>
          </w:tcPr>
          <w:p w14:paraId="7647D3D2" w14:textId="77777777" w:rsidR="004810B3" w:rsidRPr="00FE45F6" w:rsidRDefault="004810B3" w:rsidP="003032E2">
            <w:pPr>
              <w:rPr>
                <w:rFonts w:ascii="Arial" w:hAnsi="Arial" w:cs="Arial"/>
                <w:color w:val="000000"/>
                <w:lang w:bidi="km-KH"/>
              </w:rPr>
            </w:pPr>
          </w:p>
        </w:tc>
        <w:tc>
          <w:tcPr>
            <w:tcW w:w="0" w:type="auto"/>
            <w:vMerge/>
            <w:vAlign w:val="center"/>
            <w:hideMark/>
          </w:tcPr>
          <w:p w14:paraId="3C96124E" w14:textId="77777777" w:rsidR="004810B3" w:rsidRPr="00FE45F6" w:rsidRDefault="004810B3" w:rsidP="003032E2">
            <w:pPr>
              <w:rPr>
                <w:rFonts w:ascii="Arial" w:hAnsi="Arial" w:cs="Arial"/>
                <w:color w:val="000000"/>
                <w:lang w:bidi="km-KH"/>
              </w:rPr>
            </w:pPr>
          </w:p>
        </w:tc>
      </w:tr>
      <w:tr w:rsidR="004810B3" w:rsidRPr="00FE45F6" w14:paraId="0EA9F5EF" w14:textId="77777777" w:rsidTr="004844EA">
        <w:trPr>
          <w:trHeight w:val="288"/>
        </w:trPr>
        <w:tc>
          <w:tcPr>
            <w:tcW w:w="0" w:type="auto"/>
            <w:tcBorders>
              <w:bottom w:val="single" w:sz="4" w:space="0" w:color="auto"/>
            </w:tcBorders>
            <w:vAlign w:val="center"/>
            <w:hideMark/>
          </w:tcPr>
          <w:p w14:paraId="618F5FEA"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PC1</w:t>
            </w:r>
          </w:p>
        </w:tc>
        <w:tc>
          <w:tcPr>
            <w:tcW w:w="0" w:type="auto"/>
            <w:tcBorders>
              <w:bottom w:val="single" w:sz="4" w:space="0" w:color="auto"/>
            </w:tcBorders>
          </w:tcPr>
          <w:p w14:paraId="545F8F44"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bottom w:val="single" w:sz="4" w:space="0" w:color="auto"/>
            </w:tcBorders>
            <w:noWrap/>
            <w:vAlign w:val="center"/>
            <w:hideMark/>
          </w:tcPr>
          <w:p w14:paraId="7107F5D2"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0.739</w:t>
            </w:r>
          </w:p>
        </w:tc>
        <w:tc>
          <w:tcPr>
            <w:tcW w:w="0" w:type="auto"/>
            <w:tcBorders>
              <w:bottom w:val="single" w:sz="4" w:space="0" w:color="auto"/>
            </w:tcBorders>
            <w:hideMark/>
          </w:tcPr>
          <w:p w14:paraId="596E7C7D" w14:textId="77777777" w:rsidR="004810B3" w:rsidRPr="00FE45F6" w:rsidRDefault="004810B3" w:rsidP="00BD7F14">
            <w:pPr>
              <w:rPr>
                <w:rFonts w:ascii="Arial" w:hAnsi="Arial" w:cs="Arial"/>
                <w:color w:val="000000"/>
                <w:lang w:bidi="km-KH"/>
              </w:rPr>
            </w:pPr>
            <w:r w:rsidRPr="00FE45F6">
              <w:rPr>
                <w:rFonts w:ascii="Arial" w:hAnsi="Arial" w:cs="Arial"/>
              </w:rPr>
              <w:t>18.517</w:t>
            </w:r>
          </w:p>
        </w:tc>
        <w:tc>
          <w:tcPr>
            <w:tcW w:w="0" w:type="auto"/>
            <w:tcBorders>
              <w:bottom w:val="single" w:sz="4" w:space="0" w:color="auto"/>
            </w:tcBorders>
            <w:hideMark/>
          </w:tcPr>
          <w:p w14:paraId="7EAAA358"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tcBorders>
              <w:bottom w:val="single" w:sz="4" w:space="0" w:color="auto"/>
            </w:tcBorders>
            <w:vAlign w:val="center"/>
            <w:hideMark/>
          </w:tcPr>
          <w:p w14:paraId="7349624C" w14:textId="77777777" w:rsidR="004810B3" w:rsidRPr="00FE45F6" w:rsidRDefault="004810B3" w:rsidP="003032E2">
            <w:pPr>
              <w:rPr>
                <w:rFonts w:ascii="Arial" w:hAnsi="Arial" w:cs="Arial"/>
                <w:color w:val="000000"/>
                <w:lang w:bidi="km-KH"/>
              </w:rPr>
            </w:pPr>
          </w:p>
        </w:tc>
        <w:tc>
          <w:tcPr>
            <w:tcW w:w="0" w:type="auto"/>
            <w:vMerge/>
            <w:tcBorders>
              <w:bottom w:val="single" w:sz="4" w:space="0" w:color="auto"/>
            </w:tcBorders>
            <w:vAlign w:val="center"/>
            <w:hideMark/>
          </w:tcPr>
          <w:p w14:paraId="614CFD36" w14:textId="77777777" w:rsidR="004810B3" w:rsidRPr="00FE45F6" w:rsidRDefault="004810B3" w:rsidP="003032E2">
            <w:pPr>
              <w:rPr>
                <w:rFonts w:ascii="Arial" w:hAnsi="Arial" w:cs="Arial"/>
                <w:color w:val="000000"/>
                <w:lang w:bidi="km-KH"/>
              </w:rPr>
            </w:pPr>
          </w:p>
        </w:tc>
        <w:tc>
          <w:tcPr>
            <w:tcW w:w="0" w:type="auto"/>
            <w:vMerge/>
            <w:tcBorders>
              <w:bottom w:val="single" w:sz="4" w:space="0" w:color="auto"/>
            </w:tcBorders>
            <w:vAlign w:val="center"/>
            <w:hideMark/>
          </w:tcPr>
          <w:p w14:paraId="619AE758" w14:textId="77777777" w:rsidR="004810B3" w:rsidRPr="00FE45F6" w:rsidRDefault="004810B3" w:rsidP="003032E2">
            <w:pPr>
              <w:rPr>
                <w:rFonts w:ascii="Arial" w:hAnsi="Arial" w:cs="Arial"/>
                <w:color w:val="000000"/>
                <w:lang w:bidi="km-KH"/>
              </w:rPr>
            </w:pPr>
          </w:p>
        </w:tc>
      </w:tr>
      <w:tr w:rsidR="004810B3" w:rsidRPr="00FE45F6" w14:paraId="7A93CAC2" w14:textId="77777777" w:rsidTr="00CF1FDE">
        <w:trPr>
          <w:trHeight w:val="64"/>
        </w:trPr>
        <w:tc>
          <w:tcPr>
            <w:tcW w:w="0" w:type="auto"/>
            <w:gridSpan w:val="8"/>
            <w:tcBorders>
              <w:top w:val="single" w:sz="4" w:space="0" w:color="auto"/>
              <w:bottom w:val="single" w:sz="4" w:space="0" w:color="auto"/>
            </w:tcBorders>
            <w:vAlign w:val="center"/>
          </w:tcPr>
          <w:p w14:paraId="294C98EF" w14:textId="77777777" w:rsidR="004810B3" w:rsidRPr="00FE45F6" w:rsidRDefault="004810B3" w:rsidP="00BD7F14">
            <w:pPr>
              <w:rPr>
                <w:rFonts w:ascii="Arial" w:hAnsi="Arial" w:cs="Arial"/>
                <w:b/>
                <w:bCs/>
                <w:color w:val="000000"/>
                <w:lang w:bidi="km-KH"/>
              </w:rPr>
            </w:pPr>
            <w:r w:rsidRPr="00FE45F6">
              <w:rPr>
                <w:rFonts w:ascii="Arial" w:hAnsi="Arial" w:cs="Arial"/>
                <w:b/>
                <w:bCs/>
                <w:color w:val="000000"/>
                <w:lang w:bidi="km-KH"/>
              </w:rPr>
              <w:t>Customer Satisfaction</w:t>
            </w:r>
          </w:p>
        </w:tc>
      </w:tr>
      <w:tr w:rsidR="004810B3" w:rsidRPr="00FE45F6" w14:paraId="0216646B" w14:textId="77777777" w:rsidTr="004844EA">
        <w:trPr>
          <w:trHeight w:val="288"/>
        </w:trPr>
        <w:tc>
          <w:tcPr>
            <w:tcW w:w="0" w:type="auto"/>
            <w:tcBorders>
              <w:top w:val="single" w:sz="4" w:space="0" w:color="auto"/>
            </w:tcBorders>
            <w:noWrap/>
            <w:vAlign w:val="center"/>
            <w:hideMark/>
          </w:tcPr>
          <w:p w14:paraId="12D66EB0" w14:textId="77777777" w:rsidR="004810B3" w:rsidRPr="00FE45F6" w:rsidRDefault="004810B3" w:rsidP="003032E2">
            <w:pPr>
              <w:jc w:val="center"/>
              <w:rPr>
                <w:rFonts w:ascii="Arial" w:hAnsi="Arial" w:cs="Arial"/>
                <w:color w:val="000000"/>
                <w:lang w:bidi="km-KH"/>
              </w:rPr>
            </w:pPr>
            <w:r w:rsidRPr="00FE45F6">
              <w:rPr>
                <w:rFonts w:ascii="Arial" w:hAnsi="Arial" w:cs="Arial"/>
              </w:rPr>
              <w:t>CS2</w:t>
            </w:r>
          </w:p>
        </w:tc>
        <w:tc>
          <w:tcPr>
            <w:tcW w:w="0" w:type="auto"/>
            <w:tcBorders>
              <w:top w:val="single" w:sz="4" w:space="0" w:color="auto"/>
            </w:tcBorders>
          </w:tcPr>
          <w:p w14:paraId="4761134E"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top w:val="single" w:sz="4" w:space="0" w:color="auto"/>
            </w:tcBorders>
            <w:noWrap/>
          </w:tcPr>
          <w:p w14:paraId="722E681B" w14:textId="77777777" w:rsidR="004810B3" w:rsidRPr="00FE45F6" w:rsidRDefault="004810B3" w:rsidP="003032E2">
            <w:pPr>
              <w:jc w:val="center"/>
              <w:rPr>
                <w:rFonts w:ascii="Arial" w:hAnsi="Arial" w:cs="Arial"/>
                <w:color w:val="000000"/>
                <w:lang w:bidi="km-KH"/>
              </w:rPr>
            </w:pPr>
            <w:r w:rsidRPr="00FE45F6">
              <w:rPr>
                <w:rFonts w:ascii="Arial" w:hAnsi="Arial" w:cs="Arial"/>
              </w:rPr>
              <w:t>0.784</w:t>
            </w:r>
          </w:p>
        </w:tc>
        <w:tc>
          <w:tcPr>
            <w:tcW w:w="0" w:type="auto"/>
            <w:tcBorders>
              <w:top w:val="single" w:sz="4" w:space="0" w:color="auto"/>
            </w:tcBorders>
            <w:noWrap/>
            <w:vAlign w:val="center"/>
            <w:hideMark/>
          </w:tcPr>
          <w:p w14:paraId="795CCCAA"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t> </w:t>
            </w:r>
            <w:r w:rsidRPr="00FE45F6">
              <w:rPr>
                <w:rFonts w:ascii="Arial" w:hAnsi="Arial" w:cs="Arial"/>
                <w:color w:val="000000"/>
                <w:lang w:bidi="km-KH"/>
              </w:rPr>
              <w:sym w:font="Symbol" w:char="F02D"/>
            </w:r>
          </w:p>
        </w:tc>
        <w:tc>
          <w:tcPr>
            <w:tcW w:w="0" w:type="auto"/>
            <w:tcBorders>
              <w:top w:val="single" w:sz="4" w:space="0" w:color="auto"/>
            </w:tcBorders>
            <w:noWrap/>
            <w:vAlign w:val="center"/>
            <w:hideMark/>
          </w:tcPr>
          <w:p w14:paraId="78249582"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sym w:font="Symbol" w:char="F02D"/>
            </w:r>
            <w:r w:rsidRPr="00FE45F6">
              <w:rPr>
                <w:rFonts w:ascii="Arial" w:hAnsi="Arial" w:cs="Arial"/>
                <w:color w:val="000000"/>
                <w:lang w:bidi="km-KH"/>
              </w:rPr>
              <w:t> </w:t>
            </w:r>
          </w:p>
        </w:tc>
        <w:tc>
          <w:tcPr>
            <w:tcW w:w="0" w:type="auto"/>
            <w:vMerge w:val="restart"/>
            <w:tcBorders>
              <w:top w:val="single" w:sz="4" w:space="0" w:color="auto"/>
            </w:tcBorders>
            <w:noWrap/>
            <w:vAlign w:val="center"/>
            <w:hideMark/>
          </w:tcPr>
          <w:p w14:paraId="2E8890E4"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0.89</w:t>
            </w:r>
          </w:p>
        </w:tc>
        <w:tc>
          <w:tcPr>
            <w:tcW w:w="0" w:type="auto"/>
            <w:vMerge w:val="restart"/>
            <w:tcBorders>
              <w:top w:val="single" w:sz="4" w:space="0" w:color="auto"/>
            </w:tcBorders>
            <w:noWrap/>
            <w:vAlign w:val="center"/>
            <w:hideMark/>
          </w:tcPr>
          <w:p w14:paraId="482B4DA0"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0.57</w:t>
            </w:r>
          </w:p>
        </w:tc>
        <w:tc>
          <w:tcPr>
            <w:tcW w:w="0" w:type="auto"/>
            <w:vMerge w:val="restart"/>
            <w:tcBorders>
              <w:top w:val="single" w:sz="4" w:space="0" w:color="auto"/>
            </w:tcBorders>
            <w:noWrap/>
            <w:vAlign w:val="center"/>
            <w:hideMark/>
          </w:tcPr>
          <w:p w14:paraId="404DC1F3"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0.887</w:t>
            </w:r>
          </w:p>
        </w:tc>
      </w:tr>
      <w:tr w:rsidR="004810B3" w:rsidRPr="00FE45F6" w14:paraId="402DC7B7" w14:textId="77777777" w:rsidTr="003032E2">
        <w:trPr>
          <w:trHeight w:val="288"/>
        </w:trPr>
        <w:tc>
          <w:tcPr>
            <w:tcW w:w="0" w:type="auto"/>
            <w:vAlign w:val="center"/>
            <w:hideMark/>
          </w:tcPr>
          <w:p w14:paraId="301707E2"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CS1</w:t>
            </w:r>
          </w:p>
        </w:tc>
        <w:tc>
          <w:tcPr>
            <w:tcW w:w="0" w:type="auto"/>
          </w:tcPr>
          <w:p w14:paraId="7E96269E"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tcPr>
          <w:p w14:paraId="6154711C"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0.747</w:t>
            </w:r>
          </w:p>
        </w:tc>
        <w:tc>
          <w:tcPr>
            <w:tcW w:w="0" w:type="auto"/>
            <w:hideMark/>
          </w:tcPr>
          <w:p w14:paraId="7F8426CB" w14:textId="77777777" w:rsidR="004810B3" w:rsidRPr="00FE45F6" w:rsidRDefault="004810B3" w:rsidP="00BD7F14">
            <w:pPr>
              <w:rPr>
                <w:rFonts w:ascii="Arial" w:hAnsi="Arial" w:cs="Arial"/>
                <w:color w:val="000000"/>
                <w:lang w:bidi="km-KH"/>
              </w:rPr>
            </w:pPr>
            <w:r w:rsidRPr="00FE45F6">
              <w:rPr>
                <w:rFonts w:ascii="Arial" w:hAnsi="Arial" w:cs="Arial"/>
              </w:rPr>
              <w:t>19.564</w:t>
            </w:r>
          </w:p>
        </w:tc>
        <w:tc>
          <w:tcPr>
            <w:tcW w:w="0" w:type="auto"/>
            <w:hideMark/>
          </w:tcPr>
          <w:p w14:paraId="0BD141F8"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75DC8342" w14:textId="77777777" w:rsidR="004810B3" w:rsidRPr="00FE45F6" w:rsidRDefault="004810B3" w:rsidP="003032E2">
            <w:pPr>
              <w:rPr>
                <w:rFonts w:ascii="Arial" w:hAnsi="Arial" w:cs="Arial"/>
                <w:color w:val="000000"/>
                <w:lang w:bidi="km-KH"/>
              </w:rPr>
            </w:pPr>
          </w:p>
        </w:tc>
        <w:tc>
          <w:tcPr>
            <w:tcW w:w="0" w:type="auto"/>
            <w:vMerge/>
            <w:vAlign w:val="center"/>
            <w:hideMark/>
          </w:tcPr>
          <w:p w14:paraId="27A475B6" w14:textId="77777777" w:rsidR="004810B3" w:rsidRPr="00FE45F6" w:rsidRDefault="004810B3" w:rsidP="003032E2">
            <w:pPr>
              <w:rPr>
                <w:rFonts w:ascii="Arial" w:hAnsi="Arial" w:cs="Arial"/>
                <w:color w:val="000000"/>
                <w:lang w:bidi="km-KH"/>
              </w:rPr>
            </w:pPr>
          </w:p>
        </w:tc>
        <w:tc>
          <w:tcPr>
            <w:tcW w:w="0" w:type="auto"/>
            <w:vMerge/>
            <w:vAlign w:val="center"/>
            <w:hideMark/>
          </w:tcPr>
          <w:p w14:paraId="6B448EF9" w14:textId="77777777" w:rsidR="004810B3" w:rsidRPr="00FE45F6" w:rsidRDefault="004810B3" w:rsidP="003032E2">
            <w:pPr>
              <w:rPr>
                <w:rFonts w:ascii="Arial" w:hAnsi="Arial" w:cs="Arial"/>
                <w:color w:val="000000"/>
                <w:lang w:bidi="km-KH"/>
              </w:rPr>
            </w:pPr>
          </w:p>
        </w:tc>
      </w:tr>
      <w:tr w:rsidR="004810B3" w:rsidRPr="00FE45F6" w14:paraId="022D0C3B" w14:textId="77777777" w:rsidTr="003032E2">
        <w:trPr>
          <w:trHeight w:val="288"/>
        </w:trPr>
        <w:tc>
          <w:tcPr>
            <w:tcW w:w="0" w:type="auto"/>
            <w:vAlign w:val="center"/>
            <w:hideMark/>
          </w:tcPr>
          <w:p w14:paraId="375388A1"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CS3</w:t>
            </w:r>
          </w:p>
        </w:tc>
        <w:tc>
          <w:tcPr>
            <w:tcW w:w="0" w:type="auto"/>
          </w:tcPr>
          <w:p w14:paraId="1AAD5777"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070134F2"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0.787</w:t>
            </w:r>
          </w:p>
        </w:tc>
        <w:tc>
          <w:tcPr>
            <w:tcW w:w="0" w:type="auto"/>
            <w:hideMark/>
          </w:tcPr>
          <w:p w14:paraId="5458CAAE" w14:textId="77777777" w:rsidR="004810B3" w:rsidRPr="00FE45F6" w:rsidRDefault="004810B3" w:rsidP="00BD7F14">
            <w:pPr>
              <w:rPr>
                <w:rFonts w:ascii="Arial" w:hAnsi="Arial" w:cs="Arial"/>
                <w:color w:val="000000"/>
                <w:lang w:bidi="km-KH"/>
              </w:rPr>
            </w:pPr>
            <w:r w:rsidRPr="00FE45F6">
              <w:rPr>
                <w:rFonts w:ascii="Arial" w:hAnsi="Arial" w:cs="Arial"/>
              </w:rPr>
              <w:t>20.783</w:t>
            </w:r>
          </w:p>
        </w:tc>
        <w:tc>
          <w:tcPr>
            <w:tcW w:w="0" w:type="auto"/>
            <w:hideMark/>
          </w:tcPr>
          <w:p w14:paraId="6D6459D6"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3DD764C6" w14:textId="77777777" w:rsidR="004810B3" w:rsidRPr="00FE45F6" w:rsidRDefault="004810B3" w:rsidP="003032E2">
            <w:pPr>
              <w:rPr>
                <w:rFonts w:ascii="Arial" w:hAnsi="Arial" w:cs="Arial"/>
                <w:color w:val="000000"/>
                <w:lang w:bidi="km-KH"/>
              </w:rPr>
            </w:pPr>
          </w:p>
        </w:tc>
        <w:tc>
          <w:tcPr>
            <w:tcW w:w="0" w:type="auto"/>
            <w:vMerge/>
            <w:vAlign w:val="center"/>
            <w:hideMark/>
          </w:tcPr>
          <w:p w14:paraId="0B41C77D" w14:textId="77777777" w:rsidR="004810B3" w:rsidRPr="00FE45F6" w:rsidRDefault="004810B3" w:rsidP="003032E2">
            <w:pPr>
              <w:rPr>
                <w:rFonts w:ascii="Arial" w:hAnsi="Arial" w:cs="Arial"/>
                <w:color w:val="000000"/>
                <w:lang w:bidi="km-KH"/>
              </w:rPr>
            </w:pPr>
          </w:p>
        </w:tc>
        <w:tc>
          <w:tcPr>
            <w:tcW w:w="0" w:type="auto"/>
            <w:vMerge/>
            <w:vAlign w:val="center"/>
            <w:hideMark/>
          </w:tcPr>
          <w:p w14:paraId="758ECBCA" w14:textId="77777777" w:rsidR="004810B3" w:rsidRPr="00FE45F6" w:rsidRDefault="004810B3" w:rsidP="003032E2">
            <w:pPr>
              <w:rPr>
                <w:rFonts w:ascii="Arial" w:hAnsi="Arial" w:cs="Arial"/>
                <w:color w:val="000000"/>
                <w:lang w:bidi="km-KH"/>
              </w:rPr>
            </w:pPr>
          </w:p>
        </w:tc>
      </w:tr>
      <w:tr w:rsidR="004810B3" w:rsidRPr="00FE45F6" w14:paraId="7D976F9F" w14:textId="77777777" w:rsidTr="003032E2">
        <w:trPr>
          <w:trHeight w:val="288"/>
        </w:trPr>
        <w:tc>
          <w:tcPr>
            <w:tcW w:w="0" w:type="auto"/>
            <w:vAlign w:val="center"/>
            <w:hideMark/>
          </w:tcPr>
          <w:p w14:paraId="153AF30D"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CS4</w:t>
            </w:r>
          </w:p>
        </w:tc>
        <w:tc>
          <w:tcPr>
            <w:tcW w:w="0" w:type="auto"/>
          </w:tcPr>
          <w:p w14:paraId="118AF55F"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1AF3F81C"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0.717</w:t>
            </w:r>
          </w:p>
        </w:tc>
        <w:tc>
          <w:tcPr>
            <w:tcW w:w="0" w:type="auto"/>
            <w:hideMark/>
          </w:tcPr>
          <w:p w14:paraId="1C81FF4C" w14:textId="77777777" w:rsidR="004810B3" w:rsidRPr="00FE45F6" w:rsidRDefault="004810B3" w:rsidP="00BD7F14">
            <w:pPr>
              <w:rPr>
                <w:rFonts w:ascii="Arial" w:hAnsi="Arial" w:cs="Arial"/>
                <w:color w:val="000000"/>
                <w:lang w:bidi="km-KH"/>
              </w:rPr>
            </w:pPr>
            <w:r w:rsidRPr="00FE45F6">
              <w:rPr>
                <w:rFonts w:ascii="Arial" w:hAnsi="Arial" w:cs="Arial"/>
              </w:rPr>
              <w:t>18.602</w:t>
            </w:r>
          </w:p>
        </w:tc>
        <w:tc>
          <w:tcPr>
            <w:tcW w:w="0" w:type="auto"/>
            <w:hideMark/>
          </w:tcPr>
          <w:p w14:paraId="422BD822"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270F5BCE" w14:textId="77777777" w:rsidR="004810B3" w:rsidRPr="00FE45F6" w:rsidRDefault="004810B3" w:rsidP="003032E2">
            <w:pPr>
              <w:rPr>
                <w:rFonts w:ascii="Arial" w:hAnsi="Arial" w:cs="Arial"/>
                <w:color w:val="000000"/>
                <w:lang w:bidi="km-KH"/>
              </w:rPr>
            </w:pPr>
          </w:p>
        </w:tc>
        <w:tc>
          <w:tcPr>
            <w:tcW w:w="0" w:type="auto"/>
            <w:vMerge/>
            <w:vAlign w:val="center"/>
            <w:hideMark/>
          </w:tcPr>
          <w:p w14:paraId="1341C44E" w14:textId="77777777" w:rsidR="004810B3" w:rsidRPr="00FE45F6" w:rsidRDefault="004810B3" w:rsidP="003032E2">
            <w:pPr>
              <w:rPr>
                <w:rFonts w:ascii="Arial" w:hAnsi="Arial" w:cs="Arial"/>
                <w:color w:val="000000"/>
                <w:lang w:bidi="km-KH"/>
              </w:rPr>
            </w:pPr>
          </w:p>
        </w:tc>
        <w:tc>
          <w:tcPr>
            <w:tcW w:w="0" w:type="auto"/>
            <w:vMerge/>
            <w:vAlign w:val="center"/>
            <w:hideMark/>
          </w:tcPr>
          <w:p w14:paraId="5D14AF56" w14:textId="77777777" w:rsidR="004810B3" w:rsidRPr="00FE45F6" w:rsidRDefault="004810B3" w:rsidP="003032E2">
            <w:pPr>
              <w:rPr>
                <w:rFonts w:ascii="Arial" w:hAnsi="Arial" w:cs="Arial"/>
                <w:color w:val="000000"/>
                <w:lang w:bidi="km-KH"/>
              </w:rPr>
            </w:pPr>
          </w:p>
        </w:tc>
      </w:tr>
      <w:tr w:rsidR="004810B3" w:rsidRPr="00FE45F6" w14:paraId="49BAD813" w14:textId="77777777" w:rsidTr="003032E2">
        <w:trPr>
          <w:trHeight w:val="288"/>
        </w:trPr>
        <w:tc>
          <w:tcPr>
            <w:tcW w:w="0" w:type="auto"/>
            <w:vAlign w:val="center"/>
            <w:hideMark/>
          </w:tcPr>
          <w:p w14:paraId="35A230DB"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CS6</w:t>
            </w:r>
          </w:p>
        </w:tc>
        <w:tc>
          <w:tcPr>
            <w:tcW w:w="0" w:type="auto"/>
          </w:tcPr>
          <w:p w14:paraId="2A391268"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6A83F93E"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0.750</w:t>
            </w:r>
          </w:p>
        </w:tc>
        <w:tc>
          <w:tcPr>
            <w:tcW w:w="0" w:type="auto"/>
            <w:hideMark/>
          </w:tcPr>
          <w:p w14:paraId="63FDBB14" w14:textId="77777777" w:rsidR="004810B3" w:rsidRPr="00FE45F6" w:rsidRDefault="004810B3" w:rsidP="00BD7F14">
            <w:pPr>
              <w:rPr>
                <w:rFonts w:ascii="Arial" w:hAnsi="Arial" w:cs="Arial"/>
                <w:color w:val="000000"/>
                <w:lang w:bidi="km-KH"/>
              </w:rPr>
            </w:pPr>
            <w:r w:rsidRPr="00FE45F6">
              <w:rPr>
                <w:rFonts w:ascii="Arial" w:hAnsi="Arial" w:cs="Arial"/>
              </w:rPr>
              <w:t>19.576</w:t>
            </w:r>
          </w:p>
        </w:tc>
        <w:tc>
          <w:tcPr>
            <w:tcW w:w="0" w:type="auto"/>
            <w:hideMark/>
          </w:tcPr>
          <w:p w14:paraId="17FEDC43"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2754C2B2" w14:textId="77777777" w:rsidR="004810B3" w:rsidRPr="00FE45F6" w:rsidRDefault="004810B3" w:rsidP="003032E2">
            <w:pPr>
              <w:rPr>
                <w:rFonts w:ascii="Arial" w:hAnsi="Arial" w:cs="Arial"/>
                <w:color w:val="000000"/>
                <w:lang w:bidi="km-KH"/>
              </w:rPr>
            </w:pPr>
          </w:p>
        </w:tc>
        <w:tc>
          <w:tcPr>
            <w:tcW w:w="0" w:type="auto"/>
            <w:vMerge/>
            <w:vAlign w:val="center"/>
            <w:hideMark/>
          </w:tcPr>
          <w:p w14:paraId="79BDDDA9" w14:textId="77777777" w:rsidR="004810B3" w:rsidRPr="00FE45F6" w:rsidRDefault="004810B3" w:rsidP="003032E2">
            <w:pPr>
              <w:rPr>
                <w:rFonts w:ascii="Arial" w:hAnsi="Arial" w:cs="Arial"/>
                <w:color w:val="000000"/>
                <w:lang w:bidi="km-KH"/>
              </w:rPr>
            </w:pPr>
          </w:p>
        </w:tc>
        <w:tc>
          <w:tcPr>
            <w:tcW w:w="0" w:type="auto"/>
            <w:vMerge/>
            <w:vAlign w:val="center"/>
            <w:hideMark/>
          </w:tcPr>
          <w:p w14:paraId="03ED82AD" w14:textId="77777777" w:rsidR="004810B3" w:rsidRPr="00FE45F6" w:rsidRDefault="004810B3" w:rsidP="003032E2">
            <w:pPr>
              <w:rPr>
                <w:rFonts w:ascii="Arial" w:hAnsi="Arial" w:cs="Arial"/>
                <w:color w:val="000000"/>
                <w:lang w:bidi="km-KH"/>
              </w:rPr>
            </w:pPr>
          </w:p>
        </w:tc>
      </w:tr>
      <w:tr w:rsidR="004810B3" w:rsidRPr="00FE45F6" w14:paraId="070B40F2" w14:textId="77777777" w:rsidTr="004844EA">
        <w:trPr>
          <w:trHeight w:val="288"/>
        </w:trPr>
        <w:tc>
          <w:tcPr>
            <w:tcW w:w="0" w:type="auto"/>
            <w:tcBorders>
              <w:bottom w:val="single" w:sz="4" w:space="0" w:color="auto"/>
            </w:tcBorders>
            <w:vAlign w:val="center"/>
            <w:hideMark/>
          </w:tcPr>
          <w:p w14:paraId="200037B5" w14:textId="77777777" w:rsidR="004810B3" w:rsidRPr="00FE45F6" w:rsidRDefault="004810B3" w:rsidP="003032E2">
            <w:pPr>
              <w:jc w:val="center"/>
              <w:rPr>
                <w:rFonts w:ascii="Arial" w:hAnsi="Arial" w:cs="Arial"/>
                <w:b/>
                <w:bCs/>
                <w:color w:val="000000"/>
                <w:lang w:bidi="km-KH"/>
              </w:rPr>
            </w:pPr>
            <w:r w:rsidRPr="00FE45F6">
              <w:rPr>
                <w:rFonts w:ascii="Arial" w:hAnsi="Arial" w:cs="Arial"/>
                <w:b/>
                <w:bCs/>
                <w:color w:val="000000"/>
                <w:lang w:bidi="km-KH"/>
              </w:rPr>
              <w:t>CS7</w:t>
            </w:r>
          </w:p>
        </w:tc>
        <w:tc>
          <w:tcPr>
            <w:tcW w:w="0" w:type="auto"/>
            <w:tcBorders>
              <w:bottom w:val="single" w:sz="4" w:space="0" w:color="auto"/>
            </w:tcBorders>
          </w:tcPr>
          <w:p w14:paraId="4365D652"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bottom w:val="single" w:sz="4" w:space="0" w:color="auto"/>
            </w:tcBorders>
            <w:noWrap/>
            <w:vAlign w:val="center"/>
            <w:hideMark/>
          </w:tcPr>
          <w:p w14:paraId="34DBF124"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0.726</w:t>
            </w:r>
          </w:p>
        </w:tc>
        <w:tc>
          <w:tcPr>
            <w:tcW w:w="0" w:type="auto"/>
            <w:tcBorders>
              <w:bottom w:val="single" w:sz="4" w:space="0" w:color="auto"/>
            </w:tcBorders>
            <w:hideMark/>
          </w:tcPr>
          <w:p w14:paraId="74BEB463" w14:textId="77777777" w:rsidR="004810B3" w:rsidRPr="00FE45F6" w:rsidRDefault="004810B3" w:rsidP="00BD7F14">
            <w:pPr>
              <w:rPr>
                <w:rFonts w:ascii="Arial" w:hAnsi="Arial" w:cs="Arial"/>
                <w:color w:val="000000"/>
                <w:lang w:bidi="km-KH"/>
              </w:rPr>
            </w:pPr>
            <w:r w:rsidRPr="00FE45F6">
              <w:rPr>
                <w:rFonts w:ascii="Arial" w:hAnsi="Arial" w:cs="Arial"/>
              </w:rPr>
              <w:t>18.898</w:t>
            </w:r>
          </w:p>
        </w:tc>
        <w:tc>
          <w:tcPr>
            <w:tcW w:w="0" w:type="auto"/>
            <w:tcBorders>
              <w:bottom w:val="single" w:sz="4" w:space="0" w:color="auto"/>
            </w:tcBorders>
            <w:hideMark/>
          </w:tcPr>
          <w:p w14:paraId="531B30A7"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tcBorders>
              <w:bottom w:val="single" w:sz="4" w:space="0" w:color="auto"/>
            </w:tcBorders>
            <w:vAlign w:val="center"/>
            <w:hideMark/>
          </w:tcPr>
          <w:p w14:paraId="552645B7" w14:textId="77777777" w:rsidR="004810B3" w:rsidRPr="00FE45F6" w:rsidRDefault="004810B3" w:rsidP="003032E2">
            <w:pPr>
              <w:rPr>
                <w:rFonts w:ascii="Arial" w:hAnsi="Arial" w:cs="Arial"/>
                <w:color w:val="000000"/>
                <w:lang w:bidi="km-KH"/>
              </w:rPr>
            </w:pPr>
          </w:p>
        </w:tc>
        <w:tc>
          <w:tcPr>
            <w:tcW w:w="0" w:type="auto"/>
            <w:vMerge/>
            <w:tcBorders>
              <w:bottom w:val="single" w:sz="4" w:space="0" w:color="auto"/>
            </w:tcBorders>
            <w:vAlign w:val="center"/>
            <w:hideMark/>
          </w:tcPr>
          <w:p w14:paraId="384D6F86" w14:textId="77777777" w:rsidR="004810B3" w:rsidRPr="00FE45F6" w:rsidRDefault="004810B3" w:rsidP="003032E2">
            <w:pPr>
              <w:rPr>
                <w:rFonts w:ascii="Arial" w:hAnsi="Arial" w:cs="Arial"/>
                <w:color w:val="000000"/>
                <w:lang w:bidi="km-KH"/>
              </w:rPr>
            </w:pPr>
          </w:p>
        </w:tc>
        <w:tc>
          <w:tcPr>
            <w:tcW w:w="0" w:type="auto"/>
            <w:vMerge/>
            <w:tcBorders>
              <w:bottom w:val="single" w:sz="4" w:space="0" w:color="auto"/>
            </w:tcBorders>
            <w:vAlign w:val="center"/>
            <w:hideMark/>
          </w:tcPr>
          <w:p w14:paraId="0DBC2CB1" w14:textId="77777777" w:rsidR="004810B3" w:rsidRPr="00FE45F6" w:rsidRDefault="004810B3" w:rsidP="003032E2">
            <w:pPr>
              <w:rPr>
                <w:rFonts w:ascii="Arial" w:hAnsi="Arial" w:cs="Arial"/>
                <w:color w:val="000000"/>
                <w:lang w:bidi="km-KH"/>
              </w:rPr>
            </w:pPr>
          </w:p>
        </w:tc>
      </w:tr>
      <w:tr w:rsidR="004810B3" w:rsidRPr="00FE45F6" w14:paraId="55CA52D4" w14:textId="77777777" w:rsidTr="00CF1FDE">
        <w:trPr>
          <w:trHeight w:val="64"/>
        </w:trPr>
        <w:tc>
          <w:tcPr>
            <w:tcW w:w="0" w:type="auto"/>
            <w:gridSpan w:val="8"/>
            <w:tcBorders>
              <w:top w:val="single" w:sz="4" w:space="0" w:color="auto"/>
              <w:bottom w:val="single" w:sz="4" w:space="0" w:color="auto"/>
            </w:tcBorders>
            <w:vAlign w:val="center"/>
          </w:tcPr>
          <w:p w14:paraId="55C731B2" w14:textId="77777777" w:rsidR="004810B3" w:rsidRPr="00FE45F6" w:rsidRDefault="004810B3" w:rsidP="00BD7F14">
            <w:pPr>
              <w:rPr>
                <w:rFonts w:ascii="Arial" w:hAnsi="Arial" w:cs="Arial"/>
                <w:b/>
                <w:bCs/>
                <w:color w:val="000000"/>
                <w:lang w:bidi="km-KH"/>
              </w:rPr>
            </w:pPr>
            <w:r w:rsidRPr="00FE45F6">
              <w:rPr>
                <w:rFonts w:ascii="Arial" w:hAnsi="Arial" w:cs="Arial"/>
                <w:b/>
                <w:bCs/>
                <w:color w:val="000000"/>
                <w:lang w:bidi="km-KH"/>
              </w:rPr>
              <w:lastRenderedPageBreak/>
              <w:t>Reuse Intention</w:t>
            </w:r>
          </w:p>
        </w:tc>
      </w:tr>
      <w:tr w:rsidR="004810B3" w:rsidRPr="00FE45F6" w14:paraId="53F0C8AB" w14:textId="77777777" w:rsidTr="004844EA">
        <w:trPr>
          <w:trHeight w:val="288"/>
        </w:trPr>
        <w:tc>
          <w:tcPr>
            <w:tcW w:w="0" w:type="auto"/>
            <w:tcBorders>
              <w:top w:val="single" w:sz="4" w:space="0" w:color="auto"/>
            </w:tcBorders>
            <w:noWrap/>
            <w:vAlign w:val="center"/>
            <w:hideMark/>
          </w:tcPr>
          <w:p w14:paraId="4DD86EB3"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RI2</w:t>
            </w:r>
          </w:p>
        </w:tc>
        <w:tc>
          <w:tcPr>
            <w:tcW w:w="0" w:type="auto"/>
            <w:tcBorders>
              <w:top w:val="single" w:sz="4" w:space="0" w:color="auto"/>
            </w:tcBorders>
          </w:tcPr>
          <w:p w14:paraId="031BA126" w14:textId="77777777" w:rsidR="004810B3" w:rsidRPr="00FE45F6" w:rsidRDefault="004810B3" w:rsidP="003032E2">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top w:val="single" w:sz="4" w:space="0" w:color="auto"/>
            </w:tcBorders>
            <w:noWrap/>
            <w:vAlign w:val="center"/>
            <w:hideMark/>
          </w:tcPr>
          <w:p w14:paraId="5601D34B"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0.763</w:t>
            </w:r>
          </w:p>
        </w:tc>
        <w:tc>
          <w:tcPr>
            <w:tcW w:w="0" w:type="auto"/>
            <w:tcBorders>
              <w:top w:val="single" w:sz="4" w:space="0" w:color="auto"/>
            </w:tcBorders>
            <w:noWrap/>
            <w:vAlign w:val="center"/>
            <w:hideMark/>
          </w:tcPr>
          <w:p w14:paraId="1F13CFB3"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t> </w:t>
            </w:r>
            <w:r w:rsidRPr="00FE45F6">
              <w:rPr>
                <w:rFonts w:ascii="Arial" w:hAnsi="Arial" w:cs="Arial"/>
                <w:color w:val="000000"/>
                <w:lang w:bidi="km-KH"/>
              </w:rPr>
              <w:sym w:font="Symbol" w:char="F02D"/>
            </w:r>
          </w:p>
        </w:tc>
        <w:tc>
          <w:tcPr>
            <w:tcW w:w="0" w:type="auto"/>
            <w:tcBorders>
              <w:top w:val="single" w:sz="4" w:space="0" w:color="auto"/>
            </w:tcBorders>
            <w:noWrap/>
            <w:vAlign w:val="center"/>
            <w:hideMark/>
          </w:tcPr>
          <w:p w14:paraId="5613BC46" w14:textId="77777777" w:rsidR="004810B3" w:rsidRPr="00FE45F6" w:rsidRDefault="004810B3" w:rsidP="00BD7F14">
            <w:pPr>
              <w:rPr>
                <w:rFonts w:ascii="Arial" w:hAnsi="Arial" w:cs="Arial"/>
                <w:color w:val="000000"/>
                <w:lang w:bidi="km-KH"/>
              </w:rPr>
            </w:pPr>
            <w:r w:rsidRPr="00FE45F6">
              <w:rPr>
                <w:rFonts w:ascii="Arial" w:hAnsi="Arial" w:cs="Arial"/>
                <w:color w:val="000000"/>
                <w:lang w:bidi="km-KH"/>
              </w:rPr>
              <w:sym w:font="Symbol" w:char="F02D"/>
            </w:r>
            <w:r w:rsidRPr="00FE45F6">
              <w:rPr>
                <w:rFonts w:ascii="Arial" w:hAnsi="Arial" w:cs="Arial"/>
                <w:color w:val="000000"/>
                <w:lang w:bidi="km-KH"/>
              </w:rPr>
              <w:t> </w:t>
            </w:r>
          </w:p>
        </w:tc>
        <w:tc>
          <w:tcPr>
            <w:tcW w:w="0" w:type="auto"/>
            <w:vMerge w:val="restart"/>
            <w:tcBorders>
              <w:top w:val="single" w:sz="4" w:space="0" w:color="auto"/>
            </w:tcBorders>
            <w:noWrap/>
            <w:vAlign w:val="center"/>
            <w:hideMark/>
          </w:tcPr>
          <w:p w14:paraId="4E2AB6C0"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0.84</w:t>
            </w:r>
          </w:p>
        </w:tc>
        <w:tc>
          <w:tcPr>
            <w:tcW w:w="0" w:type="auto"/>
            <w:vMerge w:val="restart"/>
            <w:tcBorders>
              <w:top w:val="single" w:sz="4" w:space="0" w:color="auto"/>
            </w:tcBorders>
            <w:noWrap/>
            <w:vAlign w:val="center"/>
            <w:hideMark/>
          </w:tcPr>
          <w:p w14:paraId="57B1BE1D"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0.57</w:t>
            </w:r>
          </w:p>
        </w:tc>
        <w:tc>
          <w:tcPr>
            <w:tcW w:w="0" w:type="auto"/>
            <w:vMerge w:val="restart"/>
            <w:tcBorders>
              <w:top w:val="single" w:sz="4" w:space="0" w:color="auto"/>
            </w:tcBorders>
            <w:noWrap/>
            <w:vAlign w:val="center"/>
            <w:hideMark/>
          </w:tcPr>
          <w:p w14:paraId="58D73A9F" w14:textId="77777777" w:rsidR="004810B3" w:rsidRPr="00FE45F6" w:rsidRDefault="004810B3" w:rsidP="003032E2">
            <w:pPr>
              <w:jc w:val="center"/>
              <w:rPr>
                <w:rFonts w:ascii="Arial" w:hAnsi="Arial" w:cs="Arial"/>
                <w:color w:val="000000"/>
                <w:lang w:bidi="km-KH"/>
              </w:rPr>
            </w:pPr>
            <w:r w:rsidRPr="00FE45F6">
              <w:rPr>
                <w:rFonts w:ascii="Arial" w:hAnsi="Arial" w:cs="Arial"/>
                <w:color w:val="000000"/>
                <w:lang w:bidi="km-KH"/>
              </w:rPr>
              <w:t>0.842</w:t>
            </w:r>
          </w:p>
        </w:tc>
      </w:tr>
      <w:tr w:rsidR="004810B3" w:rsidRPr="00FE45F6" w14:paraId="24FDCC54" w14:textId="77777777" w:rsidTr="003032E2">
        <w:trPr>
          <w:trHeight w:val="288"/>
        </w:trPr>
        <w:tc>
          <w:tcPr>
            <w:tcW w:w="0" w:type="auto"/>
            <w:vAlign w:val="center"/>
            <w:hideMark/>
          </w:tcPr>
          <w:p w14:paraId="574F18F8"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RI3</w:t>
            </w:r>
          </w:p>
        </w:tc>
        <w:tc>
          <w:tcPr>
            <w:tcW w:w="0" w:type="auto"/>
          </w:tcPr>
          <w:p w14:paraId="107DBB90" w14:textId="77777777" w:rsidR="004810B3" w:rsidRPr="00FE45F6" w:rsidRDefault="004810B3" w:rsidP="004810B3">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42913225"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0.781</w:t>
            </w:r>
          </w:p>
        </w:tc>
        <w:tc>
          <w:tcPr>
            <w:tcW w:w="0" w:type="auto"/>
            <w:hideMark/>
          </w:tcPr>
          <w:p w14:paraId="573D7D12" w14:textId="77777777" w:rsidR="004810B3" w:rsidRPr="00FE45F6" w:rsidRDefault="004810B3" w:rsidP="00BD7F14">
            <w:pPr>
              <w:rPr>
                <w:rFonts w:ascii="Arial" w:hAnsi="Arial" w:cs="Arial"/>
                <w:color w:val="000000"/>
                <w:lang w:bidi="km-KH"/>
              </w:rPr>
            </w:pPr>
            <w:r w:rsidRPr="00FE45F6">
              <w:rPr>
                <w:rFonts w:ascii="Arial" w:hAnsi="Arial" w:cs="Arial"/>
              </w:rPr>
              <w:t>19.426</w:t>
            </w:r>
          </w:p>
        </w:tc>
        <w:tc>
          <w:tcPr>
            <w:tcW w:w="0" w:type="auto"/>
            <w:hideMark/>
          </w:tcPr>
          <w:p w14:paraId="6CF40E40"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69D3B0F9" w14:textId="77777777" w:rsidR="004810B3" w:rsidRPr="00FE45F6" w:rsidRDefault="004810B3" w:rsidP="004810B3">
            <w:pPr>
              <w:rPr>
                <w:rFonts w:ascii="Arial" w:hAnsi="Arial" w:cs="Arial"/>
                <w:color w:val="000000"/>
                <w:lang w:bidi="km-KH"/>
              </w:rPr>
            </w:pPr>
          </w:p>
        </w:tc>
        <w:tc>
          <w:tcPr>
            <w:tcW w:w="0" w:type="auto"/>
            <w:vMerge/>
            <w:vAlign w:val="center"/>
            <w:hideMark/>
          </w:tcPr>
          <w:p w14:paraId="793926E1" w14:textId="77777777" w:rsidR="004810B3" w:rsidRPr="00FE45F6" w:rsidRDefault="004810B3" w:rsidP="004810B3">
            <w:pPr>
              <w:rPr>
                <w:rFonts w:ascii="Arial" w:hAnsi="Arial" w:cs="Arial"/>
                <w:color w:val="000000"/>
                <w:lang w:bidi="km-KH"/>
              </w:rPr>
            </w:pPr>
          </w:p>
        </w:tc>
        <w:tc>
          <w:tcPr>
            <w:tcW w:w="0" w:type="auto"/>
            <w:vMerge/>
            <w:vAlign w:val="center"/>
            <w:hideMark/>
          </w:tcPr>
          <w:p w14:paraId="2095918F" w14:textId="77777777" w:rsidR="004810B3" w:rsidRPr="00FE45F6" w:rsidRDefault="004810B3" w:rsidP="004810B3">
            <w:pPr>
              <w:rPr>
                <w:rFonts w:ascii="Arial" w:hAnsi="Arial" w:cs="Arial"/>
                <w:color w:val="000000"/>
                <w:lang w:bidi="km-KH"/>
              </w:rPr>
            </w:pPr>
          </w:p>
        </w:tc>
      </w:tr>
      <w:tr w:rsidR="004810B3" w:rsidRPr="00FE45F6" w14:paraId="009A1AFF" w14:textId="77777777" w:rsidTr="003032E2">
        <w:trPr>
          <w:trHeight w:val="288"/>
        </w:trPr>
        <w:tc>
          <w:tcPr>
            <w:tcW w:w="0" w:type="auto"/>
            <w:vAlign w:val="center"/>
            <w:hideMark/>
          </w:tcPr>
          <w:p w14:paraId="379480E4"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RI4</w:t>
            </w:r>
          </w:p>
        </w:tc>
        <w:tc>
          <w:tcPr>
            <w:tcW w:w="0" w:type="auto"/>
          </w:tcPr>
          <w:p w14:paraId="57218484" w14:textId="77777777" w:rsidR="004810B3" w:rsidRPr="00FE45F6" w:rsidRDefault="004810B3" w:rsidP="004810B3">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noWrap/>
            <w:vAlign w:val="center"/>
            <w:hideMark/>
          </w:tcPr>
          <w:p w14:paraId="3BE5A60D"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0.756</w:t>
            </w:r>
          </w:p>
        </w:tc>
        <w:tc>
          <w:tcPr>
            <w:tcW w:w="0" w:type="auto"/>
            <w:hideMark/>
          </w:tcPr>
          <w:p w14:paraId="7420225A" w14:textId="77777777" w:rsidR="004810B3" w:rsidRPr="00FE45F6" w:rsidRDefault="004810B3" w:rsidP="00BD7F14">
            <w:pPr>
              <w:rPr>
                <w:rFonts w:ascii="Arial" w:hAnsi="Arial" w:cs="Arial"/>
                <w:color w:val="000000"/>
                <w:lang w:bidi="km-KH"/>
              </w:rPr>
            </w:pPr>
            <w:r w:rsidRPr="00FE45F6">
              <w:rPr>
                <w:rFonts w:ascii="Arial" w:hAnsi="Arial" w:cs="Arial"/>
              </w:rPr>
              <w:t>18.722</w:t>
            </w:r>
          </w:p>
        </w:tc>
        <w:tc>
          <w:tcPr>
            <w:tcW w:w="0" w:type="auto"/>
            <w:hideMark/>
          </w:tcPr>
          <w:p w14:paraId="0FD2CA8A"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vAlign w:val="center"/>
            <w:hideMark/>
          </w:tcPr>
          <w:p w14:paraId="24B0BCB8" w14:textId="77777777" w:rsidR="004810B3" w:rsidRPr="00FE45F6" w:rsidRDefault="004810B3" w:rsidP="004810B3">
            <w:pPr>
              <w:rPr>
                <w:rFonts w:ascii="Arial" w:hAnsi="Arial" w:cs="Arial"/>
                <w:color w:val="000000"/>
                <w:lang w:bidi="km-KH"/>
              </w:rPr>
            </w:pPr>
          </w:p>
        </w:tc>
        <w:tc>
          <w:tcPr>
            <w:tcW w:w="0" w:type="auto"/>
            <w:vMerge/>
            <w:vAlign w:val="center"/>
            <w:hideMark/>
          </w:tcPr>
          <w:p w14:paraId="2B44953E" w14:textId="77777777" w:rsidR="004810B3" w:rsidRPr="00FE45F6" w:rsidRDefault="004810B3" w:rsidP="004810B3">
            <w:pPr>
              <w:rPr>
                <w:rFonts w:ascii="Arial" w:hAnsi="Arial" w:cs="Arial"/>
                <w:color w:val="000000"/>
                <w:lang w:bidi="km-KH"/>
              </w:rPr>
            </w:pPr>
          </w:p>
        </w:tc>
        <w:tc>
          <w:tcPr>
            <w:tcW w:w="0" w:type="auto"/>
            <w:vMerge/>
            <w:vAlign w:val="center"/>
            <w:hideMark/>
          </w:tcPr>
          <w:p w14:paraId="011E406C" w14:textId="77777777" w:rsidR="004810B3" w:rsidRPr="00FE45F6" w:rsidRDefault="004810B3" w:rsidP="004810B3">
            <w:pPr>
              <w:rPr>
                <w:rFonts w:ascii="Arial" w:hAnsi="Arial" w:cs="Arial"/>
                <w:color w:val="000000"/>
                <w:lang w:bidi="km-KH"/>
              </w:rPr>
            </w:pPr>
          </w:p>
        </w:tc>
      </w:tr>
      <w:tr w:rsidR="004810B3" w:rsidRPr="00FE45F6" w14:paraId="033DAAC2" w14:textId="77777777" w:rsidTr="003032E2">
        <w:trPr>
          <w:trHeight w:val="288"/>
        </w:trPr>
        <w:tc>
          <w:tcPr>
            <w:tcW w:w="0" w:type="auto"/>
            <w:tcBorders>
              <w:bottom w:val="single" w:sz="4" w:space="0" w:color="auto"/>
            </w:tcBorders>
            <w:vAlign w:val="center"/>
            <w:hideMark/>
          </w:tcPr>
          <w:p w14:paraId="330A5F1D"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RI5</w:t>
            </w:r>
          </w:p>
        </w:tc>
        <w:tc>
          <w:tcPr>
            <w:tcW w:w="0" w:type="auto"/>
            <w:tcBorders>
              <w:bottom w:val="single" w:sz="4" w:space="0" w:color="auto"/>
            </w:tcBorders>
          </w:tcPr>
          <w:p w14:paraId="2FEF9C89" w14:textId="77777777" w:rsidR="004810B3" w:rsidRPr="00FE45F6" w:rsidRDefault="004810B3" w:rsidP="004810B3">
            <w:pPr>
              <w:jc w:val="center"/>
              <w:rPr>
                <w:rFonts w:ascii="Arial" w:hAnsi="Arial" w:cs="Arial"/>
                <w:color w:val="000000"/>
                <w:lang w:bidi="km-KH"/>
              </w:rPr>
            </w:pPr>
            <w:r w:rsidRPr="00FE45F6">
              <w:rPr>
                <w:rFonts w:ascii="Arial" w:eastAsia="MS UI Gothic" w:hAnsi="Arial" w:cs="Arial"/>
                <w:color w:val="000000"/>
                <w:lang w:bidi="km-KH"/>
              </w:rPr>
              <w:t>←</w:t>
            </w:r>
          </w:p>
        </w:tc>
        <w:tc>
          <w:tcPr>
            <w:tcW w:w="0" w:type="auto"/>
            <w:tcBorders>
              <w:bottom w:val="single" w:sz="4" w:space="0" w:color="auto"/>
            </w:tcBorders>
            <w:noWrap/>
            <w:vAlign w:val="center"/>
            <w:hideMark/>
          </w:tcPr>
          <w:p w14:paraId="1654F96B" w14:textId="77777777" w:rsidR="004810B3" w:rsidRPr="00FE45F6" w:rsidRDefault="004810B3" w:rsidP="004810B3">
            <w:pPr>
              <w:jc w:val="center"/>
              <w:rPr>
                <w:rFonts w:ascii="Arial" w:hAnsi="Arial" w:cs="Arial"/>
                <w:color w:val="000000"/>
                <w:lang w:bidi="km-KH"/>
              </w:rPr>
            </w:pPr>
            <w:r w:rsidRPr="00FE45F6">
              <w:rPr>
                <w:rFonts w:ascii="Arial" w:hAnsi="Arial" w:cs="Arial"/>
                <w:color w:val="000000"/>
                <w:lang w:bidi="km-KH"/>
              </w:rPr>
              <w:t>0.716</w:t>
            </w:r>
          </w:p>
        </w:tc>
        <w:tc>
          <w:tcPr>
            <w:tcW w:w="0" w:type="auto"/>
            <w:tcBorders>
              <w:bottom w:val="single" w:sz="4" w:space="0" w:color="auto"/>
            </w:tcBorders>
            <w:hideMark/>
          </w:tcPr>
          <w:p w14:paraId="54F13E32" w14:textId="77777777" w:rsidR="004810B3" w:rsidRPr="00FE45F6" w:rsidRDefault="004810B3" w:rsidP="00BD7F14">
            <w:pPr>
              <w:rPr>
                <w:rFonts w:ascii="Arial" w:hAnsi="Arial" w:cs="Arial"/>
                <w:color w:val="000000"/>
                <w:lang w:bidi="km-KH"/>
              </w:rPr>
            </w:pPr>
            <w:r w:rsidRPr="00FE45F6">
              <w:rPr>
                <w:rFonts w:ascii="Arial" w:hAnsi="Arial" w:cs="Arial"/>
              </w:rPr>
              <w:t>17.638</w:t>
            </w:r>
          </w:p>
        </w:tc>
        <w:tc>
          <w:tcPr>
            <w:tcW w:w="0" w:type="auto"/>
            <w:tcBorders>
              <w:bottom w:val="single" w:sz="4" w:space="0" w:color="auto"/>
            </w:tcBorders>
            <w:hideMark/>
          </w:tcPr>
          <w:p w14:paraId="45EBEED3" w14:textId="77777777" w:rsidR="004810B3" w:rsidRPr="00FE45F6" w:rsidRDefault="004810B3" w:rsidP="00BD7F14">
            <w:pPr>
              <w:rPr>
                <w:rFonts w:ascii="Arial" w:hAnsi="Arial" w:cs="Arial"/>
                <w:color w:val="000000"/>
                <w:lang w:bidi="km-KH"/>
              </w:rPr>
            </w:pPr>
            <w:r w:rsidRPr="00FE45F6">
              <w:rPr>
                <w:rFonts w:ascii="Arial" w:hAnsi="Arial" w:cs="Arial"/>
              </w:rPr>
              <w:t>***</w:t>
            </w:r>
          </w:p>
        </w:tc>
        <w:tc>
          <w:tcPr>
            <w:tcW w:w="0" w:type="auto"/>
            <w:vMerge/>
            <w:tcBorders>
              <w:bottom w:val="single" w:sz="4" w:space="0" w:color="auto"/>
            </w:tcBorders>
            <w:vAlign w:val="center"/>
            <w:hideMark/>
          </w:tcPr>
          <w:p w14:paraId="0735F0F8" w14:textId="77777777" w:rsidR="004810B3" w:rsidRPr="00FE45F6" w:rsidRDefault="004810B3" w:rsidP="004810B3">
            <w:pPr>
              <w:rPr>
                <w:rFonts w:ascii="Arial" w:hAnsi="Arial" w:cs="Arial"/>
                <w:color w:val="000000"/>
                <w:lang w:bidi="km-KH"/>
              </w:rPr>
            </w:pPr>
          </w:p>
        </w:tc>
        <w:tc>
          <w:tcPr>
            <w:tcW w:w="0" w:type="auto"/>
            <w:vMerge/>
            <w:tcBorders>
              <w:bottom w:val="single" w:sz="4" w:space="0" w:color="auto"/>
            </w:tcBorders>
            <w:vAlign w:val="center"/>
            <w:hideMark/>
          </w:tcPr>
          <w:p w14:paraId="3B6A052E" w14:textId="77777777" w:rsidR="004810B3" w:rsidRPr="00FE45F6" w:rsidRDefault="004810B3" w:rsidP="004810B3">
            <w:pPr>
              <w:rPr>
                <w:rFonts w:ascii="Arial" w:hAnsi="Arial" w:cs="Arial"/>
                <w:color w:val="000000"/>
                <w:lang w:bidi="km-KH"/>
              </w:rPr>
            </w:pPr>
          </w:p>
        </w:tc>
        <w:tc>
          <w:tcPr>
            <w:tcW w:w="0" w:type="auto"/>
            <w:vMerge/>
            <w:tcBorders>
              <w:bottom w:val="single" w:sz="4" w:space="0" w:color="auto"/>
            </w:tcBorders>
            <w:vAlign w:val="center"/>
            <w:hideMark/>
          </w:tcPr>
          <w:p w14:paraId="6D557A31" w14:textId="77777777" w:rsidR="004810B3" w:rsidRPr="00FE45F6" w:rsidRDefault="004810B3" w:rsidP="004810B3">
            <w:pPr>
              <w:rPr>
                <w:rFonts w:ascii="Arial" w:hAnsi="Arial" w:cs="Arial"/>
                <w:color w:val="000000"/>
                <w:lang w:bidi="km-KH"/>
              </w:rPr>
            </w:pPr>
          </w:p>
        </w:tc>
      </w:tr>
    </w:tbl>
    <w:p w14:paraId="6FCC78D0" w14:textId="77777777" w:rsidR="00D21D48" w:rsidRPr="00FE45F6" w:rsidRDefault="006B421D" w:rsidP="007B4168">
      <w:pPr>
        <w:spacing w:before="200" w:after="200"/>
        <w:jc w:val="both"/>
        <w:rPr>
          <w:rFonts w:ascii="Arial" w:eastAsia="Book Antiqua" w:hAnsi="Arial" w:cs="Arial"/>
          <w:b/>
          <w:bCs/>
        </w:rPr>
      </w:pPr>
      <w:r w:rsidRPr="00FE45F6">
        <w:rPr>
          <w:rFonts w:ascii="Arial" w:eastAsia="Calibri" w:hAnsi="Arial" w:cs="Arial"/>
          <w:b/>
          <w:bCs/>
          <w:color w:val="000000" w:themeColor="text1"/>
        </w:rPr>
        <w:t xml:space="preserve">4.1.6. </w:t>
      </w:r>
      <w:r w:rsidR="00D21D48" w:rsidRPr="00FE45F6">
        <w:rPr>
          <w:rFonts w:ascii="Arial" w:eastAsia="Calibri" w:hAnsi="Arial" w:cs="Arial"/>
          <w:b/>
          <w:bCs/>
          <w:color w:val="000000" w:themeColor="text1"/>
        </w:rPr>
        <w:t>Discriminant Validity of Constructs</w:t>
      </w:r>
    </w:p>
    <w:p w14:paraId="1243C771" w14:textId="77777777" w:rsidR="00C40C6C" w:rsidRPr="00FE45F6" w:rsidRDefault="00C40C6C" w:rsidP="00C40C6C">
      <w:pPr>
        <w:spacing w:after="200"/>
        <w:jc w:val="both"/>
        <w:rPr>
          <w:rFonts w:ascii="Arial" w:eastAsia="Book Antiqua" w:hAnsi="Arial" w:cs="Arial"/>
        </w:rPr>
      </w:pPr>
      <w:r w:rsidRPr="00FE45F6">
        <w:rPr>
          <w:rFonts w:ascii="Arial" w:eastAsia="Book Antiqua" w:hAnsi="Arial" w:cs="Arial"/>
        </w:rPr>
        <w:t xml:space="preserve">Table 8 presents the </w:t>
      </w:r>
      <w:proofErr w:type="spellStart"/>
      <w:r w:rsidRPr="00FE45F6">
        <w:rPr>
          <w:rFonts w:ascii="Arial" w:eastAsia="Book Antiqua" w:hAnsi="Arial" w:cs="Arial"/>
        </w:rPr>
        <w:t>heterotrait</w:t>
      </w:r>
      <w:proofErr w:type="spellEnd"/>
      <w:r w:rsidRPr="00FE45F6">
        <w:rPr>
          <w:rFonts w:ascii="Arial" w:eastAsia="Book Antiqua" w:hAnsi="Arial" w:cs="Arial"/>
        </w:rPr>
        <w:t>–</w:t>
      </w:r>
      <w:proofErr w:type="spellStart"/>
      <w:r w:rsidRPr="00FE45F6">
        <w:rPr>
          <w:rFonts w:ascii="Arial" w:eastAsia="Book Antiqua" w:hAnsi="Arial" w:cs="Arial"/>
        </w:rPr>
        <w:t>monotrait</w:t>
      </w:r>
      <w:proofErr w:type="spellEnd"/>
      <w:r w:rsidRPr="00FE45F6">
        <w:rPr>
          <w:rFonts w:ascii="Arial" w:eastAsia="Book Antiqua" w:hAnsi="Arial" w:cs="Arial"/>
        </w:rPr>
        <w:t xml:space="preserve"> (HTMT) ratio used to assess discriminant validity. The HTMT values ranged from 0.792 to 0.872. Although several HTMT values were relatively high, all remained below the recommended threshold of 0.90, indicating that discriminant validity was established and that the constructs were empirically distinct from one another. This suggests that, despite some conceptual overlap among service quality, perceived convenience, customer satisfaction, and reuse intention, each construct captures a distinct aspect of users’ experiences and </w:t>
      </w:r>
      <w:proofErr w:type="spellStart"/>
      <w:r w:rsidRPr="00FE45F6">
        <w:rPr>
          <w:rFonts w:ascii="Arial" w:eastAsia="Book Antiqua" w:hAnsi="Arial" w:cs="Arial"/>
        </w:rPr>
        <w:t>behavioural</w:t>
      </w:r>
      <w:proofErr w:type="spellEnd"/>
      <w:r w:rsidRPr="00FE45F6">
        <w:rPr>
          <w:rFonts w:ascii="Arial" w:eastAsia="Book Antiqua" w:hAnsi="Arial" w:cs="Arial"/>
        </w:rPr>
        <w:t xml:space="preserve"> responses towards </w:t>
      </w:r>
      <w:proofErr w:type="spellStart"/>
      <w:r w:rsidRPr="00FE45F6">
        <w:rPr>
          <w:rFonts w:ascii="Arial" w:eastAsia="Book Antiqua" w:hAnsi="Arial" w:cs="Arial"/>
        </w:rPr>
        <w:t>Foodpanda</w:t>
      </w:r>
      <w:proofErr w:type="spellEnd"/>
      <w:r w:rsidRPr="00FE45F6">
        <w:rPr>
          <w:rFonts w:ascii="Arial" w:eastAsia="Book Antiqua" w:hAnsi="Arial" w:cs="Arial"/>
        </w:rPr>
        <w:t>. Thus, the constructs can be reliably distinguished and used to assess their respective relationships in the structural model.</w:t>
      </w:r>
    </w:p>
    <w:p w14:paraId="4D46F89E" w14:textId="77777777" w:rsidR="00D21D48" w:rsidRPr="00FE45F6" w:rsidRDefault="00D21D48" w:rsidP="00D21D48">
      <w:pPr>
        <w:spacing w:after="200"/>
        <w:jc w:val="center"/>
        <w:rPr>
          <w:rFonts w:ascii="Arial" w:eastAsia="Book Antiqua" w:hAnsi="Arial" w:cs="Arial"/>
          <w:b/>
          <w:bCs/>
        </w:rPr>
      </w:pPr>
      <w:r w:rsidRPr="00FE45F6">
        <w:rPr>
          <w:rFonts w:ascii="Arial" w:eastAsia="Book Antiqua" w:hAnsi="Arial" w:cs="Arial"/>
          <w:b/>
          <w:bCs/>
        </w:rPr>
        <w:t>Table 8: Discriminant validity results (HTMT criteria)</w:t>
      </w:r>
    </w:p>
    <w:tbl>
      <w:tblPr>
        <w:tblW w:w="5413" w:type="dxa"/>
        <w:tblInd w:w="1459" w:type="dxa"/>
        <w:tblBorders>
          <w:top w:val="single" w:sz="4" w:space="0" w:color="auto"/>
          <w:bottom w:val="single" w:sz="4" w:space="0" w:color="auto"/>
        </w:tblBorders>
        <w:tblLook w:val="04A0" w:firstRow="1" w:lastRow="0" w:firstColumn="1" w:lastColumn="0" w:noHBand="0" w:noVBand="1"/>
      </w:tblPr>
      <w:tblGrid>
        <w:gridCol w:w="1685"/>
        <w:gridCol w:w="951"/>
        <w:gridCol w:w="951"/>
        <w:gridCol w:w="951"/>
        <w:gridCol w:w="875"/>
      </w:tblGrid>
      <w:tr w:rsidR="007B4168" w:rsidRPr="00FE45F6" w14:paraId="7BE00149" w14:textId="77777777" w:rsidTr="00647788">
        <w:trPr>
          <w:trHeight w:val="251"/>
        </w:trPr>
        <w:tc>
          <w:tcPr>
            <w:tcW w:w="0" w:type="auto"/>
            <w:tcBorders>
              <w:top w:val="single" w:sz="4" w:space="0" w:color="auto"/>
              <w:bottom w:val="single" w:sz="4" w:space="0" w:color="auto"/>
            </w:tcBorders>
            <w:noWrap/>
            <w:vAlign w:val="center"/>
            <w:hideMark/>
          </w:tcPr>
          <w:p w14:paraId="36BC9293"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Constructs</w:t>
            </w:r>
          </w:p>
        </w:tc>
        <w:tc>
          <w:tcPr>
            <w:tcW w:w="0" w:type="auto"/>
            <w:tcBorders>
              <w:top w:val="single" w:sz="4" w:space="0" w:color="auto"/>
              <w:bottom w:val="single" w:sz="4" w:space="0" w:color="auto"/>
            </w:tcBorders>
            <w:noWrap/>
            <w:vAlign w:val="center"/>
            <w:hideMark/>
          </w:tcPr>
          <w:p w14:paraId="7B4FEEAF"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SQ</w:t>
            </w:r>
          </w:p>
        </w:tc>
        <w:tc>
          <w:tcPr>
            <w:tcW w:w="0" w:type="auto"/>
            <w:tcBorders>
              <w:top w:val="single" w:sz="4" w:space="0" w:color="auto"/>
              <w:bottom w:val="single" w:sz="4" w:space="0" w:color="auto"/>
            </w:tcBorders>
            <w:noWrap/>
            <w:vAlign w:val="center"/>
            <w:hideMark/>
          </w:tcPr>
          <w:p w14:paraId="4484B53F"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PC</w:t>
            </w:r>
          </w:p>
        </w:tc>
        <w:tc>
          <w:tcPr>
            <w:tcW w:w="0" w:type="auto"/>
            <w:tcBorders>
              <w:top w:val="single" w:sz="4" w:space="0" w:color="auto"/>
              <w:bottom w:val="single" w:sz="4" w:space="0" w:color="auto"/>
            </w:tcBorders>
            <w:noWrap/>
            <w:vAlign w:val="center"/>
            <w:hideMark/>
          </w:tcPr>
          <w:p w14:paraId="322A0D86"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CS</w:t>
            </w:r>
          </w:p>
        </w:tc>
        <w:tc>
          <w:tcPr>
            <w:tcW w:w="875" w:type="dxa"/>
            <w:tcBorders>
              <w:top w:val="single" w:sz="4" w:space="0" w:color="auto"/>
              <w:bottom w:val="single" w:sz="4" w:space="0" w:color="auto"/>
            </w:tcBorders>
            <w:noWrap/>
            <w:vAlign w:val="center"/>
            <w:hideMark/>
          </w:tcPr>
          <w:p w14:paraId="1255AD24"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RI</w:t>
            </w:r>
          </w:p>
        </w:tc>
      </w:tr>
      <w:tr w:rsidR="007B4168" w:rsidRPr="00FE45F6" w14:paraId="56C09F8C" w14:textId="77777777" w:rsidTr="00647788">
        <w:trPr>
          <w:trHeight w:val="251"/>
        </w:trPr>
        <w:tc>
          <w:tcPr>
            <w:tcW w:w="0" w:type="auto"/>
            <w:tcBorders>
              <w:top w:val="single" w:sz="4" w:space="0" w:color="auto"/>
            </w:tcBorders>
            <w:noWrap/>
            <w:vAlign w:val="center"/>
            <w:hideMark/>
          </w:tcPr>
          <w:p w14:paraId="5B9E4B19"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SQ</w:t>
            </w:r>
          </w:p>
        </w:tc>
        <w:tc>
          <w:tcPr>
            <w:tcW w:w="0" w:type="auto"/>
            <w:tcBorders>
              <w:top w:val="single" w:sz="4" w:space="0" w:color="auto"/>
            </w:tcBorders>
            <w:noWrap/>
            <w:vAlign w:val="center"/>
            <w:hideMark/>
          </w:tcPr>
          <w:p w14:paraId="62B3E867"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sym w:font="Symbol" w:char="F02D"/>
            </w:r>
          </w:p>
        </w:tc>
        <w:tc>
          <w:tcPr>
            <w:tcW w:w="0" w:type="auto"/>
            <w:tcBorders>
              <w:top w:val="single" w:sz="4" w:space="0" w:color="auto"/>
            </w:tcBorders>
            <w:noWrap/>
            <w:vAlign w:val="center"/>
            <w:hideMark/>
          </w:tcPr>
          <w:p w14:paraId="2AE7ADF5"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c>
          <w:tcPr>
            <w:tcW w:w="0" w:type="auto"/>
            <w:tcBorders>
              <w:top w:val="single" w:sz="4" w:space="0" w:color="auto"/>
            </w:tcBorders>
            <w:noWrap/>
            <w:vAlign w:val="center"/>
            <w:hideMark/>
          </w:tcPr>
          <w:p w14:paraId="1509511F"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c>
          <w:tcPr>
            <w:tcW w:w="875" w:type="dxa"/>
            <w:tcBorders>
              <w:top w:val="single" w:sz="4" w:space="0" w:color="auto"/>
            </w:tcBorders>
            <w:noWrap/>
            <w:vAlign w:val="center"/>
            <w:hideMark/>
          </w:tcPr>
          <w:p w14:paraId="2179BFD2"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r>
      <w:tr w:rsidR="007B4168" w:rsidRPr="00FE45F6" w14:paraId="269C5BFD" w14:textId="77777777" w:rsidTr="00647788">
        <w:trPr>
          <w:trHeight w:val="251"/>
        </w:trPr>
        <w:tc>
          <w:tcPr>
            <w:tcW w:w="0" w:type="auto"/>
            <w:noWrap/>
            <w:vAlign w:val="center"/>
            <w:hideMark/>
          </w:tcPr>
          <w:p w14:paraId="36B5A9E8"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PC</w:t>
            </w:r>
          </w:p>
        </w:tc>
        <w:tc>
          <w:tcPr>
            <w:tcW w:w="0" w:type="auto"/>
            <w:noWrap/>
            <w:vAlign w:val="center"/>
            <w:hideMark/>
          </w:tcPr>
          <w:p w14:paraId="72440045"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0.821</w:t>
            </w:r>
          </w:p>
        </w:tc>
        <w:tc>
          <w:tcPr>
            <w:tcW w:w="0" w:type="auto"/>
            <w:noWrap/>
            <w:vAlign w:val="center"/>
            <w:hideMark/>
          </w:tcPr>
          <w:p w14:paraId="35CB52D9"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sym w:font="Symbol" w:char="F02D"/>
            </w:r>
          </w:p>
        </w:tc>
        <w:tc>
          <w:tcPr>
            <w:tcW w:w="0" w:type="auto"/>
            <w:noWrap/>
            <w:vAlign w:val="center"/>
            <w:hideMark/>
          </w:tcPr>
          <w:p w14:paraId="54362B5E"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c>
          <w:tcPr>
            <w:tcW w:w="875" w:type="dxa"/>
            <w:noWrap/>
            <w:vAlign w:val="center"/>
            <w:hideMark/>
          </w:tcPr>
          <w:p w14:paraId="3D2A9B80"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r>
      <w:tr w:rsidR="007B4168" w:rsidRPr="00FE45F6" w14:paraId="7B47C951" w14:textId="77777777" w:rsidTr="00647788">
        <w:trPr>
          <w:trHeight w:val="251"/>
        </w:trPr>
        <w:tc>
          <w:tcPr>
            <w:tcW w:w="0" w:type="auto"/>
            <w:noWrap/>
            <w:vAlign w:val="center"/>
            <w:hideMark/>
          </w:tcPr>
          <w:p w14:paraId="5781AE42"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CS</w:t>
            </w:r>
          </w:p>
        </w:tc>
        <w:tc>
          <w:tcPr>
            <w:tcW w:w="0" w:type="auto"/>
            <w:noWrap/>
            <w:vAlign w:val="center"/>
            <w:hideMark/>
          </w:tcPr>
          <w:p w14:paraId="25070068"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0.843</w:t>
            </w:r>
          </w:p>
        </w:tc>
        <w:tc>
          <w:tcPr>
            <w:tcW w:w="0" w:type="auto"/>
            <w:noWrap/>
            <w:vAlign w:val="center"/>
            <w:hideMark/>
          </w:tcPr>
          <w:p w14:paraId="18A754E0"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0.872</w:t>
            </w:r>
          </w:p>
        </w:tc>
        <w:tc>
          <w:tcPr>
            <w:tcW w:w="0" w:type="auto"/>
            <w:noWrap/>
            <w:vAlign w:val="center"/>
            <w:hideMark/>
          </w:tcPr>
          <w:p w14:paraId="666FC69A"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sym w:font="Symbol" w:char="F02D"/>
            </w:r>
          </w:p>
        </w:tc>
        <w:tc>
          <w:tcPr>
            <w:tcW w:w="875" w:type="dxa"/>
            <w:noWrap/>
            <w:vAlign w:val="center"/>
            <w:hideMark/>
          </w:tcPr>
          <w:p w14:paraId="6922E8BF"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 </w:t>
            </w:r>
          </w:p>
        </w:tc>
      </w:tr>
      <w:tr w:rsidR="007B4168" w:rsidRPr="00FE45F6" w14:paraId="74859A1C" w14:textId="77777777" w:rsidTr="00647788">
        <w:trPr>
          <w:trHeight w:val="251"/>
        </w:trPr>
        <w:tc>
          <w:tcPr>
            <w:tcW w:w="0" w:type="auto"/>
            <w:noWrap/>
            <w:vAlign w:val="center"/>
            <w:hideMark/>
          </w:tcPr>
          <w:p w14:paraId="0C0311C7" w14:textId="77777777" w:rsidR="00D21D48" w:rsidRPr="00FE45F6" w:rsidRDefault="00D21D48" w:rsidP="007B4168">
            <w:pPr>
              <w:jc w:val="both"/>
              <w:rPr>
                <w:rFonts w:ascii="Arial" w:hAnsi="Arial" w:cs="Arial"/>
                <w:b/>
                <w:bCs/>
                <w:color w:val="000000"/>
                <w:lang w:bidi="km-KH"/>
              </w:rPr>
            </w:pPr>
            <w:r w:rsidRPr="00FE45F6">
              <w:rPr>
                <w:rFonts w:ascii="Arial" w:hAnsi="Arial" w:cs="Arial"/>
                <w:b/>
                <w:bCs/>
                <w:color w:val="000000"/>
                <w:lang w:bidi="km-KH"/>
              </w:rPr>
              <w:t>RI</w:t>
            </w:r>
          </w:p>
        </w:tc>
        <w:tc>
          <w:tcPr>
            <w:tcW w:w="0" w:type="auto"/>
            <w:noWrap/>
            <w:vAlign w:val="center"/>
            <w:hideMark/>
          </w:tcPr>
          <w:p w14:paraId="6CCDC1C1"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0.792</w:t>
            </w:r>
          </w:p>
        </w:tc>
        <w:tc>
          <w:tcPr>
            <w:tcW w:w="0" w:type="auto"/>
            <w:noWrap/>
            <w:vAlign w:val="center"/>
            <w:hideMark/>
          </w:tcPr>
          <w:p w14:paraId="2C8EE760"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0.827</w:t>
            </w:r>
          </w:p>
        </w:tc>
        <w:tc>
          <w:tcPr>
            <w:tcW w:w="0" w:type="auto"/>
            <w:noWrap/>
            <w:vAlign w:val="center"/>
            <w:hideMark/>
          </w:tcPr>
          <w:p w14:paraId="014F14D6"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t>0.853</w:t>
            </w:r>
          </w:p>
        </w:tc>
        <w:tc>
          <w:tcPr>
            <w:tcW w:w="875" w:type="dxa"/>
            <w:noWrap/>
            <w:vAlign w:val="center"/>
            <w:hideMark/>
          </w:tcPr>
          <w:p w14:paraId="51DF09BE" w14:textId="77777777" w:rsidR="00D21D48" w:rsidRPr="00FE45F6" w:rsidRDefault="00D21D48" w:rsidP="007B4168">
            <w:pPr>
              <w:jc w:val="both"/>
              <w:rPr>
                <w:rFonts w:ascii="Arial" w:hAnsi="Arial" w:cs="Arial"/>
                <w:color w:val="000000"/>
                <w:lang w:bidi="km-KH"/>
              </w:rPr>
            </w:pPr>
            <w:r w:rsidRPr="00FE45F6">
              <w:rPr>
                <w:rFonts w:ascii="Arial" w:hAnsi="Arial" w:cs="Arial"/>
                <w:color w:val="000000"/>
                <w:lang w:bidi="km-KH"/>
              </w:rPr>
              <w:sym w:font="Symbol" w:char="F02D"/>
            </w:r>
          </w:p>
        </w:tc>
      </w:tr>
    </w:tbl>
    <w:p w14:paraId="4476128B" w14:textId="77777777" w:rsidR="007B4168" w:rsidRPr="00FE45F6" w:rsidRDefault="006B421D" w:rsidP="007B4168">
      <w:pPr>
        <w:spacing w:before="200" w:after="200"/>
        <w:jc w:val="both"/>
        <w:rPr>
          <w:rFonts w:ascii="Arial" w:eastAsia="Calibri" w:hAnsi="Arial" w:cs="Arial"/>
          <w:b/>
          <w:bCs/>
          <w:color w:val="000000" w:themeColor="text1"/>
          <w:sz w:val="22"/>
          <w:szCs w:val="22"/>
        </w:rPr>
      </w:pPr>
      <w:r w:rsidRPr="00FE45F6">
        <w:rPr>
          <w:rFonts w:ascii="Arial" w:eastAsia="Calibri" w:hAnsi="Arial" w:cs="Arial"/>
          <w:b/>
          <w:bCs/>
          <w:color w:val="000000" w:themeColor="text1"/>
          <w:sz w:val="22"/>
          <w:szCs w:val="22"/>
        </w:rPr>
        <w:t xml:space="preserve">4.1.7. </w:t>
      </w:r>
      <w:r w:rsidR="007B4168" w:rsidRPr="00FE45F6">
        <w:rPr>
          <w:rFonts w:ascii="Arial" w:eastAsia="Calibri" w:hAnsi="Arial" w:cs="Arial"/>
          <w:b/>
          <w:bCs/>
          <w:color w:val="000000" w:themeColor="text1"/>
          <w:sz w:val="22"/>
          <w:szCs w:val="22"/>
        </w:rPr>
        <w:t>Correlation Matrix</w:t>
      </w:r>
    </w:p>
    <w:p w14:paraId="00B22768" w14:textId="77777777" w:rsidR="007B4168" w:rsidRPr="00FE45F6" w:rsidRDefault="006B3281" w:rsidP="0080157B">
      <w:pPr>
        <w:spacing w:after="200"/>
        <w:jc w:val="both"/>
        <w:rPr>
          <w:rFonts w:ascii="Arial" w:eastAsia="Book Antiqua" w:hAnsi="Arial" w:cs="Arial"/>
        </w:rPr>
      </w:pPr>
      <w:r w:rsidRPr="00FE45F6">
        <w:rPr>
          <w:rFonts w:ascii="Arial" w:eastAsia="Book Antiqua" w:hAnsi="Arial" w:cs="Arial"/>
        </w:rPr>
        <w:t>Table 9 presents the Pearson correlation coefficients among the study constructs. All constructs were positively and significantly correlated at the 0.01 level (2-tailed), with correlation coefficients ranging from 0.646 to 0.834. The strongest correlation was observed between PC and CS (r = 0.834), whereas the weakest correlation was found between SQ and RI (r = 0.646). Overall, the results indicate positive associations among the constructs, supporting the proposed theoretical relationships.</w:t>
      </w:r>
    </w:p>
    <w:p w14:paraId="4D9E6A24" w14:textId="77777777" w:rsidR="006B3281" w:rsidRPr="00FE45F6" w:rsidRDefault="006B3281" w:rsidP="006B3281">
      <w:pPr>
        <w:spacing w:after="200"/>
        <w:jc w:val="center"/>
        <w:rPr>
          <w:rFonts w:ascii="Arial" w:eastAsia="Calibri" w:hAnsi="Arial" w:cs="Arial"/>
          <w:b/>
          <w:bCs/>
          <w:color w:val="000000" w:themeColor="text1"/>
          <w:szCs w:val="40"/>
        </w:rPr>
      </w:pPr>
      <w:r w:rsidRPr="00FE45F6">
        <w:rPr>
          <w:rFonts w:ascii="Arial" w:eastAsia="Calibri" w:hAnsi="Arial" w:cs="Arial"/>
          <w:b/>
          <w:bCs/>
          <w:color w:val="000000" w:themeColor="text1"/>
        </w:rPr>
        <w:t>Table 9. Correlation matrix results</w:t>
      </w:r>
    </w:p>
    <w:tbl>
      <w:tblPr>
        <w:tblW w:w="5477" w:type="dxa"/>
        <w:tblInd w:w="1418" w:type="dxa"/>
        <w:tblBorders>
          <w:top w:val="single" w:sz="4" w:space="0" w:color="auto"/>
          <w:bottom w:val="single" w:sz="4" w:space="0" w:color="auto"/>
        </w:tblBorders>
        <w:tblLook w:val="04A0" w:firstRow="1" w:lastRow="0" w:firstColumn="1" w:lastColumn="0" w:noHBand="0" w:noVBand="1"/>
      </w:tblPr>
      <w:tblGrid>
        <w:gridCol w:w="1273"/>
        <w:gridCol w:w="1138"/>
        <w:gridCol w:w="1138"/>
        <w:gridCol w:w="1138"/>
        <w:gridCol w:w="790"/>
      </w:tblGrid>
      <w:tr w:rsidR="006B3281" w:rsidRPr="00FE45F6" w14:paraId="0B3B654D" w14:textId="77777777" w:rsidTr="00D84311">
        <w:trPr>
          <w:trHeight w:val="54"/>
        </w:trPr>
        <w:tc>
          <w:tcPr>
            <w:tcW w:w="1273" w:type="dxa"/>
            <w:tcBorders>
              <w:top w:val="single" w:sz="4" w:space="0" w:color="auto"/>
              <w:bottom w:val="single" w:sz="4" w:space="0" w:color="auto"/>
            </w:tcBorders>
            <w:noWrap/>
            <w:hideMark/>
          </w:tcPr>
          <w:p w14:paraId="515ACB1C"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Constructs</w:t>
            </w:r>
          </w:p>
        </w:tc>
        <w:tc>
          <w:tcPr>
            <w:tcW w:w="1138" w:type="dxa"/>
            <w:tcBorders>
              <w:top w:val="single" w:sz="4" w:space="0" w:color="auto"/>
              <w:bottom w:val="single" w:sz="4" w:space="0" w:color="auto"/>
            </w:tcBorders>
            <w:noWrap/>
            <w:hideMark/>
          </w:tcPr>
          <w:p w14:paraId="232EC2EC"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SQ</w:t>
            </w:r>
          </w:p>
        </w:tc>
        <w:tc>
          <w:tcPr>
            <w:tcW w:w="0" w:type="auto"/>
            <w:tcBorders>
              <w:top w:val="single" w:sz="4" w:space="0" w:color="auto"/>
              <w:bottom w:val="single" w:sz="4" w:space="0" w:color="auto"/>
            </w:tcBorders>
            <w:noWrap/>
            <w:hideMark/>
          </w:tcPr>
          <w:p w14:paraId="53F891BA"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PC</w:t>
            </w:r>
          </w:p>
        </w:tc>
        <w:tc>
          <w:tcPr>
            <w:tcW w:w="0" w:type="auto"/>
            <w:tcBorders>
              <w:top w:val="single" w:sz="4" w:space="0" w:color="auto"/>
              <w:bottom w:val="single" w:sz="4" w:space="0" w:color="auto"/>
            </w:tcBorders>
            <w:noWrap/>
            <w:hideMark/>
          </w:tcPr>
          <w:p w14:paraId="01FB7D0B"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CS</w:t>
            </w:r>
          </w:p>
        </w:tc>
        <w:tc>
          <w:tcPr>
            <w:tcW w:w="0" w:type="auto"/>
            <w:tcBorders>
              <w:top w:val="single" w:sz="4" w:space="0" w:color="auto"/>
              <w:bottom w:val="single" w:sz="4" w:space="0" w:color="auto"/>
            </w:tcBorders>
            <w:noWrap/>
            <w:hideMark/>
          </w:tcPr>
          <w:p w14:paraId="27F8B4C3"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RI</w:t>
            </w:r>
          </w:p>
        </w:tc>
      </w:tr>
      <w:tr w:rsidR="00931A12" w:rsidRPr="00FE45F6" w14:paraId="4C8025F6" w14:textId="77777777" w:rsidTr="00D84311">
        <w:trPr>
          <w:trHeight w:val="54"/>
        </w:trPr>
        <w:tc>
          <w:tcPr>
            <w:tcW w:w="1273" w:type="dxa"/>
            <w:tcBorders>
              <w:top w:val="single" w:sz="4" w:space="0" w:color="auto"/>
            </w:tcBorders>
            <w:noWrap/>
            <w:hideMark/>
          </w:tcPr>
          <w:p w14:paraId="00A9F7E5"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SQ</w:t>
            </w:r>
          </w:p>
        </w:tc>
        <w:tc>
          <w:tcPr>
            <w:tcW w:w="1138" w:type="dxa"/>
            <w:tcBorders>
              <w:top w:val="single" w:sz="4" w:space="0" w:color="auto"/>
            </w:tcBorders>
            <w:noWrap/>
            <w:hideMark/>
          </w:tcPr>
          <w:p w14:paraId="1397B328" w14:textId="77777777" w:rsidR="007B4168" w:rsidRPr="00FE45F6" w:rsidRDefault="007B4168" w:rsidP="007B4168">
            <w:pPr>
              <w:rPr>
                <w:rFonts w:ascii="Arial" w:hAnsi="Arial" w:cs="Arial"/>
                <w:color w:val="000000"/>
                <w:lang w:bidi="km-KH"/>
              </w:rPr>
            </w:pPr>
            <w:r w:rsidRPr="00FE45F6">
              <w:rPr>
                <w:rFonts w:ascii="Arial" w:hAnsi="Arial" w:cs="Arial"/>
                <w:color w:val="000000"/>
                <w:lang w:bidi="km-KH"/>
              </w:rPr>
              <w:t>1.00</w:t>
            </w:r>
          </w:p>
        </w:tc>
        <w:tc>
          <w:tcPr>
            <w:tcW w:w="0" w:type="auto"/>
            <w:tcBorders>
              <w:top w:val="single" w:sz="4" w:space="0" w:color="auto"/>
            </w:tcBorders>
            <w:noWrap/>
            <w:hideMark/>
          </w:tcPr>
          <w:p w14:paraId="3DC0CA64" w14:textId="77777777" w:rsidR="007B4168" w:rsidRPr="00FE45F6" w:rsidRDefault="007B4168" w:rsidP="007B4168">
            <w:pPr>
              <w:rPr>
                <w:rFonts w:ascii="Arial" w:hAnsi="Arial" w:cs="Arial"/>
                <w:color w:val="000000"/>
                <w:lang w:bidi="km-KH"/>
              </w:rPr>
            </w:pPr>
          </w:p>
        </w:tc>
        <w:tc>
          <w:tcPr>
            <w:tcW w:w="0" w:type="auto"/>
            <w:tcBorders>
              <w:top w:val="single" w:sz="4" w:space="0" w:color="auto"/>
            </w:tcBorders>
            <w:noWrap/>
            <w:hideMark/>
          </w:tcPr>
          <w:p w14:paraId="282140E6" w14:textId="77777777" w:rsidR="007B4168" w:rsidRPr="00FE45F6" w:rsidRDefault="007B4168" w:rsidP="007B4168">
            <w:pPr>
              <w:rPr>
                <w:rFonts w:ascii="Arial" w:hAnsi="Arial" w:cs="Arial"/>
                <w:color w:val="000000"/>
                <w:lang w:bidi="km-KH"/>
              </w:rPr>
            </w:pPr>
          </w:p>
        </w:tc>
        <w:tc>
          <w:tcPr>
            <w:tcW w:w="0" w:type="auto"/>
            <w:tcBorders>
              <w:top w:val="single" w:sz="4" w:space="0" w:color="auto"/>
            </w:tcBorders>
            <w:noWrap/>
            <w:hideMark/>
          </w:tcPr>
          <w:p w14:paraId="1EC37C31" w14:textId="77777777" w:rsidR="007B4168" w:rsidRPr="00FE45F6" w:rsidRDefault="007B4168" w:rsidP="007B4168">
            <w:pPr>
              <w:rPr>
                <w:rFonts w:ascii="Arial" w:hAnsi="Arial" w:cs="Arial"/>
                <w:color w:val="000000"/>
                <w:lang w:bidi="km-KH"/>
              </w:rPr>
            </w:pPr>
          </w:p>
        </w:tc>
      </w:tr>
      <w:tr w:rsidR="00931A12" w:rsidRPr="00FE45F6" w14:paraId="22516CA8" w14:textId="77777777" w:rsidTr="00D84311">
        <w:trPr>
          <w:trHeight w:val="54"/>
        </w:trPr>
        <w:tc>
          <w:tcPr>
            <w:tcW w:w="1273" w:type="dxa"/>
            <w:noWrap/>
            <w:hideMark/>
          </w:tcPr>
          <w:p w14:paraId="6B3D371D"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PC</w:t>
            </w:r>
          </w:p>
        </w:tc>
        <w:tc>
          <w:tcPr>
            <w:tcW w:w="1138" w:type="dxa"/>
            <w:noWrap/>
            <w:hideMark/>
          </w:tcPr>
          <w:p w14:paraId="26785131"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.711**</w:t>
            </w:r>
          </w:p>
        </w:tc>
        <w:tc>
          <w:tcPr>
            <w:tcW w:w="0" w:type="auto"/>
            <w:noWrap/>
            <w:hideMark/>
          </w:tcPr>
          <w:p w14:paraId="70CF8FCD" w14:textId="77777777" w:rsidR="007B4168" w:rsidRPr="00FE45F6" w:rsidRDefault="007B4168" w:rsidP="007B4168">
            <w:pPr>
              <w:rPr>
                <w:rFonts w:ascii="Arial" w:hAnsi="Arial" w:cs="Arial"/>
                <w:color w:val="000000"/>
                <w:lang w:bidi="km-KH"/>
              </w:rPr>
            </w:pPr>
            <w:r w:rsidRPr="00FE45F6">
              <w:rPr>
                <w:rFonts w:ascii="Arial" w:hAnsi="Arial" w:cs="Arial"/>
                <w:color w:val="000000"/>
                <w:lang w:bidi="km-KH"/>
              </w:rPr>
              <w:t>1.00</w:t>
            </w:r>
          </w:p>
        </w:tc>
        <w:tc>
          <w:tcPr>
            <w:tcW w:w="0" w:type="auto"/>
            <w:noWrap/>
            <w:hideMark/>
          </w:tcPr>
          <w:p w14:paraId="65CCA4DB" w14:textId="77777777" w:rsidR="007B4168" w:rsidRPr="00FE45F6" w:rsidRDefault="007B4168" w:rsidP="007B4168">
            <w:pPr>
              <w:rPr>
                <w:rFonts w:ascii="Arial" w:hAnsi="Arial" w:cs="Arial"/>
                <w:color w:val="000000"/>
                <w:lang w:bidi="km-KH"/>
              </w:rPr>
            </w:pPr>
          </w:p>
        </w:tc>
        <w:tc>
          <w:tcPr>
            <w:tcW w:w="0" w:type="auto"/>
            <w:noWrap/>
            <w:hideMark/>
          </w:tcPr>
          <w:p w14:paraId="76DD4949" w14:textId="77777777" w:rsidR="007B4168" w:rsidRPr="00FE45F6" w:rsidRDefault="007B4168" w:rsidP="007B4168">
            <w:pPr>
              <w:rPr>
                <w:rFonts w:ascii="Arial" w:hAnsi="Arial" w:cs="Arial"/>
                <w:color w:val="000000"/>
                <w:lang w:bidi="km-KH"/>
              </w:rPr>
            </w:pPr>
          </w:p>
        </w:tc>
      </w:tr>
      <w:tr w:rsidR="00931A12" w:rsidRPr="00FE45F6" w14:paraId="2E888A70" w14:textId="77777777" w:rsidTr="00D84311">
        <w:trPr>
          <w:trHeight w:val="54"/>
        </w:trPr>
        <w:tc>
          <w:tcPr>
            <w:tcW w:w="1273" w:type="dxa"/>
            <w:noWrap/>
            <w:hideMark/>
          </w:tcPr>
          <w:p w14:paraId="28C23BAE"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CS</w:t>
            </w:r>
          </w:p>
        </w:tc>
        <w:tc>
          <w:tcPr>
            <w:tcW w:w="1138" w:type="dxa"/>
            <w:noWrap/>
            <w:hideMark/>
          </w:tcPr>
          <w:p w14:paraId="3E784319"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.724**</w:t>
            </w:r>
          </w:p>
        </w:tc>
        <w:tc>
          <w:tcPr>
            <w:tcW w:w="0" w:type="auto"/>
            <w:noWrap/>
            <w:hideMark/>
          </w:tcPr>
          <w:p w14:paraId="26B2FB76"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.834**</w:t>
            </w:r>
          </w:p>
        </w:tc>
        <w:tc>
          <w:tcPr>
            <w:tcW w:w="0" w:type="auto"/>
            <w:noWrap/>
            <w:hideMark/>
          </w:tcPr>
          <w:p w14:paraId="3B65AE7E" w14:textId="77777777" w:rsidR="007B4168" w:rsidRPr="00FE45F6" w:rsidRDefault="007B4168" w:rsidP="007B4168">
            <w:pPr>
              <w:rPr>
                <w:rFonts w:ascii="Arial" w:hAnsi="Arial" w:cs="Arial"/>
                <w:color w:val="000000"/>
                <w:lang w:bidi="km-KH"/>
              </w:rPr>
            </w:pPr>
            <w:r w:rsidRPr="00FE45F6">
              <w:rPr>
                <w:rFonts w:ascii="Arial" w:hAnsi="Arial" w:cs="Arial"/>
                <w:color w:val="000000"/>
                <w:lang w:bidi="km-KH"/>
              </w:rPr>
              <w:t>1.00</w:t>
            </w:r>
          </w:p>
        </w:tc>
        <w:tc>
          <w:tcPr>
            <w:tcW w:w="0" w:type="auto"/>
            <w:noWrap/>
            <w:hideMark/>
          </w:tcPr>
          <w:p w14:paraId="46E3DC55" w14:textId="77777777" w:rsidR="007B4168" w:rsidRPr="00FE45F6" w:rsidRDefault="007B4168" w:rsidP="007B4168">
            <w:pPr>
              <w:rPr>
                <w:rFonts w:ascii="Arial" w:hAnsi="Arial" w:cs="Arial"/>
                <w:color w:val="000000"/>
                <w:lang w:bidi="km-KH"/>
              </w:rPr>
            </w:pPr>
          </w:p>
        </w:tc>
      </w:tr>
      <w:tr w:rsidR="00931A12" w:rsidRPr="00FE45F6" w14:paraId="304E9C20" w14:textId="77777777" w:rsidTr="00D84311">
        <w:trPr>
          <w:trHeight w:val="54"/>
        </w:trPr>
        <w:tc>
          <w:tcPr>
            <w:tcW w:w="1273" w:type="dxa"/>
            <w:noWrap/>
            <w:hideMark/>
          </w:tcPr>
          <w:p w14:paraId="4733B132" w14:textId="77777777" w:rsidR="007B4168" w:rsidRPr="00FE45F6" w:rsidRDefault="007B4168" w:rsidP="007B4168">
            <w:pPr>
              <w:rPr>
                <w:rFonts w:ascii="Arial" w:hAnsi="Arial" w:cs="Arial"/>
                <w:b/>
                <w:bCs/>
                <w:color w:val="000000"/>
                <w:lang w:bidi="km-KH"/>
              </w:rPr>
            </w:pPr>
            <w:r w:rsidRPr="00FE45F6">
              <w:rPr>
                <w:rFonts w:ascii="Arial" w:hAnsi="Arial" w:cs="Arial"/>
                <w:b/>
                <w:bCs/>
                <w:color w:val="000000"/>
                <w:lang w:bidi="km-KH"/>
              </w:rPr>
              <w:t>RI</w:t>
            </w:r>
          </w:p>
        </w:tc>
        <w:tc>
          <w:tcPr>
            <w:tcW w:w="1138" w:type="dxa"/>
            <w:noWrap/>
            <w:hideMark/>
          </w:tcPr>
          <w:p w14:paraId="2521A215"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.646**</w:t>
            </w:r>
          </w:p>
        </w:tc>
        <w:tc>
          <w:tcPr>
            <w:tcW w:w="0" w:type="auto"/>
            <w:noWrap/>
            <w:hideMark/>
          </w:tcPr>
          <w:p w14:paraId="1653CE15"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.780**</w:t>
            </w:r>
          </w:p>
        </w:tc>
        <w:tc>
          <w:tcPr>
            <w:tcW w:w="0" w:type="auto"/>
            <w:noWrap/>
            <w:hideMark/>
          </w:tcPr>
          <w:p w14:paraId="2815B5ED" w14:textId="77777777" w:rsidR="007B4168" w:rsidRPr="00FE45F6" w:rsidRDefault="006B3281" w:rsidP="007B4168">
            <w:pPr>
              <w:rPr>
                <w:rFonts w:ascii="Arial" w:hAnsi="Arial" w:cs="Arial"/>
                <w:color w:val="000000"/>
                <w:lang w:bidi="km-KH"/>
              </w:rPr>
            </w:pPr>
            <w:r w:rsidRPr="00FE45F6">
              <w:rPr>
                <w:rFonts w:ascii="Arial" w:hAnsi="Arial" w:cs="Arial"/>
                <w:color w:val="000000"/>
                <w:lang w:bidi="km-KH"/>
              </w:rPr>
              <w:t>0</w:t>
            </w:r>
            <w:r w:rsidR="007B4168" w:rsidRPr="00FE45F6">
              <w:rPr>
                <w:rFonts w:ascii="Arial" w:hAnsi="Arial" w:cs="Arial"/>
                <w:color w:val="000000"/>
                <w:lang w:bidi="km-KH"/>
              </w:rPr>
              <w:t>.750**</w:t>
            </w:r>
          </w:p>
        </w:tc>
        <w:tc>
          <w:tcPr>
            <w:tcW w:w="0" w:type="auto"/>
            <w:noWrap/>
            <w:hideMark/>
          </w:tcPr>
          <w:p w14:paraId="63F104B6" w14:textId="77777777" w:rsidR="007B4168" w:rsidRPr="00FE45F6" w:rsidRDefault="007B4168" w:rsidP="007B4168">
            <w:pPr>
              <w:rPr>
                <w:rFonts w:ascii="Arial" w:hAnsi="Arial" w:cs="Arial"/>
                <w:color w:val="000000"/>
                <w:lang w:bidi="km-KH"/>
              </w:rPr>
            </w:pPr>
            <w:r w:rsidRPr="00FE45F6">
              <w:rPr>
                <w:rFonts w:ascii="Arial" w:hAnsi="Arial" w:cs="Arial"/>
                <w:color w:val="000000"/>
                <w:lang w:bidi="km-KH"/>
              </w:rPr>
              <w:t>1.00</w:t>
            </w:r>
          </w:p>
        </w:tc>
      </w:tr>
    </w:tbl>
    <w:p w14:paraId="52C84194" w14:textId="77777777" w:rsidR="00FC00B8" w:rsidRPr="00FE45F6" w:rsidRDefault="006B3281" w:rsidP="00AC7D0D">
      <w:pPr>
        <w:spacing w:after="200"/>
        <w:ind w:left="1418"/>
        <w:jc w:val="both"/>
        <w:rPr>
          <w:rFonts w:ascii="Arial" w:eastAsia="Book Antiqua" w:hAnsi="Arial" w:cs="Arial"/>
          <w:b/>
          <w:bCs/>
          <w:i/>
          <w:iCs/>
        </w:rPr>
      </w:pPr>
      <w:r w:rsidRPr="00FE45F6">
        <w:rPr>
          <w:rFonts w:ascii="Arial" w:hAnsi="Arial" w:cs="Arial"/>
          <w:i/>
          <w:iCs/>
          <w:color w:val="000000"/>
          <w:sz w:val="18"/>
          <w:szCs w:val="18"/>
          <w:lang w:bidi="km-KH"/>
        </w:rPr>
        <w:t>Note. ** Correlation is significant at the 0.01 level (2-tailed).</w:t>
      </w:r>
    </w:p>
    <w:p w14:paraId="6788AF51" w14:textId="77777777" w:rsidR="00FC00B8" w:rsidRPr="00FE45F6" w:rsidRDefault="006B421D" w:rsidP="0080157B">
      <w:pPr>
        <w:spacing w:after="200"/>
        <w:jc w:val="both"/>
        <w:rPr>
          <w:rFonts w:ascii="Arial" w:eastAsia="Book Antiqua" w:hAnsi="Arial" w:cs="Arial"/>
          <w:b/>
          <w:bCs/>
          <w:sz w:val="22"/>
          <w:szCs w:val="22"/>
        </w:rPr>
      </w:pPr>
      <w:r w:rsidRPr="00FE45F6">
        <w:rPr>
          <w:rFonts w:ascii="Arial" w:eastAsia="Book Antiqua" w:hAnsi="Arial" w:cs="Arial"/>
          <w:b/>
          <w:bCs/>
          <w:sz w:val="22"/>
          <w:szCs w:val="22"/>
        </w:rPr>
        <w:t xml:space="preserve">4.1.8. </w:t>
      </w:r>
      <w:r w:rsidR="00931A12" w:rsidRPr="00FE45F6">
        <w:rPr>
          <w:rFonts w:ascii="Arial" w:eastAsia="Book Antiqua" w:hAnsi="Arial" w:cs="Arial"/>
          <w:b/>
          <w:bCs/>
          <w:sz w:val="22"/>
          <w:szCs w:val="22"/>
        </w:rPr>
        <w:t>Common Method Bias</w:t>
      </w:r>
    </w:p>
    <w:p w14:paraId="01BAAD7E" w14:textId="77777777" w:rsidR="00FC00B8" w:rsidRPr="00FE45F6" w:rsidRDefault="003045EE" w:rsidP="009C4AE1">
      <w:pPr>
        <w:pStyle w:val="AbstHead"/>
        <w:spacing w:after="200"/>
        <w:jc w:val="both"/>
        <w:rPr>
          <w:rFonts w:ascii="Arial" w:hAnsi="Arial" w:cs="Arial"/>
          <w:b w:val="0"/>
          <w:bCs/>
          <w:caps w:val="0"/>
          <w:sz w:val="20"/>
          <w:szCs w:val="18"/>
        </w:rPr>
      </w:pPr>
      <w:r w:rsidRPr="00FE45F6">
        <w:rPr>
          <w:rFonts w:ascii="Arial" w:hAnsi="Arial" w:cs="Arial"/>
          <w:b w:val="0"/>
          <w:bCs/>
          <w:caps w:val="0"/>
          <w:sz w:val="20"/>
          <w:szCs w:val="18"/>
        </w:rPr>
        <w:t xml:space="preserve">Given the use of a single-source, self-reported questionnaire administered at a single time point, common method bias was assessed using the common latent factor (CLF) technique within the confirmatory factor analysis model. Although some items exhibited differences in </w:t>
      </w:r>
      <w:proofErr w:type="spellStart"/>
      <w:r w:rsidRPr="00FE45F6">
        <w:rPr>
          <w:rFonts w:ascii="Arial" w:hAnsi="Arial" w:cs="Arial"/>
          <w:b w:val="0"/>
          <w:bCs/>
          <w:caps w:val="0"/>
          <w:sz w:val="20"/>
          <w:szCs w:val="18"/>
        </w:rPr>
        <w:t>standardised</w:t>
      </w:r>
      <w:proofErr w:type="spellEnd"/>
      <w:r w:rsidRPr="00FE45F6">
        <w:rPr>
          <w:rFonts w:ascii="Arial" w:hAnsi="Arial" w:cs="Arial"/>
          <w:b w:val="0"/>
          <w:bCs/>
          <w:caps w:val="0"/>
          <w:sz w:val="20"/>
          <w:szCs w:val="18"/>
        </w:rPr>
        <w:t xml:space="preserve"> loadings exceeding the 0.20 threshold, the overall results indicated that common method bias was not a serious concern. Nevertheless, due to the single-source and cross-</w:t>
      </w:r>
      <w:r w:rsidRPr="00FE45F6">
        <w:rPr>
          <w:rFonts w:ascii="Arial" w:hAnsi="Arial" w:cs="Arial"/>
          <w:b w:val="0"/>
          <w:bCs/>
          <w:caps w:val="0"/>
          <w:sz w:val="20"/>
          <w:szCs w:val="18"/>
        </w:rPr>
        <w:lastRenderedPageBreak/>
        <w:t>sectional design, its potential influence cannot be entirely ruled out, and the findings should be interpreted with caution.</w:t>
      </w:r>
    </w:p>
    <w:p w14:paraId="719E5FEF" w14:textId="77777777" w:rsidR="008666DE" w:rsidRPr="00FE45F6" w:rsidRDefault="008666DE" w:rsidP="008666DE">
      <w:pPr>
        <w:spacing w:after="200"/>
        <w:jc w:val="both"/>
        <w:rPr>
          <w:rFonts w:ascii="Arial" w:eastAsia="Book Antiqua" w:hAnsi="Arial" w:cs="Arial"/>
          <w:b/>
          <w:bCs/>
          <w:sz w:val="22"/>
          <w:szCs w:val="22"/>
        </w:rPr>
      </w:pPr>
      <w:r w:rsidRPr="00FE45F6">
        <w:rPr>
          <w:rFonts w:ascii="Arial" w:eastAsia="Book Antiqua" w:hAnsi="Arial" w:cs="Arial"/>
          <w:b/>
          <w:bCs/>
          <w:sz w:val="22"/>
          <w:szCs w:val="22"/>
        </w:rPr>
        <w:t>4.1.9. Structural Equation Modeling Results</w:t>
      </w:r>
    </w:p>
    <w:p w14:paraId="63D357A0" w14:textId="77777777" w:rsidR="009A3840" w:rsidRPr="00FE45F6" w:rsidRDefault="0040388C" w:rsidP="008666DE">
      <w:pPr>
        <w:spacing w:after="200"/>
        <w:jc w:val="both"/>
        <w:rPr>
          <w:rFonts w:ascii="Arial" w:eastAsia="Book Antiqua" w:hAnsi="Arial" w:cs="Arial"/>
        </w:rPr>
      </w:pPr>
      <w:r w:rsidRPr="00FE45F6">
        <w:rPr>
          <w:rFonts w:ascii="Arial" w:eastAsia="Book Antiqua" w:hAnsi="Arial" w:cs="Arial"/>
        </w:rPr>
        <w:t xml:space="preserve">According to the SEM results presented in Figure 2, all proposed relationships were significant and positive. Specifically, service quality (β = 0.362, t-value = 9.990, p-value &lt; 0.001) and perceived convenience (β = 0.820, t-value = 15.195, p-value &lt; 0.001) had significant positive effects on customer satisfaction. Furthermore, service quality (β = 0.140, t-value = 2.564, p-value = 0.010), perceived convenience (β = 0.625, t-value = 5.788, p &lt; 0.001), and customer satisfaction (β = 0.277, t-value = 2.482, p-value = 0.013) had significant positive effects on reuse intention. Among these relationships, perceived convenience demonstrated the strongest effect on customer satisfaction, followed by the effects of perceived convenience on reuse intention, service quality on customer satisfaction, customer satisfaction on reuse intention, and service quality on reuse intention. These findings suggest that perceived convenience is the most influential factor in enhancing both customer satisfaction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while service quality and customer satisfaction also play significant roles in encouraging customers to continue using the platform.</w:t>
      </w:r>
    </w:p>
    <w:p w14:paraId="3DD57303" w14:textId="77777777" w:rsidR="009A3840" w:rsidRPr="00FE45F6" w:rsidRDefault="00AD1DCC" w:rsidP="008666DE">
      <w:pPr>
        <w:spacing w:after="200"/>
        <w:jc w:val="both"/>
        <w:rPr>
          <w:rFonts w:ascii="Arial" w:eastAsia="Book Antiqua" w:hAnsi="Arial" w:cs="Arial"/>
          <w:b/>
          <w:bCs/>
          <w:sz w:val="22"/>
          <w:szCs w:val="22"/>
        </w:rPr>
      </w:pPr>
      <w:r w:rsidRPr="00FE45F6">
        <w:rPr>
          <w:noProof/>
        </w:rPr>
        <w:drawing>
          <wp:anchor distT="0" distB="0" distL="114300" distR="114300" simplePos="0" relativeHeight="251664384" behindDoc="1" locked="0" layoutInCell="1" allowOverlap="1" wp14:anchorId="046A42B8" wp14:editId="71DD0B9A">
            <wp:simplePos x="0" y="0"/>
            <wp:positionH relativeFrom="column">
              <wp:posOffset>-26857</wp:posOffset>
            </wp:positionH>
            <wp:positionV relativeFrom="paragraph">
              <wp:posOffset>12789</wp:posOffset>
            </wp:positionV>
            <wp:extent cx="5273607" cy="360553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953" t="1033" r="2445" b="8823"/>
                    <a:stretch/>
                  </pic:blipFill>
                  <pic:spPr bwMode="auto">
                    <a:xfrm>
                      <a:off x="0" y="0"/>
                      <a:ext cx="5283357" cy="36121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AA046B" w14:textId="77777777" w:rsidR="00136671" w:rsidRPr="00FE45F6" w:rsidRDefault="00136671" w:rsidP="008666DE">
      <w:pPr>
        <w:spacing w:after="200"/>
        <w:jc w:val="both"/>
        <w:rPr>
          <w:rFonts w:ascii="Arial" w:eastAsia="Book Antiqua" w:hAnsi="Arial" w:cs="Arial"/>
          <w:b/>
          <w:bCs/>
          <w:sz w:val="22"/>
          <w:szCs w:val="22"/>
        </w:rPr>
      </w:pPr>
    </w:p>
    <w:p w14:paraId="55785DE7" w14:textId="77777777" w:rsidR="00136671" w:rsidRPr="00FE45F6" w:rsidRDefault="00136671" w:rsidP="008666DE">
      <w:pPr>
        <w:spacing w:after="200"/>
        <w:jc w:val="both"/>
        <w:rPr>
          <w:rFonts w:ascii="Arial" w:eastAsia="Book Antiqua" w:hAnsi="Arial" w:cs="Arial"/>
          <w:b/>
          <w:bCs/>
          <w:sz w:val="22"/>
          <w:szCs w:val="22"/>
        </w:rPr>
      </w:pPr>
    </w:p>
    <w:p w14:paraId="05B74961" w14:textId="77777777" w:rsidR="00136671" w:rsidRPr="00FE45F6" w:rsidRDefault="00136671" w:rsidP="008666DE">
      <w:pPr>
        <w:spacing w:after="200"/>
        <w:jc w:val="both"/>
        <w:rPr>
          <w:rFonts w:ascii="Arial" w:eastAsia="Book Antiqua" w:hAnsi="Arial" w:cs="Arial"/>
          <w:b/>
          <w:bCs/>
          <w:sz w:val="22"/>
          <w:szCs w:val="22"/>
        </w:rPr>
      </w:pPr>
    </w:p>
    <w:p w14:paraId="6386B546" w14:textId="77777777" w:rsidR="00136671" w:rsidRPr="00FE45F6" w:rsidRDefault="00136671" w:rsidP="008666DE">
      <w:pPr>
        <w:spacing w:after="200"/>
        <w:jc w:val="both"/>
        <w:rPr>
          <w:rFonts w:ascii="Arial" w:eastAsia="Book Antiqua" w:hAnsi="Arial" w:cs="Arial"/>
          <w:b/>
          <w:bCs/>
          <w:sz w:val="22"/>
          <w:szCs w:val="22"/>
        </w:rPr>
      </w:pPr>
    </w:p>
    <w:p w14:paraId="41E5309F" w14:textId="77777777" w:rsidR="00136671" w:rsidRPr="00FE45F6" w:rsidRDefault="00136671" w:rsidP="008666DE">
      <w:pPr>
        <w:spacing w:after="200"/>
        <w:jc w:val="both"/>
        <w:rPr>
          <w:rFonts w:ascii="Arial" w:eastAsia="Book Antiqua" w:hAnsi="Arial" w:cs="Arial"/>
          <w:b/>
          <w:bCs/>
          <w:sz w:val="22"/>
          <w:szCs w:val="22"/>
        </w:rPr>
      </w:pPr>
    </w:p>
    <w:p w14:paraId="108716B6" w14:textId="77777777" w:rsidR="00136671" w:rsidRPr="00FE45F6" w:rsidRDefault="00136671" w:rsidP="008666DE">
      <w:pPr>
        <w:spacing w:after="200"/>
        <w:jc w:val="both"/>
        <w:rPr>
          <w:rFonts w:ascii="Arial" w:eastAsia="Book Antiqua" w:hAnsi="Arial" w:cs="Arial"/>
          <w:b/>
          <w:bCs/>
          <w:sz w:val="22"/>
          <w:szCs w:val="22"/>
        </w:rPr>
      </w:pPr>
    </w:p>
    <w:p w14:paraId="297EFA84" w14:textId="77777777" w:rsidR="00136671" w:rsidRPr="00FE45F6" w:rsidRDefault="00136671" w:rsidP="008666DE">
      <w:pPr>
        <w:spacing w:after="200"/>
        <w:jc w:val="both"/>
        <w:rPr>
          <w:rFonts w:ascii="Arial" w:eastAsia="Book Antiqua" w:hAnsi="Arial" w:cs="Arial"/>
          <w:b/>
          <w:bCs/>
          <w:sz w:val="22"/>
          <w:szCs w:val="22"/>
        </w:rPr>
      </w:pPr>
    </w:p>
    <w:p w14:paraId="075D6EDA" w14:textId="77777777" w:rsidR="002E1A72" w:rsidRPr="00FE45F6" w:rsidRDefault="002E1A72" w:rsidP="008666DE">
      <w:pPr>
        <w:spacing w:after="200"/>
        <w:jc w:val="both"/>
        <w:rPr>
          <w:rFonts w:ascii="Arial" w:eastAsia="Book Antiqua" w:hAnsi="Arial" w:cs="Arial"/>
          <w:b/>
          <w:bCs/>
          <w:sz w:val="22"/>
          <w:szCs w:val="22"/>
        </w:rPr>
      </w:pPr>
    </w:p>
    <w:p w14:paraId="26724CF5" w14:textId="77777777" w:rsidR="00B808EE" w:rsidRPr="00FE45F6" w:rsidRDefault="00B808EE" w:rsidP="002E1A72">
      <w:pPr>
        <w:spacing w:after="200"/>
        <w:jc w:val="center"/>
        <w:rPr>
          <w:rFonts w:ascii="Arial" w:eastAsia="Book Antiqua" w:hAnsi="Arial" w:cs="Arial"/>
          <w:b/>
          <w:bCs/>
        </w:rPr>
      </w:pPr>
    </w:p>
    <w:p w14:paraId="09FF097B" w14:textId="77777777" w:rsidR="00B808EE" w:rsidRPr="00FE45F6" w:rsidRDefault="00B808EE" w:rsidP="002E1A72">
      <w:pPr>
        <w:spacing w:after="200"/>
        <w:jc w:val="center"/>
        <w:rPr>
          <w:rFonts w:ascii="Arial" w:eastAsia="Book Antiqua" w:hAnsi="Arial" w:cs="Arial"/>
          <w:b/>
          <w:bCs/>
        </w:rPr>
      </w:pPr>
    </w:p>
    <w:p w14:paraId="181B692F" w14:textId="77777777" w:rsidR="00AD1DCC" w:rsidRPr="00FE45F6" w:rsidRDefault="00AD1DCC" w:rsidP="002E1A72">
      <w:pPr>
        <w:spacing w:after="200"/>
        <w:jc w:val="center"/>
        <w:rPr>
          <w:rFonts w:ascii="Arial" w:eastAsia="Book Antiqua" w:hAnsi="Arial" w:cs="Arial"/>
          <w:b/>
          <w:bCs/>
        </w:rPr>
      </w:pPr>
    </w:p>
    <w:p w14:paraId="6E9EFE12" w14:textId="77777777" w:rsidR="00AD1DCC" w:rsidRPr="00FE45F6" w:rsidRDefault="00AD1DCC" w:rsidP="002E1A72">
      <w:pPr>
        <w:spacing w:after="200"/>
        <w:jc w:val="center"/>
        <w:rPr>
          <w:rFonts w:ascii="Arial" w:eastAsia="Book Antiqua" w:hAnsi="Arial" w:cs="Arial"/>
          <w:b/>
          <w:bCs/>
        </w:rPr>
      </w:pPr>
    </w:p>
    <w:p w14:paraId="6485FC1C" w14:textId="77777777" w:rsidR="00136671" w:rsidRPr="00FE45F6" w:rsidRDefault="002E1A72" w:rsidP="002E1A72">
      <w:pPr>
        <w:spacing w:after="200"/>
        <w:jc w:val="center"/>
        <w:rPr>
          <w:rFonts w:ascii="Arial" w:eastAsia="Book Antiqua" w:hAnsi="Arial" w:cs="Arial"/>
          <w:b/>
          <w:bCs/>
        </w:rPr>
      </w:pPr>
      <w:r w:rsidRPr="00FE45F6">
        <w:rPr>
          <w:rFonts w:ascii="Arial" w:eastAsia="Book Antiqua" w:hAnsi="Arial" w:cs="Arial"/>
          <w:b/>
          <w:bCs/>
        </w:rPr>
        <w:t>Figure 2. Proposed structural equation model results</w:t>
      </w:r>
    </w:p>
    <w:p w14:paraId="0325BCE1" w14:textId="77777777" w:rsidR="002E1A72" w:rsidRPr="00FE45F6" w:rsidRDefault="00164FA7" w:rsidP="00164FA7">
      <w:pPr>
        <w:spacing w:after="200"/>
        <w:jc w:val="both"/>
        <w:rPr>
          <w:rFonts w:ascii="Arial" w:eastAsia="Book Antiqua" w:hAnsi="Arial" w:cs="Arial"/>
          <w:color w:val="000000" w:themeColor="text1"/>
        </w:rPr>
      </w:pPr>
      <w:r w:rsidRPr="00FE45F6">
        <w:rPr>
          <w:rFonts w:ascii="Arial" w:eastAsia="Book Antiqua" w:hAnsi="Arial" w:cs="Arial"/>
          <w:color w:val="000000" w:themeColor="text1"/>
        </w:rPr>
        <w:t xml:space="preserve">Table 10 presents the </w:t>
      </w:r>
      <w:proofErr w:type="spellStart"/>
      <w:r w:rsidRPr="00FE45F6">
        <w:rPr>
          <w:rFonts w:ascii="Arial" w:eastAsia="Book Antiqua" w:hAnsi="Arial" w:cs="Arial"/>
          <w:color w:val="000000" w:themeColor="text1"/>
        </w:rPr>
        <w:t>standardised</w:t>
      </w:r>
      <w:proofErr w:type="spellEnd"/>
      <w:r w:rsidRPr="00FE45F6">
        <w:rPr>
          <w:rFonts w:ascii="Arial" w:eastAsia="Book Antiqua" w:hAnsi="Arial" w:cs="Arial"/>
          <w:color w:val="000000" w:themeColor="text1"/>
        </w:rPr>
        <w:t xml:space="preserve"> path coefficients, t-values, and p-values for the </w:t>
      </w:r>
      <w:proofErr w:type="spellStart"/>
      <w:r w:rsidRPr="00FE45F6">
        <w:rPr>
          <w:rFonts w:ascii="Arial" w:eastAsia="Book Antiqua" w:hAnsi="Arial" w:cs="Arial"/>
          <w:color w:val="000000" w:themeColor="text1"/>
        </w:rPr>
        <w:t>hypothesised</w:t>
      </w:r>
      <w:proofErr w:type="spellEnd"/>
      <w:r w:rsidRPr="00FE45F6">
        <w:rPr>
          <w:rFonts w:ascii="Arial" w:eastAsia="Book Antiqua" w:hAnsi="Arial" w:cs="Arial"/>
          <w:color w:val="000000" w:themeColor="text1"/>
        </w:rPr>
        <w:t xml:space="preserve"> direct relationships. The results indicate that all five hypotheses, including H1, H2, H3, H4, and H5, are supported. Specifically, both SQ and PC have significant positive effects on CS, supporting H1 and H2. SQ, PC, and CS each exert significant positive effects on RI, supporting H3, H4, and H5. Among these relationships, the effect of PC on CS (H2) is the strongest, followed by PC on RI (H4), SQ on CS (H1), CS on RI (H5), and SQ on RI (H3). The squared multiple correlation coefficients (R²) indicate that SQ and PC jointly explain 80% of the variance in CS (R² = 0.80). Likewise, SQ, PC, and CS collectively explain 80% of the </w:t>
      </w:r>
      <w:r w:rsidRPr="00FE45F6">
        <w:rPr>
          <w:rFonts w:ascii="Arial" w:eastAsia="Book Antiqua" w:hAnsi="Arial" w:cs="Arial"/>
          <w:color w:val="000000" w:themeColor="text1"/>
        </w:rPr>
        <w:lastRenderedPageBreak/>
        <w:t>variance in RI (R² = 0.80). These findings demonstrate that the proposed structural model has strong explanatory power for both customer satisfaction and reuse intention.</w:t>
      </w:r>
    </w:p>
    <w:p w14:paraId="59CBBD22" w14:textId="77777777" w:rsidR="002E1A72" w:rsidRPr="00FE45F6" w:rsidRDefault="002E1A72" w:rsidP="002E1A72">
      <w:pPr>
        <w:spacing w:after="200"/>
        <w:jc w:val="center"/>
        <w:rPr>
          <w:rFonts w:ascii="Arial" w:eastAsia="Book Antiqua" w:hAnsi="Arial" w:cs="Arial"/>
          <w:color w:val="000000" w:themeColor="text1"/>
        </w:rPr>
      </w:pPr>
      <w:r w:rsidRPr="00FE45F6">
        <w:rPr>
          <w:rFonts w:ascii="Arial" w:eastAsia="Book Antiqua" w:hAnsi="Arial" w:cs="Arial"/>
          <w:color w:val="000000" w:themeColor="text1"/>
        </w:rPr>
        <w:t xml:space="preserve">Table 10: Results of </w:t>
      </w:r>
      <w:r w:rsidR="002C65D4" w:rsidRPr="00FE45F6">
        <w:rPr>
          <w:rFonts w:ascii="Arial" w:eastAsia="Book Antiqua" w:hAnsi="Arial" w:cs="Arial"/>
          <w:color w:val="000000" w:themeColor="text1"/>
        </w:rPr>
        <w:t>direct hypothesis testing</w:t>
      </w:r>
    </w:p>
    <w:tbl>
      <w:tblPr>
        <w:tblStyle w:val="TableGrid"/>
        <w:tblW w:w="8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1295"/>
        <w:gridCol w:w="1704"/>
        <w:gridCol w:w="717"/>
        <w:gridCol w:w="961"/>
        <w:gridCol w:w="992"/>
        <w:gridCol w:w="1221"/>
      </w:tblGrid>
      <w:tr w:rsidR="00796321" w:rsidRPr="00FE45F6" w14:paraId="0BD2025F" w14:textId="77777777" w:rsidTr="00855613">
        <w:trPr>
          <w:trHeight w:val="247"/>
        </w:trPr>
        <w:tc>
          <w:tcPr>
            <w:tcW w:w="1272" w:type="dxa"/>
            <w:tcBorders>
              <w:top w:val="single" w:sz="4" w:space="0" w:color="auto"/>
              <w:bottom w:val="single" w:sz="4" w:space="0" w:color="auto"/>
            </w:tcBorders>
          </w:tcPr>
          <w:p w14:paraId="7823A06F"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Constructs</w:t>
            </w:r>
          </w:p>
        </w:tc>
        <w:tc>
          <w:tcPr>
            <w:tcW w:w="1295" w:type="dxa"/>
            <w:tcBorders>
              <w:top w:val="single" w:sz="4" w:space="0" w:color="auto"/>
              <w:bottom w:val="single" w:sz="4" w:space="0" w:color="auto"/>
            </w:tcBorders>
          </w:tcPr>
          <w:p w14:paraId="09CEC66D"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Hypothesis</w:t>
            </w:r>
          </w:p>
        </w:tc>
        <w:tc>
          <w:tcPr>
            <w:tcW w:w="1704" w:type="dxa"/>
            <w:tcBorders>
              <w:top w:val="single" w:sz="4" w:space="0" w:color="auto"/>
              <w:bottom w:val="single" w:sz="4" w:space="0" w:color="auto"/>
            </w:tcBorders>
          </w:tcPr>
          <w:p w14:paraId="5C9F0010"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Path Relations</w:t>
            </w:r>
          </w:p>
        </w:tc>
        <w:tc>
          <w:tcPr>
            <w:tcW w:w="717" w:type="dxa"/>
            <w:tcBorders>
              <w:top w:val="single" w:sz="4" w:space="0" w:color="auto"/>
              <w:bottom w:val="single" w:sz="4" w:space="0" w:color="auto"/>
            </w:tcBorders>
          </w:tcPr>
          <w:p w14:paraId="5AD2560E"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β</w:t>
            </w:r>
          </w:p>
        </w:tc>
        <w:tc>
          <w:tcPr>
            <w:tcW w:w="961" w:type="dxa"/>
            <w:tcBorders>
              <w:top w:val="single" w:sz="4" w:space="0" w:color="auto"/>
              <w:bottom w:val="single" w:sz="4" w:space="0" w:color="auto"/>
            </w:tcBorders>
          </w:tcPr>
          <w:p w14:paraId="523C34AC"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t-value</w:t>
            </w:r>
          </w:p>
        </w:tc>
        <w:tc>
          <w:tcPr>
            <w:tcW w:w="992" w:type="dxa"/>
            <w:tcBorders>
              <w:top w:val="single" w:sz="4" w:space="0" w:color="auto"/>
              <w:bottom w:val="single" w:sz="4" w:space="0" w:color="auto"/>
            </w:tcBorders>
          </w:tcPr>
          <w:p w14:paraId="6ABD7F4D"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p-value</w:t>
            </w:r>
          </w:p>
        </w:tc>
        <w:tc>
          <w:tcPr>
            <w:tcW w:w="1221" w:type="dxa"/>
            <w:tcBorders>
              <w:top w:val="single" w:sz="4" w:space="0" w:color="auto"/>
              <w:bottom w:val="single" w:sz="4" w:space="0" w:color="auto"/>
            </w:tcBorders>
          </w:tcPr>
          <w:p w14:paraId="02C99E7E" w14:textId="77777777" w:rsidR="002E1A72" w:rsidRPr="00FE45F6" w:rsidRDefault="002E1A72" w:rsidP="002E1A72">
            <w:pPr>
              <w:jc w:val="both"/>
              <w:rPr>
                <w:rFonts w:ascii="Arial" w:eastAsia="Book Antiqua" w:hAnsi="Arial" w:cs="Arial"/>
                <w:b/>
                <w:bCs/>
                <w:sz w:val="20"/>
                <w:szCs w:val="20"/>
              </w:rPr>
            </w:pPr>
            <w:r w:rsidRPr="00FE45F6">
              <w:rPr>
                <w:rFonts w:ascii="Arial" w:hAnsi="Arial" w:cs="Arial"/>
                <w:b/>
                <w:bCs/>
                <w:sz w:val="20"/>
                <w:szCs w:val="20"/>
              </w:rPr>
              <w:t>Results</w:t>
            </w:r>
          </w:p>
        </w:tc>
      </w:tr>
      <w:tr w:rsidR="00796321" w:rsidRPr="00FE45F6" w14:paraId="11F483CF" w14:textId="77777777" w:rsidTr="00855613">
        <w:trPr>
          <w:trHeight w:val="247"/>
        </w:trPr>
        <w:tc>
          <w:tcPr>
            <w:tcW w:w="1272" w:type="dxa"/>
            <w:tcBorders>
              <w:top w:val="single" w:sz="4" w:space="0" w:color="auto"/>
            </w:tcBorders>
          </w:tcPr>
          <w:p w14:paraId="12B1ABA4" w14:textId="77777777" w:rsidR="002E1A72" w:rsidRPr="00FE45F6" w:rsidRDefault="002E1A72" w:rsidP="002E1A72">
            <w:pPr>
              <w:jc w:val="both"/>
              <w:rPr>
                <w:rFonts w:ascii="Arial" w:eastAsia="Book Antiqua" w:hAnsi="Arial" w:cs="Arial"/>
                <w:sz w:val="20"/>
                <w:szCs w:val="20"/>
              </w:rPr>
            </w:pPr>
            <w:r w:rsidRPr="00FE45F6">
              <w:rPr>
                <w:rFonts w:ascii="Arial" w:eastAsia="Book Antiqua" w:hAnsi="Arial" w:cs="Arial"/>
                <w:sz w:val="20"/>
                <w:szCs w:val="20"/>
              </w:rPr>
              <w:t>SQ</w:t>
            </w:r>
          </w:p>
        </w:tc>
        <w:tc>
          <w:tcPr>
            <w:tcW w:w="1295" w:type="dxa"/>
            <w:tcBorders>
              <w:top w:val="single" w:sz="4" w:space="0" w:color="auto"/>
            </w:tcBorders>
          </w:tcPr>
          <w:p w14:paraId="451274BB" w14:textId="77777777" w:rsidR="002E1A72" w:rsidRPr="00FE45F6" w:rsidRDefault="002E1A72" w:rsidP="002E1A72">
            <w:pPr>
              <w:jc w:val="both"/>
              <w:rPr>
                <w:rFonts w:ascii="Arial" w:eastAsia="Book Antiqua" w:hAnsi="Arial" w:cs="Arial"/>
                <w:sz w:val="20"/>
                <w:szCs w:val="20"/>
              </w:rPr>
            </w:pPr>
            <w:r w:rsidRPr="00FE45F6">
              <w:rPr>
                <w:rFonts w:ascii="Arial" w:eastAsia="Book Antiqua" w:hAnsi="Arial" w:cs="Arial"/>
                <w:sz w:val="20"/>
                <w:szCs w:val="20"/>
              </w:rPr>
              <w:t>H1</w:t>
            </w:r>
          </w:p>
        </w:tc>
        <w:tc>
          <w:tcPr>
            <w:tcW w:w="1704" w:type="dxa"/>
            <w:tcBorders>
              <w:top w:val="single" w:sz="4" w:space="0" w:color="auto"/>
            </w:tcBorders>
          </w:tcPr>
          <w:p w14:paraId="7015036F" w14:textId="77777777" w:rsidR="002E1A72" w:rsidRPr="00FE45F6" w:rsidRDefault="002E1A72" w:rsidP="002E1A72">
            <w:pPr>
              <w:jc w:val="both"/>
              <w:rPr>
                <w:rFonts w:ascii="Arial" w:eastAsia="Book Antiqua" w:hAnsi="Arial" w:cs="Arial"/>
                <w:sz w:val="20"/>
                <w:szCs w:val="20"/>
              </w:rPr>
            </w:pPr>
            <w:r w:rsidRPr="00FE45F6">
              <w:rPr>
                <w:rFonts w:ascii="Arial" w:eastAsia="Book Antiqua" w:hAnsi="Arial" w:cs="Arial"/>
                <w:sz w:val="20"/>
                <w:szCs w:val="20"/>
              </w:rPr>
              <w:t xml:space="preserve">SQ </w:t>
            </w:r>
            <w:r w:rsidRPr="00FE45F6">
              <w:rPr>
                <w:rFonts w:ascii="Arial" w:eastAsia="Book Antiqua" w:hAnsi="Arial" w:cs="Arial"/>
                <w:sz w:val="20"/>
                <w:szCs w:val="20"/>
              </w:rPr>
              <w:sym w:font="Symbol" w:char="F0AE"/>
            </w:r>
            <w:r w:rsidRPr="00FE45F6">
              <w:rPr>
                <w:rFonts w:ascii="Arial" w:eastAsia="Book Antiqua" w:hAnsi="Arial" w:cs="Arial"/>
                <w:sz w:val="20"/>
                <w:szCs w:val="20"/>
              </w:rPr>
              <w:t xml:space="preserve"> CS</w:t>
            </w:r>
          </w:p>
        </w:tc>
        <w:tc>
          <w:tcPr>
            <w:tcW w:w="717" w:type="dxa"/>
            <w:tcBorders>
              <w:top w:val="single" w:sz="4" w:space="0" w:color="auto"/>
            </w:tcBorders>
          </w:tcPr>
          <w:p w14:paraId="7131A538" w14:textId="77777777" w:rsidR="002E1A72" w:rsidRPr="00FE45F6" w:rsidRDefault="00164FA7" w:rsidP="002E1A72">
            <w:pPr>
              <w:jc w:val="both"/>
              <w:rPr>
                <w:rFonts w:ascii="Arial" w:eastAsia="Book Antiqua" w:hAnsi="Arial" w:cs="Arial"/>
                <w:sz w:val="20"/>
                <w:szCs w:val="20"/>
              </w:rPr>
            </w:pPr>
            <w:r w:rsidRPr="00FE45F6">
              <w:rPr>
                <w:rFonts w:ascii="Arial" w:eastAsia="Book Antiqua" w:hAnsi="Arial" w:cs="Arial"/>
                <w:sz w:val="20"/>
                <w:szCs w:val="20"/>
              </w:rPr>
              <w:t>0.362</w:t>
            </w:r>
          </w:p>
        </w:tc>
        <w:tc>
          <w:tcPr>
            <w:tcW w:w="961" w:type="dxa"/>
            <w:tcBorders>
              <w:top w:val="single" w:sz="4" w:space="0" w:color="auto"/>
            </w:tcBorders>
          </w:tcPr>
          <w:p w14:paraId="189C44C4" w14:textId="77777777" w:rsidR="002E1A72" w:rsidRPr="00FE45F6" w:rsidRDefault="00164FA7" w:rsidP="002E1A72">
            <w:pPr>
              <w:jc w:val="both"/>
              <w:rPr>
                <w:rFonts w:ascii="Arial" w:eastAsia="Book Antiqua" w:hAnsi="Arial" w:cs="Arial"/>
                <w:sz w:val="20"/>
                <w:szCs w:val="20"/>
              </w:rPr>
            </w:pPr>
            <w:r w:rsidRPr="00FE45F6">
              <w:rPr>
                <w:rFonts w:ascii="Arial" w:eastAsia="Book Antiqua" w:hAnsi="Arial" w:cs="Arial"/>
                <w:sz w:val="20"/>
                <w:szCs w:val="20"/>
              </w:rPr>
              <w:t>9.990</w:t>
            </w:r>
          </w:p>
        </w:tc>
        <w:tc>
          <w:tcPr>
            <w:tcW w:w="992" w:type="dxa"/>
            <w:tcBorders>
              <w:top w:val="single" w:sz="4" w:space="0" w:color="auto"/>
            </w:tcBorders>
          </w:tcPr>
          <w:p w14:paraId="3E06CA93" w14:textId="77777777" w:rsidR="002E1A72" w:rsidRPr="00FE45F6" w:rsidRDefault="00164FA7" w:rsidP="002E1A72">
            <w:pPr>
              <w:jc w:val="both"/>
              <w:rPr>
                <w:rFonts w:ascii="Arial" w:eastAsia="Book Antiqua" w:hAnsi="Arial" w:cs="Arial"/>
                <w:sz w:val="20"/>
                <w:szCs w:val="20"/>
              </w:rPr>
            </w:pPr>
            <w:r w:rsidRPr="00FE45F6">
              <w:rPr>
                <w:rFonts w:ascii="Arial" w:eastAsia="Book Antiqua" w:hAnsi="Arial" w:cs="Arial"/>
                <w:sz w:val="20"/>
                <w:szCs w:val="20"/>
              </w:rPr>
              <w:t>0.000</w:t>
            </w:r>
          </w:p>
        </w:tc>
        <w:tc>
          <w:tcPr>
            <w:tcW w:w="1221" w:type="dxa"/>
            <w:tcBorders>
              <w:top w:val="single" w:sz="4" w:space="0" w:color="auto"/>
            </w:tcBorders>
          </w:tcPr>
          <w:p w14:paraId="25964C29" w14:textId="77777777" w:rsidR="002E1A72" w:rsidRPr="00FE45F6" w:rsidRDefault="00164FA7" w:rsidP="002E1A72">
            <w:pPr>
              <w:jc w:val="both"/>
              <w:rPr>
                <w:rFonts w:ascii="Arial" w:eastAsia="Book Antiqua" w:hAnsi="Arial" w:cs="Arial"/>
                <w:sz w:val="20"/>
                <w:szCs w:val="20"/>
              </w:rPr>
            </w:pPr>
            <w:r w:rsidRPr="00FE45F6">
              <w:rPr>
                <w:rFonts w:ascii="Arial" w:eastAsia="Book Antiqua" w:hAnsi="Arial" w:cs="Arial"/>
                <w:sz w:val="20"/>
                <w:szCs w:val="20"/>
              </w:rPr>
              <w:t>Supported</w:t>
            </w:r>
          </w:p>
        </w:tc>
      </w:tr>
      <w:tr w:rsidR="00796321" w:rsidRPr="00FE45F6" w14:paraId="5426496E" w14:textId="77777777" w:rsidTr="00855613">
        <w:trPr>
          <w:trHeight w:val="247"/>
        </w:trPr>
        <w:tc>
          <w:tcPr>
            <w:tcW w:w="1272" w:type="dxa"/>
          </w:tcPr>
          <w:p w14:paraId="6C71578A"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PC</w:t>
            </w:r>
          </w:p>
        </w:tc>
        <w:tc>
          <w:tcPr>
            <w:tcW w:w="1295" w:type="dxa"/>
          </w:tcPr>
          <w:p w14:paraId="533843F0"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H2</w:t>
            </w:r>
          </w:p>
        </w:tc>
        <w:tc>
          <w:tcPr>
            <w:tcW w:w="1704" w:type="dxa"/>
          </w:tcPr>
          <w:p w14:paraId="3093434D"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 xml:space="preserve">PC </w:t>
            </w:r>
            <w:r w:rsidRPr="00FE45F6">
              <w:rPr>
                <w:rFonts w:ascii="Arial" w:eastAsia="Book Antiqua" w:hAnsi="Arial" w:cs="Arial"/>
                <w:sz w:val="20"/>
                <w:szCs w:val="20"/>
              </w:rPr>
              <w:sym w:font="Symbol" w:char="F0AE"/>
            </w:r>
            <w:r w:rsidRPr="00FE45F6">
              <w:rPr>
                <w:rFonts w:ascii="Arial" w:eastAsia="Book Antiqua" w:hAnsi="Arial" w:cs="Arial"/>
                <w:sz w:val="20"/>
                <w:szCs w:val="20"/>
              </w:rPr>
              <w:t>CS</w:t>
            </w:r>
          </w:p>
        </w:tc>
        <w:tc>
          <w:tcPr>
            <w:tcW w:w="717" w:type="dxa"/>
          </w:tcPr>
          <w:p w14:paraId="1C89B725"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0.820</w:t>
            </w:r>
          </w:p>
        </w:tc>
        <w:tc>
          <w:tcPr>
            <w:tcW w:w="961" w:type="dxa"/>
          </w:tcPr>
          <w:p w14:paraId="6A43B592"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15.195</w:t>
            </w:r>
          </w:p>
        </w:tc>
        <w:tc>
          <w:tcPr>
            <w:tcW w:w="992" w:type="dxa"/>
          </w:tcPr>
          <w:p w14:paraId="4299858B"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0.000</w:t>
            </w:r>
          </w:p>
        </w:tc>
        <w:tc>
          <w:tcPr>
            <w:tcW w:w="1221" w:type="dxa"/>
          </w:tcPr>
          <w:p w14:paraId="16A507BB"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Supported</w:t>
            </w:r>
          </w:p>
        </w:tc>
      </w:tr>
      <w:tr w:rsidR="00796321" w:rsidRPr="00FE45F6" w14:paraId="03A586EB" w14:textId="77777777" w:rsidTr="00855613">
        <w:trPr>
          <w:trHeight w:val="247"/>
        </w:trPr>
        <w:tc>
          <w:tcPr>
            <w:tcW w:w="1272" w:type="dxa"/>
          </w:tcPr>
          <w:p w14:paraId="5BDBD926"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SQ</w:t>
            </w:r>
          </w:p>
        </w:tc>
        <w:tc>
          <w:tcPr>
            <w:tcW w:w="1295" w:type="dxa"/>
          </w:tcPr>
          <w:p w14:paraId="1C267EFE"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H3</w:t>
            </w:r>
          </w:p>
        </w:tc>
        <w:tc>
          <w:tcPr>
            <w:tcW w:w="1704" w:type="dxa"/>
          </w:tcPr>
          <w:p w14:paraId="0BE2973D"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 xml:space="preserve">SQ </w:t>
            </w:r>
            <w:r w:rsidRPr="00FE45F6">
              <w:rPr>
                <w:rFonts w:ascii="Arial" w:eastAsia="Book Antiqua" w:hAnsi="Arial" w:cs="Arial"/>
                <w:sz w:val="20"/>
                <w:szCs w:val="20"/>
              </w:rPr>
              <w:sym w:font="Symbol" w:char="F0AE"/>
            </w:r>
            <w:r w:rsidRPr="00FE45F6">
              <w:rPr>
                <w:rFonts w:ascii="Arial" w:eastAsia="Book Antiqua" w:hAnsi="Arial" w:cs="Arial"/>
                <w:sz w:val="20"/>
                <w:szCs w:val="20"/>
              </w:rPr>
              <w:t>RI</w:t>
            </w:r>
          </w:p>
        </w:tc>
        <w:tc>
          <w:tcPr>
            <w:tcW w:w="717" w:type="dxa"/>
          </w:tcPr>
          <w:p w14:paraId="0ED0C526"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0.140</w:t>
            </w:r>
          </w:p>
        </w:tc>
        <w:tc>
          <w:tcPr>
            <w:tcW w:w="961" w:type="dxa"/>
          </w:tcPr>
          <w:p w14:paraId="7A27E8F1" w14:textId="77777777" w:rsidR="00164FA7" w:rsidRPr="00FE45F6" w:rsidRDefault="00164FA7" w:rsidP="00164FA7">
            <w:pPr>
              <w:jc w:val="both"/>
              <w:rPr>
                <w:rFonts w:ascii="Arial" w:eastAsia="Book Antiqua" w:hAnsi="Arial" w:cs="Arial"/>
                <w:sz w:val="20"/>
                <w:szCs w:val="20"/>
              </w:rPr>
            </w:pPr>
            <w:r w:rsidRPr="00FE45F6">
              <w:rPr>
                <w:rFonts w:ascii="Arial" w:hAnsi="Arial" w:cs="Arial"/>
                <w:sz w:val="20"/>
                <w:szCs w:val="20"/>
              </w:rPr>
              <w:t>2.564</w:t>
            </w:r>
          </w:p>
        </w:tc>
        <w:tc>
          <w:tcPr>
            <w:tcW w:w="992" w:type="dxa"/>
          </w:tcPr>
          <w:p w14:paraId="682050D9" w14:textId="77777777" w:rsidR="00164FA7" w:rsidRPr="00FE45F6" w:rsidRDefault="00164FA7" w:rsidP="00164FA7">
            <w:pPr>
              <w:jc w:val="both"/>
              <w:rPr>
                <w:rFonts w:ascii="Arial" w:eastAsia="Book Antiqua" w:hAnsi="Arial" w:cs="Arial"/>
                <w:sz w:val="20"/>
                <w:szCs w:val="20"/>
              </w:rPr>
            </w:pPr>
            <w:r w:rsidRPr="00FE45F6">
              <w:rPr>
                <w:rFonts w:ascii="Arial" w:hAnsi="Arial" w:cs="Arial"/>
                <w:sz w:val="20"/>
                <w:szCs w:val="20"/>
              </w:rPr>
              <w:t>0.010</w:t>
            </w:r>
          </w:p>
        </w:tc>
        <w:tc>
          <w:tcPr>
            <w:tcW w:w="1221" w:type="dxa"/>
          </w:tcPr>
          <w:p w14:paraId="3ACA72DE"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Supported</w:t>
            </w:r>
          </w:p>
        </w:tc>
      </w:tr>
      <w:tr w:rsidR="00796321" w:rsidRPr="00FE45F6" w14:paraId="73C6C021" w14:textId="77777777" w:rsidTr="00855613">
        <w:trPr>
          <w:trHeight w:val="247"/>
        </w:trPr>
        <w:tc>
          <w:tcPr>
            <w:tcW w:w="1272" w:type="dxa"/>
          </w:tcPr>
          <w:p w14:paraId="003597CD"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PC</w:t>
            </w:r>
          </w:p>
        </w:tc>
        <w:tc>
          <w:tcPr>
            <w:tcW w:w="1295" w:type="dxa"/>
          </w:tcPr>
          <w:p w14:paraId="230D5051"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H4</w:t>
            </w:r>
          </w:p>
        </w:tc>
        <w:tc>
          <w:tcPr>
            <w:tcW w:w="1704" w:type="dxa"/>
          </w:tcPr>
          <w:p w14:paraId="50CEF9C9"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 xml:space="preserve">PC </w:t>
            </w:r>
            <w:r w:rsidRPr="00FE45F6">
              <w:rPr>
                <w:rFonts w:ascii="Arial" w:eastAsia="Book Antiqua" w:hAnsi="Arial" w:cs="Arial"/>
                <w:sz w:val="20"/>
                <w:szCs w:val="20"/>
              </w:rPr>
              <w:sym w:font="Symbol" w:char="F0AE"/>
            </w:r>
            <w:r w:rsidRPr="00FE45F6">
              <w:rPr>
                <w:rFonts w:ascii="Arial" w:eastAsia="Book Antiqua" w:hAnsi="Arial" w:cs="Arial"/>
                <w:sz w:val="20"/>
                <w:szCs w:val="20"/>
              </w:rPr>
              <w:t>RI</w:t>
            </w:r>
          </w:p>
        </w:tc>
        <w:tc>
          <w:tcPr>
            <w:tcW w:w="717" w:type="dxa"/>
          </w:tcPr>
          <w:p w14:paraId="2F516B63"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0.625</w:t>
            </w:r>
          </w:p>
        </w:tc>
        <w:tc>
          <w:tcPr>
            <w:tcW w:w="961" w:type="dxa"/>
          </w:tcPr>
          <w:p w14:paraId="619186DC"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5.788</w:t>
            </w:r>
          </w:p>
        </w:tc>
        <w:tc>
          <w:tcPr>
            <w:tcW w:w="992" w:type="dxa"/>
          </w:tcPr>
          <w:p w14:paraId="26EF9438"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0.000</w:t>
            </w:r>
          </w:p>
        </w:tc>
        <w:tc>
          <w:tcPr>
            <w:tcW w:w="1221" w:type="dxa"/>
          </w:tcPr>
          <w:p w14:paraId="5015EA34"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Supported</w:t>
            </w:r>
          </w:p>
        </w:tc>
      </w:tr>
      <w:tr w:rsidR="00796321" w:rsidRPr="00FE45F6" w14:paraId="34C375A6" w14:textId="77777777" w:rsidTr="00855613">
        <w:trPr>
          <w:trHeight w:val="247"/>
        </w:trPr>
        <w:tc>
          <w:tcPr>
            <w:tcW w:w="1272" w:type="dxa"/>
          </w:tcPr>
          <w:p w14:paraId="2AC599C4"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CS</w:t>
            </w:r>
          </w:p>
        </w:tc>
        <w:tc>
          <w:tcPr>
            <w:tcW w:w="1295" w:type="dxa"/>
          </w:tcPr>
          <w:p w14:paraId="79A8BDB4"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H5</w:t>
            </w:r>
          </w:p>
        </w:tc>
        <w:tc>
          <w:tcPr>
            <w:tcW w:w="1704" w:type="dxa"/>
          </w:tcPr>
          <w:p w14:paraId="5982A9DC"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 xml:space="preserve">CS </w:t>
            </w:r>
            <w:r w:rsidRPr="00FE45F6">
              <w:rPr>
                <w:rFonts w:ascii="Arial" w:eastAsia="Book Antiqua" w:hAnsi="Arial" w:cs="Arial"/>
                <w:sz w:val="20"/>
                <w:szCs w:val="20"/>
              </w:rPr>
              <w:sym w:font="Symbol" w:char="F0AE"/>
            </w:r>
            <w:r w:rsidRPr="00FE45F6">
              <w:rPr>
                <w:rFonts w:ascii="Arial" w:eastAsia="Book Antiqua" w:hAnsi="Arial" w:cs="Arial"/>
                <w:sz w:val="20"/>
                <w:szCs w:val="20"/>
              </w:rPr>
              <w:t>RI</w:t>
            </w:r>
          </w:p>
        </w:tc>
        <w:tc>
          <w:tcPr>
            <w:tcW w:w="717" w:type="dxa"/>
          </w:tcPr>
          <w:p w14:paraId="04BB465A"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0.277</w:t>
            </w:r>
          </w:p>
        </w:tc>
        <w:tc>
          <w:tcPr>
            <w:tcW w:w="961" w:type="dxa"/>
          </w:tcPr>
          <w:p w14:paraId="1F868D9D" w14:textId="77777777" w:rsidR="00164FA7" w:rsidRPr="00FE45F6" w:rsidRDefault="00164FA7" w:rsidP="00164FA7">
            <w:pPr>
              <w:jc w:val="both"/>
              <w:rPr>
                <w:rFonts w:ascii="Arial" w:eastAsia="Book Antiqua" w:hAnsi="Arial" w:cs="Arial"/>
                <w:sz w:val="20"/>
                <w:szCs w:val="20"/>
              </w:rPr>
            </w:pPr>
            <w:r w:rsidRPr="00FE45F6">
              <w:rPr>
                <w:rFonts w:ascii="Arial" w:hAnsi="Arial" w:cs="Arial"/>
                <w:sz w:val="20"/>
                <w:szCs w:val="20"/>
              </w:rPr>
              <w:t>2.482</w:t>
            </w:r>
          </w:p>
        </w:tc>
        <w:tc>
          <w:tcPr>
            <w:tcW w:w="992" w:type="dxa"/>
          </w:tcPr>
          <w:p w14:paraId="07F38C3E" w14:textId="77777777" w:rsidR="00164FA7" w:rsidRPr="00FE45F6" w:rsidRDefault="00164FA7" w:rsidP="00164FA7">
            <w:pPr>
              <w:jc w:val="both"/>
              <w:rPr>
                <w:rFonts w:ascii="Arial" w:eastAsia="Book Antiqua" w:hAnsi="Arial" w:cs="Arial"/>
                <w:sz w:val="20"/>
                <w:szCs w:val="20"/>
              </w:rPr>
            </w:pPr>
            <w:r w:rsidRPr="00FE45F6">
              <w:rPr>
                <w:rFonts w:ascii="Arial" w:hAnsi="Arial" w:cs="Arial"/>
                <w:sz w:val="20"/>
                <w:szCs w:val="20"/>
              </w:rPr>
              <w:t>0.013</w:t>
            </w:r>
          </w:p>
        </w:tc>
        <w:tc>
          <w:tcPr>
            <w:tcW w:w="1221" w:type="dxa"/>
          </w:tcPr>
          <w:p w14:paraId="2557CF96" w14:textId="77777777" w:rsidR="00164FA7" w:rsidRPr="00FE45F6" w:rsidRDefault="00164FA7" w:rsidP="00164FA7">
            <w:pPr>
              <w:jc w:val="both"/>
              <w:rPr>
                <w:rFonts w:ascii="Arial" w:eastAsia="Book Antiqua" w:hAnsi="Arial" w:cs="Arial"/>
                <w:sz w:val="20"/>
                <w:szCs w:val="20"/>
              </w:rPr>
            </w:pPr>
            <w:r w:rsidRPr="00FE45F6">
              <w:rPr>
                <w:rFonts w:ascii="Arial" w:eastAsia="Book Antiqua" w:hAnsi="Arial" w:cs="Arial"/>
                <w:sz w:val="20"/>
                <w:szCs w:val="20"/>
              </w:rPr>
              <w:t>Supported</w:t>
            </w:r>
          </w:p>
        </w:tc>
      </w:tr>
    </w:tbl>
    <w:p w14:paraId="49853812" w14:textId="77777777" w:rsidR="00F32F5B" w:rsidRPr="00FE45F6" w:rsidRDefault="002E1A72" w:rsidP="00F32F5B">
      <w:pPr>
        <w:jc w:val="both"/>
        <w:rPr>
          <w:rFonts w:ascii="Arial" w:eastAsia="Book Antiqua" w:hAnsi="Arial" w:cs="Arial"/>
          <w:i/>
          <w:iCs/>
          <w:sz w:val="18"/>
          <w:szCs w:val="18"/>
        </w:rPr>
      </w:pPr>
      <w:r w:rsidRPr="00FE45F6">
        <w:rPr>
          <w:rFonts w:ascii="Arial" w:eastAsia="Book Antiqua" w:hAnsi="Arial" w:cs="Arial"/>
          <w:i/>
          <w:iCs/>
          <w:sz w:val="18"/>
          <w:szCs w:val="18"/>
        </w:rPr>
        <w:t>Note. β=standardized path coefficient; path significance is as follows: *p&lt;.05, **p&lt;.01, ***p&lt;.001, t-value &gt; 1.96</w:t>
      </w:r>
    </w:p>
    <w:p w14:paraId="16C4F16B" w14:textId="77777777" w:rsidR="00F32F5B" w:rsidRPr="00FE45F6" w:rsidRDefault="00F32F5B" w:rsidP="00F32F5B">
      <w:pPr>
        <w:spacing w:after="200"/>
        <w:ind w:firstLine="720"/>
        <w:jc w:val="both"/>
        <w:rPr>
          <w:rFonts w:ascii="Arial" w:eastAsia="Book Antiqua" w:hAnsi="Arial" w:cs="Arial"/>
          <w:i/>
          <w:iCs/>
          <w:sz w:val="18"/>
          <w:szCs w:val="18"/>
        </w:rPr>
      </w:pPr>
      <w:r w:rsidRPr="00FE45F6">
        <w:rPr>
          <w:rFonts w:ascii="Arial" w:eastAsia="Book Antiqua" w:hAnsi="Arial" w:cs="Arial"/>
        </w:rPr>
        <w:t xml:space="preserve">In addition, a mediation analysis was conducted to determine whether customer satisfaction (CS) mediates the relationships between service quality (SQ) and reuse intention (RI), as well as between perceived convenience (PC) and reuse intention. To examine the mediating role of CS in the relationships between SQ, PC, and RI, the Sobel test was conducted. The mediation analysis was performed using the </w:t>
      </w:r>
      <w:proofErr w:type="spellStart"/>
      <w:r w:rsidRPr="00FE45F6">
        <w:rPr>
          <w:rFonts w:ascii="Arial" w:eastAsia="Book Antiqua" w:hAnsi="Arial" w:cs="Arial"/>
        </w:rPr>
        <w:t>standardised</w:t>
      </w:r>
      <w:proofErr w:type="spellEnd"/>
      <w:r w:rsidRPr="00FE45F6">
        <w:rPr>
          <w:rFonts w:ascii="Arial" w:eastAsia="Book Antiqua" w:hAnsi="Arial" w:cs="Arial"/>
        </w:rPr>
        <w:t xml:space="preserve"> coefficients and standard errors obtained from the structural model. The first mediation analysis examined the indirect effect of SQ on RI through CS. The results indicated that SQ significantly influenced CS (β = 0.362, </w:t>
      </w:r>
      <w:proofErr w:type="spellStart"/>
      <w:r w:rsidRPr="00FE45F6">
        <w:rPr>
          <w:rFonts w:ascii="Arial" w:eastAsia="Book Antiqua" w:hAnsi="Arial" w:cs="Arial"/>
        </w:rPr>
        <w:t>SE</w:t>
      </w:r>
      <w:r w:rsidRPr="00FE45F6">
        <w:rPr>
          <w:rFonts w:ascii="Arial" w:eastAsia="Book Antiqua" w:hAnsi="Arial" w:cs="Arial"/>
          <w:vertAlign w:val="subscript"/>
        </w:rPr>
        <w:t>a</w:t>
      </w:r>
      <w:proofErr w:type="spellEnd"/>
      <w:r w:rsidRPr="00FE45F6">
        <w:rPr>
          <w:rFonts w:ascii="Arial" w:eastAsia="Book Antiqua" w:hAnsi="Arial" w:cs="Arial"/>
        </w:rPr>
        <w:t xml:space="preserve"> = 0.030, p-value &lt; 0.001), and CS significantly affected RI (β = 0.277, </w:t>
      </w:r>
      <w:proofErr w:type="spellStart"/>
      <w:r w:rsidRPr="00FE45F6">
        <w:rPr>
          <w:rFonts w:ascii="Arial" w:eastAsia="Book Antiqua" w:hAnsi="Arial" w:cs="Arial"/>
        </w:rPr>
        <w:t>SE</w:t>
      </w:r>
      <w:r w:rsidRPr="00FE45F6">
        <w:rPr>
          <w:rFonts w:ascii="Arial" w:eastAsia="Book Antiqua" w:hAnsi="Arial" w:cs="Arial"/>
          <w:vertAlign w:val="subscript"/>
        </w:rPr>
        <w:t>b</w:t>
      </w:r>
      <w:proofErr w:type="spellEnd"/>
      <w:r w:rsidRPr="00FE45F6">
        <w:rPr>
          <w:rFonts w:ascii="Arial" w:eastAsia="Book Antiqua" w:hAnsi="Arial" w:cs="Arial"/>
        </w:rPr>
        <w:t xml:space="preserve"> = 0.114, p-value &lt; 0.05). </w:t>
      </w:r>
    </w:p>
    <w:p w14:paraId="1C6E5869" w14:textId="77777777" w:rsidR="00C30E11" w:rsidRPr="00FE45F6" w:rsidRDefault="00781C03" w:rsidP="00F32F5B">
      <w:pPr>
        <w:autoSpaceDE w:val="0"/>
        <w:autoSpaceDN w:val="0"/>
        <w:adjustRightInd w:val="0"/>
        <w:ind w:firstLine="720"/>
        <w:jc w:val="both"/>
        <w:rPr>
          <w:rFonts w:ascii="Arial" w:eastAsia="Book Antiqua" w:hAnsi="Arial" w:cs="Arial"/>
        </w:rPr>
      </w:pPr>
      <w:r w:rsidRPr="00FE45F6">
        <w:rPr>
          <w:rFonts w:ascii="Arial" w:eastAsia="Book Antiqua" w:hAnsi="Arial" w:cs="Arial"/>
        </w:rPr>
        <w:t xml:space="preserve">The Sobel test confirmed a significant indirect effect (Z = 2.382, p-value = 0.017), indicating that CS significantly mediates the relationship between SQ and RI. The second mediation analysis tested the indirect effect of PC on RI through CS. The results showed that PC had a significant effect on CS (β = 0.820, </w:t>
      </w:r>
      <w:proofErr w:type="spellStart"/>
      <w:r w:rsidRPr="00FE45F6">
        <w:rPr>
          <w:rFonts w:ascii="Arial" w:eastAsia="Book Antiqua" w:hAnsi="Arial" w:cs="Arial"/>
        </w:rPr>
        <w:t>SE</w:t>
      </w:r>
      <w:r w:rsidRPr="00FE45F6">
        <w:rPr>
          <w:rFonts w:ascii="Arial" w:eastAsia="Book Antiqua" w:hAnsi="Arial" w:cs="Arial"/>
          <w:vertAlign w:val="subscript"/>
        </w:rPr>
        <w:t>a</w:t>
      </w:r>
      <w:proofErr w:type="spellEnd"/>
      <w:r w:rsidRPr="00FE45F6">
        <w:rPr>
          <w:rFonts w:ascii="Arial" w:eastAsia="Book Antiqua" w:hAnsi="Arial" w:cs="Arial"/>
        </w:rPr>
        <w:t xml:space="preserve"> = 0.044, p-value &lt; 0.001), while CS significantly predicted RI (β = 0.277, </w:t>
      </w:r>
      <w:proofErr w:type="spellStart"/>
      <w:r w:rsidRPr="00FE45F6">
        <w:rPr>
          <w:rFonts w:ascii="Arial" w:eastAsia="Book Antiqua" w:hAnsi="Arial" w:cs="Arial"/>
        </w:rPr>
        <w:t>SE</w:t>
      </w:r>
      <w:r w:rsidRPr="00FE45F6">
        <w:rPr>
          <w:rFonts w:ascii="Arial" w:eastAsia="Book Antiqua" w:hAnsi="Arial" w:cs="Arial"/>
          <w:vertAlign w:val="subscript"/>
        </w:rPr>
        <w:t>b</w:t>
      </w:r>
      <w:proofErr w:type="spellEnd"/>
      <w:r w:rsidRPr="00FE45F6">
        <w:rPr>
          <w:rFonts w:ascii="Arial" w:eastAsia="Book Antiqua" w:hAnsi="Arial" w:cs="Arial"/>
        </w:rPr>
        <w:t xml:space="preserve"> = 0.114, p-value &lt; 0.05). The Sobel test also revealed a significant indirect effect (Z = 2.409, p-value = 0.015), confirming that CS mediates the relationship between PC and RI. Overall, the findings demonstrate that CS serves as a significant mediator that explains how SQ and PC contribute to RI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as presented in Table 11.</w:t>
      </w:r>
    </w:p>
    <w:p w14:paraId="50427302" w14:textId="77777777" w:rsidR="00F32F5B" w:rsidRPr="00FE45F6" w:rsidRDefault="00F32F5B" w:rsidP="00F32F5B">
      <w:pPr>
        <w:spacing w:before="200" w:after="200"/>
        <w:jc w:val="center"/>
        <w:rPr>
          <w:rFonts w:ascii="Arial" w:eastAsia="Book Antiqua" w:hAnsi="Arial" w:cs="Arial"/>
          <w:b/>
          <w:bCs/>
        </w:rPr>
      </w:pPr>
      <w:r w:rsidRPr="00FE45F6">
        <w:rPr>
          <w:rFonts w:ascii="Arial" w:eastAsia="Book Antiqua" w:hAnsi="Arial" w:cs="Arial"/>
          <w:b/>
          <w:bCs/>
        </w:rPr>
        <w:t>Table 11. The results of the mediating effect by Sobel’s Test</w:t>
      </w:r>
    </w:p>
    <w:tbl>
      <w:tblPr>
        <w:tblStyle w:val="TableGrid"/>
        <w:tblW w:w="816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809"/>
        <w:gridCol w:w="720"/>
        <w:gridCol w:w="720"/>
        <w:gridCol w:w="720"/>
        <w:gridCol w:w="705"/>
        <w:gridCol w:w="754"/>
        <w:gridCol w:w="943"/>
        <w:gridCol w:w="1144"/>
      </w:tblGrid>
      <w:tr w:rsidR="000104CA" w:rsidRPr="00FE45F6" w14:paraId="45312A80" w14:textId="77777777" w:rsidTr="003826BE">
        <w:trPr>
          <w:trHeight w:val="268"/>
        </w:trPr>
        <w:tc>
          <w:tcPr>
            <w:tcW w:w="0" w:type="auto"/>
            <w:vMerge w:val="restart"/>
            <w:tcBorders>
              <w:top w:val="single" w:sz="4" w:space="0" w:color="auto"/>
              <w:bottom w:val="single" w:sz="4" w:space="0" w:color="auto"/>
            </w:tcBorders>
          </w:tcPr>
          <w:p w14:paraId="2042FCC7" w14:textId="77777777" w:rsidR="000104CA" w:rsidRPr="00FE45F6" w:rsidRDefault="000104CA" w:rsidP="0028188D">
            <w:pPr>
              <w:autoSpaceDE w:val="0"/>
              <w:autoSpaceDN w:val="0"/>
              <w:adjustRightInd w:val="0"/>
              <w:jc w:val="both"/>
              <w:rPr>
                <w:rFonts w:ascii="Arial" w:eastAsia="Book Antiqua" w:hAnsi="Arial" w:cs="Arial"/>
                <w:b/>
              </w:rPr>
            </w:pPr>
            <w:r w:rsidRPr="00FE45F6">
              <w:rPr>
                <w:rFonts w:ascii="Arial" w:hAnsi="Arial" w:cs="Arial"/>
                <w:b/>
                <w:kern w:val="2"/>
                <w:sz w:val="20"/>
                <w:szCs w:val="20"/>
                <w14:ligatures w14:val="standardContextual"/>
              </w:rPr>
              <w:t>Mediation Path</w:t>
            </w:r>
          </w:p>
        </w:tc>
        <w:tc>
          <w:tcPr>
            <w:tcW w:w="0" w:type="auto"/>
            <w:vMerge w:val="restart"/>
            <w:tcBorders>
              <w:top w:val="single" w:sz="4" w:space="0" w:color="auto"/>
              <w:bottom w:val="single" w:sz="4" w:space="0" w:color="auto"/>
            </w:tcBorders>
          </w:tcPr>
          <w:p w14:paraId="44E82B18" w14:textId="77777777" w:rsidR="000104CA" w:rsidRPr="00FE45F6" w:rsidRDefault="000104CA" w:rsidP="000104CA">
            <w:pPr>
              <w:spacing w:line="259" w:lineRule="auto"/>
              <w:rPr>
                <w:rFonts w:ascii="Arial" w:hAnsi="Arial" w:cs="Arial"/>
                <w:b/>
                <w:kern w:val="2"/>
                <w:sz w:val="20"/>
                <w:szCs w:val="20"/>
                <w14:ligatures w14:val="standardContextual"/>
              </w:rPr>
            </w:pPr>
            <w:r w:rsidRPr="00FE45F6">
              <w:rPr>
                <w:rFonts w:ascii="Arial" w:hAnsi="Arial" w:cs="Arial"/>
                <w:b/>
                <w:kern w:val="2"/>
                <w:sz w:val="20"/>
                <w:szCs w:val="20"/>
                <w14:ligatures w14:val="standardContextual"/>
              </w:rPr>
              <w:t>SC*</w:t>
            </w:r>
          </w:p>
          <w:p w14:paraId="19CA1887" w14:textId="77777777" w:rsidR="000104CA" w:rsidRPr="00FE45F6" w:rsidRDefault="000104CA" w:rsidP="000104CA">
            <w:pPr>
              <w:autoSpaceDE w:val="0"/>
              <w:autoSpaceDN w:val="0"/>
              <w:adjustRightInd w:val="0"/>
              <w:jc w:val="both"/>
              <w:rPr>
                <w:rFonts w:ascii="Arial" w:eastAsia="Book Antiqua" w:hAnsi="Arial" w:cs="Arial"/>
                <w:b/>
              </w:rPr>
            </w:pPr>
            <w:r w:rsidRPr="00FE45F6">
              <w:rPr>
                <w:rFonts w:ascii="Arial" w:hAnsi="Arial" w:cs="Arial"/>
                <w:b/>
                <w:kern w:val="2"/>
                <w:sz w:val="20"/>
                <w:szCs w:val="20"/>
                <w14:ligatures w14:val="standardContextual"/>
              </w:rPr>
              <w:t>(a x b)</w:t>
            </w:r>
          </w:p>
        </w:tc>
        <w:tc>
          <w:tcPr>
            <w:tcW w:w="0" w:type="auto"/>
            <w:gridSpan w:val="5"/>
            <w:tcBorders>
              <w:top w:val="single" w:sz="4" w:space="0" w:color="auto"/>
              <w:bottom w:val="single" w:sz="4" w:space="0" w:color="auto"/>
            </w:tcBorders>
          </w:tcPr>
          <w:p w14:paraId="791BC097" w14:textId="77777777" w:rsidR="000104CA" w:rsidRPr="00FE45F6" w:rsidRDefault="000104CA" w:rsidP="0028188D">
            <w:pPr>
              <w:autoSpaceDE w:val="0"/>
              <w:autoSpaceDN w:val="0"/>
              <w:adjustRightInd w:val="0"/>
              <w:jc w:val="both"/>
              <w:rPr>
                <w:rFonts w:ascii="Arial" w:eastAsia="Book Antiqua" w:hAnsi="Arial" w:cs="Arial"/>
                <w:b/>
              </w:rPr>
            </w:pPr>
            <w:r w:rsidRPr="00FE45F6">
              <w:rPr>
                <w:rFonts w:ascii="Arial" w:hAnsi="Arial" w:cs="Arial"/>
                <w:b/>
                <w:kern w:val="2"/>
                <w:sz w:val="20"/>
                <w:szCs w:val="20"/>
                <w14:ligatures w14:val="standardContextual"/>
              </w:rPr>
              <w:t>Sobel’s Test</w:t>
            </w:r>
          </w:p>
        </w:tc>
        <w:tc>
          <w:tcPr>
            <w:tcW w:w="0" w:type="auto"/>
            <w:tcBorders>
              <w:top w:val="single" w:sz="4" w:space="0" w:color="auto"/>
              <w:bottom w:val="single" w:sz="4" w:space="0" w:color="auto"/>
            </w:tcBorders>
          </w:tcPr>
          <w:p w14:paraId="38B860FC" w14:textId="77777777" w:rsidR="000104CA" w:rsidRPr="00FE45F6" w:rsidRDefault="000104CA" w:rsidP="0028188D">
            <w:pPr>
              <w:autoSpaceDE w:val="0"/>
              <w:autoSpaceDN w:val="0"/>
              <w:adjustRightInd w:val="0"/>
              <w:jc w:val="both"/>
              <w:rPr>
                <w:rFonts w:ascii="Arial" w:eastAsia="Book Antiqua" w:hAnsi="Arial" w:cs="Arial"/>
                <w:b/>
              </w:rPr>
            </w:pPr>
            <w:r w:rsidRPr="00FE45F6">
              <w:rPr>
                <w:rFonts w:ascii="Arial" w:hAnsi="Arial" w:cs="Arial"/>
                <w:b/>
                <w:kern w:val="2"/>
                <w:sz w:val="20"/>
                <w:szCs w:val="20"/>
                <w14:ligatures w14:val="standardContextual"/>
              </w:rPr>
              <w:t>Results</w:t>
            </w:r>
          </w:p>
        </w:tc>
        <w:tc>
          <w:tcPr>
            <w:tcW w:w="0" w:type="auto"/>
            <w:tcBorders>
              <w:top w:val="single" w:sz="4" w:space="0" w:color="auto"/>
              <w:bottom w:val="nil"/>
            </w:tcBorders>
          </w:tcPr>
          <w:p w14:paraId="146D6E67" w14:textId="77777777" w:rsidR="000104CA" w:rsidRPr="00FE45F6" w:rsidRDefault="000104CA" w:rsidP="0028188D">
            <w:pPr>
              <w:autoSpaceDE w:val="0"/>
              <w:autoSpaceDN w:val="0"/>
              <w:adjustRightInd w:val="0"/>
              <w:jc w:val="both"/>
              <w:rPr>
                <w:rFonts w:ascii="Arial" w:eastAsia="Book Antiqua" w:hAnsi="Arial" w:cs="Arial"/>
                <w:b/>
              </w:rPr>
            </w:pPr>
          </w:p>
        </w:tc>
      </w:tr>
      <w:tr w:rsidR="003826BE" w:rsidRPr="00FE45F6" w14:paraId="3E38B4D9" w14:textId="77777777" w:rsidTr="003826BE">
        <w:trPr>
          <w:trHeight w:val="289"/>
        </w:trPr>
        <w:tc>
          <w:tcPr>
            <w:tcW w:w="0" w:type="auto"/>
            <w:vMerge/>
            <w:tcBorders>
              <w:top w:val="single" w:sz="4" w:space="0" w:color="auto"/>
              <w:bottom w:val="single" w:sz="4" w:space="0" w:color="auto"/>
            </w:tcBorders>
          </w:tcPr>
          <w:p w14:paraId="0A385C7A" w14:textId="77777777" w:rsidR="000104CA" w:rsidRPr="00FE45F6" w:rsidRDefault="000104CA" w:rsidP="000104CA">
            <w:pPr>
              <w:autoSpaceDE w:val="0"/>
              <w:autoSpaceDN w:val="0"/>
              <w:adjustRightInd w:val="0"/>
              <w:jc w:val="both"/>
              <w:rPr>
                <w:rFonts w:ascii="Arial" w:eastAsia="Book Antiqua" w:hAnsi="Arial" w:cs="Arial"/>
              </w:rPr>
            </w:pPr>
          </w:p>
        </w:tc>
        <w:tc>
          <w:tcPr>
            <w:tcW w:w="0" w:type="auto"/>
            <w:vMerge/>
            <w:tcBorders>
              <w:top w:val="single" w:sz="4" w:space="0" w:color="auto"/>
              <w:bottom w:val="single" w:sz="4" w:space="0" w:color="auto"/>
            </w:tcBorders>
          </w:tcPr>
          <w:p w14:paraId="2F405DFB" w14:textId="77777777" w:rsidR="000104CA" w:rsidRPr="00FE45F6" w:rsidRDefault="000104CA" w:rsidP="000104CA">
            <w:pPr>
              <w:autoSpaceDE w:val="0"/>
              <w:autoSpaceDN w:val="0"/>
              <w:adjustRightInd w:val="0"/>
              <w:jc w:val="both"/>
              <w:rPr>
                <w:rFonts w:ascii="Arial" w:eastAsia="Book Antiqua" w:hAnsi="Arial" w:cs="Arial"/>
              </w:rPr>
            </w:pPr>
          </w:p>
        </w:tc>
        <w:tc>
          <w:tcPr>
            <w:tcW w:w="0" w:type="auto"/>
            <w:tcBorders>
              <w:top w:val="single" w:sz="4" w:space="0" w:color="auto"/>
              <w:bottom w:val="single" w:sz="4" w:space="0" w:color="auto"/>
            </w:tcBorders>
          </w:tcPr>
          <w:p w14:paraId="53623FB9"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a</w:t>
            </w:r>
          </w:p>
        </w:tc>
        <w:tc>
          <w:tcPr>
            <w:tcW w:w="0" w:type="auto"/>
            <w:tcBorders>
              <w:top w:val="single" w:sz="4" w:space="0" w:color="auto"/>
              <w:bottom w:val="single" w:sz="4" w:space="0" w:color="auto"/>
            </w:tcBorders>
          </w:tcPr>
          <w:p w14:paraId="7B33785E" w14:textId="77777777" w:rsidR="000104CA" w:rsidRPr="00FE45F6" w:rsidRDefault="000104CA" w:rsidP="000104CA">
            <w:pPr>
              <w:autoSpaceDE w:val="0"/>
              <w:autoSpaceDN w:val="0"/>
              <w:adjustRightInd w:val="0"/>
              <w:jc w:val="both"/>
              <w:rPr>
                <w:rFonts w:ascii="Arial" w:eastAsia="Book Antiqua" w:hAnsi="Arial" w:cs="Arial"/>
              </w:rPr>
            </w:pPr>
            <w:proofErr w:type="spellStart"/>
            <w:r w:rsidRPr="00FE45F6">
              <w:rPr>
                <w:rFonts w:ascii="Arial" w:hAnsi="Arial" w:cs="Arial"/>
                <w:bCs/>
                <w:kern w:val="2"/>
                <w:sz w:val="20"/>
                <w:szCs w:val="20"/>
                <w14:ligatures w14:val="standardContextual"/>
              </w:rPr>
              <w:t>SE</w:t>
            </w:r>
            <w:r w:rsidRPr="00FE45F6">
              <w:rPr>
                <w:rFonts w:ascii="Arial" w:hAnsi="Arial" w:cs="Arial"/>
                <w:bCs/>
                <w:kern w:val="2"/>
                <w:sz w:val="20"/>
                <w:szCs w:val="20"/>
                <w:vertAlign w:val="subscript"/>
                <w14:ligatures w14:val="standardContextual"/>
              </w:rPr>
              <w:t>a</w:t>
            </w:r>
            <w:proofErr w:type="spellEnd"/>
          </w:p>
        </w:tc>
        <w:tc>
          <w:tcPr>
            <w:tcW w:w="0" w:type="auto"/>
            <w:tcBorders>
              <w:top w:val="single" w:sz="4" w:space="0" w:color="auto"/>
              <w:bottom w:val="single" w:sz="4" w:space="0" w:color="auto"/>
            </w:tcBorders>
          </w:tcPr>
          <w:p w14:paraId="009D9807"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b</w:t>
            </w:r>
          </w:p>
        </w:tc>
        <w:tc>
          <w:tcPr>
            <w:tcW w:w="0" w:type="auto"/>
            <w:tcBorders>
              <w:top w:val="single" w:sz="4" w:space="0" w:color="auto"/>
              <w:bottom w:val="single" w:sz="4" w:space="0" w:color="auto"/>
            </w:tcBorders>
          </w:tcPr>
          <w:p w14:paraId="38DDEAFB" w14:textId="77777777" w:rsidR="000104CA" w:rsidRPr="00FE45F6" w:rsidRDefault="000104CA" w:rsidP="000104CA">
            <w:pPr>
              <w:autoSpaceDE w:val="0"/>
              <w:autoSpaceDN w:val="0"/>
              <w:adjustRightInd w:val="0"/>
              <w:jc w:val="both"/>
              <w:rPr>
                <w:rFonts w:ascii="Arial" w:eastAsia="Book Antiqua" w:hAnsi="Arial" w:cs="Arial"/>
              </w:rPr>
            </w:pPr>
            <w:proofErr w:type="spellStart"/>
            <w:r w:rsidRPr="00FE45F6">
              <w:rPr>
                <w:rFonts w:ascii="Arial" w:hAnsi="Arial" w:cs="Arial"/>
                <w:bCs/>
                <w:kern w:val="2"/>
                <w:sz w:val="20"/>
                <w:szCs w:val="20"/>
                <w14:ligatures w14:val="standardContextual"/>
              </w:rPr>
              <w:t>SE</w:t>
            </w:r>
            <w:r w:rsidRPr="00FE45F6">
              <w:rPr>
                <w:rFonts w:ascii="Arial" w:hAnsi="Arial" w:cs="Arial"/>
                <w:bCs/>
                <w:kern w:val="2"/>
                <w:sz w:val="20"/>
                <w:szCs w:val="20"/>
                <w:vertAlign w:val="subscript"/>
                <w14:ligatures w14:val="standardContextual"/>
              </w:rPr>
              <w:t>b</w:t>
            </w:r>
            <w:proofErr w:type="spellEnd"/>
          </w:p>
        </w:tc>
        <w:tc>
          <w:tcPr>
            <w:tcW w:w="0" w:type="auto"/>
            <w:tcBorders>
              <w:top w:val="single" w:sz="4" w:space="0" w:color="auto"/>
              <w:bottom w:val="single" w:sz="4" w:space="0" w:color="auto"/>
            </w:tcBorders>
          </w:tcPr>
          <w:p w14:paraId="348C7FFE"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z-Test</w:t>
            </w:r>
          </w:p>
        </w:tc>
        <w:tc>
          <w:tcPr>
            <w:tcW w:w="0" w:type="auto"/>
            <w:tcBorders>
              <w:top w:val="single" w:sz="4" w:space="0" w:color="auto"/>
              <w:bottom w:val="single" w:sz="4" w:space="0" w:color="auto"/>
            </w:tcBorders>
          </w:tcPr>
          <w:p w14:paraId="0D170C4B"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p-value</w:t>
            </w:r>
          </w:p>
        </w:tc>
        <w:tc>
          <w:tcPr>
            <w:tcW w:w="0" w:type="auto"/>
            <w:tcBorders>
              <w:top w:val="nil"/>
              <w:bottom w:val="single" w:sz="4" w:space="0" w:color="auto"/>
            </w:tcBorders>
          </w:tcPr>
          <w:p w14:paraId="483F44A1" w14:textId="77777777" w:rsidR="000104CA" w:rsidRPr="00FE45F6" w:rsidRDefault="000104CA" w:rsidP="000104CA">
            <w:pPr>
              <w:autoSpaceDE w:val="0"/>
              <w:autoSpaceDN w:val="0"/>
              <w:adjustRightInd w:val="0"/>
              <w:jc w:val="both"/>
              <w:rPr>
                <w:rFonts w:ascii="Arial" w:eastAsia="Book Antiqua" w:hAnsi="Arial" w:cs="Arial"/>
              </w:rPr>
            </w:pPr>
          </w:p>
        </w:tc>
      </w:tr>
      <w:tr w:rsidR="003826BE" w:rsidRPr="00FE45F6" w14:paraId="0FAFC6E7" w14:textId="77777777" w:rsidTr="003826BE">
        <w:trPr>
          <w:trHeight w:val="246"/>
        </w:trPr>
        <w:tc>
          <w:tcPr>
            <w:tcW w:w="0" w:type="auto"/>
            <w:tcBorders>
              <w:top w:val="single" w:sz="4" w:space="0" w:color="auto"/>
              <w:bottom w:val="nil"/>
            </w:tcBorders>
          </w:tcPr>
          <w:p w14:paraId="207EB2F0"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SQ → CS → RI</w:t>
            </w:r>
          </w:p>
        </w:tc>
        <w:tc>
          <w:tcPr>
            <w:tcW w:w="0" w:type="auto"/>
            <w:tcBorders>
              <w:top w:val="single" w:sz="4" w:space="0" w:color="auto"/>
              <w:bottom w:val="nil"/>
            </w:tcBorders>
          </w:tcPr>
          <w:p w14:paraId="37A36D51"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0.100</w:t>
            </w:r>
          </w:p>
        </w:tc>
        <w:tc>
          <w:tcPr>
            <w:tcW w:w="0" w:type="auto"/>
            <w:tcBorders>
              <w:top w:val="single" w:sz="4" w:space="0" w:color="auto"/>
              <w:bottom w:val="nil"/>
            </w:tcBorders>
          </w:tcPr>
          <w:p w14:paraId="13A584E2"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0.362</w:t>
            </w:r>
          </w:p>
        </w:tc>
        <w:tc>
          <w:tcPr>
            <w:tcW w:w="0" w:type="auto"/>
            <w:tcBorders>
              <w:top w:val="single" w:sz="4" w:space="0" w:color="auto"/>
              <w:bottom w:val="nil"/>
            </w:tcBorders>
          </w:tcPr>
          <w:p w14:paraId="4FE79E61"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0.030</w:t>
            </w:r>
          </w:p>
        </w:tc>
        <w:tc>
          <w:tcPr>
            <w:tcW w:w="0" w:type="auto"/>
            <w:tcBorders>
              <w:top w:val="single" w:sz="4" w:space="0" w:color="auto"/>
              <w:bottom w:val="nil"/>
            </w:tcBorders>
          </w:tcPr>
          <w:p w14:paraId="03B3C5A2"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0.277</w:t>
            </w:r>
          </w:p>
        </w:tc>
        <w:tc>
          <w:tcPr>
            <w:tcW w:w="0" w:type="auto"/>
            <w:tcBorders>
              <w:top w:val="single" w:sz="4" w:space="0" w:color="auto"/>
              <w:bottom w:val="nil"/>
            </w:tcBorders>
          </w:tcPr>
          <w:p w14:paraId="22B19BE3"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0.114</w:t>
            </w:r>
          </w:p>
        </w:tc>
        <w:tc>
          <w:tcPr>
            <w:tcW w:w="0" w:type="auto"/>
            <w:tcBorders>
              <w:top w:val="single" w:sz="4" w:space="0" w:color="auto"/>
              <w:bottom w:val="nil"/>
            </w:tcBorders>
          </w:tcPr>
          <w:p w14:paraId="12B62A9C"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2.382</w:t>
            </w:r>
          </w:p>
        </w:tc>
        <w:tc>
          <w:tcPr>
            <w:tcW w:w="0" w:type="auto"/>
            <w:tcBorders>
              <w:top w:val="single" w:sz="4" w:space="0" w:color="auto"/>
              <w:bottom w:val="nil"/>
            </w:tcBorders>
          </w:tcPr>
          <w:p w14:paraId="718D5FA9"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0.017</w:t>
            </w:r>
          </w:p>
        </w:tc>
        <w:tc>
          <w:tcPr>
            <w:tcW w:w="0" w:type="auto"/>
            <w:tcBorders>
              <w:top w:val="single" w:sz="4" w:space="0" w:color="auto"/>
              <w:bottom w:val="nil"/>
            </w:tcBorders>
          </w:tcPr>
          <w:p w14:paraId="579BD10D"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Significant</w:t>
            </w:r>
          </w:p>
        </w:tc>
      </w:tr>
      <w:tr w:rsidR="003826BE" w:rsidRPr="00FE45F6" w14:paraId="7B5A4A44" w14:textId="77777777" w:rsidTr="003826BE">
        <w:trPr>
          <w:trHeight w:val="238"/>
        </w:trPr>
        <w:tc>
          <w:tcPr>
            <w:tcW w:w="0" w:type="auto"/>
            <w:tcBorders>
              <w:top w:val="nil"/>
            </w:tcBorders>
          </w:tcPr>
          <w:p w14:paraId="656E43F6"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bCs/>
                <w:kern w:val="2"/>
                <w:sz w:val="20"/>
                <w:szCs w:val="20"/>
                <w14:ligatures w14:val="standardContextual"/>
              </w:rPr>
              <w:t>SQ → CS → RI</w:t>
            </w:r>
          </w:p>
        </w:tc>
        <w:tc>
          <w:tcPr>
            <w:tcW w:w="0" w:type="auto"/>
            <w:tcBorders>
              <w:top w:val="nil"/>
            </w:tcBorders>
          </w:tcPr>
          <w:p w14:paraId="52322F79"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0.227</w:t>
            </w:r>
          </w:p>
        </w:tc>
        <w:tc>
          <w:tcPr>
            <w:tcW w:w="0" w:type="auto"/>
            <w:tcBorders>
              <w:top w:val="nil"/>
            </w:tcBorders>
          </w:tcPr>
          <w:p w14:paraId="6A541F81"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0.820</w:t>
            </w:r>
          </w:p>
        </w:tc>
        <w:tc>
          <w:tcPr>
            <w:tcW w:w="0" w:type="auto"/>
            <w:tcBorders>
              <w:top w:val="nil"/>
            </w:tcBorders>
          </w:tcPr>
          <w:p w14:paraId="38497CF1"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0.044</w:t>
            </w:r>
          </w:p>
        </w:tc>
        <w:tc>
          <w:tcPr>
            <w:tcW w:w="0" w:type="auto"/>
            <w:tcBorders>
              <w:top w:val="nil"/>
            </w:tcBorders>
          </w:tcPr>
          <w:p w14:paraId="764B04A9"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0.277</w:t>
            </w:r>
          </w:p>
        </w:tc>
        <w:tc>
          <w:tcPr>
            <w:tcW w:w="0" w:type="auto"/>
            <w:tcBorders>
              <w:top w:val="nil"/>
            </w:tcBorders>
          </w:tcPr>
          <w:p w14:paraId="36FEC2CD"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0.114</w:t>
            </w:r>
          </w:p>
        </w:tc>
        <w:tc>
          <w:tcPr>
            <w:tcW w:w="0" w:type="auto"/>
            <w:tcBorders>
              <w:top w:val="nil"/>
            </w:tcBorders>
          </w:tcPr>
          <w:p w14:paraId="6684129B"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2.409</w:t>
            </w:r>
          </w:p>
        </w:tc>
        <w:tc>
          <w:tcPr>
            <w:tcW w:w="0" w:type="auto"/>
            <w:tcBorders>
              <w:top w:val="nil"/>
            </w:tcBorders>
          </w:tcPr>
          <w:p w14:paraId="73CA9FDE"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0.015</w:t>
            </w:r>
          </w:p>
        </w:tc>
        <w:tc>
          <w:tcPr>
            <w:tcW w:w="0" w:type="auto"/>
            <w:tcBorders>
              <w:top w:val="nil"/>
            </w:tcBorders>
          </w:tcPr>
          <w:p w14:paraId="3F640681" w14:textId="77777777" w:rsidR="000104CA" w:rsidRPr="00FE45F6" w:rsidRDefault="000104CA" w:rsidP="000104CA">
            <w:pPr>
              <w:autoSpaceDE w:val="0"/>
              <w:autoSpaceDN w:val="0"/>
              <w:adjustRightInd w:val="0"/>
              <w:jc w:val="both"/>
              <w:rPr>
                <w:rFonts w:ascii="Arial" w:eastAsia="Book Antiqua" w:hAnsi="Arial" w:cs="Arial"/>
              </w:rPr>
            </w:pPr>
            <w:r w:rsidRPr="00FE45F6">
              <w:rPr>
                <w:rFonts w:ascii="Arial" w:hAnsi="Arial" w:cs="Arial"/>
                <w:kern w:val="2"/>
                <w:sz w:val="20"/>
                <w:szCs w:val="20"/>
                <w14:ligatures w14:val="standardContextual"/>
              </w:rPr>
              <w:t>Significant</w:t>
            </w:r>
          </w:p>
        </w:tc>
      </w:tr>
    </w:tbl>
    <w:p w14:paraId="51E016E0" w14:textId="77777777" w:rsidR="0028188D" w:rsidRPr="00FE45F6" w:rsidRDefault="0028188D" w:rsidP="0028188D">
      <w:pPr>
        <w:autoSpaceDE w:val="0"/>
        <w:autoSpaceDN w:val="0"/>
        <w:adjustRightInd w:val="0"/>
        <w:jc w:val="both"/>
        <w:rPr>
          <w:rFonts w:ascii="Arial" w:hAnsi="Arial" w:cs="Arial"/>
          <w:i/>
          <w:iCs/>
          <w:sz w:val="18"/>
          <w:szCs w:val="18"/>
          <w:lang w:bidi="km-KH"/>
        </w:rPr>
      </w:pPr>
      <w:r w:rsidRPr="00FE45F6">
        <w:rPr>
          <w:rFonts w:ascii="Arial" w:hAnsi="Arial" w:cs="Arial"/>
          <w:i/>
          <w:iCs/>
          <w:sz w:val="18"/>
          <w:szCs w:val="18"/>
          <w:lang w:bidi="km-KH"/>
        </w:rPr>
        <w:t>Note. SC</w:t>
      </w:r>
      <w:r w:rsidR="003826BE" w:rsidRPr="00FE45F6">
        <w:rPr>
          <w:rFonts w:ascii="Arial" w:hAnsi="Arial" w:cs="Arial"/>
          <w:i/>
          <w:iCs/>
          <w:sz w:val="18"/>
          <w:szCs w:val="18"/>
          <w:lang w:bidi="km-KH"/>
        </w:rPr>
        <w:t>*</w:t>
      </w:r>
      <w:r w:rsidRPr="00FE45F6">
        <w:rPr>
          <w:rFonts w:ascii="Arial" w:hAnsi="Arial" w:cs="Arial"/>
          <w:i/>
          <w:iCs/>
          <w:sz w:val="18"/>
          <w:szCs w:val="18"/>
          <w:lang w:bidi="km-KH"/>
        </w:rPr>
        <w:t xml:space="preserve"> = Standardized Coefficient for mediating effect; </w:t>
      </w:r>
      <w:r w:rsidRPr="00FE45F6">
        <w:rPr>
          <w:rFonts w:ascii="Arial" w:eastAsiaTheme="minorEastAsia" w:hAnsi="Arial" w:cs="Arial"/>
          <w:i/>
          <w:iCs/>
          <w:sz w:val="18"/>
          <w:szCs w:val="18"/>
          <w:lang w:bidi="km-KH"/>
        </w:rPr>
        <w:t xml:space="preserve">Sobel test critical values: |Z| ≥ 1.96 (p &lt; </w:t>
      </w:r>
      <w:r w:rsidR="003826BE" w:rsidRPr="00FE45F6">
        <w:rPr>
          <w:rFonts w:ascii="Arial" w:eastAsiaTheme="minorEastAsia" w:hAnsi="Arial" w:cs="Arial"/>
          <w:i/>
          <w:iCs/>
          <w:sz w:val="18"/>
          <w:szCs w:val="18"/>
          <w:lang w:bidi="km-KH"/>
        </w:rPr>
        <w:t>0</w:t>
      </w:r>
      <w:r w:rsidRPr="00FE45F6">
        <w:rPr>
          <w:rFonts w:ascii="Arial" w:eastAsiaTheme="minorEastAsia" w:hAnsi="Arial" w:cs="Arial"/>
          <w:i/>
          <w:iCs/>
          <w:sz w:val="18"/>
          <w:szCs w:val="18"/>
          <w:lang w:bidi="km-KH"/>
        </w:rPr>
        <w:t>.05), |Z| ≥ 2.58 (p &lt;</w:t>
      </w:r>
      <w:r w:rsidR="003826BE" w:rsidRPr="00FE45F6">
        <w:rPr>
          <w:rFonts w:ascii="Arial" w:eastAsiaTheme="minorEastAsia" w:hAnsi="Arial" w:cs="Arial"/>
          <w:i/>
          <w:iCs/>
          <w:sz w:val="18"/>
          <w:szCs w:val="18"/>
          <w:lang w:bidi="km-KH"/>
        </w:rPr>
        <w:t>0</w:t>
      </w:r>
      <w:r w:rsidRPr="00FE45F6">
        <w:rPr>
          <w:rFonts w:ascii="Arial" w:eastAsiaTheme="minorEastAsia" w:hAnsi="Arial" w:cs="Arial"/>
          <w:i/>
          <w:iCs/>
          <w:sz w:val="18"/>
          <w:szCs w:val="18"/>
          <w:lang w:bidi="km-KH"/>
        </w:rPr>
        <w:t xml:space="preserve"> .01), and |Z| ≥ 3.29 (p &lt;</w:t>
      </w:r>
      <w:r w:rsidR="003826BE" w:rsidRPr="00FE45F6">
        <w:rPr>
          <w:rFonts w:ascii="Arial" w:eastAsiaTheme="minorEastAsia" w:hAnsi="Arial" w:cs="Arial"/>
          <w:i/>
          <w:iCs/>
          <w:sz w:val="18"/>
          <w:szCs w:val="18"/>
          <w:lang w:bidi="km-KH"/>
        </w:rPr>
        <w:t>0</w:t>
      </w:r>
      <w:r w:rsidRPr="00FE45F6">
        <w:rPr>
          <w:rFonts w:ascii="Arial" w:eastAsiaTheme="minorEastAsia" w:hAnsi="Arial" w:cs="Arial"/>
          <w:i/>
          <w:iCs/>
          <w:sz w:val="18"/>
          <w:szCs w:val="18"/>
          <w:lang w:bidi="km-KH"/>
        </w:rPr>
        <w:t xml:space="preserve"> .001);</w:t>
      </w:r>
      <w:r w:rsidRPr="00FE45F6">
        <w:rPr>
          <w:rFonts w:ascii="Arial" w:hAnsi="Arial" w:cs="Arial"/>
          <w:i/>
          <w:iCs/>
          <w:sz w:val="18"/>
          <w:szCs w:val="18"/>
          <w:lang w:bidi="km-KH"/>
        </w:rPr>
        <w:t xml:space="preserve"> z-test =</w:t>
      </w:r>
      <m:oMath>
        <m:r>
          <w:rPr>
            <w:rFonts w:ascii="Cambria Math" w:hAnsi="Cambria Math" w:cs="Arial"/>
            <w:sz w:val="18"/>
            <w:szCs w:val="18"/>
            <w:lang w:bidi="km-KH"/>
          </w:rPr>
          <m:t xml:space="preserve"> </m:t>
        </m:r>
        <m:f>
          <m:fPr>
            <m:ctrlPr>
              <w:rPr>
                <w:rFonts w:ascii="Cambria Math" w:hAnsi="Cambria Math" w:cs="Arial"/>
                <w:i/>
                <w:iCs/>
                <w:sz w:val="18"/>
                <w:szCs w:val="18"/>
                <w:lang w:bidi="km-KH"/>
              </w:rPr>
            </m:ctrlPr>
          </m:fPr>
          <m:num>
            <m:r>
              <w:rPr>
                <w:rFonts w:ascii="Cambria Math" w:hAnsi="Cambria Math" w:cs="Arial"/>
                <w:sz w:val="18"/>
                <w:szCs w:val="18"/>
                <w:lang w:bidi="km-KH"/>
              </w:rPr>
              <m:t>ab</m:t>
            </m:r>
          </m:num>
          <m:den>
            <m:rad>
              <m:radPr>
                <m:degHide m:val="1"/>
                <m:ctrlPr>
                  <w:rPr>
                    <w:rFonts w:ascii="Cambria Math" w:hAnsi="Cambria Math" w:cs="Arial"/>
                    <w:i/>
                    <w:iCs/>
                    <w:sz w:val="18"/>
                    <w:szCs w:val="18"/>
                    <w:lang w:bidi="km-KH"/>
                  </w:rPr>
                </m:ctrlPr>
              </m:radPr>
              <m:deg/>
              <m:e>
                <m:sSup>
                  <m:sSupPr>
                    <m:ctrlPr>
                      <w:rPr>
                        <w:rFonts w:ascii="Cambria Math" w:hAnsi="Cambria Math" w:cs="Arial"/>
                        <w:i/>
                        <w:iCs/>
                        <w:sz w:val="18"/>
                        <w:szCs w:val="18"/>
                        <w:lang w:bidi="km-KH"/>
                      </w:rPr>
                    </m:ctrlPr>
                  </m:sSupPr>
                  <m:e>
                    <m:r>
                      <w:rPr>
                        <w:rFonts w:ascii="Cambria Math" w:hAnsi="Cambria Math" w:cs="Arial"/>
                        <w:sz w:val="18"/>
                        <w:szCs w:val="18"/>
                      </w:rPr>
                      <m:t>b</m:t>
                    </m:r>
                  </m:e>
                  <m:sup>
                    <m:r>
                      <w:rPr>
                        <w:rFonts w:ascii="Cambria Math" w:hAnsi="Cambria Math" w:cs="Arial"/>
                        <w:sz w:val="18"/>
                        <w:szCs w:val="18"/>
                      </w:rPr>
                      <m:t>2</m:t>
                    </m:r>
                  </m:sup>
                </m:sSup>
                <m:sSubSup>
                  <m:sSubSupPr>
                    <m:ctrlPr>
                      <w:rPr>
                        <w:rFonts w:ascii="Cambria Math" w:hAnsi="Cambria Math" w:cs="Arial"/>
                        <w:i/>
                        <w:iCs/>
                        <w:sz w:val="18"/>
                        <w:szCs w:val="18"/>
                      </w:rPr>
                    </m:ctrlPr>
                  </m:sSubSupPr>
                  <m:e>
                    <m:r>
                      <w:rPr>
                        <w:rFonts w:ascii="Cambria Math" w:hAnsi="Cambria Math" w:cs="Arial"/>
                        <w:sz w:val="18"/>
                        <w:szCs w:val="18"/>
                      </w:rPr>
                      <m:t>SE</m:t>
                    </m:r>
                  </m:e>
                  <m:sub>
                    <m:r>
                      <w:rPr>
                        <w:rFonts w:ascii="Cambria Math" w:hAnsi="Cambria Math" w:cs="Arial"/>
                        <w:sz w:val="18"/>
                        <w:szCs w:val="18"/>
                      </w:rPr>
                      <m:t>a</m:t>
                    </m:r>
                  </m:sub>
                  <m:sup>
                    <m:r>
                      <w:rPr>
                        <w:rFonts w:ascii="Cambria Math" w:hAnsi="Cambria Math" w:cs="Arial"/>
                        <w:sz w:val="18"/>
                        <w:szCs w:val="18"/>
                      </w:rPr>
                      <m:t>2</m:t>
                    </m:r>
                  </m:sup>
                </m:sSubSup>
                <m:r>
                  <w:rPr>
                    <w:rFonts w:ascii="Cambria Math" w:hAnsi="Cambria Math" w:cs="Arial"/>
                    <w:sz w:val="18"/>
                    <w:szCs w:val="18"/>
                  </w:rPr>
                  <m:t>+</m:t>
                </m:r>
                <m:sSup>
                  <m:sSupPr>
                    <m:ctrlPr>
                      <w:rPr>
                        <w:rFonts w:ascii="Cambria Math" w:hAnsi="Cambria Math" w:cs="Arial"/>
                        <w:i/>
                        <w:iCs/>
                        <w:sz w:val="18"/>
                        <w:szCs w:val="18"/>
                        <w:lang w:bidi="km-KH"/>
                      </w:rPr>
                    </m:ctrlPr>
                  </m:sSupPr>
                  <m:e>
                    <m:r>
                      <w:rPr>
                        <w:rFonts w:ascii="Cambria Math" w:hAnsi="Cambria Math" w:cs="Arial"/>
                        <w:sz w:val="18"/>
                        <w:szCs w:val="18"/>
                      </w:rPr>
                      <m:t>a</m:t>
                    </m:r>
                  </m:e>
                  <m:sup>
                    <m:r>
                      <w:rPr>
                        <w:rFonts w:ascii="Cambria Math" w:hAnsi="Cambria Math" w:cs="Arial"/>
                        <w:sz w:val="18"/>
                        <w:szCs w:val="18"/>
                      </w:rPr>
                      <m:t>2</m:t>
                    </m:r>
                  </m:sup>
                </m:sSup>
                <m:sSubSup>
                  <m:sSubSupPr>
                    <m:ctrlPr>
                      <w:rPr>
                        <w:rFonts w:ascii="Cambria Math" w:hAnsi="Cambria Math" w:cs="Arial"/>
                        <w:i/>
                        <w:iCs/>
                        <w:sz w:val="18"/>
                        <w:szCs w:val="18"/>
                      </w:rPr>
                    </m:ctrlPr>
                  </m:sSubSupPr>
                  <m:e>
                    <m:r>
                      <w:rPr>
                        <w:rFonts w:ascii="Cambria Math" w:hAnsi="Cambria Math" w:cs="Arial"/>
                        <w:sz w:val="18"/>
                        <w:szCs w:val="18"/>
                      </w:rPr>
                      <m:t>SE</m:t>
                    </m:r>
                  </m:e>
                  <m:sub>
                    <m:r>
                      <w:rPr>
                        <w:rFonts w:ascii="Cambria Math" w:hAnsi="Cambria Math" w:cs="Arial"/>
                        <w:sz w:val="18"/>
                        <w:szCs w:val="18"/>
                      </w:rPr>
                      <m:t>b</m:t>
                    </m:r>
                  </m:sub>
                  <m:sup>
                    <m:r>
                      <w:rPr>
                        <w:rFonts w:ascii="Cambria Math" w:hAnsi="Cambria Math" w:cs="Arial"/>
                        <w:sz w:val="18"/>
                        <w:szCs w:val="18"/>
                      </w:rPr>
                      <m:t>2</m:t>
                    </m:r>
                  </m:sup>
                </m:sSubSup>
              </m:e>
            </m:rad>
          </m:den>
        </m:f>
      </m:oMath>
    </w:p>
    <w:p w14:paraId="1CDA791A" w14:textId="77777777" w:rsidR="007C335A" w:rsidRPr="00FE45F6" w:rsidRDefault="007C335A" w:rsidP="007C335A">
      <w:pPr>
        <w:rPr>
          <w:rFonts w:ascii="Arial" w:eastAsia="Book Antiqua" w:hAnsi="Arial" w:cs="Arial"/>
          <w:sz w:val="18"/>
          <w:szCs w:val="18"/>
        </w:rPr>
      </w:pPr>
    </w:p>
    <w:p w14:paraId="0464993D" w14:textId="77777777" w:rsidR="0068410B" w:rsidRPr="00FE45F6" w:rsidRDefault="0068410B" w:rsidP="0068410B">
      <w:pPr>
        <w:spacing w:after="200"/>
        <w:jc w:val="both"/>
        <w:rPr>
          <w:rFonts w:ascii="Arial" w:eastAsia="Book Antiqua" w:hAnsi="Arial" w:cs="Arial"/>
          <w:b/>
          <w:bCs/>
          <w:sz w:val="22"/>
          <w:szCs w:val="22"/>
        </w:rPr>
      </w:pPr>
      <w:r w:rsidRPr="00FE45F6">
        <w:rPr>
          <w:rFonts w:ascii="Arial" w:eastAsia="Book Antiqua" w:hAnsi="Arial" w:cs="Arial"/>
          <w:b/>
          <w:bCs/>
          <w:sz w:val="22"/>
          <w:szCs w:val="22"/>
        </w:rPr>
        <w:t>4.2. Discussion</w:t>
      </w:r>
    </w:p>
    <w:p w14:paraId="225774E1" w14:textId="77777777" w:rsidR="0068410B" w:rsidRPr="00FE45F6" w:rsidRDefault="0068410B" w:rsidP="0068410B">
      <w:pPr>
        <w:jc w:val="both"/>
        <w:rPr>
          <w:rFonts w:ascii="Arial" w:eastAsia="Book Antiqua" w:hAnsi="Arial" w:cs="Arial"/>
        </w:rPr>
      </w:pPr>
      <w:r w:rsidRPr="00FE45F6">
        <w:rPr>
          <w:rFonts w:ascii="Arial" w:eastAsia="Book Antiqua" w:hAnsi="Arial" w:cs="Arial"/>
        </w:rPr>
        <w:t xml:space="preserve">The findings suggest that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is not explained by service quality alone, but by a combination of service quality, perceived convenience, and customer satisfaction. The structural model explained 80% of the variance in both customer satisfaction and reuse intention, indicating strong explanatory power. Among the proposed relationships, the effect of perceived convenience on customer satisfaction was the strongest, followed by the effects of perceived convenience on reuse intention, service quality on customer satisfaction, customer satisfaction on reuse intention, and service quality </w:t>
      </w:r>
      <w:r w:rsidRPr="00FE45F6">
        <w:rPr>
          <w:rFonts w:ascii="Arial" w:eastAsia="Book Antiqua" w:hAnsi="Arial" w:cs="Arial"/>
        </w:rPr>
        <w:lastRenderedPageBreak/>
        <w:t xml:space="preserve">on reuse intention. Customer satisfaction also significantly mediated the relationships between service quality, perceived convenience, and reuse intention. </w:t>
      </w:r>
    </w:p>
    <w:p w14:paraId="102BACAA" w14:textId="77777777" w:rsidR="0068410B" w:rsidRPr="00FE45F6" w:rsidRDefault="0068410B" w:rsidP="0068410B">
      <w:pPr>
        <w:jc w:val="both"/>
        <w:rPr>
          <w:rFonts w:ascii="Arial" w:eastAsia="Book Antiqua" w:hAnsi="Arial" w:cs="Arial"/>
        </w:rPr>
      </w:pPr>
    </w:p>
    <w:p w14:paraId="768BAFD3" w14:textId="77777777" w:rsidR="0068410B" w:rsidRPr="00FE45F6" w:rsidRDefault="0068410B" w:rsidP="0068410B">
      <w:pPr>
        <w:jc w:val="both"/>
        <w:rPr>
          <w:rFonts w:ascii="Arial" w:eastAsia="Book Antiqua" w:hAnsi="Arial" w:cs="Arial"/>
        </w:rPr>
      </w:pPr>
      <w:r w:rsidRPr="00FE45F6">
        <w:rPr>
          <w:rFonts w:ascii="Arial" w:eastAsia="Book Antiqua" w:hAnsi="Arial" w:cs="Arial"/>
        </w:rPr>
        <w:t xml:space="preserve">This pattern indicates that </w:t>
      </w:r>
      <w:proofErr w:type="gramStart"/>
      <w:r w:rsidRPr="00FE45F6">
        <w:rPr>
          <w:rFonts w:ascii="Arial" w:eastAsia="Book Antiqua" w:hAnsi="Arial" w:cs="Arial"/>
        </w:rPr>
        <w:t>customers'</w:t>
      </w:r>
      <w:proofErr w:type="gramEnd"/>
      <w:r w:rsidRPr="00FE45F6">
        <w:rPr>
          <w:rFonts w:ascii="Arial" w:eastAsia="Book Antiqua" w:hAnsi="Arial" w:cs="Arial"/>
        </w:rPr>
        <w:t xml:space="preserve"> continued use of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depends not only on service quality but also on the convenience of the platform and the satisfaction developed through their overall service experience. These findings are consistent with SERVQUAL and the Expectation-Confirmation Model, which explain that customers’ evaluations of service performance and the confirmation of their expectations contribute to satisfaction and continued use </w:t>
      </w:r>
      <w:proofErr w:type="spellStart"/>
      <w:r w:rsidRPr="00FE45F6">
        <w:rPr>
          <w:rFonts w:ascii="Arial" w:eastAsia="Book Antiqua" w:hAnsi="Arial" w:cs="Arial"/>
        </w:rPr>
        <w:t>behaviour</w:t>
      </w:r>
      <w:proofErr w:type="spellEnd"/>
      <w:r w:rsidRPr="00FE45F6">
        <w:rPr>
          <w:rFonts w:ascii="Arial" w:eastAsia="Book Antiqua" w:hAnsi="Arial" w:cs="Arial"/>
        </w:rPr>
        <w:t xml:space="preserve">. The results generally support previous studies reporting that service quality, perceived convenience, and customer satisfaction positively influence reuse intention. However, perceived convenience demonstrated substantially stronger effects than service quality, suggesting that young customers place greater importance on saving time, </w:t>
      </w:r>
      <w:proofErr w:type="spellStart"/>
      <w:r w:rsidRPr="00FE45F6">
        <w:rPr>
          <w:rFonts w:ascii="Arial" w:eastAsia="Book Antiqua" w:hAnsi="Arial" w:cs="Arial"/>
        </w:rPr>
        <w:t>minimising</w:t>
      </w:r>
      <w:proofErr w:type="spellEnd"/>
      <w:r w:rsidRPr="00FE45F6">
        <w:rPr>
          <w:rFonts w:ascii="Arial" w:eastAsia="Book Antiqua" w:hAnsi="Arial" w:cs="Arial"/>
        </w:rPr>
        <w:t xml:space="preserve"> effort, and accessing food delivery services conveniently than on service quality alone. </w:t>
      </w:r>
    </w:p>
    <w:p w14:paraId="67E52916" w14:textId="77777777" w:rsidR="0068410B" w:rsidRPr="00FE45F6" w:rsidRDefault="0068410B" w:rsidP="0068410B">
      <w:pPr>
        <w:jc w:val="both"/>
        <w:rPr>
          <w:rFonts w:ascii="Arial" w:eastAsia="Book Antiqua" w:hAnsi="Arial" w:cs="Arial"/>
        </w:rPr>
      </w:pPr>
    </w:p>
    <w:p w14:paraId="5D661F83" w14:textId="77777777" w:rsidR="0068410B" w:rsidRPr="00FE45F6" w:rsidRDefault="0068410B" w:rsidP="0068410B">
      <w:pPr>
        <w:jc w:val="both"/>
        <w:rPr>
          <w:rFonts w:ascii="Arial" w:eastAsia="Book Antiqua" w:hAnsi="Arial" w:cs="Arial"/>
        </w:rPr>
      </w:pPr>
      <w:r w:rsidRPr="00FE45F6">
        <w:rPr>
          <w:rFonts w:ascii="Arial" w:eastAsia="Book Antiqua" w:hAnsi="Arial" w:cs="Arial"/>
        </w:rPr>
        <w:t xml:space="preserve">Nevertheless, service quality continued to significantly influence both customer satisfaction and reuse intention, indicating that reliable service performance continues to play an important supporting role in encouraging customers to reuse the platform. The mediation analysis further demonstrates that customer satisfaction functions as an important mechanism through which service quality and perceived convenience enhance reuse intention, consistent with previous studies. Because the direct effects of both service quality and perceived convenience remained significant after customer satisfaction was included, the findings indicate partial mediation, suggesting that both factors influence reuse intention directly and indirectly through customer satisfaction. </w:t>
      </w:r>
    </w:p>
    <w:p w14:paraId="31D3BB5C" w14:textId="77777777" w:rsidR="00B808EE" w:rsidRPr="00FE45F6" w:rsidRDefault="00B808EE" w:rsidP="0068410B">
      <w:pPr>
        <w:jc w:val="both"/>
        <w:rPr>
          <w:rFonts w:ascii="Arial" w:eastAsia="Book Antiqua" w:hAnsi="Arial" w:cs="Arial"/>
        </w:rPr>
      </w:pPr>
    </w:p>
    <w:p w14:paraId="22C778F0" w14:textId="77777777" w:rsidR="007C335A" w:rsidRPr="00FE45F6" w:rsidRDefault="0068410B" w:rsidP="0068410B">
      <w:pPr>
        <w:jc w:val="both"/>
        <w:rPr>
          <w:rFonts w:ascii="Arial" w:eastAsia="Book Antiqua" w:hAnsi="Arial" w:cs="Arial"/>
        </w:rPr>
      </w:pPr>
      <w:r w:rsidRPr="00FE45F6">
        <w:rPr>
          <w:rFonts w:ascii="Arial" w:eastAsia="Book Antiqua" w:hAnsi="Arial" w:cs="Arial"/>
        </w:rPr>
        <w:t>Notably, although service quality exhibited comparatively smaller direct effects, its significant direct and indirect relationships demonstrated that maintaining reliable service remains essential for sustaining customer satisfaction and encouraging continued platform use. Within the Cambodian context, where online food delivery services have become increasingly integrated into the daily lives of young consumers, these findings suggest that providers should simultaneously improve platform convenience and maintain high service quality to strengthen customer satisfaction and encourage long-term reuse. This study contributes empirical evidence from Cambodia by demonstrating that convenience is the dominant driver of reuse intention, while service quality remains an indispensable factor through both its direct and indirect effects.</w:t>
      </w:r>
    </w:p>
    <w:p w14:paraId="597751B9" w14:textId="77777777" w:rsidR="0068410B" w:rsidRPr="00FE45F6" w:rsidRDefault="0068410B" w:rsidP="0068410B">
      <w:pPr>
        <w:jc w:val="both"/>
        <w:rPr>
          <w:rFonts w:ascii="Arial" w:eastAsia="Book Antiqua" w:hAnsi="Arial" w:cs="Arial"/>
        </w:rPr>
      </w:pPr>
    </w:p>
    <w:p w14:paraId="51870B6F" w14:textId="77777777" w:rsidR="0068410B" w:rsidRPr="00FE45F6" w:rsidRDefault="0068410B" w:rsidP="0068410B">
      <w:pPr>
        <w:pStyle w:val="AbstHead"/>
        <w:spacing w:after="200"/>
        <w:jc w:val="both"/>
        <w:rPr>
          <w:rFonts w:ascii="Arial" w:hAnsi="Arial" w:cs="Arial"/>
        </w:rPr>
      </w:pPr>
      <w:r w:rsidRPr="00FE45F6">
        <w:rPr>
          <w:rFonts w:ascii="Arial" w:hAnsi="Arial" w:cs="Arial"/>
        </w:rPr>
        <w:t>V. CONCLUSION</w:t>
      </w:r>
    </w:p>
    <w:p w14:paraId="44CE8A60" w14:textId="77777777" w:rsidR="0068410B" w:rsidRPr="00FE45F6" w:rsidRDefault="0068410B" w:rsidP="00B808EE">
      <w:pPr>
        <w:spacing w:after="200"/>
        <w:jc w:val="both"/>
        <w:rPr>
          <w:rFonts w:ascii="Arial" w:eastAsia="Calibri" w:hAnsi="Arial" w:cs="Arial"/>
          <w:b/>
          <w:bCs/>
          <w:color w:val="000000" w:themeColor="text1"/>
          <w:szCs w:val="24"/>
        </w:rPr>
      </w:pPr>
      <w:r w:rsidRPr="00FE45F6">
        <w:rPr>
          <w:rFonts w:ascii="Arial" w:eastAsia="Calibri" w:hAnsi="Arial" w:cs="Arial"/>
          <w:b/>
          <w:bCs/>
          <w:color w:val="000000" w:themeColor="text1"/>
          <w:szCs w:val="24"/>
        </w:rPr>
        <w:t>6.1 Conclusion</w:t>
      </w:r>
    </w:p>
    <w:p w14:paraId="429F51AD" w14:textId="286F41E3" w:rsidR="00DF7471" w:rsidRPr="00FE45F6" w:rsidRDefault="00DF7471" w:rsidP="00B808EE">
      <w:pPr>
        <w:pStyle w:val="pdq2pgselectionanchorcontainer"/>
        <w:spacing w:before="0" w:beforeAutospacing="0" w:after="0" w:afterAutospacing="0"/>
        <w:jc w:val="both"/>
        <w:rPr>
          <w:rFonts w:ascii="Arial" w:hAnsi="Arial" w:cs="Arial"/>
          <w:sz w:val="20"/>
          <w:szCs w:val="20"/>
        </w:rPr>
      </w:pPr>
      <w:r w:rsidRPr="00FE45F6">
        <w:rPr>
          <w:rFonts w:ascii="Arial" w:hAnsi="Arial" w:cs="Arial"/>
          <w:sz w:val="20"/>
          <w:szCs w:val="20"/>
        </w:rPr>
        <w:t xml:space="preserve">The </w:t>
      </w:r>
      <w:r w:rsidR="002D7F0D">
        <w:rPr>
          <w:rFonts w:ascii="Arial" w:hAnsi="Arial" w:cs="Arial"/>
          <w:sz w:val="20"/>
          <w:szCs w:val="20"/>
        </w:rPr>
        <w:t xml:space="preserve">study </w:t>
      </w:r>
      <w:r w:rsidRPr="00FE45F6">
        <w:rPr>
          <w:rFonts w:ascii="Arial" w:hAnsi="Arial" w:cs="Arial"/>
          <w:sz w:val="20"/>
          <w:szCs w:val="20"/>
        </w:rPr>
        <w:t>examine</w:t>
      </w:r>
      <w:r w:rsidR="002D7F0D">
        <w:rPr>
          <w:rFonts w:ascii="Arial" w:hAnsi="Arial" w:cs="Arial"/>
          <w:sz w:val="20"/>
          <w:szCs w:val="20"/>
        </w:rPr>
        <w:t>d</w:t>
      </w:r>
      <w:r w:rsidRPr="00FE45F6">
        <w:rPr>
          <w:rFonts w:ascii="Arial" w:hAnsi="Arial" w:cs="Arial"/>
          <w:sz w:val="20"/>
          <w:szCs w:val="20"/>
        </w:rPr>
        <w:t xml:space="preserve"> the effects of service quality and perceived convenience on customer satisfaction and reuse intention among young </w:t>
      </w:r>
      <w:proofErr w:type="spellStart"/>
      <w:r w:rsidRPr="00FE45F6">
        <w:rPr>
          <w:rFonts w:ascii="Arial" w:hAnsi="Arial" w:cs="Arial"/>
          <w:sz w:val="20"/>
          <w:szCs w:val="20"/>
        </w:rPr>
        <w:t>Foodpanda</w:t>
      </w:r>
      <w:proofErr w:type="spellEnd"/>
      <w:r w:rsidRPr="00FE45F6">
        <w:rPr>
          <w:rFonts w:ascii="Arial" w:hAnsi="Arial" w:cs="Arial"/>
          <w:sz w:val="20"/>
          <w:szCs w:val="20"/>
        </w:rPr>
        <w:t xml:space="preserve"> users in Cambodia, as well as the mediating role of customer satisfaction. The findings revealed that all proposed hypotheses were supported. Specifically, service quality and perceived convenience significantly enhanced customer satisfaction, while service quality, perceived convenience, and customer satisfaction positively influenced reuse intention. Among these relationships, perceived convenience demonstrated the strongest effects on both customer satisfaction and reuse intention, whereas service quality exhibited comparatively smaller but still significant direct effects. Furthermore, customer satisfaction significantly and partially mediated the relationships between service quality, perceived convenience, and reuse intention.</w:t>
      </w:r>
    </w:p>
    <w:p w14:paraId="750D3AA7" w14:textId="77777777" w:rsidR="00DF7471" w:rsidRPr="00FE45F6" w:rsidRDefault="00DF7471" w:rsidP="00DF7471">
      <w:pPr>
        <w:pStyle w:val="NormalWeb"/>
        <w:jc w:val="both"/>
        <w:rPr>
          <w:rFonts w:ascii="Arial" w:hAnsi="Arial" w:cs="Arial"/>
          <w:sz w:val="20"/>
          <w:szCs w:val="20"/>
        </w:rPr>
      </w:pPr>
      <w:r w:rsidRPr="00FE45F6">
        <w:rPr>
          <w:rFonts w:ascii="Arial" w:hAnsi="Arial" w:cs="Arial"/>
          <w:sz w:val="20"/>
          <w:szCs w:val="20"/>
        </w:rPr>
        <w:t xml:space="preserve">Overall, the findings indicate that reuse intention is more strongly driven by perceived convenience than by service quality alone, while customer satisfaction serves as an important mechanism linking customers' service experiences to their continued use of the platform. This </w:t>
      </w:r>
      <w:r w:rsidRPr="00FE45F6">
        <w:rPr>
          <w:rFonts w:ascii="Arial" w:hAnsi="Arial" w:cs="Arial"/>
          <w:sz w:val="20"/>
          <w:szCs w:val="20"/>
        </w:rPr>
        <w:lastRenderedPageBreak/>
        <w:t xml:space="preserve">study contributes empirical evidence from the Cambodian online food delivery context by integrating SERVQUAL and the Expectation-Confirmation Model to explain customers' post-adoption </w:t>
      </w:r>
      <w:proofErr w:type="spellStart"/>
      <w:r w:rsidRPr="00FE45F6">
        <w:rPr>
          <w:rFonts w:ascii="Arial" w:hAnsi="Arial" w:cs="Arial"/>
          <w:sz w:val="20"/>
          <w:szCs w:val="20"/>
        </w:rPr>
        <w:t>behaviour</w:t>
      </w:r>
      <w:proofErr w:type="spellEnd"/>
      <w:r w:rsidRPr="00FE45F6">
        <w:rPr>
          <w:rFonts w:ascii="Arial" w:hAnsi="Arial" w:cs="Arial"/>
          <w:sz w:val="20"/>
          <w:szCs w:val="20"/>
        </w:rPr>
        <w:t xml:space="preserve">. However, the findings should be interpreted cautiously because the study focused only on young </w:t>
      </w:r>
      <w:proofErr w:type="spellStart"/>
      <w:r w:rsidRPr="00FE45F6">
        <w:rPr>
          <w:rFonts w:ascii="Arial" w:hAnsi="Arial" w:cs="Arial"/>
          <w:sz w:val="20"/>
          <w:szCs w:val="20"/>
        </w:rPr>
        <w:t>Foodpanda</w:t>
      </w:r>
      <w:proofErr w:type="spellEnd"/>
      <w:r w:rsidRPr="00FE45F6">
        <w:rPr>
          <w:rFonts w:ascii="Arial" w:hAnsi="Arial" w:cs="Arial"/>
          <w:sz w:val="20"/>
          <w:szCs w:val="20"/>
        </w:rPr>
        <w:t xml:space="preserve"> users in Cambodia. Future research may examine these relationships across different food delivery platforms, demographic groups, and cultural settings to enhance the </w:t>
      </w:r>
      <w:proofErr w:type="spellStart"/>
      <w:r w:rsidRPr="00FE45F6">
        <w:rPr>
          <w:rFonts w:ascii="Arial" w:hAnsi="Arial" w:cs="Arial"/>
          <w:sz w:val="20"/>
          <w:szCs w:val="20"/>
        </w:rPr>
        <w:t>generalisability</w:t>
      </w:r>
      <w:proofErr w:type="spellEnd"/>
      <w:r w:rsidRPr="00FE45F6">
        <w:rPr>
          <w:rFonts w:ascii="Arial" w:hAnsi="Arial" w:cs="Arial"/>
          <w:sz w:val="20"/>
          <w:szCs w:val="20"/>
        </w:rPr>
        <w:t xml:space="preserve"> of the findings.</w:t>
      </w:r>
    </w:p>
    <w:p w14:paraId="17900C96" w14:textId="77777777" w:rsidR="0068410B" w:rsidRPr="00FE45F6" w:rsidRDefault="00DF7471" w:rsidP="0068410B">
      <w:pPr>
        <w:pStyle w:val="AbstHead"/>
        <w:spacing w:after="200"/>
        <w:jc w:val="both"/>
        <w:rPr>
          <w:rFonts w:ascii="Arial" w:hAnsi="Arial" w:cs="Arial"/>
          <w:caps w:val="0"/>
          <w:sz w:val="20"/>
          <w:szCs w:val="18"/>
        </w:rPr>
      </w:pPr>
      <w:r w:rsidRPr="00FE45F6">
        <w:rPr>
          <w:rFonts w:ascii="Arial" w:hAnsi="Arial" w:cs="Arial"/>
          <w:caps w:val="0"/>
          <w:sz w:val="20"/>
          <w:szCs w:val="18"/>
        </w:rPr>
        <w:t>6.2 Implications of The Study</w:t>
      </w:r>
    </w:p>
    <w:p w14:paraId="0C3F89F9" w14:textId="77777777" w:rsidR="00DF7471" w:rsidRPr="00FE45F6" w:rsidRDefault="00DF7471" w:rsidP="00DF7471">
      <w:pPr>
        <w:jc w:val="both"/>
        <w:rPr>
          <w:rFonts w:eastAsia="Book Antiqua"/>
        </w:rPr>
      </w:pPr>
      <w:r w:rsidRPr="00FE45F6">
        <w:rPr>
          <w:rFonts w:eastAsia="Book Antiqua"/>
        </w:rPr>
        <w:t xml:space="preserve">This study provides both theoretical and practical implications for understanding customer reuse intention towards online food delivery platforms. Theoretically, the findings support the integration of SERVQUAL and the Expectation-Confirmation Model by demonstrating that reuse intention is jointly influenced by service quality, perceived convenience, and customer satisfaction. The results further highlight customer satisfaction as an important mechanism linking service quality and perceived convenience to reuse intention. Moreover, this study extends the existing literature by providing empirical evidence from the Cambodian online food delivery context, where research on customers' post-adoption </w:t>
      </w:r>
      <w:proofErr w:type="spellStart"/>
      <w:r w:rsidRPr="00FE45F6">
        <w:rPr>
          <w:rFonts w:eastAsia="Book Antiqua"/>
        </w:rPr>
        <w:t>behaviour</w:t>
      </w:r>
      <w:proofErr w:type="spellEnd"/>
      <w:r w:rsidRPr="00FE45F6">
        <w:rPr>
          <w:rFonts w:eastAsia="Book Antiqua"/>
        </w:rPr>
        <w:t xml:space="preserve"> remains relatively limited. Practically, the findings offer valuable implications for business owners, policymakers, users, and academics. For business owners, the stronger influence of perceived convenience suggests </w:t>
      </w:r>
      <w:proofErr w:type="spellStart"/>
      <w:r w:rsidRPr="00FE45F6">
        <w:rPr>
          <w:rFonts w:eastAsia="Book Antiqua"/>
        </w:rPr>
        <w:t>prioritising</w:t>
      </w:r>
      <w:proofErr w:type="spellEnd"/>
      <w:r w:rsidRPr="00FE45F6">
        <w:rPr>
          <w:rFonts w:eastAsia="Book Antiqua"/>
        </w:rPr>
        <w:t xml:space="preserve"> user-friendly application design, efficient ordering processes, reliable payment systems, and fast delivery services while maintaining high service quality to strengthen customer satisfaction and encourage repeated use. </w:t>
      </w:r>
    </w:p>
    <w:p w14:paraId="7C9CC0C3" w14:textId="77777777" w:rsidR="00DF7471" w:rsidRPr="00FE45F6" w:rsidRDefault="00DF7471" w:rsidP="00DF7471">
      <w:pPr>
        <w:spacing w:before="200"/>
        <w:jc w:val="both"/>
        <w:rPr>
          <w:rFonts w:eastAsia="Book Antiqua"/>
        </w:rPr>
      </w:pPr>
      <w:r w:rsidRPr="00FE45F6">
        <w:rPr>
          <w:rFonts w:eastAsia="Book Antiqua"/>
        </w:rPr>
        <w:t xml:space="preserve">For policymakers, the findings </w:t>
      </w:r>
      <w:proofErr w:type="spellStart"/>
      <w:r w:rsidRPr="00FE45F6">
        <w:rPr>
          <w:rFonts w:eastAsia="Book Antiqua"/>
        </w:rPr>
        <w:t>emphasise</w:t>
      </w:r>
      <w:proofErr w:type="spellEnd"/>
      <w:r w:rsidRPr="00FE45F6">
        <w:rPr>
          <w:rFonts w:eastAsia="Book Antiqua"/>
        </w:rPr>
        <w:t xml:space="preserve"> the importance of supporting digital commerce through policies that promote service quality standards, consumer protection, and digital infrastructure to foster sustainable growth in the online food delivery industry. For consumers, the results indicate that both convenience and service quality contribute to satisfactory service experiences and continued platform use, enabling customers to make more informed decisions when selecting food delivery services. Finally, for academics, this study provides a useful empirical framework for examining customer post-adoption </w:t>
      </w:r>
      <w:proofErr w:type="spellStart"/>
      <w:r w:rsidRPr="00FE45F6">
        <w:rPr>
          <w:rFonts w:eastAsia="Book Antiqua"/>
        </w:rPr>
        <w:t>behaviour</w:t>
      </w:r>
      <w:proofErr w:type="spellEnd"/>
      <w:r w:rsidRPr="00FE45F6">
        <w:rPr>
          <w:rFonts w:eastAsia="Book Antiqua"/>
        </w:rPr>
        <w:t xml:space="preserve"> in digital service settings and offers a foundation for future research incorporating additional determinants, different digital platforms, or broader demographic and cross-cultural contexts.</w:t>
      </w:r>
    </w:p>
    <w:p w14:paraId="249BF898" w14:textId="574AF4D9" w:rsidR="00DF7471" w:rsidRPr="00FE45F6" w:rsidRDefault="00DF7471" w:rsidP="00DF7471">
      <w:pPr>
        <w:pStyle w:val="AbstHead"/>
        <w:spacing w:before="200" w:after="200"/>
        <w:jc w:val="both"/>
        <w:rPr>
          <w:rFonts w:ascii="Arial" w:hAnsi="Arial" w:cs="Arial"/>
          <w:caps w:val="0"/>
          <w:sz w:val="20"/>
        </w:rPr>
      </w:pPr>
      <w:r w:rsidRPr="00FE45F6">
        <w:rPr>
          <w:rFonts w:ascii="Arial" w:hAnsi="Arial" w:cs="Arial"/>
          <w:caps w:val="0"/>
          <w:sz w:val="20"/>
        </w:rPr>
        <w:t xml:space="preserve">6.3 </w:t>
      </w:r>
      <w:r w:rsidR="00731916" w:rsidRPr="00731916">
        <w:rPr>
          <w:rFonts w:ascii="Arial" w:hAnsi="Arial" w:cs="Arial"/>
          <w:caps w:val="0"/>
          <w:sz w:val="20"/>
        </w:rPr>
        <w:t>Limitations and Future Research</w:t>
      </w:r>
    </w:p>
    <w:p w14:paraId="0E9CAD86" w14:textId="77777777" w:rsidR="00DF7471" w:rsidRPr="00FE45F6" w:rsidRDefault="00DF7471" w:rsidP="00DF7471">
      <w:pPr>
        <w:jc w:val="both"/>
        <w:rPr>
          <w:rFonts w:ascii="Arial" w:eastAsia="Book Antiqua" w:hAnsi="Arial" w:cs="Arial"/>
        </w:rPr>
      </w:pPr>
      <w:r w:rsidRPr="00FE45F6">
        <w:rPr>
          <w:rFonts w:ascii="Arial" w:eastAsia="Book Antiqua" w:hAnsi="Arial" w:cs="Arial"/>
        </w:rPr>
        <w:t xml:space="preserve">This study provides empirical evidence on the factors influencing customer satisfaction and reuse intention among young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users in Cambodia. However, several limitations should be acknowledged. First, the study employed convenience sampling and was conducted at a single university in Cambodia, with a higher proportion of female respondents and a sample limited to young users. These characteristics may restrict the </w:t>
      </w:r>
      <w:proofErr w:type="spellStart"/>
      <w:r w:rsidRPr="00FE45F6">
        <w:rPr>
          <w:rFonts w:ascii="Arial" w:eastAsia="Book Antiqua" w:hAnsi="Arial" w:cs="Arial"/>
        </w:rPr>
        <w:t>generalisability</w:t>
      </w:r>
      <w:proofErr w:type="spellEnd"/>
      <w:r w:rsidRPr="00FE45F6">
        <w:rPr>
          <w:rFonts w:ascii="Arial" w:eastAsia="Book Antiqua" w:hAnsi="Arial" w:cs="Arial"/>
        </w:rPr>
        <w:t xml:space="preserve"> of the findings to broader customer populations, different age groups, and other geographical or institutional contexts. Second, the study relied solely on self-reported quantitative data collected through a cross-sectional survey, which may introduce response bias and limit causal interpretation. Although common method bias was assessed, its influence cannot be entirely ruled out. Finally, the study focused exclusively on </w:t>
      </w:r>
      <w:proofErr w:type="spellStart"/>
      <w:r w:rsidRPr="00FE45F6">
        <w:rPr>
          <w:rFonts w:ascii="Arial" w:eastAsia="Book Antiqua" w:hAnsi="Arial" w:cs="Arial"/>
        </w:rPr>
        <w:t>Foodpanda</w:t>
      </w:r>
      <w:proofErr w:type="spellEnd"/>
      <w:r w:rsidRPr="00FE45F6">
        <w:rPr>
          <w:rFonts w:ascii="Arial" w:eastAsia="Book Antiqua" w:hAnsi="Arial" w:cs="Arial"/>
        </w:rPr>
        <w:t xml:space="preserve"> and was based primarily on literature published between 2020 and 2026, which may limit the applicability of the findings to other online food delivery platforms and earlier theoretical perspectives.</w:t>
      </w:r>
    </w:p>
    <w:p w14:paraId="2BB99A0A" w14:textId="77777777" w:rsidR="00DF7471" w:rsidRPr="00FE45F6" w:rsidRDefault="00DF7471" w:rsidP="00DF7471">
      <w:pPr>
        <w:jc w:val="both"/>
        <w:rPr>
          <w:rFonts w:ascii="Arial" w:eastAsia="Book Antiqua" w:hAnsi="Arial" w:cs="Arial"/>
        </w:rPr>
      </w:pPr>
    </w:p>
    <w:p w14:paraId="0A57397E" w14:textId="77777777" w:rsidR="00DF7471" w:rsidRPr="00FE45F6" w:rsidRDefault="00DF7471" w:rsidP="00DF7471">
      <w:pPr>
        <w:jc w:val="both"/>
        <w:rPr>
          <w:rFonts w:ascii="Arial" w:eastAsia="Book Antiqua" w:hAnsi="Arial" w:cs="Arial"/>
        </w:rPr>
      </w:pPr>
      <w:r w:rsidRPr="00FE45F6">
        <w:rPr>
          <w:rFonts w:ascii="Arial" w:eastAsia="Book Antiqua" w:hAnsi="Arial" w:cs="Arial"/>
        </w:rPr>
        <w:t xml:space="preserve">Future research may address these limitations by employing probability sampling techniques and recruiting more balanced samples across gender, age groups, universities, and geographical regions in Cambodia. Longitudinal or mixed-methods approaches incorporating qualitative interviews may provide deeper insights into customers' post-adoption </w:t>
      </w:r>
      <w:proofErr w:type="spellStart"/>
      <w:r w:rsidRPr="00FE45F6">
        <w:rPr>
          <w:rFonts w:ascii="Arial" w:eastAsia="Book Antiqua" w:hAnsi="Arial" w:cs="Arial"/>
        </w:rPr>
        <w:t>behaviours</w:t>
      </w:r>
      <w:proofErr w:type="spellEnd"/>
      <w:r w:rsidRPr="00FE45F6">
        <w:rPr>
          <w:rFonts w:ascii="Arial" w:eastAsia="Book Antiqua" w:hAnsi="Arial" w:cs="Arial"/>
        </w:rPr>
        <w:t xml:space="preserve"> while strengthening causal inference and reducing potential common method bias. In addition, future studies may compare multiple online food delivery platforms, such as Nham24, </w:t>
      </w:r>
      <w:proofErr w:type="spellStart"/>
      <w:r w:rsidRPr="00FE45F6">
        <w:rPr>
          <w:rFonts w:ascii="Arial" w:eastAsia="Book Antiqua" w:hAnsi="Arial" w:cs="Arial"/>
        </w:rPr>
        <w:lastRenderedPageBreak/>
        <w:t>WowNow</w:t>
      </w:r>
      <w:proofErr w:type="spellEnd"/>
      <w:r w:rsidRPr="00FE45F6">
        <w:rPr>
          <w:rFonts w:ascii="Arial" w:eastAsia="Book Antiqua" w:hAnsi="Arial" w:cs="Arial"/>
        </w:rPr>
        <w:t xml:space="preserve">, </w:t>
      </w:r>
      <w:proofErr w:type="spellStart"/>
      <w:r w:rsidRPr="00FE45F6">
        <w:rPr>
          <w:rFonts w:ascii="Arial" w:eastAsia="Book Antiqua" w:hAnsi="Arial" w:cs="Arial"/>
        </w:rPr>
        <w:t>GrabFood</w:t>
      </w:r>
      <w:proofErr w:type="spellEnd"/>
      <w:r w:rsidRPr="00FE45F6">
        <w:rPr>
          <w:rFonts w:ascii="Arial" w:eastAsia="Book Antiqua" w:hAnsi="Arial" w:cs="Arial"/>
        </w:rPr>
        <w:t xml:space="preserve">, and </w:t>
      </w:r>
      <w:proofErr w:type="spellStart"/>
      <w:r w:rsidRPr="00FE45F6">
        <w:rPr>
          <w:rFonts w:ascii="Arial" w:eastAsia="Book Antiqua" w:hAnsi="Arial" w:cs="Arial"/>
        </w:rPr>
        <w:t>Foodpanda</w:t>
      </w:r>
      <w:proofErr w:type="spellEnd"/>
      <w:r w:rsidRPr="00FE45F6">
        <w:rPr>
          <w:rFonts w:ascii="Arial" w:eastAsia="Book Antiqua" w:hAnsi="Arial" w:cs="Arial"/>
        </w:rPr>
        <w:t>, to examine whether the relationships identified in this study remain consistent across different digital service providers. Expanding the theoretical framework with additional variables and incorporating a broader range of literature may also further enhance the understanding of customer reuse intention in online food delivery services.</w:t>
      </w:r>
    </w:p>
    <w:p w14:paraId="4F4551AB" w14:textId="77777777" w:rsidR="00DF7471" w:rsidRPr="00FE45F6" w:rsidRDefault="00DF7471" w:rsidP="00DF7471">
      <w:pPr>
        <w:pStyle w:val="AcknHead"/>
        <w:spacing w:before="200" w:after="200"/>
        <w:jc w:val="both"/>
        <w:rPr>
          <w:rFonts w:ascii="Arial" w:hAnsi="Arial" w:cs="Arial"/>
          <w:sz w:val="20"/>
        </w:rPr>
      </w:pPr>
      <w:r w:rsidRPr="00FE45F6">
        <w:rPr>
          <w:rFonts w:ascii="Arial" w:hAnsi="Arial" w:cs="Arial"/>
          <w:sz w:val="20"/>
        </w:rPr>
        <w:t>Acknowledgements</w:t>
      </w:r>
    </w:p>
    <w:p w14:paraId="315ADE1F" w14:textId="77777777" w:rsidR="00DF7471" w:rsidRDefault="00DF7471" w:rsidP="00DF7471">
      <w:pPr>
        <w:jc w:val="both"/>
        <w:rPr>
          <w:rFonts w:ascii="Arial" w:eastAsia="Book Antiqua" w:hAnsi="Arial" w:cs="Arial"/>
        </w:rPr>
      </w:pPr>
      <w:r w:rsidRPr="00FE45F6">
        <w:rPr>
          <w:rFonts w:ascii="Arial" w:eastAsia="Book Antiqua" w:hAnsi="Arial" w:cs="Arial"/>
        </w:rPr>
        <w:t>The author sincerely thanks Dr. Veasna Sou for his valuable guidance through advanced SPSS data analysis videos and discussions, which supported this study. Appreciation is also extended to the researchers whose works provided the theoretical foundation, the faculty members who assisted with data collection, and the anonymous reviewers and journal editors for their constructive feedback. The author also acknowledges the use of artificial intelligence tools to support the understanding of statistical concepts and formulae.</w:t>
      </w:r>
    </w:p>
    <w:p w14:paraId="779DA14E" w14:textId="77777777" w:rsidR="00110A61" w:rsidRDefault="00110A61" w:rsidP="00DF7471">
      <w:pPr>
        <w:jc w:val="both"/>
        <w:rPr>
          <w:rFonts w:ascii="Arial" w:eastAsia="Book Antiqua" w:hAnsi="Arial" w:cs="Arial"/>
        </w:rPr>
      </w:pPr>
    </w:p>
    <w:p w14:paraId="49755D02" w14:textId="77777777" w:rsidR="00110A61" w:rsidRPr="00110A61" w:rsidRDefault="00110A61" w:rsidP="00110A61">
      <w:pPr>
        <w:jc w:val="both"/>
        <w:rPr>
          <w:rFonts w:ascii="Arial" w:eastAsia="Book Antiqua" w:hAnsi="Arial" w:cs="Arial"/>
        </w:rPr>
      </w:pPr>
      <w:r w:rsidRPr="00110A61">
        <w:rPr>
          <w:rFonts w:ascii="Arial" w:eastAsia="Book Antiqua" w:hAnsi="Arial" w:cs="Arial"/>
        </w:rPr>
        <w:t>Ethical Approval:</w:t>
      </w:r>
    </w:p>
    <w:p w14:paraId="6B63AF72" w14:textId="367DF94F" w:rsidR="00110A61" w:rsidRDefault="00110A61" w:rsidP="00110A61">
      <w:pPr>
        <w:jc w:val="both"/>
        <w:rPr>
          <w:rFonts w:ascii="Arial" w:eastAsia="Book Antiqua" w:hAnsi="Arial" w:cs="Arial"/>
        </w:rPr>
      </w:pPr>
      <w:r w:rsidRPr="00110A61">
        <w:rPr>
          <w:rFonts w:ascii="Arial" w:eastAsia="Book Antiqua" w:hAnsi="Arial" w:cs="Arial"/>
        </w:rPr>
        <w:t>As per international standards or university standards written ethical approval has been collected and preserved by the author(s).</w:t>
      </w:r>
    </w:p>
    <w:p w14:paraId="130BC2A4" w14:textId="77777777" w:rsidR="00110A61" w:rsidRDefault="00110A61" w:rsidP="00110A61">
      <w:pPr>
        <w:jc w:val="both"/>
        <w:rPr>
          <w:rFonts w:ascii="Arial" w:eastAsia="Book Antiqua" w:hAnsi="Arial" w:cs="Arial"/>
        </w:rPr>
      </w:pPr>
    </w:p>
    <w:p w14:paraId="1A98DE14" w14:textId="77777777" w:rsidR="00110A61" w:rsidRDefault="00110A61" w:rsidP="00110A61">
      <w:pPr>
        <w:jc w:val="both"/>
        <w:rPr>
          <w:rFonts w:ascii="Arial" w:eastAsia="Book Antiqua" w:hAnsi="Arial" w:cs="Arial"/>
        </w:rPr>
      </w:pPr>
    </w:p>
    <w:p w14:paraId="327A5681" w14:textId="77777777" w:rsidR="00110A61" w:rsidRPr="00110A61" w:rsidRDefault="00110A61" w:rsidP="00110A61">
      <w:pPr>
        <w:jc w:val="both"/>
        <w:rPr>
          <w:rFonts w:ascii="Arial" w:eastAsia="Book Antiqua" w:hAnsi="Arial" w:cs="Arial"/>
        </w:rPr>
      </w:pPr>
      <w:r w:rsidRPr="00110A61">
        <w:rPr>
          <w:rFonts w:ascii="Arial" w:eastAsia="Book Antiqua" w:hAnsi="Arial" w:cs="Arial"/>
        </w:rPr>
        <w:t xml:space="preserve">Consent </w:t>
      </w:r>
    </w:p>
    <w:p w14:paraId="75C440E5" w14:textId="1A55516E" w:rsidR="00110A61" w:rsidRDefault="00110A61" w:rsidP="00110A61">
      <w:pPr>
        <w:jc w:val="both"/>
        <w:rPr>
          <w:rFonts w:ascii="Arial" w:eastAsia="Book Antiqua" w:hAnsi="Arial" w:cs="Arial"/>
        </w:rPr>
      </w:pPr>
      <w:r w:rsidRPr="00110A61">
        <w:rPr>
          <w:rFonts w:ascii="Arial" w:eastAsia="Book Antiqua" w:hAnsi="Arial" w:cs="Arial"/>
        </w:rPr>
        <w:t>As per international standards or university standards, Participants’ written consent has been collected and preserved by the author(s).</w:t>
      </w:r>
    </w:p>
    <w:p w14:paraId="30DEACD0" w14:textId="77777777" w:rsidR="00110A61" w:rsidRPr="00FE45F6" w:rsidRDefault="00110A61" w:rsidP="00110A61">
      <w:pPr>
        <w:jc w:val="both"/>
        <w:rPr>
          <w:rFonts w:ascii="Arial" w:eastAsia="Book Antiqua" w:hAnsi="Arial" w:cs="Arial"/>
        </w:rPr>
      </w:pPr>
    </w:p>
    <w:p w14:paraId="06080C4E" w14:textId="77777777" w:rsidR="00DF7471" w:rsidRPr="00FE45F6" w:rsidRDefault="00DF7471" w:rsidP="00DF7471">
      <w:pPr>
        <w:pStyle w:val="AcknHead"/>
        <w:spacing w:before="200" w:after="200"/>
        <w:jc w:val="both"/>
        <w:rPr>
          <w:rFonts w:ascii="Arial" w:hAnsi="Arial" w:cs="Arial"/>
          <w:sz w:val="20"/>
        </w:rPr>
      </w:pPr>
      <w:r w:rsidRPr="00FE45F6">
        <w:rPr>
          <w:rFonts w:ascii="Arial" w:hAnsi="Arial" w:cs="Arial"/>
          <w:sz w:val="20"/>
        </w:rPr>
        <w:t>COMPETING INTERESTS</w:t>
      </w:r>
    </w:p>
    <w:p w14:paraId="7DCCB2EC" w14:textId="77777777" w:rsidR="00DF7471" w:rsidRPr="00FE45F6" w:rsidRDefault="00DF7471" w:rsidP="00DF7471">
      <w:pPr>
        <w:spacing w:before="200" w:after="200"/>
        <w:jc w:val="both"/>
        <w:rPr>
          <w:rFonts w:ascii="Arial" w:eastAsia="Book Antiqua" w:hAnsi="Arial" w:cs="Arial"/>
        </w:rPr>
      </w:pPr>
      <w:r w:rsidRPr="00FE45F6">
        <w:rPr>
          <w:rFonts w:ascii="Arial" w:eastAsia="Book Antiqua" w:hAnsi="Arial" w:cs="Arial"/>
        </w:rPr>
        <w:t>The author declares that there are no competing interests associated with this study.</w:t>
      </w:r>
    </w:p>
    <w:p w14:paraId="30F8F67B" w14:textId="77777777" w:rsidR="00DF7471" w:rsidRPr="00FE45F6" w:rsidRDefault="00DF7471" w:rsidP="00DF7471">
      <w:pPr>
        <w:pStyle w:val="ReferHead"/>
        <w:spacing w:after="0"/>
        <w:jc w:val="both"/>
        <w:rPr>
          <w:rFonts w:ascii="Arial" w:hAnsi="Arial" w:cs="Arial"/>
          <w:bCs/>
          <w:sz w:val="20"/>
        </w:rPr>
      </w:pPr>
      <w:r w:rsidRPr="00FE45F6">
        <w:rPr>
          <w:rFonts w:ascii="Arial" w:hAnsi="Arial" w:cs="Arial"/>
          <w:bCs/>
          <w:sz w:val="20"/>
        </w:rPr>
        <w:t>AUTHORS’ CONTRIBUTIONS</w:t>
      </w:r>
    </w:p>
    <w:p w14:paraId="5A149224" w14:textId="77777777" w:rsidR="00DF7471" w:rsidRPr="00FE45F6" w:rsidRDefault="00DF7471" w:rsidP="00DF7471">
      <w:pPr>
        <w:spacing w:before="200" w:after="200"/>
        <w:jc w:val="both"/>
        <w:rPr>
          <w:rFonts w:ascii="Arial" w:eastAsia="Book Antiqua" w:hAnsi="Arial" w:cs="Arial"/>
        </w:rPr>
      </w:pPr>
      <w:r w:rsidRPr="00FE45F6">
        <w:rPr>
          <w:rFonts w:ascii="Arial" w:eastAsia="Book Antiqua" w:hAnsi="Arial" w:cs="Arial"/>
        </w:rPr>
        <w:t>The author was solely responsible for the conceptualization, methodology, data collection, analysis, interpretation, and writing of this manuscript.</w:t>
      </w:r>
    </w:p>
    <w:p w14:paraId="62375787" w14:textId="77777777" w:rsidR="0016329D" w:rsidRPr="00FE45F6" w:rsidRDefault="0016329D" w:rsidP="00DF7471">
      <w:pPr>
        <w:spacing w:before="200" w:after="200"/>
        <w:jc w:val="both"/>
        <w:rPr>
          <w:rFonts w:ascii="Arial" w:eastAsia="Book Antiqua" w:hAnsi="Arial" w:cs="Arial"/>
        </w:rPr>
      </w:pPr>
    </w:p>
    <w:p w14:paraId="0025B7D4" w14:textId="77777777" w:rsidR="009C3E20" w:rsidRPr="00FE45F6" w:rsidRDefault="009C3E20" w:rsidP="009C3E20">
      <w:pPr>
        <w:spacing w:after="160" w:line="278" w:lineRule="auto"/>
        <w:rPr>
          <w:rFonts w:ascii="Arial" w:eastAsia="Calibri" w:hAnsi="Arial" w:cs="Arial"/>
          <w:b/>
          <w:bCs/>
          <w:kern w:val="2"/>
          <w14:ligatures w14:val="standardContextual"/>
        </w:rPr>
      </w:pPr>
      <w:r w:rsidRPr="00FE45F6">
        <w:rPr>
          <w:rFonts w:ascii="Arial" w:eastAsia="Calibri" w:hAnsi="Arial" w:cs="Arial"/>
          <w:b/>
          <w:bCs/>
          <w:kern w:val="2"/>
          <w14:ligatures w14:val="standardContextual"/>
        </w:rPr>
        <w:t>Declaration of AI Use</w:t>
      </w:r>
    </w:p>
    <w:p w14:paraId="4209F511" w14:textId="77777777" w:rsidR="009C3E20" w:rsidRPr="00FE45F6" w:rsidRDefault="009C3E20" w:rsidP="009C3E20">
      <w:pPr>
        <w:spacing w:after="160" w:line="278" w:lineRule="auto"/>
        <w:jc w:val="both"/>
        <w:rPr>
          <w:rFonts w:ascii="Arial" w:eastAsia="Calibri" w:hAnsi="Arial" w:cs="Arial"/>
          <w:kern w:val="2"/>
          <w14:ligatures w14:val="standardContextual"/>
        </w:rPr>
      </w:pPr>
      <w:r w:rsidRPr="00FE45F6">
        <w:rPr>
          <w:rFonts w:ascii="Arial" w:eastAsia="Calibri" w:hAnsi="Arial" w:cs="Arial"/>
          <w:kern w:val="2"/>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30B57BC" w14:textId="77777777" w:rsidR="00057F86" w:rsidRDefault="00057F86" w:rsidP="00057F86">
      <w:pPr>
        <w:spacing w:line="360" w:lineRule="auto"/>
        <w:jc w:val="both"/>
        <w:rPr>
          <w:rFonts w:ascii="Arial" w:eastAsia="Calibri" w:hAnsi="Arial" w:cs="Arial"/>
          <w:b/>
          <w:bCs/>
          <w:sz w:val="24"/>
          <w:szCs w:val="40"/>
          <w:lang w:bidi="km-KH"/>
        </w:rPr>
      </w:pPr>
      <w:r w:rsidRPr="00FE45F6">
        <w:rPr>
          <w:rFonts w:ascii="Arial" w:eastAsia="Calibri" w:hAnsi="Arial" w:cs="Arial"/>
          <w:b/>
          <w:bCs/>
          <w:sz w:val="24"/>
          <w:szCs w:val="40"/>
          <w:lang w:bidi="km-KH"/>
        </w:rPr>
        <w:t>REFERENCES</w:t>
      </w:r>
    </w:p>
    <w:p w14:paraId="5B4B23A5"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Afthanorhan</w:t>
      </w:r>
      <w:proofErr w:type="spellEnd"/>
      <w:r w:rsidRPr="0067287F">
        <w:rPr>
          <w:rFonts w:ascii="Times New Roman" w:hAnsi="Times New Roman"/>
          <w:sz w:val="24"/>
          <w:szCs w:val="24"/>
        </w:rPr>
        <w:t xml:space="preserve">, A., Awang, Z., Majid, N. A., Foziah, H., Ismail, I., </w:t>
      </w:r>
      <w:proofErr w:type="spellStart"/>
      <w:r w:rsidRPr="0067287F">
        <w:rPr>
          <w:rFonts w:ascii="Times New Roman" w:hAnsi="Times New Roman"/>
          <w:sz w:val="24"/>
          <w:szCs w:val="24"/>
        </w:rPr>
        <w:t>Halbusi</w:t>
      </w:r>
      <w:proofErr w:type="spellEnd"/>
      <w:r w:rsidRPr="0067287F">
        <w:rPr>
          <w:rFonts w:ascii="Times New Roman" w:hAnsi="Times New Roman"/>
          <w:sz w:val="24"/>
          <w:szCs w:val="24"/>
        </w:rPr>
        <w:t xml:space="preserve">, H. A., &amp; </w:t>
      </w:r>
      <w:proofErr w:type="spellStart"/>
      <w:r w:rsidRPr="0067287F">
        <w:rPr>
          <w:rFonts w:ascii="Times New Roman" w:hAnsi="Times New Roman"/>
          <w:sz w:val="24"/>
          <w:szCs w:val="24"/>
        </w:rPr>
        <w:t>Tehseen</w:t>
      </w:r>
      <w:proofErr w:type="spellEnd"/>
      <w:r w:rsidRPr="0067287F">
        <w:rPr>
          <w:rFonts w:ascii="Times New Roman" w:hAnsi="Times New Roman"/>
          <w:sz w:val="24"/>
          <w:szCs w:val="24"/>
        </w:rPr>
        <w:t xml:space="preserve">, S. (2021). Gain more insight from common latent factor in structural </w:t>
      </w:r>
      <w:r w:rsidRPr="0067287F">
        <w:rPr>
          <w:rFonts w:ascii="Times New Roman" w:hAnsi="Times New Roman"/>
          <w:sz w:val="24"/>
          <w:szCs w:val="24"/>
        </w:rPr>
        <w:lastRenderedPageBreak/>
        <w:t xml:space="preserve">equation modeling. </w:t>
      </w:r>
      <w:r w:rsidRPr="0067287F">
        <w:rPr>
          <w:rFonts w:ascii="Times New Roman" w:hAnsi="Times New Roman"/>
          <w:i/>
          <w:iCs/>
          <w:sz w:val="24"/>
          <w:szCs w:val="24"/>
        </w:rPr>
        <w:t>Journal of Physics: Conference Series, 1793</w:t>
      </w:r>
      <w:r w:rsidRPr="0067287F">
        <w:rPr>
          <w:rFonts w:ascii="Times New Roman" w:hAnsi="Times New Roman"/>
          <w:sz w:val="24"/>
          <w:szCs w:val="24"/>
        </w:rPr>
        <w:t xml:space="preserve">(1), Article 012030. </w:t>
      </w:r>
      <w:hyperlink r:id="rId11" w:history="1">
        <w:r w:rsidRPr="0067287F">
          <w:rPr>
            <w:rFonts w:ascii="Times New Roman" w:hAnsi="Times New Roman"/>
            <w:color w:val="0000FF"/>
            <w:sz w:val="24"/>
            <w:szCs w:val="24"/>
            <w:u w:val="single"/>
          </w:rPr>
          <w:t>https://doi.org/10.1088/1742-6596/1793/1/012030</w:t>
        </w:r>
      </w:hyperlink>
    </w:p>
    <w:p w14:paraId="6CA3539F"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Arli, D., van Esch, P., &amp; </w:t>
      </w:r>
      <w:proofErr w:type="spellStart"/>
      <w:r w:rsidRPr="0067287F">
        <w:rPr>
          <w:rFonts w:ascii="Times New Roman" w:hAnsi="Times New Roman"/>
          <w:sz w:val="24"/>
          <w:szCs w:val="24"/>
        </w:rPr>
        <w:t>Weaven</w:t>
      </w:r>
      <w:proofErr w:type="spellEnd"/>
      <w:r w:rsidRPr="0067287F">
        <w:rPr>
          <w:rFonts w:ascii="Times New Roman" w:hAnsi="Times New Roman"/>
          <w:sz w:val="24"/>
          <w:szCs w:val="24"/>
        </w:rPr>
        <w:t xml:space="preserve">, S. (2024). The impact of SERVQUAL on consumers’ satisfaction, loyalty, and intention to use online food delivery services. </w:t>
      </w:r>
      <w:r w:rsidRPr="0067287F">
        <w:rPr>
          <w:rFonts w:ascii="Times New Roman" w:hAnsi="Times New Roman"/>
          <w:i/>
          <w:iCs/>
          <w:sz w:val="24"/>
          <w:szCs w:val="24"/>
        </w:rPr>
        <w:t>Journal of Promotion Management, 30</w:t>
      </w:r>
      <w:r w:rsidRPr="0067287F">
        <w:rPr>
          <w:rFonts w:ascii="Times New Roman" w:hAnsi="Times New Roman"/>
          <w:sz w:val="24"/>
          <w:szCs w:val="24"/>
        </w:rPr>
        <w:t xml:space="preserve">(7), 1159–1188. </w:t>
      </w:r>
      <w:hyperlink r:id="rId12" w:history="1">
        <w:r w:rsidRPr="0067287F">
          <w:rPr>
            <w:rFonts w:ascii="Times New Roman" w:hAnsi="Times New Roman"/>
            <w:color w:val="0000FF"/>
            <w:sz w:val="24"/>
            <w:szCs w:val="24"/>
            <w:u w:val="single"/>
          </w:rPr>
          <w:t>https://doi.org/10.1080/10496491.2024.2372858</w:t>
        </w:r>
      </w:hyperlink>
    </w:p>
    <w:p w14:paraId="50CBDD11"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Aurelia, M. R., Sari, N. A., &amp; </w:t>
      </w:r>
      <w:proofErr w:type="spellStart"/>
      <w:r w:rsidRPr="0067287F">
        <w:rPr>
          <w:rFonts w:ascii="Times New Roman" w:hAnsi="Times New Roman"/>
          <w:sz w:val="24"/>
          <w:szCs w:val="24"/>
        </w:rPr>
        <w:t>Setiati</w:t>
      </w:r>
      <w:proofErr w:type="spellEnd"/>
      <w:r w:rsidRPr="0067287F">
        <w:rPr>
          <w:rFonts w:ascii="Times New Roman" w:hAnsi="Times New Roman"/>
          <w:sz w:val="24"/>
          <w:szCs w:val="24"/>
        </w:rPr>
        <w:t xml:space="preserve">, S. (2026). The influence of service features and technology acceptance in BSI mobile banking on customer loyalty: The mediating role of satisfaction. </w:t>
      </w:r>
      <w:r w:rsidRPr="0067287F">
        <w:rPr>
          <w:rFonts w:ascii="Times New Roman" w:hAnsi="Times New Roman"/>
          <w:i/>
          <w:iCs/>
          <w:sz w:val="24"/>
          <w:szCs w:val="24"/>
        </w:rPr>
        <w:t>JPEK (</w:t>
      </w:r>
      <w:proofErr w:type="spellStart"/>
      <w:r w:rsidRPr="0067287F">
        <w:rPr>
          <w:rFonts w:ascii="Times New Roman" w:hAnsi="Times New Roman"/>
          <w:i/>
          <w:iCs/>
          <w:sz w:val="24"/>
          <w:szCs w:val="24"/>
        </w:rPr>
        <w:t>Jurnal</w:t>
      </w:r>
      <w:proofErr w:type="spellEnd"/>
      <w:r w:rsidRPr="0067287F">
        <w:rPr>
          <w:rFonts w:ascii="Times New Roman" w:hAnsi="Times New Roman"/>
          <w:i/>
          <w:iCs/>
          <w:sz w:val="24"/>
          <w:szCs w:val="24"/>
        </w:rPr>
        <w:t xml:space="preserve"> Pendidikan Ekonomi dan </w:t>
      </w:r>
      <w:proofErr w:type="spellStart"/>
      <w:r w:rsidRPr="0067287F">
        <w:rPr>
          <w:rFonts w:ascii="Times New Roman" w:hAnsi="Times New Roman"/>
          <w:i/>
          <w:iCs/>
          <w:sz w:val="24"/>
          <w:szCs w:val="24"/>
        </w:rPr>
        <w:t>Kewirausahaan</w:t>
      </w:r>
      <w:proofErr w:type="spellEnd"/>
      <w:r w:rsidRPr="0067287F">
        <w:rPr>
          <w:rFonts w:ascii="Times New Roman" w:hAnsi="Times New Roman"/>
          <w:i/>
          <w:iCs/>
          <w:sz w:val="24"/>
          <w:szCs w:val="24"/>
        </w:rPr>
        <w:t>), 10</w:t>
      </w:r>
      <w:r w:rsidRPr="0067287F">
        <w:rPr>
          <w:rFonts w:ascii="Times New Roman" w:hAnsi="Times New Roman"/>
          <w:sz w:val="24"/>
          <w:szCs w:val="24"/>
        </w:rPr>
        <w:t xml:space="preserve">(1), 45–54. </w:t>
      </w:r>
      <w:hyperlink r:id="rId13" w:history="1">
        <w:r w:rsidRPr="0067287F">
          <w:rPr>
            <w:rFonts w:ascii="Times New Roman" w:hAnsi="Times New Roman"/>
            <w:color w:val="0000FF"/>
            <w:sz w:val="24"/>
            <w:szCs w:val="24"/>
            <w:u w:val="single"/>
          </w:rPr>
          <w:t>https://doi.org/10.29408/jpek.v10i1.34021</w:t>
        </w:r>
      </w:hyperlink>
    </w:p>
    <w:p w14:paraId="37ECBB01"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Bhattacherjee, A. (2001). Understanding information systems continuance: An expectation-confirmation model. </w:t>
      </w:r>
      <w:r w:rsidRPr="0067287F">
        <w:rPr>
          <w:rFonts w:ascii="Times New Roman" w:hAnsi="Times New Roman"/>
          <w:i/>
          <w:iCs/>
          <w:sz w:val="24"/>
          <w:szCs w:val="24"/>
        </w:rPr>
        <w:t>MIS Quarterly, 25</w:t>
      </w:r>
      <w:r w:rsidRPr="0067287F">
        <w:rPr>
          <w:rFonts w:ascii="Times New Roman" w:hAnsi="Times New Roman"/>
          <w:sz w:val="24"/>
          <w:szCs w:val="24"/>
        </w:rPr>
        <w:t xml:space="preserve">(3), 351–370. </w:t>
      </w:r>
      <w:hyperlink r:id="rId14" w:history="1">
        <w:r w:rsidRPr="0067287F">
          <w:rPr>
            <w:rFonts w:ascii="Times New Roman" w:hAnsi="Times New Roman"/>
            <w:color w:val="0000FF"/>
            <w:sz w:val="24"/>
            <w:szCs w:val="24"/>
            <w:u w:val="single"/>
          </w:rPr>
          <w:t>https://doi.org/10.2307/3250921</w:t>
        </w:r>
      </w:hyperlink>
    </w:p>
    <w:p w14:paraId="0FCEE97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Chowdhury, R. (2023). Impact of perceived convenience, service quality and security on consumers’ </w:t>
      </w:r>
      <w:proofErr w:type="spellStart"/>
      <w:r w:rsidRPr="0067287F">
        <w:rPr>
          <w:rFonts w:ascii="Times New Roman" w:hAnsi="Times New Roman"/>
          <w:sz w:val="24"/>
          <w:szCs w:val="24"/>
        </w:rPr>
        <w:t>behavioural</w:t>
      </w:r>
      <w:proofErr w:type="spellEnd"/>
      <w:r w:rsidRPr="0067287F">
        <w:rPr>
          <w:rFonts w:ascii="Times New Roman" w:hAnsi="Times New Roman"/>
          <w:sz w:val="24"/>
          <w:szCs w:val="24"/>
        </w:rPr>
        <w:t xml:space="preserve"> intention towards online food delivery services: The role of attitude as mediator. </w:t>
      </w:r>
      <w:r w:rsidRPr="0067287F">
        <w:rPr>
          <w:rFonts w:ascii="Times New Roman" w:hAnsi="Times New Roman"/>
          <w:i/>
          <w:iCs/>
          <w:sz w:val="24"/>
          <w:szCs w:val="24"/>
        </w:rPr>
        <w:t>SN Business &amp; Economics, 3</w:t>
      </w:r>
      <w:r w:rsidRPr="0067287F">
        <w:rPr>
          <w:rFonts w:ascii="Times New Roman" w:hAnsi="Times New Roman"/>
          <w:sz w:val="24"/>
          <w:szCs w:val="24"/>
        </w:rPr>
        <w:t xml:space="preserve">, Article 29. </w:t>
      </w:r>
      <w:hyperlink r:id="rId15" w:history="1">
        <w:r w:rsidRPr="0067287F">
          <w:rPr>
            <w:rFonts w:ascii="Times New Roman" w:hAnsi="Times New Roman"/>
            <w:color w:val="0000FF"/>
            <w:sz w:val="24"/>
            <w:szCs w:val="24"/>
            <w:u w:val="single"/>
          </w:rPr>
          <w:t>https://doi.org/10.1007/s43546-023-00422-7</w:t>
        </w:r>
      </w:hyperlink>
    </w:p>
    <w:p w14:paraId="0FDE1986"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Cuong, D. T. (2021). The impact of convenience and trust on satisfaction and rebuying intention in online shopping: Using the PLS algorithm. In </w:t>
      </w:r>
      <w:r w:rsidRPr="0067287F">
        <w:rPr>
          <w:rFonts w:ascii="Times New Roman" w:hAnsi="Times New Roman"/>
          <w:i/>
          <w:iCs/>
          <w:sz w:val="24"/>
          <w:szCs w:val="24"/>
        </w:rPr>
        <w:t>Proceedings of the 2021 3rd International Conference on Management Science and Industrial Engineering</w:t>
      </w:r>
      <w:r w:rsidRPr="0067287F">
        <w:rPr>
          <w:rFonts w:ascii="Times New Roman" w:hAnsi="Times New Roman"/>
          <w:sz w:val="24"/>
          <w:szCs w:val="24"/>
        </w:rPr>
        <w:t xml:space="preserve"> (pp. 51–56). Association for Computing Machinery. </w:t>
      </w:r>
      <w:hyperlink r:id="rId16" w:history="1">
        <w:r w:rsidRPr="0067287F">
          <w:rPr>
            <w:rFonts w:ascii="Times New Roman" w:hAnsi="Times New Roman"/>
            <w:color w:val="0000FF"/>
            <w:sz w:val="24"/>
            <w:szCs w:val="24"/>
            <w:u w:val="single"/>
          </w:rPr>
          <w:t>https://doi.org/10.1145/3460824.3460833</w:t>
        </w:r>
      </w:hyperlink>
    </w:p>
    <w:p w14:paraId="5685E71F"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Dareth, V. B., </w:t>
      </w:r>
      <w:proofErr w:type="spellStart"/>
      <w:r w:rsidRPr="0067287F">
        <w:rPr>
          <w:rFonts w:ascii="Times New Roman" w:hAnsi="Times New Roman"/>
          <w:sz w:val="24"/>
          <w:szCs w:val="24"/>
        </w:rPr>
        <w:t>Piriyapada</w:t>
      </w:r>
      <w:proofErr w:type="spellEnd"/>
      <w:r w:rsidRPr="0067287F">
        <w:rPr>
          <w:rFonts w:ascii="Times New Roman" w:hAnsi="Times New Roman"/>
          <w:sz w:val="24"/>
          <w:szCs w:val="24"/>
        </w:rPr>
        <w:t xml:space="preserve">, S., &amp; Norng, S. (2024). Factors influencing customer satisfaction and repurchase intention of online food delivery service in Cambodia. </w:t>
      </w:r>
      <w:r w:rsidRPr="0067287F">
        <w:rPr>
          <w:rFonts w:ascii="Times New Roman" w:hAnsi="Times New Roman"/>
          <w:i/>
          <w:iCs/>
          <w:sz w:val="24"/>
          <w:szCs w:val="24"/>
        </w:rPr>
        <w:t>RMUTT Global Business Accounting and Finance Review, 8</w:t>
      </w:r>
      <w:r w:rsidRPr="0067287F">
        <w:rPr>
          <w:rFonts w:ascii="Times New Roman" w:hAnsi="Times New Roman"/>
          <w:sz w:val="24"/>
          <w:szCs w:val="24"/>
        </w:rPr>
        <w:t xml:space="preserve">(2), 1–18. </w:t>
      </w:r>
      <w:hyperlink r:id="rId17" w:history="1">
        <w:r w:rsidRPr="0067287F">
          <w:rPr>
            <w:rFonts w:ascii="Times New Roman" w:hAnsi="Times New Roman"/>
            <w:color w:val="0000FF"/>
            <w:sz w:val="24"/>
            <w:szCs w:val="24"/>
            <w:u w:val="single"/>
          </w:rPr>
          <w:t>https://doi.org/10.60101/gbafr.2024.272298</w:t>
        </w:r>
      </w:hyperlink>
    </w:p>
    <w:p w14:paraId="6A00680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Dayani, A., </w:t>
      </w:r>
      <w:proofErr w:type="spellStart"/>
      <w:r w:rsidRPr="0067287F">
        <w:rPr>
          <w:rFonts w:ascii="Times New Roman" w:hAnsi="Times New Roman"/>
          <w:sz w:val="24"/>
          <w:szCs w:val="24"/>
        </w:rPr>
        <w:t>Rivai</w:t>
      </w:r>
      <w:proofErr w:type="spellEnd"/>
      <w:r w:rsidRPr="0067287F">
        <w:rPr>
          <w:rFonts w:ascii="Times New Roman" w:hAnsi="Times New Roman"/>
          <w:sz w:val="24"/>
          <w:szCs w:val="24"/>
        </w:rPr>
        <w:t xml:space="preserve">, A., &amp; Aditya, S. (2022). The impact of e-service quality and brand trust on repurchase intention with customer satisfaction as intervening for telemedicine application users. </w:t>
      </w:r>
      <w:proofErr w:type="spellStart"/>
      <w:r w:rsidRPr="0067287F">
        <w:rPr>
          <w:rFonts w:ascii="Times New Roman" w:hAnsi="Times New Roman"/>
          <w:i/>
          <w:iCs/>
          <w:sz w:val="24"/>
          <w:szCs w:val="24"/>
        </w:rPr>
        <w:t>Jurnal</w:t>
      </w:r>
      <w:proofErr w:type="spellEnd"/>
      <w:r w:rsidRPr="0067287F">
        <w:rPr>
          <w:rFonts w:ascii="Times New Roman" w:hAnsi="Times New Roman"/>
          <w:i/>
          <w:iCs/>
          <w:sz w:val="24"/>
          <w:szCs w:val="24"/>
        </w:rPr>
        <w:t xml:space="preserve"> </w:t>
      </w:r>
      <w:proofErr w:type="spellStart"/>
      <w:r w:rsidRPr="0067287F">
        <w:rPr>
          <w:rFonts w:ascii="Times New Roman" w:hAnsi="Times New Roman"/>
          <w:i/>
          <w:iCs/>
          <w:sz w:val="24"/>
          <w:szCs w:val="24"/>
        </w:rPr>
        <w:t>Dinamika</w:t>
      </w:r>
      <w:proofErr w:type="spellEnd"/>
      <w:r w:rsidRPr="0067287F">
        <w:rPr>
          <w:rFonts w:ascii="Times New Roman" w:hAnsi="Times New Roman"/>
          <w:i/>
          <w:iCs/>
          <w:sz w:val="24"/>
          <w:szCs w:val="24"/>
        </w:rPr>
        <w:t xml:space="preserve"> </w:t>
      </w:r>
      <w:proofErr w:type="spellStart"/>
      <w:r w:rsidRPr="0067287F">
        <w:rPr>
          <w:rFonts w:ascii="Times New Roman" w:hAnsi="Times New Roman"/>
          <w:i/>
          <w:iCs/>
          <w:sz w:val="24"/>
          <w:szCs w:val="24"/>
        </w:rPr>
        <w:t>Manajemen</w:t>
      </w:r>
      <w:proofErr w:type="spellEnd"/>
      <w:r w:rsidRPr="0067287F">
        <w:rPr>
          <w:rFonts w:ascii="Times New Roman" w:hAnsi="Times New Roman"/>
          <w:i/>
          <w:iCs/>
          <w:sz w:val="24"/>
          <w:szCs w:val="24"/>
        </w:rPr>
        <w:t xml:space="preserve"> dan </w:t>
      </w:r>
      <w:proofErr w:type="spellStart"/>
      <w:r w:rsidRPr="0067287F">
        <w:rPr>
          <w:rFonts w:ascii="Times New Roman" w:hAnsi="Times New Roman"/>
          <w:i/>
          <w:iCs/>
          <w:sz w:val="24"/>
          <w:szCs w:val="24"/>
        </w:rPr>
        <w:t>Bisnis</w:t>
      </w:r>
      <w:proofErr w:type="spellEnd"/>
      <w:r w:rsidRPr="0067287F">
        <w:rPr>
          <w:rFonts w:ascii="Times New Roman" w:hAnsi="Times New Roman"/>
          <w:i/>
          <w:iCs/>
          <w:sz w:val="24"/>
          <w:szCs w:val="24"/>
        </w:rPr>
        <w:t>, 5</w:t>
      </w:r>
      <w:r w:rsidRPr="0067287F">
        <w:rPr>
          <w:rFonts w:ascii="Times New Roman" w:hAnsi="Times New Roman"/>
          <w:sz w:val="24"/>
          <w:szCs w:val="24"/>
        </w:rPr>
        <w:t xml:space="preserve">(2), 1–15. </w:t>
      </w:r>
      <w:hyperlink r:id="rId18" w:history="1">
        <w:r w:rsidRPr="0067287F">
          <w:rPr>
            <w:rFonts w:ascii="Times New Roman" w:hAnsi="Times New Roman"/>
            <w:color w:val="0000FF"/>
            <w:sz w:val="24"/>
            <w:szCs w:val="24"/>
            <w:u w:val="single"/>
          </w:rPr>
          <w:t>https://doi.org/10.21009/JDMB.05.2.3</w:t>
        </w:r>
      </w:hyperlink>
    </w:p>
    <w:p w14:paraId="2CA2BCBD"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Do, V. T., &amp; Kim, H.-K. (2025). The effect of service quality of O2O platforms on customer satisfaction and continuance intention. </w:t>
      </w:r>
      <w:r w:rsidRPr="0067287F">
        <w:rPr>
          <w:rFonts w:ascii="Times New Roman" w:hAnsi="Times New Roman"/>
          <w:i/>
          <w:iCs/>
          <w:sz w:val="24"/>
          <w:szCs w:val="24"/>
        </w:rPr>
        <w:t>The Journal of Global Convergence Research, 4</w:t>
      </w:r>
      <w:r w:rsidRPr="0067287F">
        <w:rPr>
          <w:rFonts w:ascii="Times New Roman" w:hAnsi="Times New Roman"/>
          <w:sz w:val="24"/>
          <w:szCs w:val="24"/>
        </w:rPr>
        <w:t xml:space="preserve">(4), 150–160. </w:t>
      </w:r>
      <w:hyperlink r:id="rId19" w:history="1">
        <w:r w:rsidRPr="0067287F">
          <w:rPr>
            <w:rFonts w:ascii="Times New Roman" w:hAnsi="Times New Roman"/>
            <w:color w:val="0000FF"/>
            <w:sz w:val="24"/>
            <w:szCs w:val="24"/>
            <w:u w:val="single"/>
          </w:rPr>
          <w:t>https://doi.org/10.57199/jgcr.2025.4.4.150</w:t>
        </w:r>
      </w:hyperlink>
    </w:p>
    <w:p w14:paraId="7A2F7859"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lastRenderedPageBreak/>
        <w:t xml:space="preserve">Fauzi, A. F., &amp; Purnomo, Y. J. (2023). The influence of service quality and customer value on customer satisfaction. </w:t>
      </w:r>
      <w:r w:rsidRPr="0067287F">
        <w:rPr>
          <w:rFonts w:ascii="Times New Roman" w:hAnsi="Times New Roman"/>
          <w:i/>
          <w:iCs/>
          <w:sz w:val="24"/>
          <w:szCs w:val="24"/>
        </w:rPr>
        <w:t>Research Horizon, 3</w:t>
      </w:r>
      <w:r w:rsidRPr="0067287F">
        <w:rPr>
          <w:rFonts w:ascii="Times New Roman" w:hAnsi="Times New Roman"/>
          <w:sz w:val="24"/>
          <w:szCs w:val="24"/>
        </w:rPr>
        <w:t xml:space="preserve">(4), 421–432. </w:t>
      </w:r>
      <w:hyperlink r:id="rId20" w:history="1">
        <w:r w:rsidRPr="0067287F">
          <w:rPr>
            <w:rFonts w:ascii="Times New Roman" w:hAnsi="Times New Roman"/>
            <w:color w:val="0000FF"/>
            <w:sz w:val="24"/>
            <w:szCs w:val="24"/>
            <w:u w:val="single"/>
          </w:rPr>
          <w:t>https://doi.org/10.54518/rh.3.4.2023.151</w:t>
        </w:r>
      </w:hyperlink>
    </w:p>
    <w:p w14:paraId="0A28D86F"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George, D., &amp; Mallery, P. (2024). </w:t>
      </w:r>
      <w:r w:rsidRPr="0067287F">
        <w:rPr>
          <w:rFonts w:ascii="Times New Roman" w:hAnsi="Times New Roman"/>
          <w:i/>
          <w:iCs/>
          <w:sz w:val="24"/>
          <w:szCs w:val="24"/>
        </w:rPr>
        <w:t>IBM SPSS statistics 29 step by step: A simple guide and reference</w:t>
      </w:r>
      <w:r w:rsidRPr="0067287F">
        <w:rPr>
          <w:rFonts w:ascii="Times New Roman" w:hAnsi="Times New Roman"/>
          <w:sz w:val="24"/>
          <w:szCs w:val="24"/>
        </w:rPr>
        <w:t xml:space="preserve"> (18th ed.). Routledge. </w:t>
      </w:r>
      <w:hyperlink r:id="rId21" w:history="1">
        <w:r w:rsidRPr="0067287F">
          <w:rPr>
            <w:rFonts w:ascii="Times New Roman" w:hAnsi="Times New Roman"/>
            <w:color w:val="0000FF"/>
            <w:sz w:val="24"/>
            <w:szCs w:val="24"/>
            <w:u w:val="single"/>
          </w:rPr>
          <w:t>https://doi.org/10.4324/9781032622156</w:t>
        </w:r>
      </w:hyperlink>
    </w:p>
    <w:p w14:paraId="5C03D597"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Golzar, J., Noor, S., &amp; Tajik, O. (2022). Convenience sampling. </w:t>
      </w:r>
      <w:r w:rsidRPr="0067287F">
        <w:rPr>
          <w:rFonts w:ascii="Times New Roman" w:hAnsi="Times New Roman"/>
          <w:i/>
          <w:iCs/>
          <w:sz w:val="24"/>
          <w:szCs w:val="24"/>
        </w:rPr>
        <w:t>International Journal of Education &amp; Language Studies, 1</w:t>
      </w:r>
      <w:r w:rsidRPr="0067287F">
        <w:rPr>
          <w:rFonts w:ascii="Times New Roman" w:hAnsi="Times New Roman"/>
          <w:sz w:val="24"/>
          <w:szCs w:val="24"/>
        </w:rPr>
        <w:t xml:space="preserve">(2), 72–77. </w:t>
      </w:r>
      <w:hyperlink r:id="rId22" w:history="1">
        <w:r w:rsidRPr="0067287F">
          <w:rPr>
            <w:rFonts w:ascii="Times New Roman" w:hAnsi="Times New Roman"/>
            <w:color w:val="0000FF"/>
            <w:sz w:val="24"/>
            <w:szCs w:val="24"/>
            <w:u w:val="single"/>
          </w:rPr>
          <w:t>https://doi.org/10.22034/ijels.2022.162981</w:t>
        </w:r>
      </w:hyperlink>
    </w:p>
    <w:p w14:paraId="1A25F5B2"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Hair, J. F., Risher, J. J., Sarstedt, M., &amp; Ringle, C. M. (2019). When to use and how to report the results of PLS-SEM. </w:t>
      </w:r>
      <w:r w:rsidRPr="0067287F">
        <w:rPr>
          <w:rFonts w:ascii="Times New Roman" w:hAnsi="Times New Roman"/>
          <w:i/>
          <w:iCs/>
          <w:sz w:val="24"/>
          <w:szCs w:val="24"/>
        </w:rPr>
        <w:t>European Business Review, 31</w:t>
      </w:r>
      <w:r w:rsidRPr="0067287F">
        <w:rPr>
          <w:rFonts w:ascii="Times New Roman" w:hAnsi="Times New Roman"/>
          <w:sz w:val="24"/>
          <w:szCs w:val="24"/>
        </w:rPr>
        <w:t xml:space="preserve">(1), 2–24. </w:t>
      </w:r>
      <w:hyperlink r:id="rId23" w:history="1">
        <w:r w:rsidRPr="0067287F">
          <w:rPr>
            <w:rFonts w:ascii="Times New Roman" w:hAnsi="Times New Roman"/>
            <w:color w:val="0000FF"/>
            <w:sz w:val="24"/>
            <w:szCs w:val="24"/>
            <w:u w:val="single"/>
          </w:rPr>
          <w:t>https://doi.org/10.1108/EBR-11-2018-0203</w:t>
        </w:r>
      </w:hyperlink>
    </w:p>
    <w:p w14:paraId="3D4F8076" w14:textId="4675ADBB"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Hair, J. F., Black, W. C., Babin, B. J., &amp; Anderson, R. E. (2014). </w:t>
      </w:r>
      <w:r w:rsidRPr="0067287F">
        <w:rPr>
          <w:rFonts w:ascii="Times New Roman" w:hAnsi="Times New Roman"/>
          <w:i/>
          <w:iCs/>
          <w:sz w:val="24"/>
          <w:szCs w:val="24"/>
        </w:rPr>
        <w:t>Multivariate data analysis</w:t>
      </w:r>
      <w:r w:rsidRPr="0067287F">
        <w:rPr>
          <w:rFonts w:ascii="Times New Roman" w:hAnsi="Times New Roman"/>
          <w:sz w:val="24"/>
          <w:szCs w:val="24"/>
        </w:rPr>
        <w:t xml:space="preserve"> (7th ed.). Pearson Education. </w:t>
      </w:r>
    </w:p>
    <w:p w14:paraId="2DFFFDB1"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Halim, Y., Salem, K., Tawfik, H., &amp; Maree, A. (2025). Service quality as a driver of customer satisfaction and purchase intentions: A mixed-methods longitudinal study of the Egyptian Post Office (2013–2023). </w:t>
      </w:r>
      <w:r w:rsidRPr="0067287F">
        <w:rPr>
          <w:rFonts w:ascii="Times New Roman" w:hAnsi="Times New Roman"/>
          <w:i/>
          <w:iCs/>
          <w:sz w:val="24"/>
          <w:szCs w:val="24"/>
        </w:rPr>
        <w:t>Future Business Journal, 11</w:t>
      </w:r>
      <w:r w:rsidRPr="0067287F">
        <w:rPr>
          <w:rFonts w:ascii="Times New Roman" w:hAnsi="Times New Roman"/>
          <w:sz w:val="24"/>
          <w:szCs w:val="24"/>
        </w:rPr>
        <w:t xml:space="preserve">, Article 246. </w:t>
      </w:r>
      <w:hyperlink r:id="rId24" w:history="1">
        <w:r w:rsidRPr="0067287F">
          <w:rPr>
            <w:rFonts w:ascii="Times New Roman" w:hAnsi="Times New Roman"/>
            <w:color w:val="0000FF"/>
            <w:sz w:val="24"/>
            <w:szCs w:val="24"/>
            <w:u w:val="single"/>
          </w:rPr>
          <w:t>https://doi.org/10.1186/s43093-025-00634-3</w:t>
        </w:r>
      </w:hyperlink>
    </w:p>
    <w:p w14:paraId="50B44C7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Hasan, A. A.-T. (2023). Determinants of intentions to use the </w:t>
      </w:r>
      <w:proofErr w:type="spellStart"/>
      <w:r w:rsidRPr="0067287F">
        <w:rPr>
          <w:rFonts w:ascii="Times New Roman" w:hAnsi="Times New Roman"/>
          <w:sz w:val="24"/>
          <w:szCs w:val="24"/>
        </w:rPr>
        <w:t>Foodpanda</w:t>
      </w:r>
      <w:proofErr w:type="spellEnd"/>
      <w:r w:rsidRPr="0067287F">
        <w:rPr>
          <w:rFonts w:ascii="Times New Roman" w:hAnsi="Times New Roman"/>
          <w:sz w:val="24"/>
          <w:szCs w:val="24"/>
        </w:rPr>
        <w:t xml:space="preserve"> mobile application in Bangladesh: The role of attitude and fear of COVID-19. </w:t>
      </w:r>
      <w:r w:rsidRPr="0067287F">
        <w:rPr>
          <w:rFonts w:ascii="Times New Roman" w:hAnsi="Times New Roman"/>
          <w:i/>
          <w:iCs/>
          <w:sz w:val="24"/>
          <w:szCs w:val="24"/>
        </w:rPr>
        <w:t>South Asian Journal of Marketing, 4</w:t>
      </w:r>
      <w:r w:rsidRPr="0067287F">
        <w:rPr>
          <w:rFonts w:ascii="Times New Roman" w:hAnsi="Times New Roman"/>
          <w:sz w:val="24"/>
          <w:szCs w:val="24"/>
        </w:rPr>
        <w:t xml:space="preserve">(1), 17–32. </w:t>
      </w:r>
      <w:hyperlink r:id="rId25" w:history="1">
        <w:r w:rsidRPr="0067287F">
          <w:rPr>
            <w:rFonts w:ascii="Times New Roman" w:hAnsi="Times New Roman"/>
            <w:color w:val="0000FF"/>
            <w:sz w:val="24"/>
            <w:szCs w:val="24"/>
            <w:u w:val="single"/>
          </w:rPr>
          <w:t>https://doi.org/10.1108/SAJM-10-2021-0123</w:t>
        </w:r>
      </w:hyperlink>
    </w:p>
    <w:p w14:paraId="2FE5361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Henseler, J., Ringle, C. M., &amp; Sarstedt, M. (2015). A new criterion for assessing discriminant validity in variance-based structural equation modeling. </w:t>
      </w:r>
      <w:r w:rsidRPr="0067287F">
        <w:rPr>
          <w:rFonts w:ascii="Times New Roman" w:hAnsi="Times New Roman"/>
          <w:i/>
          <w:iCs/>
          <w:sz w:val="24"/>
          <w:szCs w:val="24"/>
        </w:rPr>
        <w:t>Journal of the Academy of Marketing Science, 43</w:t>
      </w:r>
      <w:r w:rsidRPr="0067287F">
        <w:rPr>
          <w:rFonts w:ascii="Times New Roman" w:hAnsi="Times New Roman"/>
          <w:sz w:val="24"/>
          <w:szCs w:val="24"/>
        </w:rPr>
        <w:t xml:space="preserve">(1), 115–135. </w:t>
      </w:r>
      <w:hyperlink r:id="rId26" w:history="1">
        <w:r w:rsidRPr="0067287F">
          <w:rPr>
            <w:rFonts w:ascii="Times New Roman" w:hAnsi="Times New Roman"/>
            <w:color w:val="0000FF"/>
            <w:sz w:val="24"/>
            <w:szCs w:val="24"/>
            <w:u w:val="single"/>
          </w:rPr>
          <w:t>https://doi.org/10.1007/s11747-014-0403-8</w:t>
        </w:r>
      </w:hyperlink>
    </w:p>
    <w:p w14:paraId="0757C155"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Hieu, H. M., Anh, N. P. H., &amp; Trang, P. T. T. (2026). Factors influencing Generation Z’s behavioral intention to use food delivery service: A case study of Ho Chi Minh City. </w:t>
      </w:r>
      <w:r w:rsidRPr="0067287F">
        <w:rPr>
          <w:rFonts w:ascii="Times New Roman" w:hAnsi="Times New Roman"/>
          <w:i/>
          <w:iCs/>
          <w:sz w:val="24"/>
          <w:szCs w:val="24"/>
        </w:rPr>
        <w:t>Journal of Finance-Marketing Research, 4</w:t>
      </w:r>
      <w:r w:rsidRPr="0067287F">
        <w:rPr>
          <w:rFonts w:ascii="Times New Roman" w:hAnsi="Times New Roman"/>
          <w:sz w:val="24"/>
          <w:szCs w:val="24"/>
        </w:rPr>
        <w:t xml:space="preserve">(1), 104–116. </w:t>
      </w:r>
      <w:hyperlink r:id="rId27" w:history="1">
        <w:r w:rsidRPr="0067287F">
          <w:rPr>
            <w:rFonts w:ascii="Times New Roman" w:hAnsi="Times New Roman"/>
            <w:color w:val="0000FF"/>
            <w:sz w:val="24"/>
            <w:szCs w:val="24"/>
            <w:u w:val="single"/>
          </w:rPr>
          <w:t>https://doi.org/10.52932/jfmr.v4i1en.1017</w:t>
        </w:r>
      </w:hyperlink>
    </w:p>
    <w:p w14:paraId="47168553"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Hoang, H., &amp; Le Tan, T. (2023). Unveiling digital transformation: Investigating technology adoption in Vietnam’s food delivery industry for enhanced customer experience. </w:t>
      </w:r>
      <w:proofErr w:type="spellStart"/>
      <w:r w:rsidRPr="0067287F">
        <w:rPr>
          <w:rFonts w:ascii="Times New Roman" w:hAnsi="Times New Roman"/>
          <w:i/>
          <w:iCs/>
          <w:sz w:val="24"/>
          <w:szCs w:val="24"/>
        </w:rPr>
        <w:t>Heliyon</w:t>
      </w:r>
      <w:proofErr w:type="spellEnd"/>
      <w:r w:rsidRPr="0067287F">
        <w:rPr>
          <w:rFonts w:ascii="Times New Roman" w:hAnsi="Times New Roman"/>
          <w:i/>
          <w:iCs/>
          <w:sz w:val="24"/>
          <w:szCs w:val="24"/>
        </w:rPr>
        <w:t>, 9</w:t>
      </w:r>
      <w:r w:rsidRPr="0067287F">
        <w:rPr>
          <w:rFonts w:ascii="Times New Roman" w:hAnsi="Times New Roman"/>
          <w:sz w:val="24"/>
          <w:szCs w:val="24"/>
        </w:rPr>
        <w:t xml:space="preserve">(9), Article e19719. </w:t>
      </w:r>
      <w:hyperlink r:id="rId28" w:history="1">
        <w:r w:rsidRPr="0067287F">
          <w:rPr>
            <w:rFonts w:ascii="Times New Roman" w:hAnsi="Times New Roman"/>
            <w:color w:val="0000FF"/>
            <w:sz w:val="24"/>
            <w:szCs w:val="24"/>
            <w:u w:val="single"/>
          </w:rPr>
          <w:t>https://doi.org/10.1016/j.heliyon.2023.e19719</w:t>
        </w:r>
      </w:hyperlink>
    </w:p>
    <w:p w14:paraId="46059B37"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Huang, M., Zhu, Y., &amp; Huang, Q. (2024). The effects of service quality on continuous use of mobile shopping app. In </w:t>
      </w:r>
      <w:r w:rsidRPr="0067287F">
        <w:rPr>
          <w:rFonts w:ascii="Times New Roman" w:hAnsi="Times New Roman"/>
          <w:i/>
          <w:iCs/>
          <w:sz w:val="24"/>
          <w:szCs w:val="24"/>
        </w:rPr>
        <w:t xml:space="preserve">Proceedings of the 2024 International </w:t>
      </w:r>
      <w:r w:rsidRPr="0067287F">
        <w:rPr>
          <w:rFonts w:ascii="Times New Roman" w:hAnsi="Times New Roman"/>
          <w:i/>
          <w:iCs/>
          <w:sz w:val="24"/>
          <w:szCs w:val="24"/>
        </w:rPr>
        <w:lastRenderedPageBreak/>
        <w:t>Conference on Cloud Computing and Big Data</w:t>
      </w:r>
      <w:r w:rsidRPr="0067287F">
        <w:rPr>
          <w:rFonts w:ascii="Times New Roman" w:hAnsi="Times New Roman"/>
          <w:sz w:val="24"/>
          <w:szCs w:val="24"/>
        </w:rPr>
        <w:t xml:space="preserve"> (pp. 188–192). Association for Computing Machinery. </w:t>
      </w:r>
      <w:hyperlink r:id="rId29" w:history="1">
        <w:r w:rsidRPr="0067287F">
          <w:rPr>
            <w:rFonts w:ascii="Times New Roman" w:hAnsi="Times New Roman"/>
            <w:color w:val="0000FF"/>
            <w:sz w:val="24"/>
            <w:szCs w:val="24"/>
            <w:u w:val="single"/>
          </w:rPr>
          <w:t>https://doi.org/10.1145/3695080.3695113</w:t>
        </w:r>
      </w:hyperlink>
    </w:p>
    <w:p w14:paraId="6020738E"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Hutcheson, G., &amp; </w:t>
      </w:r>
      <w:proofErr w:type="spellStart"/>
      <w:r w:rsidRPr="0067287F">
        <w:rPr>
          <w:rFonts w:ascii="Times New Roman" w:hAnsi="Times New Roman"/>
          <w:sz w:val="24"/>
          <w:szCs w:val="24"/>
        </w:rPr>
        <w:t>Sofroniou</w:t>
      </w:r>
      <w:proofErr w:type="spellEnd"/>
      <w:r w:rsidRPr="0067287F">
        <w:rPr>
          <w:rFonts w:ascii="Times New Roman" w:hAnsi="Times New Roman"/>
          <w:sz w:val="24"/>
          <w:szCs w:val="24"/>
        </w:rPr>
        <w:t xml:space="preserve">, N. (1999). </w:t>
      </w:r>
      <w:r w:rsidRPr="0067287F">
        <w:rPr>
          <w:rFonts w:ascii="Times New Roman" w:hAnsi="Times New Roman"/>
          <w:i/>
          <w:iCs/>
          <w:sz w:val="24"/>
          <w:szCs w:val="24"/>
        </w:rPr>
        <w:t>The multivariate social scientist: Introductory statistics using generalized linear models</w:t>
      </w:r>
      <w:r w:rsidRPr="0067287F">
        <w:rPr>
          <w:rFonts w:ascii="Times New Roman" w:hAnsi="Times New Roman"/>
          <w:sz w:val="24"/>
          <w:szCs w:val="24"/>
        </w:rPr>
        <w:t xml:space="preserve">. Sage Publications. </w:t>
      </w:r>
      <w:hyperlink r:id="rId30" w:history="1">
        <w:r w:rsidRPr="0067287F">
          <w:rPr>
            <w:rFonts w:ascii="Times New Roman" w:hAnsi="Times New Roman"/>
            <w:color w:val="0000FF"/>
            <w:sz w:val="24"/>
            <w:szCs w:val="24"/>
            <w:u w:val="single"/>
          </w:rPr>
          <w:t>https://doi.org/10.4135/9780857028075</w:t>
        </w:r>
      </w:hyperlink>
    </w:p>
    <w:p w14:paraId="57FE01F9"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Irshad, M., Hussain, M., Fahim, S. M., &amp; Ghias, S. (2022). Factors affecting customer satisfaction: A case study of Food Panda. </w:t>
      </w:r>
      <w:r w:rsidRPr="0067287F">
        <w:rPr>
          <w:rFonts w:ascii="Times New Roman" w:hAnsi="Times New Roman"/>
          <w:i/>
          <w:iCs/>
          <w:sz w:val="24"/>
          <w:szCs w:val="24"/>
        </w:rPr>
        <w:t>Reviews of Management Sciences, 4</w:t>
      </w:r>
      <w:r w:rsidRPr="0067287F">
        <w:rPr>
          <w:rFonts w:ascii="Times New Roman" w:hAnsi="Times New Roman"/>
          <w:sz w:val="24"/>
          <w:szCs w:val="24"/>
        </w:rPr>
        <w:t xml:space="preserve">(1), 63–82. </w:t>
      </w:r>
      <w:hyperlink r:id="rId31" w:history="1">
        <w:r w:rsidRPr="0067287F">
          <w:rPr>
            <w:rFonts w:ascii="Times New Roman" w:hAnsi="Times New Roman"/>
            <w:color w:val="0000FF"/>
            <w:sz w:val="24"/>
            <w:szCs w:val="24"/>
            <w:u w:val="single"/>
          </w:rPr>
          <w:t>https://doi.org/10.53909/rms.04.01.0118</w:t>
        </w:r>
      </w:hyperlink>
    </w:p>
    <w:p w14:paraId="469EA32B"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Jasin, M., &amp; Firmansyah, A. (2023). The role of service quality and marketing mix on customer satisfaction and repurchase intention of SMEs products. </w:t>
      </w:r>
      <w:r w:rsidRPr="0067287F">
        <w:rPr>
          <w:rFonts w:ascii="Times New Roman" w:hAnsi="Times New Roman"/>
          <w:i/>
          <w:iCs/>
          <w:sz w:val="24"/>
          <w:szCs w:val="24"/>
        </w:rPr>
        <w:t>Uncertain Supply Chain Management, 11</w:t>
      </w:r>
      <w:r w:rsidRPr="0067287F">
        <w:rPr>
          <w:rFonts w:ascii="Times New Roman" w:hAnsi="Times New Roman"/>
          <w:sz w:val="24"/>
          <w:szCs w:val="24"/>
        </w:rPr>
        <w:t xml:space="preserve">(1), 383–390. </w:t>
      </w:r>
      <w:hyperlink r:id="rId32" w:history="1">
        <w:r w:rsidRPr="0067287F">
          <w:rPr>
            <w:rFonts w:ascii="Times New Roman" w:hAnsi="Times New Roman"/>
            <w:color w:val="0000FF"/>
            <w:sz w:val="24"/>
            <w:szCs w:val="24"/>
            <w:u w:val="single"/>
          </w:rPr>
          <w:t>https://doi.org/10.5267/j.uscm.2022.9.004</w:t>
        </w:r>
      </w:hyperlink>
    </w:p>
    <w:p w14:paraId="4EE6902C"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Juniantara</w:t>
      </w:r>
      <w:proofErr w:type="spellEnd"/>
      <w:r w:rsidRPr="0067287F">
        <w:rPr>
          <w:rFonts w:ascii="Times New Roman" w:hAnsi="Times New Roman"/>
          <w:sz w:val="24"/>
          <w:szCs w:val="24"/>
        </w:rPr>
        <w:t xml:space="preserve">, I. M. A., &amp; </w:t>
      </w:r>
      <w:proofErr w:type="spellStart"/>
      <w:r w:rsidRPr="0067287F">
        <w:rPr>
          <w:rFonts w:ascii="Times New Roman" w:hAnsi="Times New Roman"/>
          <w:sz w:val="24"/>
          <w:szCs w:val="24"/>
        </w:rPr>
        <w:t>Aksari</w:t>
      </w:r>
      <w:proofErr w:type="spellEnd"/>
      <w:r w:rsidRPr="0067287F">
        <w:rPr>
          <w:rFonts w:ascii="Times New Roman" w:hAnsi="Times New Roman"/>
          <w:sz w:val="24"/>
          <w:szCs w:val="24"/>
        </w:rPr>
        <w:t xml:space="preserve">, N. M. A. (2025). The role of customer satisfaction in mediating the influence of perceived value and trust on reuse intention: A study of </w:t>
      </w:r>
      <w:proofErr w:type="spellStart"/>
      <w:r w:rsidRPr="0067287F">
        <w:rPr>
          <w:rFonts w:ascii="Times New Roman" w:hAnsi="Times New Roman"/>
          <w:sz w:val="24"/>
          <w:szCs w:val="24"/>
        </w:rPr>
        <w:t>ShopeeFood</w:t>
      </w:r>
      <w:proofErr w:type="spellEnd"/>
      <w:r w:rsidRPr="0067287F">
        <w:rPr>
          <w:rFonts w:ascii="Times New Roman" w:hAnsi="Times New Roman"/>
          <w:sz w:val="24"/>
          <w:szCs w:val="24"/>
        </w:rPr>
        <w:t xml:space="preserve"> service users in Denpasar City. </w:t>
      </w:r>
      <w:r w:rsidRPr="0067287F">
        <w:rPr>
          <w:rFonts w:ascii="Times New Roman" w:hAnsi="Times New Roman"/>
          <w:i/>
          <w:iCs/>
          <w:sz w:val="24"/>
          <w:szCs w:val="24"/>
        </w:rPr>
        <w:t>International Research Journal of Management, IT and Social Sciences, 12</w:t>
      </w:r>
      <w:r w:rsidRPr="0067287F">
        <w:rPr>
          <w:rFonts w:ascii="Times New Roman" w:hAnsi="Times New Roman"/>
          <w:sz w:val="24"/>
          <w:szCs w:val="24"/>
        </w:rPr>
        <w:t xml:space="preserve">(4), 188–199. </w:t>
      </w:r>
      <w:hyperlink r:id="rId33" w:history="1">
        <w:r w:rsidRPr="0067287F">
          <w:rPr>
            <w:rFonts w:ascii="Times New Roman" w:hAnsi="Times New Roman"/>
            <w:color w:val="0000FF"/>
            <w:sz w:val="24"/>
            <w:szCs w:val="24"/>
            <w:u w:val="single"/>
          </w:rPr>
          <w:t>https://doi.org/10.21744/irjmis.v12n4.2532</w:t>
        </w:r>
      </w:hyperlink>
    </w:p>
    <w:p w14:paraId="7E35C2DE"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Kee, D. M. H., Chen, Y., Dong, S., Wang, Z., &amp; Zhu, J. (2025). </w:t>
      </w:r>
      <w:proofErr w:type="spellStart"/>
      <w:r w:rsidRPr="0067287F">
        <w:rPr>
          <w:rFonts w:ascii="Times New Roman" w:hAnsi="Times New Roman"/>
          <w:sz w:val="24"/>
          <w:szCs w:val="24"/>
        </w:rPr>
        <w:t>Bites</w:t>
      </w:r>
      <w:proofErr w:type="spellEnd"/>
      <w:r w:rsidRPr="0067287F">
        <w:rPr>
          <w:rFonts w:ascii="Times New Roman" w:hAnsi="Times New Roman"/>
          <w:sz w:val="24"/>
          <w:szCs w:val="24"/>
        </w:rPr>
        <w:t xml:space="preserve"> and bytes: Exploring customer experience and satisfaction in food delivery services: A case study of </w:t>
      </w:r>
      <w:proofErr w:type="spellStart"/>
      <w:r w:rsidRPr="0067287F">
        <w:rPr>
          <w:rFonts w:ascii="Times New Roman" w:hAnsi="Times New Roman"/>
          <w:sz w:val="24"/>
          <w:szCs w:val="24"/>
        </w:rPr>
        <w:t>Foodpanda</w:t>
      </w:r>
      <w:proofErr w:type="spellEnd"/>
      <w:r w:rsidRPr="0067287F">
        <w:rPr>
          <w:rFonts w:ascii="Times New Roman" w:hAnsi="Times New Roman"/>
          <w:sz w:val="24"/>
          <w:szCs w:val="24"/>
        </w:rPr>
        <w:t xml:space="preserve">. </w:t>
      </w:r>
      <w:r w:rsidRPr="0067287F">
        <w:rPr>
          <w:rFonts w:ascii="Times New Roman" w:hAnsi="Times New Roman"/>
          <w:i/>
          <w:iCs/>
          <w:sz w:val="24"/>
          <w:szCs w:val="24"/>
        </w:rPr>
        <w:t>Advances in Global Economics and Business Journal, 6</w:t>
      </w:r>
      <w:r w:rsidRPr="0067287F">
        <w:rPr>
          <w:rFonts w:ascii="Times New Roman" w:hAnsi="Times New Roman"/>
          <w:sz w:val="24"/>
          <w:szCs w:val="24"/>
        </w:rPr>
        <w:t xml:space="preserve">(1), 1–16. </w:t>
      </w:r>
      <w:hyperlink r:id="rId34" w:history="1">
        <w:r w:rsidRPr="0067287F">
          <w:rPr>
            <w:rFonts w:ascii="Times New Roman" w:hAnsi="Times New Roman"/>
            <w:color w:val="0000FF"/>
            <w:sz w:val="24"/>
            <w:szCs w:val="24"/>
            <w:u w:val="single"/>
          </w:rPr>
          <w:t>https://doi.org/10.51748/agebj.v6i1.101</w:t>
        </w:r>
      </w:hyperlink>
    </w:p>
    <w:p w14:paraId="6F81CB83"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Khoo, W. Y. C., Hong, M., &amp; Chan, T. H. (2023). Click-and-drive e-tailing service: Consumers’ perceived convenience and cost. </w:t>
      </w:r>
      <w:r w:rsidRPr="0067287F">
        <w:rPr>
          <w:rFonts w:ascii="Times New Roman" w:hAnsi="Times New Roman"/>
          <w:i/>
          <w:iCs/>
          <w:sz w:val="24"/>
          <w:szCs w:val="24"/>
        </w:rPr>
        <w:t>International Journal of Business and Society, 24</w:t>
      </w:r>
      <w:r w:rsidRPr="0067287F">
        <w:rPr>
          <w:rFonts w:ascii="Times New Roman" w:hAnsi="Times New Roman"/>
          <w:sz w:val="24"/>
          <w:szCs w:val="24"/>
        </w:rPr>
        <w:t xml:space="preserve">(2), 629–650. </w:t>
      </w:r>
      <w:hyperlink r:id="rId35" w:history="1">
        <w:r w:rsidRPr="0067287F">
          <w:rPr>
            <w:rFonts w:ascii="Times New Roman" w:hAnsi="Times New Roman"/>
            <w:color w:val="0000FF"/>
            <w:sz w:val="24"/>
            <w:szCs w:val="24"/>
            <w:u w:val="single"/>
          </w:rPr>
          <w:t>https://doi.org/10.33736/ijbs.5949.2023</w:t>
        </w:r>
      </w:hyperlink>
    </w:p>
    <w:p w14:paraId="1FBC3FA3" w14:textId="530C5A41"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Dareth, V. B., </w:t>
      </w:r>
      <w:proofErr w:type="spellStart"/>
      <w:r w:rsidRPr="0067287F">
        <w:rPr>
          <w:rFonts w:ascii="Times New Roman" w:hAnsi="Times New Roman"/>
          <w:sz w:val="24"/>
          <w:szCs w:val="24"/>
        </w:rPr>
        <w:t>Piriyapada</w:t>
      </w:r>
      <w:proofErr w:type="spellEnd"/>
      <w:r w:rsidRPr="0067287F">
        <w:rPr>
          <w:rFonts w:ascii="Times New Roman" w:hAnsi="Times New Roman"/>
          <w:sz w:val="24"/>
          <w:szCs w:val="24"/>
        </w:rPr>
        <w:t xml:space="preserve">, S., &amp; Norng, S. (2024). Factors influencing customer satisfaction and repurchase intention of online food delivery service in Cambodia. </w:t>
      </w:r>
      <w:r w:rsidRPr="0067287F">
        <w:rPr>
          <w:rFonts w:ascii="Times New Roman" w:hAnsi="Times New Roman"/>
          <w:i/>
          <w:iCs/>
          <w:sz w:val="24"/>
          <w:szCs w:val="24"/>
        </w:rPr>
        <w:t>RMUTT Global Business Accounting and Finance Review, 8</w:t>
      </w:r>
      <w:r w:rsidRPr="0067287F">
        <w:rPr>
          <w:rFonts w:ascii="Times New Roman" w:hAnsi="Times New Roman"/>
          <w:sz w:val="24"/>
          <w:szCs w:val="24"/>
        </w:rPr>
        <w:t xml:space="preserve">(2), 1–18. </w:t>
      </w:r>
      <w:hyperlink r:id="rId36" w:history="1">
        <w:r w:rsidRPr="0067287F">
          <w:rPr>
            <w:rFonts w:ascii="Times New Roman" w:hAnsi="Times New Roman"/>
            <w:color w:val="0000FF"/>
            <w:sz w:val="24"/>
            <w:szCs w:val="24"/>
            <w:u w:val="single"/>
          </w:rPr>
          <w:t>https://doi.org/10.60101/gbafr.2024.272298</w:t>
        </w:r>
      </w:hyperlink>
    </w:p>
    <w:p w14:paraId="13E2180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Krehbiel, T. C. (2004). Correlation coefficient rule of thumb. </w:t>
      </w:r>
      <w:r w:rsidRPr="0067287F">
        <w:rPr>
          <w:rFonts w:ascii="Times New Roman" w:hAnsi="Times New Roman"/>
          <w:i/>
          <w:iCs/>
          <w:sz w:val="24"/>
          <w:szCs w:val="24"/>
        </w:rPr>
        <w:t>Decision Sciences Journal of Innovative Education, 2</w:t>
      </w:r>
      <w:r w:rsidRPr="0067287F">
        <w:rPr>
          <w:rFonts w:ascii="Times New Roman" w:hAnsi="Times New Roman"/>
          <w:sz w:val="24"/>
          <w:szCs w:val="24"/>
        </w:rPr>
        <w:t xml:space="preserve">(1), 97–100. </w:t>
      </w:r>
      <w:hyperlink r:id="rId37" w:history="1">
        <w:r w:rsidRPr="0067287F">
          <w:rPr>
            <w:rFonts w:ascii="Times New Roman" w:hAnsi="Times New Roman"/>
            <w:color w:val="0000FF"/>
            <w:sz w:val="24"/>
            <w:szCs w:val="24"/>
            <w:u w:val="single"/>
          </w:rPr>
          <w:t>https://doi.org/10.1111/j.0011-7315.2004.00025.x</w:t>
        </w:r>
      </w:hyperlink>
    </w:p>
    <w:p w14:paraId="63BF6BEC"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Kriss, K., Hean, S., Nhem, C., &amp; Norng, S. (2023). The impact of service quality dimensions on customers’ satisfaction to use debit cards in Phnom Penh City. </w:t>
      </w:r>
      <w:r w:rsidRPr="0067287F">
        <w:rPr>
          <w:rFonts w:ascii="Times New Roman" w:hAnsi="Times New Roman"/>
          <w:i/>
          <w:iCs/>
          <w:sz w:val="24"/>
          <w:szCs w:val="24"/>
        </w:rPr>
        <w:t>AIB Research Series, 3</w:t>
      </w:r>
      <w:r w:rsidRPr="0067287F">
        <w:rPr>
          <w:rFonts w:ascii="Times New Roman" w:hAnsi="Times New Roman"/>
          <w:sz w:val="24"/>
          <w:szCs w:val="24"/>
        </w:rPr>
        <w:t xml:space="preserve">, 94–111. </w:t>
      </w:r>
      <w:hyperlink r:id="rId38" w:history="1">
        <w:r w:rsidRPr="0067287F">
          <w:rPr>
            <w:rFonts w:ascii="Times New Roman" w:hAnsi="Times New Roman"/>
            <w:color w:val="0000FF"/>
            <w:sz w:val="24"/>
            <w:szCs w:val="24"/>
            <w:u w:val="single"/>
          </w:rPr>
          <w:t>https://aub.edu.kh/tc/assets/pdf_zip/ARS%20Vol3-0007.pdf</w:t>
        </w:r>
      </w:hyperlink>
    </w:p>
    <w:p w14:paraId="419C3837"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lastRenderedPageBreak/>
        <w:t xml:space="preserve">Lai, P. C., &amp; Liew, E. J. Y. (2021). Towards a cashless society: The effects of perceived convenience and security on gamified mobile payment platform adoption. </w:t>
      </w:r>
      <w:r w:rsidRPr="0067287F">
        <w:rPr>
          <w:rFonts w:ascii="Times New Roman" w:hAnsi="Times New Roman"/>
          <w:i/>
          <w:iCs/>
          <w:sz w:val="24"/>
          <w:szCs w:val="24"/>
        </w:rPr>
        <w:t>Australasian Journal of Information Systems, 25</w:t>
      </w:r>
      <w:r w:rsidRPr="0067287F">
        <w:rPr>
          <w:rFonts w:ascii="Times New Roman" w:hAnsi="Times New Roman"/>
          <w:sz w:val="24"/>
          <w:szCs w:val="24"/>
        </w:rPr>
        <w:t xml:space="preserve">, 1–25. </w:t>
      </w:r>
      <w:hyperlink r:id="rId39" w:history="1">
        <w:r w:rsidRPr="0067287F">
          <w:rPr>
            <w:rFonts w:ascii="Times New Roman" w:hAnsi="Times New Roman"/>
            <w:color w:val="0000FF"/>
            <w:sz w:val="24"/>
            <w:szCs w:val="24"/>
            <w:u w:val="single"/>
          </w:rPr>
          <w:t>https://doi.org/10.3127/ajis.v25i0.2809</w:t>
        </w:r>
      </w:hyperlink>
    </w:p>
    <w:p w14:paraId="21257D02"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Lin, P. M., Au, W. C. W., &amp; Baum, T. (2024). Service quality of online food delivery mobile application: An examination of the spillover effects of mobile app satisfaction. </w:t>
      </w:r>
      <w:r w:rsidRPr="0067287F">
        <w:rPr>
          <w:rFonts w:ascii="Times New Roman" w:hAnsi="Times New Roman"/>
          <w:i/>
          <w:iCs/>
          <w:sz w:val="24"/>
          <w:szCs w:val="24"/>
        </w:rPr>
        <w:t>International Journal of Contemporary Hospitality Management, 36</w:t>
      </w:r>
      <w:r w:rsidRPr="0067287F">
        <w:rPr>
          <w:rFonts w:ascii="Times New Roman" w:hAnsi="Times New Roman"/>
          <w:sz w:val="24"/>
          <w:szCs w:val="24"/>
        </w:rPr>
        <w:t xml:space="preserve">(3), 906–926. </w:t>
      </w:r>
      <w:hyperlink r:id="rId40" w:history="1">
        <w:r w:rsidRPr="0067287F">
          <w:rPr>
            <w:rFonts w:ascii="Times New Roman" w:hAnsi="Times New Roman"/>
            <w:color w:val="0000FF"/>
            <w:sz w:val="24"/>
            <w:szCs w:val="24"/>
            <w:u w:val="single"/>
          </w:rPr>
          <w:t>https://doi.org/10.1108/IJCHM-09-2022-1103</w:t>
        </w:r>
      </w:hyperlink>
    </w:p>
    <w:p w14:paraId="36398633"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Liu, Y.-Y., Chen, S.-H., &amp; Zhang, J.-X. (2021). Applying importance–satisfaction model to evaluate customer satisfaction: An empirical study of </w:t>
      </w:r>
      <w:proofErr w:type="spellStart"/>
      <w:r w:rsidRPr="0067287F">
        <w:rPr>
          <w:rFonts w:ascii="Times New Roman" w:hAnsi="Times New Roman"/>
          <w:sz w:val="24"/>
          <w:szCs w:val="24"/>
        </w:rPr>
        <w:t>Foodpanda</w:t>
      </w:r>
      <w:proofErr w:type="spellEnd"/>
      <w:r w:rsidRPr="0067287F">
        <w:rPr>
          <w:rFonts w:ascii="Times New Roman" w:hAnsi="Times New Roman"/>
          <w:sz w:val="24"/>
          <w:szCs w:val="24"/>
        </w:rPr>
        <w:t xml:space="preserve">. </w:t>
      </w:r>
      <w:r w:rsidRPr="0067287F">
        <w:rPr>
          <w:rFonts w:ascii="Times New Roman" w:hAnsi="Times New Roman"/>
          <w:i/>
          <w:iCs/>
          <w:sz w:val="24"/>
          <w:szCs w:val="24"/>
        </w:rPr>
        <w:t>Sustainability, 13</w:t>
      </w:r>
      <w:r w:rsidRPr="0067287F">
        <w:rPr>
          <w:rFonts w:ascii="Times New Roman" w:hAnsi="Times New Roman"/>
          <w:sz w:val="24"/>
          <w:szCs w:val="24"/>
        </w:rPr>
        <w:t xml:space="preserve">(19), Article 10985. </w:t>
      </w:r>
      <w:hyperlink r:id="rId41" w:history="1">
        <w:r w:rsidRPr="0067287F">
          <w:rPr>
            <w:rFonts w:ascii="Times New Roman" w:hAnsi="Times New Roman"/>
            <w:color w:val="0000FF"/>
            <w:sz w:val="24"/>
            <w:szCs w:val="24"/>
            <w:u w:val="single"/>
          </w:rPr>
          <w:t>https://doi.org/10.3390/su131910985</w:t>
        </w:r>
      </w:hyperlink>
    </w:p>
    <w:p w14:paraId="57DE2F83"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Lok, Y. H., Teoh, K. B., Liou, Z. Y., Lim, J. T., Lim, K. E., Lim, P. E., &amp; Kee, D. M. H. (2024). Influencing factors on customer behavioral intentions to use a food delivery app: A study of </w:t>
      </w:r>
      <w:proofErr w:type="spellStart"/>
      <w:r w:rsidRPr="0067287F">
        <w:rPr>
          <w:rFonts w:ascii="Times New Roman" w:hAnsi="Times New Roman"/>
          <w:sz w:val="24"/>
          <w:szCs w:val="24"/>
        </w:rPr>
        <w:t>GrabFood</w:t>
      </w:r>
      <w:proofErr w:type="spellEnd"/>
      <w:r w:rsidRPr="0067287F">
        <w:rPr>
          <w:rFonts w:ascii="Times New Roman" w:hAnsi="Times New Roman"/>
          <w:sz w:val="24"/>
          <w:szCs w:val="24"/>
        </w:rPr>
        <w:t xml:space="preserve"> in Malaysia. </w:t>
      </w:r>
      <w:r w:rsidRPr="0067287F">
        <w:rPr>
          <w:rFonts w:ascii="Times New Roman" w:hAnsi="Times New Roman"/>
          <w:i/>
          <w:iCs/>
          <w:sz w:val="24"/>
          <w:szCs w:val="24"/>
        </w:rPr>
        <w:t>Advances in Global Economics and Business Journal, 5</w:t>
      </w:r>
      <w:r w:rsidRPr="0067287F">
        <w:rPr>
          <w:rFonts w:ascii="Times New Roman" w:hAnsi="Times New Roman"/>
          <w:sz w:val="24"/>
          <w:szCs w:val="24"/>
        </w:rPr>
        <w:t xml:space="preserve">(1), 1–14. </w:t>
      </w:r>
      <w:hyperlink r:id="rId42" w:history="1">
        <w:r w:rsidRPr="0067287F">
          <w:rPr>
            <w:rFonts w:ascii="Times New Roman" w:hAnsi="Times New Roman"/>
            <w:color w:val="0000FF"/>
            <w:sz w:val="24"/>
            <w:szCs w:val="24"/>
            <w:u w:val="single"/>
          </w:rPr>
          <w:t>https://doi.org/10.51748/agebj.v5i1.92</w:t>
        </w:r>
      </w:hyperlink>
    </w:p>
    <w:p w14:paraId="01D19E65"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Lv</w:t>
      </w:r>
      <w:proofErr w:type="spellEnd"/>
      <w:r w:rsidRPr="0067287F">
        <w:rPr>
          <w:rFonts w:ascii="Times New Roman" w:hAnsi="Times New Roman"/>
          <w:sz w:val="24"/>
          <w:szCs w:val="24"/>
        </w:rPr>
        <w:t xml:space="preserve">, H., Xiao, X., &amp; Wang, H. (2026). The impact of e-service quality on users’ continuous usage intention: The mediating roles of e-user satisfaction and e-user engagement. </w:t>
      </w:r>
      <w:r w:rsidRPr="0067287F">
        <w:rPr>
          <w:rFonts w:ascii="Times New Roman" w:hAnsi="Times New Roman"/>
          <w:i/>
          <w:iCs/>
          <w:sz w:val="24"/>
          <w:szCs w:val="24"/>
        </w:rPr>
        <w:t>American Journal of Management Science and Engineering, 11</w:t>
      </w:r>
      <w:r w:rsidRPr="0067287F">
        <w:rPr>
          <w:rFonts w:ascii="Times New Roman" w:hAnsi="Times New Roman"/>
          <w:sz w:val="24"/>
          <w:szCs w:val="24"/>
        </w:rPr>
        <w:t xml:space="preserve">(2), 62–72. </w:t>
      </w:r>
      <w:hyperlink r:id="rId43" w:history="1">
        <w:r w:rsidRPr="0067287F">
          <w:rPr>
            <w:rFonts w:ascii="Times New Roman" w:hAnsi="Times New Roman"/>
            <w:color w:val="0000FF"/>
            <w:sz w:val="24"/>
            <w:szCs w:val="24"/>
            <w:u w:val="single"/>
          </w:rPr>
          <w:t>https://doi.org/10.11648/j.ajmse.20261102.12</w:t>
        </w:r>
      </w:hyperlink>
    </w:p>
    <w:p w14:paraId="61B62816"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Ly, B. (2025). Understanding customer loyalty in digital services: Insights from food delivery in emerging markets. </w:t>
      </w:r>
      <w:r w:rsidRPr="0067287F">
        <w:rPr>
          <w:rFonts w:ascii="Times New Roman" w:hAnsi="Times New Roman"/>
          <w:i/>
          <w:iCs/>
          <w:sz w:val="24"/>
          <w:szCs w:val="24"/>
        </w:rPr>
        <w:t>Journal of Innovation and Entrepreneurship, 14</w:t>
      </w:r>
      <w:r w:rsidRPr="0067287F">
        <w:rPr>
          <w:rFonts w:ascii="Times New Roman" w:hAnsi="Times New Roman"/>
          <w:sz w:val="24"/>
          <w:szCs w:val="24"/>
        </w:rPr>
        <w:t xml:space="preserve">, Article 77. </w:t>
      </w:r>
      <w:hyperlink r:id="rId44" w:history="1">
        <w:r w:rsidRPr="0067287F">
          <w:rPr>
            <w:rFonts w:ascii="Times New Roman" w:hAnsi="Times New Roman"/>
            <w:color w:val="0000FF"/>
            <w:sz w:val="24"/>
            <w:szCs w:val="24"/>
            <w:u w:val="single"/>
          </w:rPr>
          <w:t>https://doi.org/10.1186/s13731-025-00552-2</w:t>
        </w:r>
      </w:hyperlink>
    </w:p>
    <w:p w14:paraId="242CB1F5"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Maharani, N. P. D. T., &amp; </w:t>
      </w:r>
      <w:proofErr w:type="spellStart"/>
      <w:r w:rsidRPr="0067287F">
        <w:rPr>
          <w:rFonts w:ascii="Times New Roman" w:hAnsi="Times New Roman"/>
          <w:sz w:val="24"/>
          <w:szCs w:val="24"/>
        </w:rPr>
        <w:t>Sukaatmadja</w:t>
      </w:r>
      <w:proofErr w:type="spellEnd"/>
      <w:r w:rsidRPr="0067287F">
        <w:rPr>
          <w:rFonts w:ascii="Times New Roman" w:hAnsi="Times New Roman"/>
          <w:sz w:val="24"/>
          <w:szCs w:val="24"/>
        </w:rPr>
        <w:t xml:space="preserve">, P. G. (2024). Mediation of customer satisfaction: E-service quality, brand trust, and reuse intention. </w:t>
      </w:r>
      <w:r w:rsidRPr="0067287F">
        <w:rPr>
          <w:rFonts w:ascii="Times New Roman" w:hAnsi="Times New Roman"/>
          <w:i/>
          <w:iCs/>
          <w:sz w:val="24"/>
          <w:szCs w:val="24"/>
        </w:rPr>
        <w:t>World Journal of Advanced Research and Reviews, 23</w:t>
      </w:r>
      <w:r w:rsidRPr="0067287F">
        <w:rPr>
          <w:rFonts w:ascii="Times New Roman" w:hAnsi="Times New Roman"/>
          <w:sz w:val="24"/>
          <w:szCs w:val="24"/>
        </w:rPr>
        <w:t xml:space="preserve">(3), 2113–2124. </w:t>
      </w:r>
      <w:hyperlink r:id="rId45" w:history="1">
        <w:r w:rsidRPr="0067287F">
          <w:rPr>
            <w:rFonts w:ascii="Times New Roman" w:hAnsi="Times New Roman"/>
            <w:color w:val="0000FF"/>
            <w:sz w:val="24"/>
            <w:szCs w:val="24"/>
            <w:u w:val="single"/>
          </w:rPr>
          <w:t>https://doi.org/10.30574/wjarr.2024.23.3.2422</w:t>
        </w:r>
      </w:hyperlink>
    </w:p>
    <w:p w14:paraId="61B3C5F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Mohd Sidik, S. N. A., Mohamed Arib, N. Z., Ramli, P. N. R., Sulaiman, S. N., Abu Bakar, N. A. B., &amp; Mohd Nasir, E. S. (2025). Factors influencing satisfaction among Food Panda users: Evidence in Malaysia. </w:t>
      </w:r>
      <w:r w:rsidRPr="0067287F">
        <w:rPr>
          <w:rFonts w:ascii="Times New Roman" w:hAnsi="Times New Roman"/>
          <w:i/>
          <w:iCs/>
          <w:sz w:val="24"/>
          <w:szCs w:val="24"/>
        </w:rPr>
        <w:t>International Journal of Research and Innovation in Social Science, 9</w:t>
      </w:r>
      <w:r w:rsidRPr="0067287F">
        <w:rPr>
          <w:rFonts w:ascii="Times New Roman" w:hAnsi="Times New Roman"/>
          <w:sz w:val="24"/>
          <w:szCs w:val="24"/>
        </w:rPr>
        <w:t xml:space="preserve">(8), 6703–6710. </w:t>
      </w:r>
      <w:hyperlink r:id="rId46" w:history="1">
        <w:r w:rsidRPr="0067287F">
          <w:rPr>
            <w:rFonts w:ascii="Times New Roman" w:hAnsi="Times New Roman"/>
            <w:color w:val="0000FF"/>
            <w:sz w:val="24"/>
            <w:szCs w:val="24"/>
            <w:u w:val="single"/>
          </w:rPr>
          <w:t>https://doi.org/10.47772/IJRISS.2025.908000550</w:t>
        </w:r>
      </w:hyperlink>
    </w:p>
    <w:p w14:paraId="48BD8265"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Mukuka, G. L., &amp; </w:t>
      </w:r>
      <w:proofErr w:type="spellStart"/>
      <w:r w:rsidRPr="0067287F">
        <w:rPr>
          <w:rFonts w:ascii="Times New Roman" w:hAnsi="Times New Roman"/>
          <w:sz w:val="24"/>
          <w:szCs w:val="24"/>
        </w:rPr>
        <w:t>Chasha</w:t>
      </w:r>
      <w:proofErr w:type="spellEnd"/>
      <w:r w:rsidRPr="0067287F">
        <w:rPr>
          <w:rFonts w:ascii="Times New Roman" w:hAnsi="Times New Roman"/>
          <w:sz w:val="24"/>
          <w:szCs w:val="24"/>
        </w:rPr>
        <w:t xml:space="preserve">, M. (2025). Assessing the effect of service quality on customer satisfaction: A study of ZSIC Life Limited. </w:t>
      </w:r>
      <w:r w:rsidRPr="0067287F">
        <w:rPr>
          <w:rFonts w:ascii="Times New Roman" w:hAnsi="Times New Roman"/>
          <w:i/>
          <w:iCs/>
          <w:sz w:val="24"/>
          <w:szCs w:val="24"/>
        </w:rPr>
        <w:t>International Journal of Research and Innovation in Social Science, 9</w:t>
      </w:r>
      <w:r w:rsidRPr="0067287F">
        <w:rPr>
          <w:rFonts w:ascii="Times New Roman" w:hAnsi="Times New Roman"/>
          <w:sz w:val="24"/>
          <w:szCs w:val="24"/>
        </w:rPr>
        <w:t xml:space="preserve">(9), 1530–1543. </w:t>
      </w:r>
      <w:hyperlink r:id="rId47" w:history="1">
        <w:r w:rsidRPr="0067287F">
          <w:rPr>
            <w:rFonts w:ascii="Times New Roman" w:hAnsi="Times New Roman"/>
            <w:color w:val="0000FF"/>
            <w:sz w:val="24"/>
            <w:szCs w:val="24"/>
            <w:u w:val="single"/>
          </w:rPr>
          <w:t>https://doi.org/10.47772/IJRISS.2025.909000135</w:t>
        </w:r>
      </w:hyperlink>
    </w:p>
    <w:p w14:paraId="29404059"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lastRenderedPageBreak/>
        <w:t>Neviana</w:t>
      </w:r>
      <w:proofErr w:type="spellEnd"/>
      <w:r w:rsidRPr="0067287F">
        <w:rPr>
          <w:rFonts w:ascii="Times New Roman" w:hAnsi="Times New Roman"/>
          <w:sz w:val="24"/>
          <w:szCs w:val="24"/>
        </w:rPr>
        <w:t xml:space="preserve">, &amp; </w:t>
      </w:r>
      <w:proofErr w:type="spellStart"/>
      <w:r w:rsidRPr="0067287F">
        <w:rPr>
          <w:rFonts w:ascii="Times New Roman" w:hAnsi="Times New Roman"/>
          <w:sz w:val="24"/>
          <w:szCs w:val="24"/>
        </w:rPr>
        <w:t>Warganegara</w:t>
      </w:r>
      <w:proofErr w:type="spellEnd"/>
      <w:r w:rsidRPr="0067287F">
        <w:rPr>
          <w:rFonts w:ascii="Times New Roman" w:hAnsi="Times New Roman"/>
          <w:sz w:val="24"/>
          <w:szCs w:val="24"/>
        </w:rPr>
        <w:t xml:space="preserve">, D. L. (2026). Extending the expectation confirmation model toward sustainable relationship continuance: The mediating roles of engagement and financial empowerment in Indonesian mobile banking. </w:t>
      </w:r>
      <w:r w:rsidRPr="0067287F">
        <w:rPr>
          <w:rFonts w:ascii="Times New Roman" w:hAnsi="Times New Roman"/>
          <w:i/>
          <w:iCs/>
          <w:sz w:val="24"/>
          <w:szCs w:val="24"/>
        </w:rPr>
        <w:t>Frontiers in Sustainability, 7</w:t>
      </w:r>
      <w:r w:rsidRPr="0067287F">
        <w:rPr>
          <w:rFonts w:ascii="Times New Roman" w:hAnsi="Times New Roman"/>
          <w:sz w:val="24"/>
          <w:szCs w:val="24"/>
        </w:rPr>
        <w:t xml:space="preserve">, Article 1728957. </w:t>
      </w:r>
      <w:hyperlink r:id="rId48" w:history="1">
        <w:r w:rsidRPr="0067287F">
          <w:rPr>
            <w:rFonts w:ascii="Times New Roman" w:hAnsi="Times New Roman"/>
            <w:color w:val="0000FF"/>
            <w:sz w:val="24"/>
            <w:szCs w:val="24"/>
            <w:u w:val="single"/>
          </w:rPr>
          <w:t>https://doi.org/10.3389/frsus.2026.1728957</w:t>
        </w:r>
      </w:hyperlink>
    </w:p>
    <w:p w14:paraId="20F16023"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Norng, S. (2022). Factors influencing mobile banking adoption in Cambodia: The structuring of TAM, DIT, and trust with TPB. </w:t>
      </w:r>
      <w:r w:rsidRPr="0067287F">
        <w:rPr>
          <w:rFonts w:ascii="Times New Roman" w:hAnsi="Times New Roman"/>
          <w:i/>
          <w:iCs/>
          <w:sz w:val="24"/>
          <w:szCs w:val="24"/>
        </w:rPr>
        <w:t>Asian Journal of Business Research, 12</w:t>
      </w:r>
      <w:r w:rsidRPr="0067287F">
        <w:rPr>
          <w:rFonts w:ascii="Times New Roman" w:hAnsi="Times New Roman"/>
          <w:sz w:val="24"/>
          <w:szCs w:val="24"/>
        </w:rPr>
        <w:t xml:space="preserve">(3), 21–42. </w:t>
      </w:r>
      <w:hyperlink r:id="rId49" w:history="1">
        <w:r w:rsidRPr="0067287F">
          <w:rPr>
            <w:rFonts w:ascii="Times New Roman" w:hAnsi="Times New Roman"/>
            <w:color w:val="0000FF"/>
            <w:sz w:val="24"/>
            <w:szCs w:val="24"/>
            <w:u w:val="single"/>
          </w:rPr>
          <w:t>https://doi.org/10.14707/ajbr.220133</w:t>
        </w:r>
      </w:hyperlink>
    </w:p>
    <w:p w14:paraId="6701F554"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Nurqamarani</w:t>
      </w:r>
      <w:proofErr w:type="spellEnd"/>
      <w:r w:rsidRPr="0067287F">
        <w:rPr>
          <w:rFonts w:ascii="Times New Roman" w:hAnsi="Times New Roman"/>
          <w:sz w:val="24"/>
          <w:szCs w:val="24"/>
        </w:rPr>
        <w:t xml:space="preserve">, A., Jonathan, L. R., Gaffar, E. N. H., &amp; </w:t>
      </w:r>
      <w:proofErr w:type="spellStart"/>
      <w:r w:rsidRPr="0067287F">
        <w:rPr>
          <w:rFonts w:ascii="Times New Roman" w:hAnsi="Times New Roman"/>
          <w:sz w:val="24"/>
          <w:szCs w:val="24"/>
        </w:rPr>
        <w:t>Indrawati</w:t>
      </w:r>
      <w:proofErr w:type="spellEnd"/>
      <w:r w:rsidRPr="0067287F">
        <w:rPr>
          <w:rFonts w:ascii="Times New Roman" w:hAnsi="Times New Roman"/>
          <w:sz w:val="24"/>
          <w:szCs w:val="24"/>
        </w:rPr>
        <w:t xml:space="preserve">, A. (2020). The effects of mobile service qualities on customer reuse intention of Gojek super app. </w:t>
      </w:r>
      <w:r w:rsidRPr="0067287F">
        <w:rPr>
          <w:rFonts w:ascii="Times New Roman" w:hAnsi="Times New Roman"/>
          <w:i/>
          <w:iCs/>
          <w:sz w:val="24"/>
          <w:szCs w:val="24"/>
        </w:rPr>
        <w:t>Humanities &amp; Social Sciences Reviews, 8</w:t>
      </w:r>
      <w:r w:rsidRPr="0067287F">
        <w:rPr>
          <w:rFonts w:ascii="Times New Roman" w:hAnsi="Times New Roman"/>
          <w:sz w:val="24"/>
          <w:szCs w:val="24"/>
        </w:rPr>
        <w:t xml:space="preserve">(4), 1134–1146. </w:t>
      </w:r>
      <w:hyperlink r:id="rId50" w:history="1">
        <w:r w:rsidRPr="0067287F">
          <w:rPr>
            <w:rFonts w:ascii="Times New Roman" w:hAnsi="Times New Roman"/>
            <w:color w:val="0000FF"/>
            <w:sz w:val="24"/>
            <w:szCs w:val="24"/>
            <w:u w:val="single"/>
          </w:rPr>
          <w:t>https://doi.org/10.18510/hssr.2020.84108</w:t>
        </w:r>
      </w:hyperlink>
    </w:p>
    <w:p w14:paraId="512D96D1"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Nyutu</w:t>
      </w:r>
      <w:proofErr w:type="spellEnd"/>
      <w:r w:rsidRPr="0067287F">
        <w:rPr>
          <w:rFonts w:ascii="Times New Roman" w:hAnsi="Times New Roman"/>
          <w:sz w:val="24"/>
          <w:szCs w:val="24"/>
        </w:rPr>
        <w:t xml:space="preserve">, E. N., Cobern, W. W., &amp; Pleasants, B. A.-S. (2021). Correlational study of student perceptions of their undergraduate laboratory environment with respect to gender and major. </w:t>
      </w:r>
      <w:r w:rsidRPr="0067287F">
        <w:rPr>
          <w:rFonts w:ascii="Times New Roman" w:hAnsi="Times New Roman"/>
          <w:i/>
          <w:iCs/>
          <w:sz w:val="24"/>
          <w:szCs w:val="24"/>
        </w:rPr>
        <w:t>International Journal of Education in Mathematics, Science, and Technology, 9</w:t>
      </w:r>
      <w:r w:rsidRPr="0067287F">
        <w:rPr>
          <w:rFonts w:ascii="Times New Roman" w:hAnsi="Times New Roman"/>
          <w:sz w:val="24"/>
          <w:szCs w:val="24"/>
        </w:rPr>
        <w:t xml:space="preserve">(1), 83–102. </w:t>
      </w:r>
      <w:hyperlink r:id="rId51" w:history="1">
        <w:r w:rsidRPr="0067287F">
          <w:rPr>
            <w:rFonts w:ascii="Times New Roman" w:hAnsi="Times New Roman"/>
            <w:color w:val="0000FF"/>
            <w:sz w:val="24"/>
            <w:szCs w:val="24"/>
            <w:u w:val="single"/>
          </w:rPr>
          <w:t>https://doi.org/10.46328/ijemst.1182</w:t>
        </w:r>
      </w:hyperlink>
    </w:p>
    <w:p w14:paraId="5CFFC111"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Osokolo</w:t>
      </w:r>
      <w:proofErr w:type="spellEnd"/>
      <w:r w:rsidRPr="0067287F">
        <w:rPr>
          <w:rFonts w:ascii="Times New Roman" w:hAnsi="Times New Roman"/>
          <w:sz w:val="24"/>
          <w:szCs w:val="24"/>
        </w:rPr>
        <w:t xml:space="preserve">, B., </w:t>
      </w:r>
      <w:proofErr w:type="spellStart"/>
      <w:r w:rsidRPr="0067287F">
        <w:rPr>
          <w:rFonts w:ascii="Times New Roman" w:hAnsi="Times New Roman"/>
          <w:sz w:val="24"/>
          <w:szCs w:val="24"/>
        </w:rPr>
        <w:t>Otika</w:t>
      </w:r>
      <w:proofErr w:type="spellEnd"/>
      <w:r w:rsidRPr="0067287F">
        <w:rPr>
          <w:rFonts w:ascii="Times New Roman" w:hAnsi="Times New Roman"/>
          <w:sz w:val="24"/>
          <w:szCs w:val="24"/>
        </w:rPr>
        <w:t xml:space="preserve">, U. S., Akalazu, E. C., &amp; </w:t>
      </w:r>
      <w:proofErr w:type="spellStart"/>
      <w:r w:rsidRPr="0067287F">
        <w:rPr>
          <w:rFonts w:ascii="Times New Roman" w:hAnsi="Times New Roman"/>
          <w:sz w:val="24"/>
          <w:szCs w:val="24"/>
        </w:rPr>
        <w:t>Mbanaso</w:t>
      </w:r>
      <w:proofErr w:type="spellEnd"/>
      <w:r w:rsidRPr="0067287F">
        <w:rPr>
          <w:rFonts w:ascii="Times New Roman" w:hAnsi="Times New Roman"/>
          <w:sz w:val="24"/>
          <w:szCs w:val="24"/>
        </w:rPr>
        <w:t xml:space="preserve">, P. C. (2026). The nexus between innovative distribution models and consumer retention in the e-commerce industry. </w:t>
      </w:r>
      <w:r w:rsidRPr="0067287F">
        <w:rPr>
          <w:rFonts w:ascii="Times New Roman" w:hAnsi="Times New Roman"/>
          <w:i/>
          <w:iCs/>
          <w:sz w:val="24"/>
          <w:szCs w:val="24"/>
        </w:rPr>
        <w:t>Asian Journal of Economics, Finance and Management, 8</w:t>
      </w:r>
      <w:r w:rsidRPr="0067287F">
        <w:rPr>
          <w:rFonts w:ascii="Times New Roman" w:hAnsi="Times New Roman"/>
          <w:sz w:val="24"/>
          <w:szCs w:val="24"/>
        </w:rPr>
        <w:t xml:space="preserve">(1), 571–599. </w:t>
      </w:r>
      <w:hyperlink r:id="rId52" w:history="1">
        <w:r w:rsidRPr="0067287F">
          <w:rPr>
            <w:rFonts w:ascii="Times New Roman" w:hAnsi="Times New Roman"/>
            <w:color w:val="0000FF"/>
            <w:sz w:val="24"/>
            <w:szCs w:val="24"/>
            <w:u w:val="single"/>
          </w:rPr>
          <w:t>https://doi.org/10.56557/ajefm/2026/v8i1391</w:t>
        </w:r>
      </w:hyperlink>
    </w:p>
    <w:p w14:paraId="5A9E8DA7" w14:textId="1AD4C514"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Parasuraman, A., Zeithaml, V. A., &amp; Berry, L. L. (1988). SERVQUAL: A multiple-item scale for measuring consumer perceptions of service quality. </w:t>
      </w:r>
      <w:r w:rsidRPr="0067287F">
        <w:rPr>
          <w:rFonts w:ascii="Times New Roman" w:hAnsi="Times New Roman"/>
          <w:i/>
          <w:iCs/>
          <w:sz w:val="24"/>
          <w:szCs w:val="24"/>
        </w:rPr>
        <w:t>Journal of Retailing, 64</w:t>
      </w:r>
      <w:r w:rsidRPr="0067287F">
        <w:rPr>
          <w:rFonts w:ascii="Times New Roman" w:hAnsi="Times New Roman"/>
          <w:sz w:val="24"/>
          <w:szCs w:val="24"/>
        </w:rPr>
        <w:t xml:space="preserve">(1), 12–40. </w:t>
      </w:r>
    </w:p>
    <w:p w14:paraId="0FAD2FC4"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Podsakoff, P. M., MacKenzie, S. B., Lee, J.-Y., &amp; Podsakoff, N. P. (2003). Common method biases in behavioral research: A critical review of the literature and recommended remedies. </w:t>
      </w:r>
      <w:r w:rsidRPr="0067287F">
        <w:rPr>
          <w:rFonts w:ascii="Times New Roman" w:hAnsi="Times New Roman"/>
          <w:i/>
          <w:iCs/>
          <w:sz w:val="24"/>
          <w:szCs w:val="24"/>
        </w:rPr>
        <w:t>Journal of Applied Psychology, 88</w:t>
      </w:r>
      <w:r w:rsidRPr="0067287F">
        <w:rPr>
          <w:rFonts w:ascii="Times New Roman" w:hAnsi="Times New Roman"/>
          <w:sz w:val="24"/>
          <w:szCs w:val="24"/>
        </w:rPr>
        <w:t xml:space="preserve">(5), 879–903. </w:t>
      </w:r>
      <w:hyperlink r:id="rId53" w:history="1">
        <w:r w:rsidRPr="0067287F">
          <w:rPr>
            <w:rFonts w:ascii="Times New Roman" w:hAnsi="Times New Roman"/>
            <w:color w:val="0000FF"/>
            <w:sz w:val="24"/>
            <w:szCs w:val="24"/>
            <w:u w:val="single"/>
          </w:rPr>
          <w:t>https://doi.org/10.1037/0021-9010.88.5.879</w:t>
        </w:r>
      </w:hyperlink>
    </w:p>
    <w:p w14:paraId="020E1B7E"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Prabowo, W. A., &amp; </w:t>
      </w:r>
      <w:proofErr w:type="spellStart"/>
      <w:r w:rsidRPr="0067287F">
        <w:rPr>
          <w:rFonts w:ascii="Times New Roman" w:hAnsi="Times New Roman"/>
          <w:sz w:val="24"/>
          <w:szCs w:val="24"/>
        </w:rPr>
        <w:t>Sukresna</w:t>
      </w:r>
      <w:proofErr w:type="spellEnd"/>
      <w:r w:rsidRPr="0067287F">
        <w:rPr>
          <w:rFonts w:ascii="Times New Roman" w:hAnsi="Times New Roman"/>
          <w:sz w:val="24"/>
          <w:szCs w:val="24"/>
        </w:rPr>
        <w:t xml:space="preserve">, I. M. (2025). The effect of convenience, usefulness and credibility on repeat use interest mediated by usage satisfaction on Bank </w:t>
      </w:r>
      <w:proofErr w:type="spellStart"/>
      <w:r w:rsidRPr="0067287F">
        <w:rPr>
          <w:rFonts w:ascii="Times New Roman" w:hAnsi="Times New Roman"/>
          <w:sz w:val="24"/>
          <w:szCs w:val="24"/>
        </w:rPr>
        <w:t>Jateng</w:t>
      </w:r>
      <w:proofErr w:type="spellEnd"/>
      <w:r w:rsidRPr="0067287F">
        <w:rPr>
          <w:rFonts w:ascii="Times New Roman" w:hAnsi="Times New Roman"/>
          <w:sz w:val="24"/>
          <w:szCs w:val="24"/>
        </w:rPr>
        <w:t xml:space="preserve"> Laku </w:t>
      </w:r>
      <w:proofErr w:type="spellStart"/>
      <w:r w:rsidRPr="0067287F">
        <w:rPr>
          <w:rFonts w:ascii="Times New Roman" w:hAnsi="Times New Roman"/>
          <w:sz w:val="24"/>
          <w:szCs w:val="24"/>
        </w:rPr>
        <w:t>Pandai</w:t>
      </w:r>
      <w:proofErr w:type="spellEnd"/>
      <w:r w:rsidRPr="0067287F">
        <w:rPr>
          <w:rFonts w:ascii="Times New Roman" w:hAnsi="Times New Roman"/>
          <w:sz w:val="24"/>
          <w:szCs w:val="24"/>
        </w:rPr>
        <w:t xml:space="preserve">. </w:t>
      </w:r>
      <w:r w:rsidRPr="0067287F">
        <w:rPr>
          <w:rFonts w:ascii="Times New Roman" w:hAnsi="Times New Roman"/>
          <w:i/>
          <w:iCs/>
          <w:sz w:val="24"/>
          <w:szCs w:val="24"/>
        </w:rPr>
        <w:t>Multidisciplinary Output Research for Actual and International Issue, 5</w:t>
      </w:r>
      <w:r w:rsidRPr="0067287F">
        <w:rPr>
          <w:rFonts w:ascii="Times New Roman" w:hAnsi="Times New Roman"/>
          <w:sz w:val="24"/>
          <w:szCs w:val="24"/>
        </w:rPr>
        <w:t xml:space="preserve">(1), 124–134. </w:t>
      </w:r>
      <w:hyperlink r:id="rId54" w:history="1">
        <w:r w:rsidRPr="0067287F">
          <w:rPr>
            <w:rFonts w:ascii="Times New Roman" w:hAnsi="Times New Roman"/>
            <w:color w:val="0000FF"/>
            <w:sz w:val="24"/>
            <w:szCs w:val="24"/>
            <w:u w:val="single"/>
          </w:rPr>
          <w:t>https://doi.org/10.54443/morfai.v5i1.2603</w:t>
        </w:r>
      </w:hyperlink>
    </w:p>
    <w:p w14:paraId="72416778"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Prasetyo</w:t>
      </w:r>
      <w:proofErr w:type="spellEnd"/>
      <w:r w:rsidRPr="0067287F">
        <w:rPr>
          <w:rFonts w:ascii="Times New Roman" w:hAnsi="Times New Roman"/>
          <w:sz w:val="24"/>
          <w:szCs w:val="24"/>
        </w:rPr>
        <w:t xml:space="preserve">, Y. T., Tanto, H., </w:t>
      </w:r>
      <w:proofErr w:type="spellStart"/>
      <w:r w:rsidRPr="0067287F">
        <w:rPr>
          <w:rFonts w:ascii="Times New Roman" w:hAnsi="Times New Roman"/>
          <w:sz w:val="24"/>
          <w:szCs w:val="24"/>
        </w:rPr>
        <w:t>Mariyanto</w:t>
      </w:r>
      <w:proofErr w:type="spellEnd"/>
      <w:r w:rsidRPr="0067287F">
        <w:rPr>
          <w:rFonts w:ascii="Times New Roman" w:hAnsi="Times New Roman"/>
          <w:sz w:val="24"/>
          <w:szCs w:val="24"/>
        </w:rPr>
        <w:t xml:space="preserve">, M., </w:t>
      </w:r>
      <w:proofErr w:type="spellStart"/>
      <w:r w:rsidRPr="0067287F">
        <w:rPr>
          <w:rFonts w:ascii="Times New Roman" w:hAnsi="Times New Roman"/>
          <w:sz w:val="24"/>
          <w:szCs w:val="24"/>
        </w:rPr>
        <w:t>Hanjaya</w:t>
      </w:r>
      <w:proofErr w:type="spellEnd"/>
      <w:r w:rsidRPr="0067287F">
        <w:rPr>
          <w:rFonts w:ascii="Times New Roman" w:hAnsi="Times New Roman"/>
          <w:sz w:val="24"/>
          <w:szCs w:val="24"/>
        </w:rPr>
        <w:t xml:space="preserve">, C., Young, M. N., </w:t>
      </w:r>
      <w:proofErr w:type="spellStart"/>
      <w:r w:rsidRPr="0067287F">
        <w:rPr>
          <w:rFonts w:ascii="Times New Roman" w:hAnsi="Times New Roman"/>
          <w:sz w:val="24"/>
          <w:szCs w:val="24"/>
        </w:rPr>
        <w:t>Persada</w:t>
      </w:r>
      <w:proofErr w:type="spellEnd"/>
      <w:r w:rsidRPr="0067287F">
        <w:rPr>
          <w:rFonts w:ascii="Times New Roman" w:hAnsi="Times New Roman"/>
          <w:sz w:val="24"/>
          <w:szCs w:val="24"/>
        </w:rPr>
        <w:t xml:space="preserve">, S. F., </w:t>
      </w:r>
      <w:proofErr w:type="spellStart"/>
      <w:r w:rsidRPr="0067287F">
        <w:rPr>
          <w:rFonts w:ascii="Times New Roman" w:hAnsi="Times New Roman"/>
          <w:sz w:val="24"/>
          <w:szCs w:val="24"/>
        </w:rPr>
        <w:t>Miraja</w:t>
      </w:r>
      <w:proofErr w:type="spellEnd"/>
      <w:r w:rsidRPr="0067287F">
        <w:rPr>
          <w:rFonts w:ascii="Times New Roman" w:hAnsi="Times New Roman"/>
          <w:sz w:val="24"/>
          <w:szCs w:val="24"/>
        </w:rPr>
        <w:t xml:space="preserve">, B. A., &amp; Redi, A. A. N. P. (2021). Factors affecting customer satisfaction and loyalty in online food delivery service during the COVID-19 pandemic: Its relation with open innovation. </w:t>
      </w:r>
      <w:r w:rsidRPr="0067287F">
        <w:rPr>
          <w:rFonts w:ascii="Times New Roman" w:hAnsi="Times New Roman"/>
          <w:i/>
          <w:iCs/>
          <w:sz w:val="24"/>
          <w:szCs w:val="24"/>
        </w:rPr>
        <w:t>Journal of Open Innovation: Technology, Market, and Complexity, 7</w:t>
      </w:r>
      <w:r w:rsidRPr="0067287F">
        <w:rPr>
          <w:rFonts w:ascii="Times New Roman" w:hAnsi="Times New Roman"/>
          <w:sz w:val="24"/>
          <w:szCs w:val="24"/>
        </w:rPr>
        <w:t xml:space="preserve">(1), Article 76. </w:t>
      </w:r>
      <w:hyperlink r:id="rId55" w:history="1">
        <w:r w:rsidRPr="0067287F">
          <w:rPr>
            <w:rFonts w:ascii="Times New Roman" w:hAnsi="Times New Roman"/>
            <w:color w:val="0000FF"/>
            <w:sz w:val="24"/>
            <w:szCs w:val="24"/>
            <w:u w:val="single"/>
          </w:rPr>
          <w:t>https://doi.org/10.3390/joitmc7010076</w:t>
        </w:r>
      </w:hyperlink>
    </w:p>
    <w:p w14:paraId="522B575D"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lastRenderedPageBreak/>
        <w:t xml:space="preserve">Rahman, W. A. W. A., &amp; Saidin, Z. H. (2025). Post-sales service quality and brand image as predictors of customer loyalty in Malaysia’s automotive sector. </w:t>
      </w:r>
      <w:r w:rsidRPr="0067287F">
        <w:rPr>
          <w:rFonts w:ascii="Times New Roman" w:hAnsi="Times New Roman"/>
          <w:i/>
          <w:iCs/>
          <w:sz w:val="24"/>
          <w:szCs w:val="24"/>
        </w:rPr>
        <w:t>Open Journal of Social Sciences, 13</w:t>
      </w:r>
      <w:r w:rsidRPr="0067287F">
        <w:rPr>
          <w:rFonts w:ascii="Times New Roman" w:hAnsi="Times New Roman"/>
          <w:sz w:val="24"/>
          <w:szCs w:val="24"/>
        </w:rPr>
        <w:t xml:space="preserve">(8), 302–317. </w:t>
      </w:r>
      <w:hyperlink r:id="rId56" w:history="1">
        <w:r w:rsidRPr="0067287F">
          <w:rPr>
            <w:rFonts w:ascii="Times New Roman" w:hAnsi="Times New Roman"/>
            <w:color w:val="0000FF"/>
            <w:sz w:val="24"/>
            <w:szCs w:val="24"/>
            <w:u w:val="single"/>
          </w:rPr>
          <w:t>https://doi.org/10.4236/jss.2025.138019</w:t>
        </w:r>
      </w:hyperlink>
    </w:p>
    <w:p w14:paraId="63C3636C"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Rehman, M. A. U., Hussain, Z., &amp; Ghafoor, M. (2020). The impact of service quality dimensions on customers’ trust. </w:t>
      </w:r>
      <w:r w:rsidRPr="0067287F">
        <w:rPr>
          <w:rFonts w:ascii="Times New Roman" w:hAnsi="Times New Roman"/>
          <w:i/>
          <w:iCs/>
          <w:sz w:val="24"/>
          <w:szCs w:val="24"/>
        </w:rPr>
        <w:t>Journal of Business and Social Review in Emerging Economies, 6</w:t>
      </w:r>
      <w:r w:rsidRPr="0067287F">
        <w:rPr>
          <w:rFonts w:ascii="Times New Roman" w:hAnsi="Times New Roman"/>
          <w:sz w:val="24"/>
          <w:szCs w:val="24"/>
        </w:rPr>
        <w:t xml:space="preserve">(2), 557–563. </w:t>
      </w:r>
      <w:hyperlink r:id="rId57" w:history="1">
        <w:r w:rsidRPr="0067287F">
          <w:rPr>
            <w:rFonts w:ascii="Times New Roman" w:hAnsi="Times New Roman"/>
            <w:color w:val="0000FF"/>
            <w:sz w:val="24"/>
            <w:szCs w:val="24"/>
            <w:u w:val="single"/>
          </w:rPr>
          <w:t>https://doi.org/10.26710/jbsee.v6i2.1181</w:t>
        </w:r>
      </w:hyperlink>
    </w:p>
    <w:p w14:paraId="59CA21DD" w14:textId="770EA79A"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Ren, S., Kwon, S. D., &amp; Cho, W. S. (2020). </w:t>
      </w:r>
      <w:r w:rsidRPr="0067287F">
        <w:rPr>
          <w:rFonts w:ascii="Times New Roman" w:hAnsi="Times New Roman"/>
          <w:i/>
          <w:iCs/>
          <w:sz w:val="24"/>
          <w:szCs w:val="24"/>
        </w:rPr>
        <w:t>Online food delivery (OFD) services in Cambodia: A study of the factors influencing consumers’ behavioral intentions to use</w:t>
      </w:r>
      <w:r w:rsidRPr="0067287F">
        <w:rPr>
          <w:rFonts w:ascii="Times New Roman" w:hAnsi="Times New Roman"/>
          <w:sz w:val="24"/>
          <w:szCs w:val="24"/>
        </w:rPr>
        <w:t xml:space="preserve"> [Manuscript]. ResearchGate. </w:t>
      </w:r>
    </w:p>
    <w:p w14:paraId="3A821040"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Sabeh, H. N., Husin, M. H., Kee, D. M. H., </w:t>
      </w:r>
      <w:proofErr w:type="spellStart"/>
      <w:r w:rsidRPr="0067287F">
        <w:rPr>
          <w:rFonts w:ascii="Times New Roman" w:hAnsi="Times New Roman"/>
          <w:sz w:val="24"/>
          <w:szCs w:val="24"/>
        </w:rPr>
        <w:t>Baharudini</w:t>
      </w:r>
      <w:proofErr w:type="spellEnd"/>
      <w:r w:rsidRPr="0067287F">
        <w:rPr>
          <w:rFonts w:ascii="Times New Roman" w:hAnsi="Times New Roman"/>
          <w:sz w:val="24"/>
          <w:szCs w:val="24"/>
        </w:rPr>
        <w:t xml:space="preserve">, A. H., &amp; Abdullah, R. (2021). A systematic review of the </w:t>
      </w:r>
      <w:proofErr w:type="spellStart"/>
      <w:r w:rsidRPr="0067287F">
        <w:rPr>
          <w:rFonts w:ascii="Times New Roman" w:hAnsi="Times New Roman"/>
          <w:sz w:val="24"/>
          <w:szCs w:val="24"/>
        </w:rPr>
        <w:t>DeLone</w:t>
      </w:r>
      <w:proofErr w:type="spellEnd"/>
      <w:r w:rsidRPr="0067287F">
        <w:rPr>
          <w:rFonts w:ascii="Times New Roman" w:hAnsi="Times New Roman"/>
          <w:sz w:val="24"/>
          <w:szCs w:val="24"/>
        </w:rPr>
        <w:t xml:space="preserve"> and McLean model of information systems success in an e-learning context (2010–2020). </w:t>
      </w:r>
      <w:r w:rsidRPr="0067287F">
        <w:rPr>
          <w:rFonts w:ascii="Times New Roman" w:hAnsi="Times New Roman"/>
          <w:i/>
          <w:iCs/>
          <w:sz w:val="24"/>
          <w:szCs w:val="24"/>
        </w:rPr>
        <w:t>IEEE Access, 9</w:t>
      </w:r>
      <w:r w:rsidRPr="0067287F">
        <w:rPr>
          <w:rFonts w:ascii="Times New Roman" w:hAnsi="Times New Roman"/>
          <w:sz w:val="24"/>
          <w:szCs w:val="24"/>
        </w:rPr>
        <w:t xml:space="preserve">, 81210–81235. </w:t>
      </w:r>
      <w:hyperlink r:id="rId58" w:history="1">
        <w:r w:rsidRPr="0067287F">
          <w:rPr>
            <w:rFonts w:ascii="Times New Roman" w:hAnsi="Times New Roman"/>
            <w:color w:val="0000FF"/>
            <w:sz w:val="24"/>
            <w:szCs w:val="24"/>
            <w:u w:val="single"/>
          </w:rPr>
          <w:t>https://doi.org/10.1109/ACCESS.2021.3084815</w:t>
        </w:r>
      </w:hyperlink>
    </w:p>
    <w:p w14:paraId="2AB62F7C"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Santiago, M. (2025). Service quality of all mile delivery: A comprehensive literature review. </w:t>
      </w:r>
      <w:r w:rsidRPr="0067287F">
        <w:rPr>
          <w:rFonts w:ascii="Times New Roman" w:hAnsi="Times New Roman"/>
          <w:i/>
          <w:iCs/>
          <w:sz w:val="24"/>
          <w:szCs w:val="24"/>
        </w:rPr>
        <w:t>Journal of Economics, Management and Trade, 31</w:t>
      </w:r>
      <w:r w:rsidRPr="0067287F">
        <w:rPr>
          <w:rFonts w:ascii="Times New Roman" w:hAnsi="Times New Roman"/>
          <w:sz w:val="24"/>
          <w:szCs w:val="24"/>
        </w:rPr>
        <w:t xml:space="preserve">(7), 180–195. </w:t>
      </w:r>
      <w:hyperlink r:id="rId59" w:history="1">
        <w:r w:rsidRPr="0067287F">
          <w:rPr>
            <w:rFonts w:ascii="Times New Roman" w:hAnsi="Times New Roman"/>
            <w:color w:val="0000FF"/>
            <w:sz w:val="24"/>
            <w:szCs w:val="24"/>
            <w:u w:val="single"/>
          </w:rPr>
          <w:t>https://doi.org/10.9734/jemt/2025/v31i71320</w:t>
        </w:r>
      </w:hyperlink>
    </w:p>
    <w:p w14:paraId="2A485F6C"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Schermelleh</w:t>
      </w:r>
      <w:proofErr w:type="spellEnd"/>
      <w:r w:rsidRPr="0067287F">
        <w:rPr>
          <w:rFonts w:ascii="Times New Roman" w:hAnsi="Times New Roman"/>
          <w:sz w:val="24"/>
          <w:szCs w:val="24"/>
        </w:rPr>
        <w:t xml:space="preserve">-Engel, K., Moosbrugger, H., &amp; Müller, H. (2003). Evaluating the fit of structural equation models: Tests of significance and descriptive goodness-of-fit measures. </w:t>
      </w:r>
      <w:r w:rsidRPr="0067287F">
        <w:rPr>
          <w:rFonts w:ascii="Times New Roman" w:hAnsi="Times New Roman"/>
          <w:i/>
          <w:iCs/>
          <w:sz w:val="24"/>
          <w:szCs w:val="24"/>
        </w:rPr>
        <w:t>Methods of Psychological Research Online, 8</w:t>
      </w:r>
      <w:r w:rsidRPr="0067287F">
        <w:rPr>
          <w:rFonts w:ascii="Times New Roman" w:hAnsi="Times New Roman"/>
          <w:sz w:val="24"/>
          <w:szCs w:val="24"/>
        </w:rPr>
        <w:t xml:space="preserve">(2), 23–74. </w:t>
      </w:r>
      <w:hyperlink r:id="rId60" w:history="1">
        <w:r w:rsidRPr="0067287F">
          <w:rPr>
            <w:rFonts w:ascii="Times New Roman" w:hAnsi="Times New Roman"/>
            <w:color w:val="0000FF"/>
            <w:sz w:val="24"/>
            <w:szCs w:val="24"/>
            <w:u w:val="single"/>
          </w:rPr>
          <w:t>https://doi.org/10.23668/psycharchives.12784</w:t>
        </w:r>
      </w:hyperlink>
    </w:p>
    <w:p w14:paraId="35816EA1"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Seo, K., &amp; Roh, T. (2025). Online and offline delivery qualities: O2O satisfaction and loyalty through technology acceptance model. </w:t>
      </w:r>
      <w:r w:rsidRPr="0067287F">
        <w:rPr>
          <w:rFonts w:ascii="Times New Roman" w:hAnsi="Times New Roman"/>
          <w:i/>
          <w:iCs/>
          <w:sz w:val="24"/>
          <w:szCs w:val="24"/>
        </w:rPr>
        <w:t>Journal of Retailing and Consumer Services, 82</w:t>
      </w:r>
      <w:r w:rsidRPr="0067287F">
        <w:rPr>
          <w:rFonts w:ascii="Times New Roman" w:hAnsi="Times New Roman"/>
          <w:sz w:val="24"/>
          <w:szCs w:val="24"/>
        </w:rPr>
        <w:t xml:space="preserve">, Article 104079. </w:t>
      </w:r>
      <w:hyperlink r:id="rId61" w:history="1">
        <w:r w:rsidRPr="0067287F">
          <w:rPr>
            <w:rFonts w:ascii="Times New Roman" w:hAnsi="Times New Roman"/>
            <w:color w:val="0000FF"/>
            <w:sz w:val="24"/>
            <w:szCs w:val="24"/>
            <w:u w:val="single"/>
          </w:rPr>
          <w:t>https://doi.org/10.1016/j.jretconser.2024.104079</w:t>
        </w:r>
      </w:hyperlink>
    </w:p>
    <w:p w14:paraId="417DD966"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Shetu, S. N., Islam, M. M., &amp; </w:t>
      </w:r>
      <w:proofErr w:type="spellStart"/>
      <w:r w:rsidRPr="0067287F">
        <w:rPr>
          <w:rFonts w:ascii="Times New Roman" w:hAnsi="Times New Roman"/>
          <w:sz w:val="24"/>
          <w:szCs w:val="24"/>
        </w:rPr>
        <w:t>Promi</w:t>
      </w:r>
      <w:proofErr w:type="spellEnd"/>
      <w:r w:rsidRPr="0067287F">
        <w:rPr>
          <w:rFonts w:ascii="Times New Roman" w:hAnsi="Times New Roman"/>
          <w:sz w:val="24"/>
          <w:szCs w:val="24"/>
        </w:rPr>
        <w:t xml:space="preserve">, S. I. (2022). An empirical investigation of the continued usage intention of digital wallets: The moderating role of perceived technological innovativeness. </w:t>
      </w:r>
      <w:r w:rsidRPr="0067287F">
        <w:rPr>
          <w:rFonts w:ascii="Times New Roman" w:hAnsi="Times New Roman"/>
          <w:i/>
          <w:iCs/>
          <w:sz w:val="24"/>
          <w:szCs w:val="24"/>
        </w:rPr>
        <w:t>Future Business Journal, 8</w:t>
      </w:r>
      <w:r w:rsidRPr="0067287F">
        <w:rPr>
          <w:rFonts w:ascii="Times New Roman" w:hAnsi="Times New Roman"/>
          <w:sz w:val="24"/>
          <w:szCs w:val="24"/>
        </w:rPr>
        <w:t xml:space="preserve">, Article 43. </w:t>
      </w:r>
      <w:hyperlink r:id="rId62" w:history="1">
        <w:r w:rsidRPr="0067287F">
          <w:rPr>
            <w:rFonts w:ascii="Times New Roman" w:hAnsi="Times New Roman"/>
            <w:color w:val="0000FF"/>
            <w:sz w:val="24"/>
            <w:szCs w:val="24"/>
            <w:u w:val="single"/>
          </w:rPr>
          <w:t>https://doi.org/10.1186/s43093-022-00158-0</w:t>
        </w:r>
      </w:hyperlink>
    </w:p>
    <w:p w14:paraId="1409FFC4"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Sin, C., Sophat, P., &amp; Touch, V. (2024). Determinants of service logistic innovation and its capability in Cambodia using the structural equation model. </w:t>
      </w:r>
      <w:r w:rsidRPr="0067287F">
        <w:rPr>
          <w:rFonts w:ascii="Times New Roman" w:hAnsi="Times New Roman"/>
          <w:i/>
          <w:iCs/>
          <w:sz w:val="24"/>
          <w:szCs w:val="24"/>
        </w:rPr>
        <w:t>SRAWUNG: Journal of Social Sciences and Humanities, 3</w:t>
      </w:r>
      <w:r w:rsidRPr="0067287F">
        <w:rPr>
          <w:rFonts w:ascii="Times New Roman" w:hAnsi="Times New Roman"/>
          <w:sz w:val="24"/>
          <w:szCs w:val="24"/>
        </w:rPr>
        <w:t xml:space="preserve">(1), 58–73. </w:t>
      </w:r>
      <w:hyperlink r:id="rId63" w:history="1">
        <w:r w:rsidRPr="0067287F">
          <w:rPr>
            <w:rFonts w:ascii="Times New Roman" w:hAnsi="Times New Roman"/>
            <w:color w:val="0000FF"/>
            <w:sz w:val="24"/>
            <w:szCs w:val="24"/>
            <w:u w:val="single"/>
          </w:rPr>
          <w:t>https://doi.org/10.2139/ssrn.4838625</w:t>
        </w:r>
      </w:hyperlink>
    </w:p>
    <w:p w14:paraId="5EA5B048"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Sobel, M. E. (1982). Asymptotic confidence intervals for indirect effects in structural equation models. </w:t>
      </w:r>
      <w:r w:rsidRPr="0067287F">
        <w:rPr>
          <w:rFonts w:ascii="Times New Roman" w:hAnsi="Times New Roman"/>
          <w:i/>
          <w:iCs/>
          <w:sz w:val="24"/>
          <w:szCs w:val="24"/>
        </w:rPr>
        <w:t>Sociological Methodology, 13</w:t>
      </w:r>
      <w:r w:rsidRPr="0067287F">
        <w:rPr>
          <w:rFonts w:ascii="Times New Roman" w:hAnsi="Times New Roman"/>
          <w:sz w:val="24"/>
          <w:szCs w:val="24"/>
        </w:rPr>
        <w:t xml:space="preserve">, 290–312. </w:t>
      </w:r>
      <w:hyperlink r:id="rId64" w:history="1">
        <w:r w:rsidRPr="0067287F">
          <w:rPr>
            <w:rFonts w:ascii="Times New Roman" w:hAnsi="Times New Roman"/>
            <w:color w:val="0000FF"/>
            <w:sz w:val="24"/>
            <w:szCs w:val="24"/>
            <w:u w:val="single"/>
          </w:rPr>
          <w:t>https://doi.org/10.2307/270723</w:t>
        </w:r>
      </w:hyperlink>
    </w:p>
    <w:p w14:paraId="1568AF32"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lastRenderedPageBreak/>
        <w:t xml:space="preserve">Srivastava, R., Gupta, P., Kumar, H., &amp; Tuli, N. (2025). Digital customer engagement: A systematic literature review and research agenda. </w:t>
      </w:r>
      <w:r w:rsidRPr="0067287F">
        <w:rPr>
          <w:rFonts w:ascii="Times New Roman" w:hAnsi="Times New Roman"/>
          <w:i/>
          <w:iCs/>
          <w:sz w:val="24"/>
          <w:szCs w:val="24"/>
        </w:rPr>
        <w:t>Australian Journal of Management, 50</w:t>
      </w:r>
      <w:r w:rsidRPr="0067287F">
        <w:rPr>
          <w:rFonts w:ascii="Times New Roman" w:hAnsi="Times New Roman"/>
          <w:sz w:val="24"/>
          <w:szCs w:val="24"/>
        </w:rPr>
        <w:t xml:space="preserve">(1), 220–245. </w:t>
      </w:r>
      <w:hyperlink r:id="rId65" w:history="1">
        <w:r w:rsidRPr="0067287F">
          <w:rPr>
            <w:rFonts w:ascii="Times New Roman" w:hAnsi="Times New Roman"/>
            <w:color w:val="0000FF"/>
            <w:sz w:val="24"/>
            <w:szCs w:val="24"/>
            <w:u w:val="single"/>
          </w:rPr>
          <w:t>https://doi.org/10.1177/03128962231177096</w:t>
        </w:r>
      </w:hyperlink>
    </w:p>
    <w:p w14:paraId="6C15E05C"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Thuannadee</w:t>
      </w:r>
      <w:proofErr w:type="spellEnd"/>
      <w:r w:rsidRPr="0067287F">
        <w:rPr>
          <w:rFonts w:ascii="Times New Roman" w:hAnsi="Times New Roman"/>
          <w:sz w:val="24"/>
          <w:szCs w:val="24"/>
        </w:rPr>
        <w:t xml:space="preserve">, S., &amp; </w:t>
      </w:r>
      <w:proofErr w:type="spellStart"/>
      <w:r w:rsidRPr="0067287F">
        <w:rPr>
          <w:rFonts w:ascii="Times New Roman" w:hAnsi="Times New Roman"/>
          <w:sz w:val="24"/>
          <w:szCs w:val="24"/>
        </w:rPr>
        <w:t>Praneetpholkrang</w:t>
      </w:r>
      <w:proofErr w:type="spellEnd"/>
      <w:r w:rsidRPr="0067287F">
        <w:rPr>
          <w:rFonts w:ascii="Times New Roman" w:hAnsi="Times New Roman"/>
          <w:sz w:val="24"/>
          <w:szCs w:val="24"/>
        </w:rPr>
        <w:t xml:space="preserve">, P. (2026). Effects of service quality, perceived value, customer satisfaction on behavioral intentions in platform-based online food delivery services. </w:t>
      </w:r>
      <w:r w:rsidRPr="0067287F">
        <w:rPr>
          <w:rFonts w:ascii="Times New Roman" w:hAnsi="Times New Roman"/>
          <w:i/>
          <w:iCs/>
          <w:sz w:val="24"/>
          <w:szCs w:val="24"/>
        </w:rPr>
        <w:t>British Food Journal, 128</w:t>
      </w:r>
      <w:r w:rsidRPr="0067287F">
        <w:rPr>
          <w:rFonts w:ascii="Times New Roman" w:hAnsi="Times New Roman"/>
          <w:sz w:val="24"/>
          <w:szCs w:val="24"/>
        </w:rPr>
        <w:t xml:space="preserve">(5), 1874–1892. </w:t>
      </w:r>
      <w:hyperlink r:id="rId66" w:history="1">
        <w:r w:rsidRPr="0067287F">
          <w:rPr>
            <w:rFonts w:ascii="Times New Roman" w:hAnsi="Times New Roman"/>
            <w:color w:val="0000FF"/>
            <w:sz w:val="24"/>
            <w:szCs w:val="24"/>
            <w:u w:val="single"/>
          </w:rPr>
          <w:t>https://doi.org/10.1108/BFJ-05-2025-0611</w:t>
        </w:r>
      </w:hyperlink>
    </w:p>
    <w:p w14:paraId="1E4D2967"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Tran, T. T. Q., Truong, D. A. H., Dau, T. H., Hoang, Q. H., Nguyen, T. P., Tran, T. T. A., &amp; Le, T. T. (2022). Factors affecting individual customer’s satisfaction on the mobile banking service quality during COVID-19 pandemic period: The case of Vietnam. </w:t>
      </w:r>
      <w:r w:rsidRPr="0067287F">
        <w:rPr>
          <w:rFonts w:ascii="Times New Roman" w:hAnsi="Times New Roman"/>
          <w:i/>
          <w:iCs/>
          <w:sz w:val="24"/>
          <w:szCs w:val="24"/>
        </w:rPr>
        <w:t>International Journal of Research and Review, 9</w:t>
      </w:r>
      <w:r w:rsidRPr="0067287F">
        <w:rPr>
          <w:rFonts w:ascii="Times New Roman" w:hAnsi="Times New Roman"/>
          <w:sz w:val="24"/>
          <w:szCs w:val="24"/>
        </w:rPr>
        <w:t xml:space="preserve">(7), 283–298. </w:t>
      </w:r>
      <w:hyperlink r:id="rId67" w:history="1">
        <w:r w:rsidRPr="0067287F">
          <w:rPr>
            <w:rFonts w:ascii="Times New Roman" w:hAnsi="Times New Roman"/>
            <w:color w:val="0000FF"/>
            <w:sz w:val="24"/>
            <w:szCs w:val="24"/>
            <w:u w:val="single"/>
          </w:rPr>
          <w:t>https://doi.org/10.52403/ijrr.20220732</w:t>
        </w:r>
      </w:hyperlink>
    </w:p>
    <w:p w14:paraId="113A1130" w14:textId="7C618073" w:rsidR="0067287F" w:rsidRPr="0067287F" w:rsidRDefault="0067287F" w:rsidP="0067287F">
      <w:pPr>
        <w:spacing w:before="100" w:beforeAutospacing="1" w:after="100" w:afterAutospacing="1"/>
        <w:rPr>
          <w:rFonts w:ascii="Times New Roman" w:hAnsi="Times New Roman"/>
          <w:sz w:val="24"/>
          <w:szCs w:val="24"/>
        </w:rPr>
      </w:pPr>
    </w:p>
    <w:p w14:paraId="7BB21DD3" w14:textId="77777777" w:rsidR="0067287F" w:rsidRPr="0067287F" w:rsidRDefault="0067287F" w:rsidP="0067287F">
      <w:pPr>
        <w:spacing w:before="100" w:beforeAutospacing="1" w:after="100" w:afterAutospacing="1"/>
        <w:rPr>
          <w:rFonts w:ascii="Times New Roman" w:hAnsi="Times New Roman"/>
          <w:sz w:val="24"/>
          <w:szCs w:val="24"/>
        </w:rPr>
      </w:pPr>
      <w:proofErr w:type="spellStart"/>
      <w:r w:rsidRPr="0067287F">
        <w:rPr>
          <w:rFonts w:ascii="Times New Roman" w:hAnsi="Times New Roman"/>
          <w:sz w:val="24"/>
          <w:szCs w:val="24"/>
        </w:rPr>
        <w:t>Uakarn</w:t>
      </w:r>
      <w:proofErr w:type="spellEnd"/>
      <w:r w:rsidRPr="0067287F">
        <w:rPr>
          <w:rFonts w:ascii="Times New Roman" w:hAnsi="Times New Roman"/>
          <w:sz w:val="24"/>
          <w:szCs w:val="24"/>
        </w:rPr>
        <w:t xml:space="preserve">, C., </w:t>
      </w:r>
      <w:proofErr w:type="spellStart"/>
      <w:r w:rsidRPr="0067287F">
        <w:rPr>
          <w:rFonts w:ascii="Times New Roman" w:hAnsi="Times New Roman"/>
          <w:sz w:val="24"/>
          <w:szCs w:val="24"/>
        </w:rPr>
        <w:t>Chaokromthong</w:t>
      </w:r>
      <w:proofErr w:type="spellEnd"/>
      <w:r w:rsidRPr="0067287F">
        <w:rPr>
          <w:rFonts w:ascii="Times New Roman" w:hAnsi="Times New Roman"/>
          <w:sz w:val="24"/>
          <w:szCs w:val="24"/>
        </w:rPr>
        <w:t xml:space="preserve">, K., &amp; </w:t>
      </w:r>
      <w:proofErr w:type="spellStart"/>
      <w:r w:rsidRPr="0067287F">
        <w:rPr>
          <w:rFonts w:ascii="Times New Roman" w:hAnsi="Times New Roman"/>
          <w:sz w:val="24"/>
          <w:szCs w:val="24"/>
        </w:rPr>
        <w:t>Sintao</w:t>
      </w:r>
      <w:proofErr w:type="spellEnd"/>
      <w:r w:rsidRPr="0067287F">
        <w:rPr>
          <w:rFonts w:ascii="Times New Roman" w:hAnsi="Times New Roman"/>
          <w:sz w:val="24"/>
          <w:szCs w:val="24"/>
        </w:rPr>
        <w:t xml:space="preserve">, N. (2021). Sample size estimation using Yamane and Cochran and </w:t>
      </w:r>
      <w:proofErr w:type="spellStart"/>
      <w:r w:rsidRPr="0067287F">
        <w:rPr>
          <w:rFonts w:ascii="Times New Roman" w:hAnsi="Times New Roman"/>
          <w:sz w:val="24"/>
          <w:szCs w:val="24"/>
        </w:rPr>
        <w:t>Krejcie</w:t>
      </w:r>
      <w:proofErr w:type="spellEnd"/>
      <w:r w:rsidRPr="0067287F">
        <w:rPr>
          <w:rFonts w:ascii="Times New Roman" w:hAnsi="Times New Roman"/>
          <w:sz w:val="24"/>
          <w:szCs w:val="24"/>
        </w:rPr>
        <w:t xml:space="preserve"> and Morgan and Green formulas and Cohen statistical power analysis by G*Power and </w:t>
      </w:r>
      <w:proofErr w:type="spellStart"/>
      <w:r w:rsidRPr="0067287F">
        <w:rPr>
          <w:rFonts w:ascii="Times New Roman" w:hAnsi="Times New Roman"/>
          <w:sz w:val="24"/>
          <w:szCs w:val="24"/>
        </w:rPr>
        <w:t>comparisions</w:t>
      </w:r>
      <w:proofErr w:type="spellEnd"/>
      <w:r w:rsidRPr="0067287F">
        <w:rPr>
          <w:rFonts w:ascii="Times New Roman" w:hAnsi="Times New Roman"/>
          <w:sz w:val="24"/>
          <w:szCs w:val="24"/>
        </w:rPr>
        <w:t xml:space="preserve">. </w:t>
      </w:r>
      <w:r w:rsidRPr="0067287F">
        <w:rPr>
          <w:rFonts w:ascii="Times New Roman" w:hAnsi="Times New Roman"/>
          <w:i/>
          <w:iCs/>
          <w:sz w:val="24"/>
          <w:szCs w:val="24"/>
        </w:rPr>
        <w:t>APHEIT International Journal of Interdisciplinary Social Sciences and Technology, 10</w:t>
      </w:r>
      <w:r w:rsidRPr="0067287F">
        <w:rPr>
          <w:rFonts w:ascii="Times New Roman" w:hAnsi="Times New Roman"/>
          <w:sz w:val="24"/>
          <w:szCs w:val="24"/>
        </w:rPr>
        <w:t xml:space="preserve">(2), 76–86. </w:t>
      </w:r>
      <w:hyperlink r:id="rId68" w:history="1">
        <w:r w:rsidRPr="0067287F">
          <w:rPr>
            <w:rFonts w:ascii="Times New Roman" w:hAnsi="Times New Roman"/>
            <w:color w:val="0000FF"/>
            <w:sz w:val="24"/>
            <w:szCs w:val="24"/>
            <w:u w:val="single"/>
          </w:rPr>
          <w:t>https://so04.tci-thaijo.org/index.php/ATI/article/view/254253</w:t>
        </w:r>
      </w:hyperlink>
    </w:p>
    <w:p w14:paraId="7B2F1B1D"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Vu, T. D., Nguyen, B. K., Vu, P. T., Nguyen, T. M. N., &amp; Hoang, C. C. (2025). Promoting customer satisfaction and reuse intention using ride-hailing taxi services: Role of consumer perceived value, personal innovativeness and corporate image. </w:t>
      </w:r>
      <w:r w:rsidRPr="0067287F">
        <w:rPr>
          <w:rFonts w:ascii="Times New Roman" w:hAnsi="Times New Roman"/>
          <w:i/>
          <w:iCs/>
          <w:sz w:val="24"/>
          <w:szCs w:val="24"/>
        </w:rPr>
        <w:t>Asia-Pacific Journal of Business Administration, 17</w:t>
      </w:r>
      <w:r w:rsidRPr="0067287F">
        <w:rPr>
          <w:rFonts w:ascii="Times New Roman" w:hAnsi="Times New Roman"/>
          <w:sz w:val="24"/>
          <w:szCs w:val="24"/>
        </w:rPr>
        <w:t xml:space="preserve">(4), 1021–1047. </w:t>
      </w:r>
      <w:hyperlink r:id="rId69" w:history="1">
        <w:r w:rsidRPr="0067287F">
          <w:rPr>
            <w:rFonts w:ascii="Times New Roman" w:hAnsi="Times New Roman"/>
            <w:color w:val="0000FF"/>
            <w:sz w:val="24"/>
            <w:szCs w:val="24"/>
            <w:u w:val="single"/>
          </w:rPr>
          <w:t>https://doi.org/10.1108/APJBA-11-2023-0570</w:t>
        </w:r>
      </w:hyperlink>
    </w:p>
    <w:p w14:paraId="5930244A"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Wilson, G., Brown, W., &amp; Johnson, O. (2024). </w:t>
      </w:r>
      <w:r w:rsidRPr="0067287F">
        <w:rPr>
          <w:rFonts w:ascii="Times New Roman" w:hAnsi="Times New Roman"/>
          <w:i/>
          <w:iCs/>
          <w:sz w:val="24"/>
          <w:szCs w:val="24"/>
        </w:rPr>
        <w:t>The impact of mobile technologies on consumer behavior in retail marketing</w:t>
      </w:r>
      <w:r w:rsidRPr="0067287F">
        <w:rPr>
          <w:rFonts w:ascii="Times New Roman" w:hAnsi="Times New Roman"/>
          <w:sz w:val="24"/>
          <w:szCs w:val="24"/>
        </w:rPr>
        <w:t xml:space="preserve"> [Preprint]. Preprints.org. </w:t>
      </w:r>
      <w:hyperlink r:id="rId70" w:history="1">
        <w:r w:rsidRPr="0067287F">
          <w:rPr>
            <w:rFonts w:ascii="Times New Roman" w:hAnsi="Times New Roman"/>
            <w:color w:val="0000FF"/>
            <w:sz w:val="24"/>
            <w:szCs w:val="24"/>
            <w:u w:val="single"/>
          </w:rPr>
          <w:t>https://doi.org/10.20944/preprints202407.2030.v1</w:t>
        </w:r>
      </w:hyperlink>
    </w:p>
    <w:p w14:paraId="26ED155C"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Yeo, S. F., Tan, C. L., Teo, S. L., &amp; Tan, K. H. (2021). The role of food apps </w:t>
      </w:r>
      <w:proofErr w:type="spellStart"/>
      <w:r w:rsidRPr="0067287F">
        <w:rPr>
          <w:rFonts w:ascii="Times New Roman" w:hAnsi="Times New Roman"/>
          <w:sz w:val="24"/>
          <w:szCs w:val="24"/>
        </w:rPr>
        <w:t>servitization</w:t>
      </w:r>
      <w:proofErr w:type="spellEnd"/>
      <w:r w:rsidRPr="0067287F">
        <w:rPr>
          <w:rFonts w:ascii="Times New Roman" w:hAnsi="Times New Roman"/>
          <w:sz w:val="24"/>
          <w:szCs w:val="24"/>
        </w:rPr>
        <w:t xml:space="preserve"> on repurchase intention: A study of </w:t>
      </w:r>
      <w:proofErr w:type="spellStart"/>
      <w:r w:rsidRPr="0067287F">
        <w:rPr>
          <w:rFonts w:ascii="Times New Roman" w:hAnsi="Times New Roman"/>
          <w:sz w:val="24"/>
          <w:szCs w:val="24"/>
        </w:rPr>
        <w:t>FoodPanda</w:t>
      </w:r>
      <w:proofErr w:type="spellEnd"/>
      <w:r w:rsidRPr="0067287F">
        <w:rPr>
          <w:rFonts w:ascii="Times New Roman" w:hAnsi="Times New Roman"/>
          <w:sz w:val="24"/>
          <w:szCs w:val="24"/>
        </w:rPr>
        <w:t xml:space="preserve">. </w:t>
      </w:r>
      <w:r w:rsidRPr="0067287F">
        <w:rPr>
          <w:rFonts w:ascii="Times New Roman" w:hAnsi="Times New Roman"/>
          <w:i/>
          <w:iCs/>
          <w:sz w:val="24"/>
          <w:szCs w:val="24"/>
        </w:rPr>
        <w:t>International Journal of Production Economics, 234</w:t>
      </w:r>
      <w:r w:rsidRPr="0067287F">
        <w:rPr>
          <w:rFonts w:ascii="Times New Roman" w:hAnsi="Times New Roman"/>
          <w:sz w:val="24"/>
          <w:szCs w:val="24"/>
        </w:rPr>
        <w:t xml:space="preserve">, Article 108063. </w:t>
      </w:r>
      <w:hyperlink r:id="rId71" w:history="1">
        <w:r w:rsidRPr="0067287F">
          <w:rPr>
            <w:rFonts w:ascii="Times New Roman" w:hAnsi="Times New Roman"/>
            <w:color w:val="0000FF"/>
            <w:sz w:val="24"/>
            <w:szCs w:val="24"/>
            <w:u w:val="single"/>
          </w:rPr>
          <w:t>https://doi.org/10.1016/j.ijpe.2021.108063</w:t>
        </w:r>
      </w:hyperlink>
    </w:p>
    <w:p w14:paraId="7059222A" w14:textId="77777777" w:rsidR="0067287F" w:rsidRPr="0067287F" w:rsidRDefault="0067287F" w:rsidP="0067287F">
      <w:pPr>
        <w:spacing w:before="100" w:beforeAutospacing="1" w:after="100" w:afterAutospacing="1"/>
        <w:rPr>
          <w:rFonts w:ascii="Times New Roman" w:hAnsi="Times New Roman"/>
          <w:sz w:val="24"/>
          <w:szCs w:val="24"/>
        </w:rPr>
      </w:pPr>
      <w:r w:rsidRPr="0067287F">
        <w:rPr>
          <w:rFonts w:ascii="Times New Roman" w:hAnsi="Times New Roman"/>
          <w:sz w:val="24"/>
          <w:szCs w:val="24"/>
        </w:rPr>
        <w:t xml:space="preserve">Zhang, Y.-B., &amp; Kim, H.-K. (2021). A study on the factors affecting satisfaction and reuse intention among customers using O2O delivery platform in China. </w:t>
      </w:r>
      <w:r w:rsidRPr="0067287F">
        <w:rPr>
          <w:rFonts w:ascii="Times New Roman" w:hAnsi="Times New Roman"/>
          <w:i/>
          <w:iCs/>
          <w:sz w:val="24"/>
          <w:szCs w:val="24"/>
        </w:rPr>
        <w:t>Journal of System and Management Sciences, 11</w:t>
      </w:r>
      <w:r w:rsidRPr="0067287F">
        <w:rPr>
          <w:rFonts w:ascii="Times New Roman" w:hAnsi="Times New Roman"/>
          <w:sz w:val="24"/>
          <w:szCs w:val="24"/>
        </w:rPr>
        <w:t xml:space="preserve">(3), 58–74. </w:t>
      </w:r>
      <w:hyperlink r:id="rId72" w:history="1">
        <w:r w:rsidRPr="0067287F">
          <w:rPr>
            <w:rFonts w:ascii="Times New Roman" w:hAnsi="Times New Roman"/>
            <w:color w:val="0000FF"/>
            <w:sz w:val="24"/>
            <w:szCs w:val="24"/>
            <w:u w:val="single"/>
          </w:rPr>
          <w:t>https://doi.org/10.33168/JSMS.2021.0304</w:t>
        </w:r>
      </w:hyperlink>
    </w:p>
    <w:p w14:paraId="61910C48" w14:textId="77777777" w:rsidR="0067287F" w:rsidRPr="00FE45F6" w:rsidRDefault="0067287F" w:rsidP="00057F86">
      <w:pPr>
        <w:spacing w:line="360" w:lineRule="auto"/>
        <w:jc w:val="both"/>
        <w:rPr>
          <w:rFonts w:ascii="Arial" w:eastAsia="Calibri" w:hAnsi="Arial" w:cs="Arial"/>
          <w:b/>
          <w:bCs/>
          <w:sz w:val="24"/>
          <w:szCs w:val="40"/>
          <w:lang w:bidi="km-KH"/>
        </w:rPr>
      </w:pPr>
    </w:p>
    <w:sectPr w:rsidR="0067287F" w:rsidRPr="00FE45F6" w:rsidSect="009C4AE1">
      <w:type w:val="continuous"/>
      <w:pgSz w:w="12240" w:h="15840"/>
      <w:pgMar w:top="1440" w:right="2016" w:bottom="2016" w:left="2016" w:header="720" w:footer="1123" w:gutter="0"/>
      <w:lnNumType w:countBy="1" w:restart="continuou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5B52" w14:textId="77777777" w:rsidR="00F30AF8" w:rsidRDefault="00F30AF8" w:rsidP="00C37E61">
      <w:r>
        <w:separator/>
      </w:r>
    </w:p>
  </w:endnote>
  <w:endnote w:type="continuationSeparator" w:id="0">
    <w:p w14:paraId="5FEBAD58" w14:textId="77777777" w:rsidR="00F30AF8" w:rsidRDefault="00F30AF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unPenh">
    <w:charset w:val="00"/>
    <w:family w:val="auto"/>
    <w:pitch w:val="variable"/>
    <w:sig w:usb0="80000003" w:usb1="00000000" w:usb2="00010000" w:usb3="00000000" w:csb0="00000001" w:csb1="00000000"/>
  </w:font>
  <w:font w:name="Book Antiqua">
    <w:panose1 w:val="02040602050305030304"/>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763F" w14:textId="77777777" w:rsidR="009E048A" w:rsidRDefault="009E048A">
    <w:pPr>
      <w:pStyle w:val="Footer"/>
      <w:rPr>
        <w:rFonts w:ascii="Arial" w:hAnsi="Arial" w:cs="Arial"/>
        <w:sz w:val="16"/>
      </w:rPr>
    </w:pPr>
  </w:p>
  <w:p w14:paraId="61D247F8"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5B1FE350" w14:textId="77777777" w:rsidR="009E048A" w:rsidRDefault="009E048A">
    <w:pPr>
      <w:pStyle w:val="Footer"/>
      <w:rPr>
        <w:rFonts w:ascii="Arial" w:hAnsi="Arial" w:cs="Arial"/>
        <w:sz w:val="16"/>
      </w:rPr>
    </w:pPr>
  </w:p>
  <w:p w14:paraId="71605551"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A9C1" w14:textId="77777777" w:rsidR="00F30AF8" w:rsidRDefault="00F30AF8" w:rsidP="00C37E61">
      <w:r>
        <w:separator/>
      </w:r>
    </w:p>
  </w:footnote>
  <w:footnote w:type="continuationSeparator" w:id="0">
    <w:p w14:paraId="44D25BAA" w14:textId="77777777" w:rsidR="00F30AF8" w:rsidRDefault="00F30AF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2D8B" w14:textId="77777777" w:rsidR="00296529" w:rsidRPr="00296529" w:rsidRDefault="00296529" w:rsidP="00296529">
    <w:pPr>
      <w:ind w:left="2160"/>
      <w:jc w:val="center"/>
      <w:rPr>
        <w:rFonts w:ascii="Times New Roman" w:eastAsia="Calibri" w:hAnsi="Times New Roman"/>
        <w:i/>
        <w:sz w:val="18"/>
        <w:szCs w:val="22"/>
      </w:rPr>
    </w:pPr>
  </w:p>
  <w:p w14:paraId="46C4D6D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873739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0263C86"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5ECC44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732012D"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463F615"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956314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39843323">
    <w:abstractNumId w:val="15"/>
  </w:num>
  <w:num w:numId="3" w16cid:durableId="213006043">
    <w:abstractNumId w:val="23"/>
  </w:num>
  <w:num w:numId="4" w16cid:durableId="205372543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91938700">
    <w:abstractNumId w:val="7"/>
  </w:num>
  <w:num w:numId="6" w16cid:durableId="1512989528">
    <w:abstractNumId w:val="6"/>
  </w:num>
  <w:num w:numId="7" w16cid:durableId="11803989">
    <w:abstractNumId w:val="1"/>
  </w:num>
  <w:num w:numId="8" w16cid:durableId="1171412448">
    <w:abstractNumId w:val="12"/>
  </w:num>
  <w:num w:numId="9" w16cid:durableId="1165363302">
    <w:abstractNumId w:val="25"/>
  </w:num>
  <w:num w:numId="10" w16cid:durableId="380636458">
    <w:abstractNumId w:val="2"/>
  </w:num>
  <w:num w:numId="11" w16cid:durableId="517083909">
    <w:abstractNumId w:val="18"/>
  </w:num>
  <w:num w:numId="12" w16cid:durableId="910045682">
    <w:abstractNumId w:val="3"/>
  </w:num>
  <w:num w:numId="13" w16cid:durableId="1250458997">
    <w:abstractNumId w:val="17"/>
  </w:num>
  <w:num w:numId="14" w16cid:durableId="1828740930">
    <w:abstractNumId w:val="8"/>
  </w:num>
  <w:num w:numId="15" w16cid:durableId="338972990">
    <w:abstractNumId w:val="21"/>
  </w:num>
  <w:num w:numId="16" w16cid:durableId="1065958757">
    <w:abstractNumId w:val="5"/>
  </w:num>
  <w:num w:numId="17" w16cid:durableId="1164006385">
    <w:abstractNumId w:val="22"/>
  </w:num>
  <w:num w:numId="18" w16cid:durableId="275916417">
    <w:abstractNumId w:val="14"/>
  </w:num>
  <w:num w:numId="19" w16cid:durableId="1400979458">
    <w:abstractNumId w:val="28"/>
  </w:num>
  <w:num w:numId="20" w16cid:durableId="1709647953">
    <w:abstractNumId w:val="11"/>
  </w:num>
  <w:num w:numId="21" w16cid:durableId="408237521">
    <w:abstractNumId w:val="9"/>
  </w:num>
  <w:num w:numId="22" w16cid:durableId="10229993">
    <w:abstractNumId w:val="13"/>
  </w:num>
  <w:num w:numId="23" w16cid:durableId="1018121732">
    <w:abstractNumId w:val="19"/>
  </w:num>
  <w:num w:numId="24" w16cid:durableId="1223951267">
    <w:abstractNumId w:val="26"/>
  </w:num>
  <w:num w:numId="25" w16cid:durableId="425343120">
    <w:abstractNumId w:val="4"/>
  </w:num>
  <w:num w:numId="26" w16cid:durableId="1095370589">
    <w:abstractNumId w:val="16"/>
  </w:num>
  <w:num w:numId="27" w16cid:durableId="1323579651">
    <w:abstractNumId w:val="20"/>
  </w:num>
  <w:num w:numId="28" w16cid:durableId="611784437">
    <w:abstractNumId w:val="27"/>
  </w:num>
  <w:num w:numId="29" w16cid:durableId="46803583">
    <w:abstractNumId w:val="24"/>
  </w:num>
  <w:num w:numId="30" w16cid:durableId="780228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7120"/>
    <w:rsid w:val="000104CA"/>
    <w:rsid w:val="0001300A"/>
    <w:rsid w:val="0002241C"/>
    <w:rsid w:val="00030174"/>
    <w:rsid w:val="0004579C"/>
    <w:rsid w:val="00046617"/>
    <w:rsid w:val="00047615"/>
    <w:rsid w:val="00052195"/>
    <w:rsid w:val="000548E9"/>
    <w:rsid w:val="00057F86"/>
    <w:rsid w:val="00060303"/>
    <w:rsid w:val="00063665"/>
    <w:rsid w:val="00082D6A"/>
    <w:rsid w:val="000928D0"/>
    <w:rsid w:val="000A3516"/>
    <w:rsid w:val="000A47FA"/>
    <w:rsid w:val="000A65D3"/>
    <w:rsid w:val="000B1E33"/>
    <w:rsid w:val="000B5653"/>
    <w:rsid w:val="000B77F6"/>
    <w:rsid w:val="000C0D22"/>
    <w:rsid w:val="000C3318"/>
    <w:rsid w:val="000C70B4"/>
    <w:rsid w:val="000D1DB8"/>
    <w:rsid w:val="000D4BE3"/>
    <w:rsid w:val="000D689F"/>
    <w:rsid w:val="000E2739"/>
    <w:rsid w:val="000E7B7B"/>
    <w:rsid w:val="000E7D62"/>
    <w:rsid w:val="000F0CD6"/>
    <w:rsid w:val="00103357"/>
    <w:rsid w:val="0010665C"/>
    <w:rsid w:val="00110A61"/>
    <w:rsid w:val="0011159F"/>
    <w:rsid w:val="0012117C"/>
    <w:rsid w:val="00123C9F"/>
    <w:rsid w:val="00126190"/>
    <w:rsid w:val="001268F5"/>
    <w:rsid w:val="0012772C"/>
    <w:rsid w:val="00130F17"/>
    <w:rsid w:val="001320BF"/>
    <w:rsid w:val="00136671"/>
    <w:rsid w:val="00137181"/>
    <w:rsid w:val="00144ECF"/>
    <w:rsid w:val="00157EB4"/>
    <w:rsid w:val="0016329D"/>
    <w:rsid w:val="00163BC4"/>
    <w:rsid w:val="00164FA7"/>
    <w:rsid w:val="001654E6"/>
    <w:rsid w:val="00165EE4"/>
    <w:rsid w:val="001664C3"/>
    <w:rsid w:val="00173A33"/>
    <w:rsid w:val="00176204"/>
    <w:rsid w:val="00184456"/>
    <w:rsid w:val="00191062"/>
    <w:rsid w:val="0019178D"/>
    <w:rsid w:val="0019248C"/>
    <w:rsid w:val="00192B72"/>
    <w:rsid w:val="0019502F"/>
    <w:rsid w:val="001A1A7B"/>
    <w:rsid w:val="001A29D8"/>
    <w:rsid w:val="001A46DB"/>
    <w:rsid w:val="001A5CAA"/>
    <w:rsid w:val="001A6DBE"/>
    <w:rsid w:val="001B0427"/>
    <w:rsid w:val="001B251B"/>
    <w:rsid w:val="001C2BE8"/>
    <w:rsid w:val="001C5D12"/>
    <w:rsid w:val="001C6B2A"/>
    <w:rsid w:val="001D22BC"/>
    <w:rsid w:val="001D2E96"/>
    <w:rsid w:val="001D3A51"/>
    <w:rsid w:val="001D435D"/>
    <w:rsid w:val="001E10D2"/>
    <w:rsid w:val="001E25B4"/>
    <w:rsid w:val="001E2852"/>
    <w:rsid w:val="001E348C"/>
    <w:rsid w:val="001E44FE"/>
    <w:rsid w:val="001F0C04"/>
    <w:rsid w:val="001F3265"/>
    <w:rsid w:val="001F561F"/>
    <w:rsid w:val="001F5FE2"/>
    <w:rsid w:val="00200595"/>
    <w:rsid w:val="00204835"/>
    <w:rsid w:val="00206598"/>
    <w:rsid w:val="002124C4"/>
    <w:rsid w:val="00213B70"/>
    <w:rsid w:val="00230156"/>
    <w:rsid w:val="00231920"/>
    <w:rsid w:val="0023195C"/>
    <w:rsid w:val="00240B45"/>
    <w:rsid w:val="0024282C"/>
    <w:rsid w:val="00243FA8"/>
    <w:rsid w:val="002460DC"/>
    <w:rsid w:val="00250985"/>
    <w:rsid w:val="00253205"/>
    <w:rsid w:val="002556F6"/>
    <w:rsid w:val="00262068"/>
    <w:rsid w:val="002702E4"/>
    <w:rsid w:val="002731F8"/>
    <w:rsid w:val="00277818"/>
    <w:rsid w:val="0028188D"/>
    <w:rsid w:val="00283105"/>
    <w:rsid w:val="00284C4C"/>
    <w:rsid w:val="00285870"/>
    <w:rsid w:val="00286CC7"/>
    <w:rsid w:val="00287E68"/>
    <w:rsid w:val="00296529"/>
    <w:rsid w:val="002B27FB"/>
    <w:rsid w:val="002B3241"/>
    <w:rsid w:val="002B4B2D"/>
    <w:rsid w:val="002B685A"/>
    <w:rsid w:val="002C57D2"/>
    <w:rsid w:val="002C65D4"/>
    <w:rsid w:val="002D5492"/>
    <w:rsid w:val="002D7F0D"/>
    <w:rsid w:val="002E0D56"/>
    <w:rsid w:val="002E1A72"/>
    <w:rsid w:val="002E5624"/>
    <w:rsid w:val="002F4C49"/>
    <w:rsid w:val="002F6AF0"/>
    <w:rsid w:val="00301677"/>
    <w:rsid w:val="00301A3A"/>
    <w:rsid w:val="003032E2"/>
    <w:rsid w:val="003045EE"/>
    <w:rsid w:val="00310B42"/>
    <w:rsid w:val="00315186"/>
    <w:rsid w:val="00324532"/>
    <w:rsid w:val="0033343E"/>
    <w:rsid w:val="003338E3"/>
    <w:rsid w:val="00342AD3"/>
    <w:rsid w:val="003512C2"/>
    <w:rsid w:val="0036596E"/>
    <w:rsid w:val="003708C7"/>
    <w:rsid w:val="00371FB6"/>
    <w:rsid w:val="00372710"/>
    <w:rsid w:val="003763C1"/>
    <w:rsid w:val="00376BBE"/>
    <w:rsid w:val="003826BE"/>
    <w:rsid w:val="00392190"/>
    <w:rsid w:val="0039224F"/>
    <w:rsid w:val="00395C59"/>
    <w:rsid w:val="003A43A4"/>
    <w:rsid w:val="003A7E18"/>
    <w:rsid w:val="003C4818"/>
    <w:rsid w:val="003C4C86"/>
    <w:rsid w:val="003C6184"/>
    <w:rsid w:val="003C6258"/>
    <w:rsid w:val="003C673F"/>
    <w:rsid w:val="003D4E9E"/>
    <w:rsid w:val="003E0A00"/>
    <w:rsid w:val="003E2904"/>
    <w:rsid w:val="003F0AAE"/>
    <w:rsid w:val="003F39FB"/>
    <w:rsid w:val="00401927"/>
    <w:rsid w:val="0040388C"/>
    <w:rsid w:val="0041027F"/>
    <w:rsid w:val="00412475"/>
    <w:rsid w:val="0041795F"/>
    <w:rsid w:val="00421E37"/>
    <w:rsid w:val="00422F33"/>
    <w:rsid w:val="00423789"/>
    <w:rsid w:val="00430B36"/>
    <w:rsid w:val="00435C3A"/>
    <w:rsid w:val="00440F43"/>
    <w:rsid w:val="00441B6F"/>
    <w:rsid w:val="00446221"/>
    <w:rsid w:val="00446B01"/>
    <w:rsid w:val="004503A3"/>
    <w:rsid w:val="00450A16"/>
    <w:rsid w:val="00450E62"/>
    <w:rsid w:val="004539DB"/>
    <w:rsid w:val="004612B3"/>
    <w:rsid w:val="004622EC"/>
    <w:rsid w:val="00462D5B"/>
    <w:rsid w:val="00464F63"/>
    <w:rsid w:val="00471A80"/>
    <w:rsid w:val="004764CD"/>
    <w:rsid w:val="004810B3"/>
    <w:rsid w:val="00483D94"/>
    <w:rsid w:val="004844EA"/>
    <w:rsid w:val="0049754C"/>
    <w:rsid w:val="004A0152"/>
    <w:rsid w:val="004A3DCB"/>
    <w:rsid w:val="004B3B66"/>
    <w:rsid w:val="004C208F"/>
    <w:rsid w:val="004D305E"/>
    <w:rsid w:val="004D4277"/>
    <w:rsid w:val="004D787F"/>
    <w:rsid w:val="00502516"/>
    <w:rsid w:val="00503EE8"/>
    <w:rsid w:val="00505F06"/>
    <w:rsid w:val="00506828"/>
    <w:rsid w:val="00506F24"/>
    <w:rsid w:val="00506FDA"/>
    <w:rsid w:val="005101AA"/>
    <w:rsid w:val="005131E6"/>
    <w:rsid w:val="00521854"/>
    <w:rsid w:val="00521EBA"/>
    <w:rsid w:val="00525321"/>
    <w:rsid w:val="00527D28"/>
    <w:rsid w:val="0053056E"/>
    <w:rsid w:val="005334DB"/>
    <w:rsid w:val="00537C8B"/>
    <w:rsid w:val="00541B2C"/>
    <w:rsid w:val="00542584"/>
    <w:rsid w:val="00554FDA"/>
    <w:rsid w:val="005624D1"/>
    <w:rsid w:val="005655C4"/>
    <w:rsid w:val="00574204"/>
    <w:rsid w:val="00577003"/>
    <w:rsid w:val="00581DE8"/>
    <w:rsid w:val="00587517"/>
    <w:rsid w:val="00596FC1"/>
    <w:rsid w:val="005A1149"/>
    <w:rsid w:val="005B0662"/>
    <w:rsid w:val="005C752A"/>
    <w:rsid w:val="005C784C"/>
    <w:rsid w:val="005D17F6"/>
    <w:rsid w:val="005D397A"/>
    <w:rsid w:val="005D4A6F"/>
    <w:rsid w:val="005D4E36"/>
    <w:rsid w:val="005E0D04"/>
    <w:rsid w:val="005E5539"/>
    <w:rsid w:val="005E754C"/>
    <w:rsid w:val="005F7169"/>
    <w:rsid w:val="006013A0"/>
    <w:rsid w:val="00602BF5"/>
    <w:rsid w:val="00603A45"/>
    <w:rsid w:val="00606518"/>
    <w:rsid w:val="00617ED6"/>
    <w:rsid w:val="00617FDD"/>
    <w:rsid w:val="006322BD"/>
    <w:rsid w:val="00632D2F"/>
    <w:rsid w:val="00633614"/>
    <w:rsid w:val="00633F68"/>
    <w:rsid w:val="00634D09"/>
    <w:rsid w:val="00635F17"/>
    <w:rsid w:val="00636EB2"/>
    <w:rsid w:val="006375B8"/>
    <w:rsid w:val="006416CB"/>
    <w:rsid w:val="006423BA"/>
    <w:rsid w:val="00647788"/>
    <w:rsid w:val="00651508"/>
    <w:rsid w:val="00652F3F"/>
    <w:rsid w:val="00654D67"/>
    <w:rsid w:val="006600D0"/>
    <w:rsid w:val="0066098F"/>
    <w:rsid w:val="00662D23"/>
    <w:rsid w:val="0066510A"/>
    <w:rsid w:val="0067287F"/>
    <w:rsid w:val="00673F9F"/>
    <w:rsid w:val="0067616A"/>
    <w:rsid w:val="0068410B"/>
    <w:rsid w:val="006857B8"/>
    <w:rsid w:val="00685C6F"/>
    <w:rsid w:val="00686953"/>
    <w:rsid w:val="006874B5"/>
    <w:rsid w:val="00687DEA"/>
    <w:rsid w:val="00687E67"/>
    <w:rsid w:val="00693AB6"/>
    <w:rsid w:val="006966B5"/>
    <w:rsid w:val="006967F7"/>
    <w:rsid w:val="00696BD9"/>
    <w:rsid w:val="006A250C"/>
    <w:rsid w:val="006A2913"/>
    <w:rsid w:val="006A36FC"/>
    <w:rsid w:val="006B0109"/>
    <w:rsid w:val="006B21D3"/>
    <w:rsid w:val="006B3281"/>
    <w:rsid w:val="006B421D"/>
    <w:rsid w:val="006B57D0"/>
    <w:rsid w:val="006B657A"/>
    <w:rsid w:val="006D30FF"/>
    <w:rsid w:val="006D4235"/>
    <w:rsid w:val="006D6940"/>
    <w:rsid w:val="006E24EE"/>
    <w:rsid w:val="006E4438"/>
    <w:rsid w:val="006F11EC"/>
    <w:rsid w:val="0070082C"/>
    <w:rsid w:val="00714CC8"/>
    <w:rsid w:val="007210F1"/>
    <w:rsid w:val="007229B8"/>
    <w:rsid w:val="00726A26"/>
    <w:rsid w:val="00727B46"/>
    <w:rsid w:val="00730D09"/>
    <w:rsid w:val="00731916"/>
    <w:rsid w:val="00732E52"/>
    <w:rsid w:val="00733D1C"/>
    <w:rsid w:val="007369E6"/>
    <w:rsid w:val="00746E59"/>
    <w:rsid w:val="00753E4E"/>
    <w:rsid w:val="00754C9A"/>
    <w:rsid w:val="00754EB2"/>
    <w:rsid w:val="0075599A"/>
    <w:rsid w:val="00760437"/>
    <w:rsid w:val="00761389"/>
    <w:rsid w:val="00761D52"/>
    <w:rsid w:val="00772E50"/>
    <w:rsid w:val="0077749E"/>
    <w:rsid w:val="00781C03"/>
    <w:rsid w:val="00790ADA"/>
    <w:rsid w:val="00790FD8"/>
    <w:rsid w:val="007913D9"/>
    <w:rsid w:val="00791867"/>
    <w:rsid w:val="00796321"/>
    <w:rsid w:val="007B1B45"/>
    <w:rsid w:val="007B4168"/>
    <w:rsid w:val="007B4629"/>
    <w:rsid w:val="007B502A"/>
    <w:rsid w:val="007C0FFB"/>
    <w:rsid w:val="007C335A"/>
    <w:rsid w:val="007C4277"/>
    <w:rsid w:val="007C4D0C"/>
    <w:rsid w:val="007D10B7"/>
    <w:rsid w:val="007D2288"/>
    <w:rsid w:val="007D408F"/>
    <w:rsid w:val="007D5B40"/>
    <w:rsid w:val="007E088F"/>
    <w:rsid w:val="007F685A"/>
    <w:rsid w:val="007F68F3"/>
    <w:rsid w:val="007F7B32"/>
    <w:rsid w:val="00800283"/>
    <w:rsid w:val="0080157B"/>
    <w:rsid w:val="00803D27"/>
    <w:rsid w:val="008042B5"/>
    <w:rsid w:val="00804BC2"/>
    <w:rsid w:val="0081028A"/>
    <w:rsid w:val="00810FC3"/>
    <w:rsid w:val="00813860"/>
    <w:rsid w:val="0081431A"/>
    <w:rsid w:val="00814395"/>
    <w:rsid w:val="0082000F"/>
    <w:rsid w:val="00824C4C"/>
    <w:rsid w:val="0083216F"/>
    <w:rsid w:val="00833D82"/>
    <w:rsid w:val="008519A1"/>
    <w:rsid w:val="00855613"/>
    <w:rsid w:val="00860000"/>
    <w:rsid w:val="00861A39"/>
    <w:rsid w:val="008630BF"/>
    <w:rsid w:val="00863BD3"/>
    <w:rsid w:val="008640F0"/>
    <w:rsid w:val="008641ED"/>
    <w:rsid w:val="008666DE"/>
    <w:rsid w:val="00866D66"/>
    <w:rsid w:val="008671C6"/>
    <w:rsid w:val="00867A55"/>
    <w:rsid w:val="0087090D"/>
    <w:rsid w:val="00874158"/>
    <w:rsid w:val="00875803"/>
    <w:rsid w:val="00875E8B"/>
    <w:rsid w:val="008819C3"/>
    <w:rsid w:val="0089395B"/>
    <w:rsid w:val="00894201"/>
    <w:rsid w:val="008A5A4C"/>
    <w:rsid w:val="008A7556"/>
    <w:rsid w:val="008A7F24"/>
    <w:rsid w:val="008B1252"/>
    <w:rsid w:val="008B2E6F"/>
    <w:rsid w:val="008B459E"/>
    <w:rsid w:val="008B4D74"/>
    <w:rsid w:val="008C17F6"/>
    <w:rsid w:val="008C5A2E"/>
    <w:rsid w:val="008C65FF"/>
    <w:rsid w:val="008D65DF"/>
    <w:rsid w:val="008E13AE"/>
    <w:rsid w:val="008E1506"/>
    <w:rsid w:val="008E6D12"/>
    <w:rsid w:val="008E710C"/>
    <w:rsid w:val="008F69D6"/>
    <w:rsid w:val="00902823"/>
    <w:rsid w:val="00903A84"/>
    <w:rsid w:val="00915CA6"/>
    <w:rsid w:val="0091612D"/>
    <w:rsid w:val="00920151"/>
    <w:rsid w:val="00927834"/>
    <w:rsid w:val="009306DF"/>
    <w:rsid w:val="00931A12"/>
    <w:rsid w:val="009325DA"/>
    <w:rsid w:val="009337F3"/>
    <w:rsid w:val="00945CF8"/>
    <w:rsid w:val="009500A6"/>
    <w:rsid w:val="00952BA8"/>
    <w:rsid w:val="00957C18"/>
    <w:rsid w:val="009659BA"/>
    <w:rsid w:val="00970399"/>
    <w:rsid w:val="00972D84"/>
    <w:rsid w:val="0097531B"/>
    <w:rsid w:val="00983040"/>
    <w:rsid w:val="009A3840"/>
    <w:rsid w:val="009B3FB9"/>
    <w:rsid w:val="009B6D2C"/>
    <w:rsid w:val="009C1FF8"/>
    <w:rsid w:val="009C2465"/>
    <w:rsid w:val="009C3C58"/>
    <w:rsid w:val="009C3E20"/>
    <w:rsid w:val="009C4AE1"/>
    <w:rsid w:val="009C72FE"/>
    <w:rsid w:val="009D35A0"/>
    <w:rsid w:val="009D4098"/>
    <w:rsid w:val="009D7EB7"/>
    <w:rsid w:val="009E048A"/>
    <w:rsid w:val="009E08E9"/>
    <w:rsid w:val="009E1CFE"/>
    <w:rsid w:val="009E3DB9"/>
    <w:rsid w:val="009E6E35"/>
    <w:rsid w:val="009F0EDA"/>
    <w:rsid w:val="00A03B96"/>
    <w:rsid w:val="00A0452C"/>
    <w:rsid w:val="00A05403"/>
    <w:rsid w:val="00A05B19"/>
    <w:rsid w:val="00A1134E"/>
    <w:rsid w:val="00A122A6"/>
    <w:rsid w:val="00A12B81"/>
    <w:rsid w:val="00A14DAD"/>
    <w:rsid w:val="00A20B58"/>
    <w:rsid w:val="00A20FF5"/>
    <w:rsid w:val="00A24E7E"/>
    <w:rsid w:val="00A24F7E"/>
    <w:rsid w:val="00A258C3"/>
    <w:rsid w:val="00A347C0"/>
    <w:rsid w:val="00A411C7"/>
    <w:rsid w:val="00A451F5"/>
    <w:rsid w:val="00A51431"/>
    <w:rsid w:val="00A539AD"/>
    <w:rsid w:val="00A566B0"/>
    <w:rsid w:val="00A830C9"/>
    <w:rsid w:val="00A85FB6"/>
    <w:rsid w:val="00A86FD9"/>
    <w:rsid w:val="00A94063"/>
    <w:rsid w:val="00A94087"/>
    <w:rsid w:val="00AA069B"/>
    <w:rsid w:val="00AA2A4E"/>
    <w:rsid w:val="00AA6219"/>
    <w:rsid w:val="00AA6B10"/>
    <w:rsid w:val="00AA74E0"/>
    <w:rsid w:val="00AB3BAD"/>
    <w:rsid w:val="00AB3C17"/>
    <w:rsid w:val="00AB51FC"/>
    <w:rsid w:val="00AB703F"/>
    <w:rsid w:val="00AB79A7"/>
    <w:rsid w:val="00AC5AB0"/>
    <w:rsid w:val="00AC6564"/>
    <w:rsid w:val="00AC6BB8"/>
    <w:rsid w:val="00AC7D0D"/>
    <w:rsid w:val="00AD1DCC"/>
    <w:rsid w:val="00AE008F"/>
    <w:rsid w:val="00AE4498"/>
    <w:rsid w:val="00B01A6F"/>
    <w:rsid w:val="00B01FCD"/>
    <w:rsid w:val="00B04495"/>
    <w:rsid w:val="00B05817"/>
    <w:rsid w:val="00B05EB5"/>
    <w:rsid w:val="00B126AD"/>
    <w:rsid w:val="00B1776C"/>
    <w:rsid w:val="00B233EC"/>
    <w:rsid w:val="00B24155"/>
    <w:rsid w:val="00B52583"/>
    <w:rsid w:val="00B52868"/>
    <w:rsid w:val="00B52896"/>
    <w:rsid w:val="00B531FC"/>
    <w:rsid w:val="00B57443"/>
    <w:rsid w:val="00B614C9"/>
    <w:rsid w:val="00B70FBB"/>
    <w:rsid w:val="00B808EE"/>
    <w:rsid w:val="00B847FA"/>
    <w:rsid w:val="00B84B7B"/>
    <w:rsid w:val="00B95236"/>
    <w:rsid w:val="00B96BD9"/>
    <w:rsid w:val="00BA1B01"/>
    <w:rsid w:val="00BA2641"/>
    <w:rsid w:val="00BA3E02"/>
    <w:rsid w:val="00BB37AA"/>
    <w:rsid w:val="00BC3147"/>
    <w:rsid w:val="00BC53A0"/>
    <w:rsid w:val="00BC61C0"/>
    <w:rsid w:val="00BD7F14"/>
    <w:rsid w:val="00BE62AD"/>
    <w:rsid w:val="00BF121F"/>
    <w:rsid w:val="00BF1F80"/>
    <w:rsid w:val="00BF42FC"/>
    <w:rsid w:val="00C130D0"/>
    <w:rsid w:val="00C166EF"/>
    <w:rsid w:val="00C17EB0"/>
    <w:rsid w:val="00C20A65"/>
    <w:rsid w:val="00C22319"/>
    <w:rsid w:val="00C226B1"/>
    <w:rsid w:val="00C27F5F"/>
    <w:rsid w:val="00C30A0F"/>
    <w:rsid w:val="00C30E11"/>
    <w:rsid w:val="00C37E61"/>
    <w:rsid w:val="00C405ED"/>
    <w:rsid w:val="00C40C6C"/>
    <w:rsid w:val="00C445B0"/>
    <w:rsid w:val="00C51CAC"/>
    <w:rsid w:val="00C54790"/>
    <w:rsid w:val="00C625B7"/>
    <w:rsid w:val="00C62745"/>
    <w:rsid w:val="00C70F1B"/>
    <w:rsid w:val="00C71A47"/>
    <w:rsid w:val="00C7464C"/>
    <w:rsid w:val="00C754E2"/>
    <w:rsid w:val="00C85588"/>
    <w:rsid w:val="00C857F5"/>
    <w:rsid w:val="00C91077"/>
    <w:rsid w:val="00C93992"/>
    <w:rsid w:val="00CA593E"/>
    <w:rsid w:val="00CC6CF4"/>
    <w:rsid w:val="00CD6755"/>
    <w:rsid w:val="00CD6856"/>
    <w:rsid w:val="00CE0089"/>
    <w:rsid w:val="00CE6C40"/>
    <w:rsid w:val="00CE793C"/>
    <w:rsid w:val="00CF193C"/>
    <w:rsid w:val="00CF1FDE"/>
    <w:rsid w:val="00CF53BE"/>
    <w:rsid w:val="00D0465E"/>
    <w:rsid w:val="00D173F1"/>
    <w:rsid w:val="00D21D48"/>
    <w:rsid w:val="00D275A5"/>
    <w:rsid w:val="00D44FF1"/>
    <w:rsid w:val="00D4644B"/>
    <w:rsid w:val="00D47A7E"/>
    <w:rsid w:val="00D565BC"/>
    <w:rsid w:val="00D638BD"/>
    <w:rsid w:val="00D63C2E"/>
    <w:rsid w:val="00D74CB0"/>
    <w:rsid w:val="00D77C82"/>
    <w:rsid w:val="00D8295D"/>
    <w:rsid w:val="00D84311"/>
    <w:rsid w:val="00D930DA"/>
    <w:rsid w:val="00D93ED8"/>
    <w:rsid w:val="00DA7668"/>
    <w:rsid w:val="00DB6649"/>
    <w:rsid w:val="00DC248C"/>
    <w:rsid w:val="00DC2A65"/>
    <w:rsid w:val="00DC4A85"/>
    <w:rsid w:val="00DD506D"/>
    <w:rsid w:val="00DD74EB"/>
    <w:rsid w:val="00DE15F0"/>
    <w:rsid w:val="00DE4148"/>
    <w:rsid w:val="00DE5663"/>
    <w:rsid w:val="00DE78AA"/>
    <w:rsid w:val="00DF7471"/>
    <w:rsid w:val="00E053D0"/>
    <w:rsid w:val="00E12A27"/>
    <w:rsid w:val="00E15994"/>
    <w:rsid w:val="00E2108C"/>
    <w:rsid w:val="00E3114E"/>
    <w:rsid w:val="00E31A70"/>
    <w:rsid w:val="00E35B02"/>
    <w:rsid w:val="00E3627A"/>
    <w:rsid w:val="00E41F4E"/>
    <w:rsid w:val="00E42DE5"/>
    <w:rsid w:val="00E43B43"/>
    <w:rsid w:val="00E448FD"/>
    <w:rsid w:val="00E576A3"/>
    <w:rsid w:val="00E66496"/>
    <w:rsid w:val="00E66B35"/>
    <w:rsid w:val="00E66E10"/>
    <w:rsid w:val="00E67F4D"/>
    <w:rsid w:val="00E769F6"/>
    <w:rsid w:val="00E8407C"/>
    <w:rsid w:val="00E84F3C"/>
    <w:rsid w:val="00E86BD3"/>
    <w:rsid w:val="00E86FBE"/>
    <w:rsid w:val="00EA012C"/>
    <w:rsid w:val="00EB2F9E"/>
    <w:rsid w:val="00EC0232"/>
    <w:rsid w:val="00EC211E"/>
    <w:rsid w:val="00EC5856"/>
    <w:rsid w:val="00EC6A55"/>
    <w:rsid w:val="00EC7DC6"/>
    <w:rsid w:val="00ED0288"/>
    <w:rsid w:val="00EE0719"/>
    <w:rsid w:val="00EE3DBA"/>
    <w:rsid w:val="00EE52CB"/>
    <w:rsid w:val="00EE5E52"/>
    <w:rsid w:val="00EE7A9A"/>
    <w:rsid w:val="00EF28D6"/>
    <w:rsid w:val="00EF581D"/>
    <w:rsid w:val="00EF678F"/>
    <w:rsid w:val="00EF7FD8"/>
    <w:rsid w:val="00F01B63"/>
    <w:rsid w:val="00F033D2"/>
    <w:rsid w:val="00F06F59"/>
    <w:rsid w:val="00F1270C"/>
    <w:rsid w:val="00F1624F"/>
    <w:rsid w:val="00F17988"/>
    <w:rsid w:val="00F214A1"/>
    <w:rsid w:val="00F245A7"/>
    <w:rsid w:val="00F24BBF"/>
    <w:rsid w:val="00F30973"/>
    <w:rsid w:val="00F30AF8"/>
    <w:rsid w:val="00F30B94"/>
    <w:rsid w:val="00F32F5B"/>
    <w:rsid w:val="00F469F0"/>
    <w:rsid w:val="00F52493"/>
    <w:rsid w:val="00F53273"/>
    <w:rsid w:val="00F629F7"/>
    <w:rsid w:val="00F660B9"/>
    <w:rsid w:val="00F755E4"/>
    <w:rsid w:val="00F76A9D"/>
    <w:rsid w:val="00F77D02"/>
    <w:rsid w:val="00FB37CB"/>
    <w:rsid w:val="00FB3A86"/>
    <w:rsid w:val="00FB3D93"/>
    <w:rsid w:val="00FB5C8B"/>
    <w:rsid w:val="00FC00B8"/>
    <w:rsid w:val="00FC0415"/>
    <w:rsid w:val="00FC0431"/>
    <w:rsid w:val="00FC62B6"/>
    <w:rsid w:val="00FD15DF"/>
    <w:rsid w:val="00FD36C8"/>
    <w:rsid w:val="00FD5E71"/>
    <w:rsid w:val="00FE45F6"/>
    <w:rsid w:val="00FF3F2D"/>
    <w:rsid w:val="00FF5141"/>
    <w:rsid w:val="00FF5D06"/>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41D2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5">
    <w:name w:val="heading 5"/>
    <w:basedOn w:val="Normal"/>
    <w:next w:val="Normal"/>
    <w:link w:val="Heading5Char"/>
    <w:semiHidden/>
    <w:unhideWhenUsed/>
    <w:qFormat/>
    <w:rsid w:val="00FC00B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Subtitle">
    <w:name w:val="Subtitle"/>
    <w:basedOn w:val="Normal"/>
    <w:next w:val="Normal"/>
    <w:link w:val="SubtitleChar"/>
    <w:uiPriority w:val="11"/>
    <w:qFormat/>
    <w:rsid w:val="009C4AE1"/>
    <w:pPr>
      <w:keepNext/>
      <w:keepLines/>
      <w:spacing w:before="360" w:after="80" w:line="259" w:lineRule="auto"/>
    </w:pPr>
    <w:rPr>
      <w:rFonts w:ascii="Georgia" w:eastAsia="Georgia" w:hAnsi="Georgia" w:cs="Georgia"/>
      <w:i/>
      <w:iCs/>
      <w:color w:val="666666"/>
      <w:sz w:val="48"/>
      <w:szCs w:val="48"/>
      <w:lang w:val="en-ID" w:bidi="km-KH"/>
    </w:rPr>
  </w:style>
  <w:style w:type="character" w:customStyle="1" w:styleId="SubtitleChar">
    <w:name w:val="Subtitle Char"/>
    <w:basedOn w:val="DefaultParagraphFont"/>
    <w:link w:val="Subtitle"/>
    <w:uiPriority w:val="11"/>
    <w:rsid w:val="009C4AE1"/>
    <w:rPr>
      <w:rFonts w:ascii="Georgia" w:eastAsia="Georgia" w:hAnsi="Georgia" w:cs="Georgia"/>
      <w:i/>
      <w:iCs/>
      <w:color w:val="666666"/>
      <w:sz w:val="48"/>
      <w:szCs w:val="48"/>
      <w:lang w:val="en-ID" w:bidi="km-KH"/>
    </w:rPr>
  </w:style>
  <w:style w:type="character" w:styleId="Strong">
    <w:name w:val="Strong"/>
    <w:basedOn w:val="DefaultParagraphFont"/>
    <w:uiPriority w:val="22"/>
    <w:qFormat/>
    <w:rsid w:val="00606518"/>
    <w:rPr>
      <w:b/>
      <w:bCs/>
    </w:rPr>
  </w:style>
  <w:style w:type="character" w:customStyle="1" w:styleId="Heading5Char">
    <w:name w:val="Heading 5 Char"/>
    <w:basedOn w:val="DefaultParagraphFont"/>
    <w:link w:val="Heading5"/>
    <w:semiHidden/>
    <w:rsid w:val="00FC00B8"/>
    <w:rPr>
      <w:rFonts w:asciiTheme="majorHAnsi" w:eastAsiaTheme="majorEastAsia" w:hAnsiTheme="majorHAnsi" w:cstheme="majorBidi"/>
      <w:color w:val="365F91" w:themeColor="accent1" w:themeShade="BF"/>
    </w:rPr>
  </w:style>
  <w:style w:type="character" w:styleId="PlaceholderText">
    <w:name w:val="Placeholder Text"/>
    <w:basedOn w:val="DefaultParagraphFont"/>
    <w:uiPriority w:val="99"/>
    <w:semiHidden/>
    <w:rsid w:val="007B4168"/>
    <w:rPr>
      <w:color w:val="808080"/>
    </w:rPr>
  </w:style>
  <w:style w:type="paragraph" w:styleId="ListParagraph">
    <w:name w:val="List Paragraph"/>
    <w:basedOn w:val="Normal"/>
    <w:uiPriority w:val="34"/>
    <w:qFormat/>
    <w:rsid w:val="00C405ED"/>
    <w:pPr>
      <w:ind w:left="720"/>
      <w:contextualSpacing/>
    </w:pPr>
  </w:style>
  <w:style w:type="table" w:customStyle="1" w:styleId="TableGrid2">
    <w:name w:val="Table Grid2"/>
    <w:basedOn w:val="TableNormal"/>
    <w:next w:val="TableGrid"/>
    <w:uiPriority w:val="39"/>
    <w:rsid w:val="00FF5141"/>
    <w:pPr>
      <w:jc w:val="both"/>
    </w:pPr>
    <w:rPr>
      <w:rFonts w:ascii="Calibri" w:eastAsia="Calibri" w:hAnsi="Calibri" w:cs="DaunPenh"/>
      <w:sz w:val="22"/>
      <w:szCs w:val="36"/>
      <w:lang w:bidi="km-K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DF7471"/>
    <w:pPr>
      <w:spacing w:before="100" w:beforeAutospacing="1" w:after="100" w:afterAutospacing="1"/>
    </w:pPr>
    <w:rPr>
      <w:rFonts w:ascii="Times New Roman" w:hAnsi="Times New Roman"/>
      <w:sz w:val="24"/>
      <w:szCs w:val="24"/>
      <w:lang w:bidi="km-KH"/>
    </w:rPr>
  </w:style>
  <w:style w:type="paragraph" w:styleId="NormalWeb">
    <w:name w:val="Normal (Web)"/>
    <w:basedOn w:val="Normal"/>
    <w:uiPriority w:val="99"/>
    <w:semiHidden/>
    <w:unhideWhenUsed/>
    <w:rsid w:val="00DF7471"/>
    <w:pPr>
      <w:spacing w:before="100" w:beforeAutospacing="1" w:after="100" w:afterAutospacing="1"/>
    </w:pPr>
    <w:rPr>
      <w:rFonts w:ascii="Times New Roman" w:hAnsi="Times New Roman"/>
      <w:sz w:val="24"/>
      <w:szCs w:val="24"/>
      <w:lang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2707946">
      <w:bodyDiv w:val="1"/>
      <w:marLeft w:val="0"/>
      <w:marRight w:val="0"/>
      <w:marTop w:val="0"/>
      <w:marBottom w:val="0"/>
      <w:divBdr>
        <w:top w:val="none" w:sz="0" w:space="0" w:color="auto"/>
        <w:left w:val="none" w:sz="0" w:space="0" w:color="auto"/>
        <w:bottom w:val="none" w:sz="0" w:space="0" w:color="auto"/>
        <w:right w:val="none" w:sz="0" w:space="0" w:color="auto"/>
      </w:divBdr>
      <w:divsChild>
        <w:div w:id="1385524875">
          <w:marLeft w:val="0"/>
          <w:marRight w:val="0"/>
          <w:marTop w:val="0"/>
          <w:marBottom w:val="0"/>
          <w:divBdr>
            <w:top w:val="none" w:sz="0" w:space="0" w:color="auto"/>
            <w:left w:val="none" w:sz="0" w:space="0" w:color="auto"/>
            <w:bottom w:val="none" w:sz="0" w:space="0" w:color="auto"/>
            <w:right w:val="none" w:sz="0" w:space="0" w:color="auto"/>
          </w:divBdr>
          <w:divsChild>
            <w:div w:id="770004713">
              <w:marLeft w:val="0"/>
              <w:marRight w:val="0"/>
              <w:marTop w:val="0"/>
              <w:marBottom w:val="0"/>
              <w:divBdr>
                <w:top w:val="none" w:sz="0" w:space="0" w:color="auto"/>
                <w:left w:val="none" w:sz="0" w:space="0" w:color="auto"/>
                <w:bottom w:val="none" w:sz="0" w:space="0" w:color="auto"/>
                <w:right w:val="none" w:sz="0" w:space="0" w:color="auto"/>
              </w:divBdr>
              <w:divsChild>
                <w:div w:id="673992981">
                  <w:marLeft w:val="0"/>
                  <w:marRight w:val="0"/>
                  <w:marTop w:val="0"/>
                  <w:marBottom w:val="0"/>
                  <w:divBdr>
                    <w:top w:val="none" w:sz="0" w:space="0" w:color="auto"/>
                    <w:left w:val="none" w:sz="0" w:space="0" w:color="auto"/>
                    <w:bottom w:val="none" w:sz="0" w:space="0" w:color="auto"/>
                    <w:right w:val="none" w:sz="0" w:space="0" w:color="auto"/>
                  </w:divBdr>
                  <w:divsChild>
                    <w:div w:id="922304064">
                      <w:marLeft w:val="0"/>
                      <w:marRight w:val="0"/>
                      <w:marTop w:val="0"/>
                      <w:marBottom w:val="0"/>
                      <w:divBdr>
                        <w:top w:val="none" w:sz="0" w:space="0" w:color="auto"/>
                        <w:left w:val="none" w:sz="0" w:space="0" w:color="auto"/>
                        <w:bottom w:val="none" w:sz="0" w:space="0" w:color="auto"/>
                        <w:right w:val="none" w:sz="0" w:space="0" w:color="auto"/>
                      </w:divBdr>
                      <w:divsChild>
                        <w:div w:id="1130706085">
                          <w:marLeft w:val="0"/>
                          <w:marRight w:val="0"/>
                          <w:marTop w:val="0"/>
                          <w:marBottom w:val="0"/>
                          <w:divBdr>
                            <w:top w:val="none" w:sz="0" w:space="0" w:color="auto"/>
                            <w:left w:val="none" w:sz="0" w:space="0" w:color="auto"/>
                            <w:bottom w:val="none" w:sz="0" w:space="0" w:color="auto"/>
                            <w:right w:val="none" w:sz="0" w:space="0" w:color="auto"/>
                          </w:divBdr>
                          <w:divsChild>
                            <w:div w:id="1308901078">
                              <w:marLeft w:val="0"/>
                              <w:marRight w:val="0"/>
                              <w:marTop w:val="0"/>
                              <w:marBottom w:val="0"/>
                              <w:divBdr>
                                <w:top w:val="none" w:sz="0" w:space="0" w:color="auto"/>
                                <w:left w:val="none" w:sz="0" w:space="0" w:color="auto"/>
                                <w:bottom w:val="none" w:sz="0" w:space="0" w:color="auto"/>
                                <w:right w:val="none" w:sz="0" w:space="0" w:color="auto"/>
                              </w:divBdr>
                              <w:divsChild>
                                <w:div w:id="17140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63551">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0358465">
      <w:bodyDiv w:val="1"/>
      <w:marLeft w:val="0"/>
      <w:marRight w:val="0"/>
      <w:marTop w:val="0"/>
      <w:marBottom w:val="0"/>
      <w:divBdr>
        <w:top w:val="none" w:sz="0" w:space="0" w:color="auto"/>
        <w:left w:val="none" w:sz="0" w:space="0" w:color="auto"/>
        <w:bottom w:val="none" w:sz="0" w:space="0" w:color="auto"/>
        <w:right w:val="none" w:sz="0" w:space="0" w:color="auto"/>
      </w:divBdr>
      <w:divsChild>
        <w:div w:id="1043746431">
          <w:marLeft w:val="0"/>
          <w:marRight w:val="0"/>
          <w:marTop w:val="0"/>
          <w:marBottom w:val="0"/>
          <w:divBdr>
            <w:top w:val="none" w:sz="0" w:space="0" w:color="auto"/>
            <w:left w:val="none" w:sz="0" w:space="0" w:color="auto"/>
            <w:bottom w:val="none" w:sz="0" w:space="0" w:color="auto"/>
            <w:right w:val="none" w:sz="0" w:space="0" w:color="auto"/>
          </w:divBdr>
          <w:divsChild>
            <w:div w:id="1082261545">
              <w:marLeft w:val="0"/>
              <w:marRight w:val="0"/>
              <w:marTop w:val="0"/>
              <w:marBottom w:val="0"/>
              <w:divBdr>
                <w:top w:val="none" w:sz="0" w:space="0" w:color="auto"/>
                <w:left w:val="none" w:sz="0" w:space="0" w:color="auto"/>
                <w:bottom w:val="none" w:sz="0" w:space="0" w:color="auto"/>
                <w:right w:val="none" w:sz="0" w:space="0" w:color="auto"/>
              </w:divBdr>
              <w:divsChild>
                <w:div w:id="1961063717">
                  <w:marLeft w:val="0"/>
                  <w:marRight w:val="0"/>
                  <w:marTop w:val="0"/>
                  <w:marBottom w:val="0"/>
                  <w:divBdr>
                    <w:top w:val="none" w:sz="0" w:space="0" w:color="auto"/>
                    <w:left w:val="none" w:sz="0" w:space="0" w:color="auto"/>
                    <w:bottom w:val="none" w:sz="0" w:space="0" w:color="auto"/>
                    <w:right w:val="none" w:sz="0" w:space="0" w:color="auto"/>
                  </w:divBdr>
                  <w:divsChild>
                    <w:div w:id="1397970119">
                      <w:marLeft w:val="0"/>
                      <w:marRight w:val="0"/>
                      <w:marTop w:val="0"/>
                      <w:marBottom w:val="0"/>
                      <w:divBdr>
                        <w:top w:val="none" w:sz="0" w:space="0" w:color="auto"/>
                        <w:left w:val="none" w:sz="0" w:space="0" w:color="auto"/>
                        <w:bottom w:val="none" w:sz="0" w:space="0" w:color="auto"/>
                        <w:right w:val="none" w:sz="0" w:space="0" w:color="auto"/>
                      </w:divBdr>
                      <w:divsChild>
                        <w:div w:id="1656297506">
                          <w:marLeft w:val="0"/>
                          <w:marRight w:val="0"/>
                          <w:marTop w:val="0"/>
                          <w:marBottom w:val="0"/>
                          <w:divBdr>
                            <w:top w:val="none" w:sz="0" w:space="0" w:color="auto"/>
                            <w:left w:val="none" w:sz="0" w:space="0" w:color="auto"/>
                            <w:bottom w:val="none" w:sz="0" w:space="0" w:color="auto"/>
                            <w:right w:val="none" w:sz="0" w:space="0" w:color="auto"/>
                          </w:divBdr>
                          <w:divsChild>
                            <w:div w:id="1580558196">
                              <w:marLeft w:val="0"/>
                              <w:marRight w:val="0"/>
                              <w:marTop w:val="0"/>
                              <w:marBottom w:val="0"/>
                              <w:divBdr>
                                <w:top w:val="none" w:sz="0" w:space="0" w:color="auto"/>
                                <w:left w:val="none" w:sz="0" w:space="0" w:color="auto"/>
                                <w:bottom w:val="none" w:sz="0" w:space="0" w:color="auto"/>
                                <w:right w:val="none" w:sz="0" w:space="0" w:color="auto"/>
                              </w:divBdr>
                              <w:divsChild>
                                <w:div w:id="18131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380746">
      <w:bodyDiv w:val="1"/>
      <w:marLeft w:val="0"/>
      <w:marRight w:val="0"/>
      <w:marTop w:val="0"/>
      <w:marBottom w:val="0"/>
      <w:divBdr>
        <w:top w:val="none" w:sz="0" w:space="0" w:color="auto"/>
        <w:left w:val="none" w:sz="0" w:space="0" w:color="auto"/>
        <w:bottom w:val="none" w:sz="0" w:space="0" w:color="auto"/>
        <w:right w:val="none" w:sz="0" w:space="0" w:color="auto"/>
      </w:divBdr>
    </w:div>
    <w:div w:id="57170146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78793691">
      <w:bodyDiv w:val="1"/>
      <w:marLeft w:val="0"/>
      <w:marRight w:val="0"/>
      <w:marTop w:val="0"/>
      <w:marBottom w:val="0"/>
      <w:divBdr>
        <w:top w:val="none" w:sz="0" w:space="0" w:color="auto"/>
        <w:left w:val="none" w:sz="0" w:space="0" w:color="auto"/>
        <w:bottom w:val="none" w:sz="0" w:space="0" w:color="auto"/>
        <w:right w:val="none" w:sz="0" w:space="0" w:color="auto"/>
      </w:divBdr>
    </w:div>
    <w:div w:id="832986795">
      <w:bodyDiv w:val="1"/>
      <w:marLeft w:val="0"/>
      <w:marRight w:val="0"/>
      <w:marTop w:val="0"/>
      <w:marBottom w:val="0"/>
      <w:divBdr>
        <w:top w:val="none" w:sz="0" w:space="0" w:color="auto"/>
        <w:left w:val="none" w:sz="0" w:space="0" w:color="auto"/>
        <w:bottom w:val="none" w:sz="0" w:space="0" w:color="auto"/>
        <w:right w:val="none" w:sz="0" w:space="0" w:color="auto"/>
      </w:divBdr>
      <w:divsChild>
        <w:div w:id="536355183">
          <w:marLeft w:val="0"/>
          <w:marRight w:val="0"/>
          <w:marTop w:val="0"/>
          <w:marBottom w:val="0"/>
          <w:divBdr>
            <w:top w:val="none" w:sz="0" w:space="0" w:color="auto"/>
            <w:left w:val="none" w:sz="0" w:space="0" w:color="auto"/>
            <w:bottom w:val="none" w:sz="0" w:space="0" w:color="auto"/>
            <w:right w:val="none" w:sz="0" w:space="0" w:color="auto"/>
          </w:divBdr>
          <w:divsChild>
            <w:div w:id="1921057016">
              <w:marLeft w:val="0"/>
              <w:marRight w:val="0"/>
              <w:marTop w:val="0"/>
              <w:marBottom w:val="0"/>
              <w:divBdr>
                <w:top w:val="none" w:sz="0" w:space="0" w:color="auto"/>
                <w:left w:val="none" w:sz="0" w:space="0" w:color="auto"/>
                <w:bottom w:val="none" w:sz="0" w:space="0" w:color="auto"/>
                <w:right w:val="none" w:sz="0" w:space="0" w:color="auto"/>
              </w:divBdr>
              <w:divsChild>
                <w:div w:id="31540111">
                  <w:marLeft w:val="0"/>
                  <w:marRight w:val="0"/>
                  <w:marTop w:val="0"/>
                  <w:marBottom w:val="0"/>
                  <w:divBdr>
                    <w:top w:val="none" w:sz="0" w:space="0" w:color="auto"/>
                    <w:left w:val="none" w:sz="0" w:space="0" w:color="auto"/>
                    <w:bottom w:val="none" w:sz="0" w:space="0" w:color="auto"/>
                    <w:right w:val="none" w:sz="0" w:space="0" w:color="auto"/>
                  </w:divBdr>
                  <w:divsChild>
                    <w:div w:id="1457867468">
                      <w:marLeft w:val="0"/>
                      <w:marRight w:val="0"/>
                      <w:marTop w:val="0"/>
                      <w:marBottom w:val="0"/>
                      <w:divBdr>
                        <w:top w:val="none" w:sz="0" w:space="0" w:color="auto"/>
                        <w:left w:val="none" w:sz="0" w:space="0" w:color="auto"/>
                        <w:bottom w:val="none" w:sz="0" w:space="0" w:color="auto"/>
                        <w:right w:val="none" w:sz="0" w:space="0" w:color="auto"/>
                      </w:divBdr>
                      <w:divsChild>
                        <w:div w:id="1375153487">
                          <w:marLeft w:val="0"/>
                          <w:marRight w:val="0"/>
                          <w:marTop w:val="0"/>
                          <w:marBottom w:val="0"/>
                          <w:divBdr>
                            <w:top w:val="none" w:sz="0" w:space="0" w:color="auto"/>
                            <w:left w:val="none" w:sz="0" w:space="0" w:color="auto"/>
                            <w:bottom w:val="none" w:sz="0" w:space="0" w:color="auto"/>
                            <w:right w:val="none" w:sz="0" w:space="0" w:color="auto"/>
                          </w:divBdr>
                          <w:divsChild>
                            <w:div w:id="1694840427">
                              <w:marLeft w:val="0"/>
                              <w:marRight w:val="0"/>
                              <w:marTop w:val="0"/>
                              <w:marBottom w:val="0"/>
                              <w:divBdr>
                                <w:top w:val="none" w:sz="0" w:space="0" w:color="auto"/>
                                <w:left w:val="none" w:sz="0" w:space="0" w:color="auto"/>
                                <w:bottom w:val="none" w:sz="0" w:space="0" w:color="auto"/>
                                <w:right w:val="none" w:sz="0" w:space="0" w:color="auto"/>
                              </w:divBdr>
                              <w:divsChild>
                                <w:div w:id="12090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0158718">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5635139">
      <w:bodyDiv w:val="1"/>
      <w:marLeft w:val="0"/>
      <w:marRight w:val="0"/>
      <w:marTop w:val="0"/>
      <w:marBottom w:val="0"/>
      <w:divBdr>
        <w:top w:val="none" w:sz="0" w:space="0" w:color="auto"/>
        <w:left w:val="none" w:sz="0" w:space="0" w:color="auto"/>
        <w:bottom w:val="none" w:sz="0" w:space="0" w:color="auto"/>
        <w:right w:val="none" w:sz="0" w:space="0" w:color="auto"/>
      </w:divBdr>
    </w:div>
    <w:div w:id="1248464740">
      <w:bodyDiv w:val="1"/>
      <w:marLeft w:val="0"/>
      <w:marRight w:val="0"/>
      <w:marTop w:val="0"/>
      <w:marBottom w:val="0"/>
      <w:divBdr>
        <w:top w:val="none" w:sz="0" w:space="0" w:color="auto"/>
        <w:left w:val="none" w:sz="0" w:space="0" w:color="auto"/>
        <w:bottom w:val="none" w:sz="0" w:space="0" w:color="auto"/>
        <w:right w:val="none" w:sz="0" w:space="0" w:color="auto"/>
      </w:divBdr>
    </w:div>
    <w:div w:id="1620649999">
      <w:bodyDiv w:val="1"/>
      <w:marLeft w:val="0"/>
      <w:marRight w:val="0"/>
      <w:marTop w:val="0"/>
      <w:marBottom w:val="0"/>
      <w:divBdr>
        <w:top w:val="none" w:sz="0" w:space="0" w:color="auto"/>
        <w:left w:val="none" w:sz="0" w:space="0" w:color="auto"/>
        <w:bottom w:val="none" w:sz="0" w:space="0" w:color="auto"/>
        <w:right w:val="none" w:sz="0" w:space="0" w:color="auto"/>
      </w:divBdr>
    </w:div>
    <w:div w:id="1714694433">
      <w:bodyDiv w:val="1"/>
      <w:marLeft w:val="0"/>
      <w:marRight w:val="0"/>
      <w:marTop w:val="0"/>
      <w:marBottom w:val="0"/>
      <w:divBdr>
        <w:top w:val="none" w:sz="0" w:space="0" w:color="auto"/>
        <w:left w:val="none" w:sz="0" w:space="0" w:color="auto"/>
        <w:bottom w:val="none" w:sz="0" w:space="0" w:color="auto"/>
        <w:right w:val="none" w:sz="0" w:space="0" w:color="auto"/>
      </w:divBdr>
      <w:divsChild>
        <w:div w:id="711925344">
          <w:marLeft w:val="0"/>
          <w:marRight w:val="0"/>
          <w:marTop w:val="0"/>
          <w:marBottom w:val="0"/>
          <w:divBdr>
            <w:top w:val="none" w:sz="0" w:space="0" w:color="auto"/>
            <w:left w:val="none" w:sz="0" w:space="0" w:color="auto"/>
            <w:bottom w:val="none" w:sz="0" w:space="0" w:color="auto"/>
            <w:right w:val="none" w:sz="0" w:space="0" w:color="auto"/>
          </w:divBdr>
          <w:divsChild>
            <w:div w:id="186599867">
              <w:marLeft w:val="0"/>
              <w:marRight w:val="0"/>
              <w:marTop w:val="0"/>
              <w:marBottom w:val="0"/>
              <w:divBdr>
                <w:top w:val="none" w:sz="0" w:space="0" w:color="auto"/>
                <w:left w:val="none" w:sz="0" w:space="0" w:color="auto"/>
                <w:bottom w:val="none" w:sz="0" w:space="0" w:color="auto"/>
                <w:right w:val="none" w:sz="0" w:space="0" w:color="auto"/>
              </w:divBdr>
              <w:divsChild>
                <w:div w:id="107241032">
                  <w:marLeft w:val="0"/>
                  <w:marRight w:val="0"/>
                  <w:marTop w:val="0"/>
                  <w:marBottom w:val="0"/>
                  <w:divBdr>
                    <w:top w:val="none" w:sz="0" w:space="0" w:color="auto"/>
                    <w:left w:val="none" w:sz="0" w:space="0" w:color="auto"/>
                    <w:bottom w:val="none" w:sz="0" w:space="0" w:color="auto"/>
                    <w:right w:val="none" w:sz="0" w:space="0" w:color="auto"/>
                  </w:divBdr>
                  <w:divsChild>
                    <w:div w:id="395592469">
                      <w:marLeft w:val="0"/>
                      <w:marRight w:val="0"/>
                      <w:marTop w:val="0"/>
                      <w:marBottom w:val="0"/>
                      <w:divBdr>
                        <w:top w:val="none" w:sz="0" w:space="0" w:color="auto"/>
                        <w:left w:val="none" w:sz="0" w:space="0" w:color="auto"/>
                        <w:bottom w:val="none" w:sz="0" w:space="0" w:color="auto"/>
                        <w:right w:val="none" w:sz="0" w:space="0" w:color="auto"/>
                      </w:divBdr>
                      <w:divsChild>
                        <w:div w:id="338313274">
                          <w:marLeft w:val="0"/>
                          <w:marRight w:val="0"/>
                          <w:marTop w:val="0"/>
                          <w:marBottom w:val="0"/>
                          <w:divBdr>
                            <w:top w:val="none" w:sz="0" w:space="0" w:color="auto"/>
                            <w:left w:val="none" w:sz="0" w:space="0" w:color="auto"/>
                            <w:bottom w:val="none" w:sz="0" w:space="0" w:color="auto"/>
                            <w:right w:val="none" w:sz="0" w:space="0" w:color="auto"/>
                          </w:divBdr>
                          <w:divsChild>
                            <w:div w:id="777716510">
                              <w:marLeft w:val="0"/>
                              <w:marRight w:val="0"/>
                              <w:marTop w:val="0"/>
                              <w:marBottom w:val="0"/>
                              <w:divBdr>
                                <w:top w:val="none" w:sz="0" w:space="0" w:color="auto"/>
                                <w:left w:val="none" w:sz="0" w:space="0" w:color="auto"/>
                                <w:bottom w:val="none" w:sz="0" w:space="0" w:color="auto"/>
                                <w:right w:val="none" w:sz="0" w:space="0" w:color="auto"/>
                              </w:divBdr>
                              <w:divsChild>
                                <w:div w:id="165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68764767">
      <w:bodyDiv w:val="1"/>
      <w:marLeft w:val="0"/>
      <w:marRight w:val="0"/>
      <w:marTop w:val="0"/>
      <w:marBottom w:val="0"/>
      <w:divBdr>
        <w:top w:val="none" w:sz="0" w:space="0" w:color="auto"/>
        <w:left w:val="none" w:sz="0" w:space="0" w:color="auto"/>
        <w:bottom w:val="none" w:sz="0" w:space="0" w:color="auto"/>
        <w:right w:val="none" w:sz="0" w:space="0" w:color="auto"/>
      </w:divBdr>
    </w:div>
    <w:div w:id="188163074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84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1747-014-0403-8" TargetMode="External"/><Relationship Id="rId21" Type="http://schemas.openxmlformats.org/officeDocument/2006/relationships/hyperlink" Target="https://doi.org/10.4324/9781032622156" TargetMode="External"/><Relationship Id="rId42" Type="http://schemas.openxmlformats.org/officeDocument/2006/relationships/hyperlink" Target="https://doi.org/10.51748/agebj.v5i1.92" TargetMode="External"/><Relationship Id="rId47" Type="http://schemas.openxmlformats.org/officeDocument/2006/relationships/hyperlink" Target="https://doi.org/10.47772/IJRISS.2025.909000135" TargetMode="External"/><Relationship Id="rId63" Type="http://schemas.openxmlformats.org/officeDocument/2006/relationships/hyperlink" Target="https://doi.org/10.2139/ssrn.4838625" TargetMode="External"/><Relationship Id="rId68" Type="http://schemas.openxmlformats.org/officeDocument/2006/relationships/hyperlink" Target="https://so04.tci-thaijo.org/index.php/ATI/article/view/254253" TargetMode="External"/><Relationship Id="rId2" Type="http://schemas.openxmlformats.org/officeDocument/2006/relationships/numbering" Target="numbering.xml"/><Relationship Id="rId16" Type="http://schemas.openxmlformats.org/officeDocument/2006/relationships/hyperlink" Target="https://doi.org/10.1145/3460824.3460833" TargetMode="External"/><Relationship Id="rId29" Type="http://schemas.openxmlformats.org/officeDocument/2006/relationships/hyperlink" Target="https://doi.org/10.1145/3695080.3695113" TargetMode="External"/><Relationship Id="rId11" Type="http://schemas.openxmlformats.org/officeDocument/2006/relationships/hyperlink" Target="https://doi.org/10.1088/1742-6596/1793/1/012030" TargetMode="External"/><Relationship Id="rId24" Type="http://schemas.openxmlformats.org/officeDocument/2006/relationships/hyperlink" Target="https://doi.org/10.1186/s43093-025-00634-3" TargetMode="External"/><Relationship Id="rId32" Type="http://schemas.openxmlformats.org/officeDocument/2006/relationships/hyperlink" Target="https://doi.org/10.5267/j.uscm.2022.9.004" TargetMode="External"/><Relationship Id="rId37" Type="http://schemas.openxmlformats.org/officeDocument/2006/relationships/hyperlink" Target="https://doi.org/10.1111/j.0011-7315.2004.00025.x" TargetMode="External"/><Relationship Id="rId40" Type="http://schemas.openxmlformats.org/officeDocument/2006/relationships/hyperlink" Target="https://doi.org/10.1108/IJCHM-09-2022-1103" TargetMode="External"/><Relationship Id="rId45" Type="http://schemas.openxmlformats.org/officeDocument/2006/relationships/hyperlink" Target="https://doi.org/10.30574/wjarr.2024.23.3.2422" TargetMode="External"/><Relationship Id="rId53" Type="http://schemas.openxmlformats.org/officeDocument/2006/relationships/hyperlink" Target="https://doi.org/10.1037/0021-9010.88.5.879" TargetMode="External"/><Relationship Id="rId58" Type="http://schemas.openxmlformats.org/officeDocument/2006/relationships/hyperlink" Target="https://doi.org/10.1109/ACCESS.2021.3084815" TargetMode="External"/><Relationship Id="rId66" Type="http://schemas.openxmlformats.org/officeDocument/2006/relationships/hyperlink" Target="https://doi.org/10.1108/BFJ-05-2025-0611"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jretconser.2024.104079" TargetMode="External"/><Relationship Id="rId19" Type="http://schemas.openxmlformats.org/officeDocument/2006/relationships/hyperlink" Target="https://doi.org/10.57199/jgcr.2025.4.4.150" TargetMode="External"/><Relationship Id="rId14" Type="http://schemas.openxmlformats.org/officeDocument/2006/relationships/hyperlink" Target="https://doi.org/10.2307/3250921" TargetMode="External"/><Relationship Id="rId22" Type="http://schemas.openxmlformats.org/officeDocument/2006/relationships/hyperlink" Target="https://doi.org/10.22034/ijels.2022.162981" TargetMode="External"/><Relationship Id="rId27" Type="http://schemas.openxmlformats.org/officeDocument/2006/relationships/hyperlink" Target="https://doi.org/10.52932/jfmr.v4i1en.1017" TargetMode="External"/><Relationship Id="rId30" Type="http://schemas.openxmlformats.org/officeDocument/2006/relationships/hyperlink" Target="https://doi.org/10.4135/9780857028075" TargetMode="External"/><Relationship Id="rId35" Type="http://schemas.openxmlformats.org/officeDocument/2006/relationships/hyperlink" Target="https://doi.org/10.33736/ijbs.5949.2023" TargetMode="External"/><Relationship Id="rId43" Type="http://schemas.openxmlformats.org/officeDocument/2006/relationships/hyperlink" Target="https://doi.org/10.11648/j.ajmse.20261102.12" TargetMode="External"/><Relationship Id="rId48" Type="http://schemas.openxmlformats.org/officeDocument/2006/relationships/hyperlink" Target="https://doi.org/10.3389/frsus.2026.1728957" TargetMode="External"/><Relationship Id="rId56" Type="http://schemas.openxmlformats.org/officeDocument/2006/relationships/hyperlink" Target="https://doi.org/10.4236/jss.2025.138019" TargetMode="External"/><Relationship Id="rId64" Type="http://schemas.openxmlformats.org/officeDocument/2006/relationships/hyperlink" Target="https://doi.org/10.2307/270723" TargetMode="External"/><Relationship Id="rId69" Type="http://schemas.openxmlformats.org/officeDocument/2006/relationships/hyperlink" Target="https://doi.org/10.1108/APJBA-11-2023-0570" TargetMode="External"/><Relationship Id="rId8" Type="http://schemas.openxmlformats.org/officeDocument/2006/relationships/header" Target="header1.xml"/><Relationship Id="rId51" Type="http://schemas.openxmlformats.org/officeDocument/2006/relationships/hyperlink" Target="https://doi.org/10.46328/ijemst.1182" TargetMode="External"/><Relationship Id="rId72" Type="http://schemas.openxmlformats.org/officeDocument/2006/relationships/hyperlink" Target="https://doi.org/10.33168/JSMS.2021.0304" TargetMode="External"/><Relationship Id="rId3" Type="http://schemas.openxmlformats.org/officeDocument/2006/relationships/styles" Target="styles.xml"/><Relationship Id="rId12" Type="http://schemas.openxmlformats.org/officeDocument/2006/relationships/hyperlink" Target="https://doi.org/10.1080/10496491.2024.2372858" TargetMode="External"/><Relationship Id="rId17" Type="http://schemas.openxmlformats.org/officeDocument/2006/relationships/hyperlink" Target="https://doi.org/10.60101/gbafr.2024.272298" TargetMode="External"/><Relationship Id="rId25" Type="http://schemas.openxmlformats.org/officeDocument/2006/relationships/hyperlink" Target="https://doi.org/10.1108/SAJM-10-2021-0123" TargetMode="External"/><Relationship Id="rId33" Type="http://schemas.openxmlformats.org/officeDocument/2006/relationships/hyperlink" Target="https://doi.org/10.21744/irjmis.v12n4.2532" TargetMode="External"/><Relationship Id="rId38" Type="http://schemas.openxmlformats.org/officeDocument/2006/relationships/hyperlink" Target="https://aub.edu.kh/tc/assets/pdf_zip/ARS%20Vol3-0007.pdf" TargetMode="External"/><Relationship Id="rId46" Type="http://schemas.openxmlformats.org/officeDocument/2006/relationships/hyperlink" Target="https://doi.org/10.47772/IJRISS.2025.908000550" TargetMode="External"/><Relationship Id="rId59" Type="http://schemas.openxmlformats.org/officeDocument/2006/relationships/hyperlink" Target="https://doi.org/10.9734/jemt/2025/v31i71320" TargetMode="External"/><Relationship Id="rId67" Type="http://schemas.openxmlformats.org/officeDocument/2006/relationships/hyperlink" Target="https://doi.org/10.52403/ijrr.20220732" TargetMode="External"/><Relationship Id="rId20" Type="http://schemas.openxmlformats.org/officeDocument/2006/relationships/hyperlink" Target="https://doi.org/10.54518/rh.3.4.2023.151" TargetMode="External"/><Relationship Id="rId41" Type="http://schemas.openxmlformats.org/officeDocument/2006/relationships/hyperlink" Target="https://doi.org/10.3390/su131910985" TargetMode="External"/><Relationship Id="rId54" Type="http://schemas.openxmlformats.org/officeDocument/2006/relationships/hyperlink" Target="https://doi.org/10.54443/morfai.v5i1.2603" TargetMode="External"/><Relationship Id="rId62" Type="http://schemas.openxmlformats.org/officeDocument/2006/relationships/hyperlink" Target="https://doi.org/10.1186/s43093-022-00158-0" TargetMode="External"/><Relationship Id="rId70" Type="http://schemas.openxmlformats.org/officeDocument/2006/relationships/hyperlink" Target="https://doi.org/10.20944/preprints202407.2030.v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43546-023-00422-7" TargetMode="External"/><Relationship Id="rId23" Type="http://schemas.openxmlformats.org/officeDocument/2006/relationships/hyperlink" Target="https://doi.org/10.1108/EBR-11-2018-0203" TargetMode="External"/><Relationship Id="rId28" Type="http://schemas.openxmlformats.org/officeDocument/2006/relationships/hyperlink" Target="https://doi.org/10.1016/j.heliyon.2023.e19719" TargetMode="External"/><Relationship Id="rId36" Type="http://schemas.openxmlformats.org/officeDocument/2006/relationships/hyperlink" Target="https://doi.org/10.60101/gbafr.2024.272298" TargetMode="External"/><Relationship Id="rId49" Type="http://schemas.openxmlformats.org/officeDocument/2006/relationships/hyperlink" Target="https://doi.org/10.14707/ajbr.220133" TargetMode="External"/><Relationship Id="rId57" Type="http://schemas.openxmlformats.org/officeDocument/2006/relationships/hyperlink" Target="https://doi.org/10.26710/jbsee.v6i2.1181" TargetMode="External"/><Relationship Id="rId10" Type="http://schemas.openxmlformats.org/officeDocument/2006/relationships/image" Target="media/image1.png"/><Relationship Id="rId31" Type="http://schemas.openxmlformats.org/officeDocument/2006/relationships/hyperlink" Target="https://doi.org/10.53909/rms.04.01.0118" TargetMode="External"/><Relationship Id="rId44" Type="http://schemas.openxmlformats.org/officeDocument/2006/relationships/hyperlink" Target="https://doi.org/10.1186/s13731-025-00552-2" TargetMode="External"/><Relationship Id="rId52" Type="http://schemas.openxmlformats.org/officeDocument/2006/relationships/hyperlink" Target="https://doi.org/10.56557/ajefm/2026/v8i1391" TargetMode="External"/><Relationship Id="rId60" Type="http://schemas.openxmlformats.org/officeDocument/2006/relationships/hyperlink" Target="https://doi.org/10.23668/psycharchives.12784" TargetMode="External"/><Relationship Id="rId65" Type="http://schemas.openxmlformats.org/officeDocument/2006/relationships/hyperlink" Target="https://doi.org/10.1177/03128962231177096"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oi.org/10.29408/jpek.v10i1.34021" TargetMode="External"/><Relationship Id="rId18" Type="http://schemas.openxmlformats.org/officeDocument/2006/relationships/hyperlink" Target="https://doi.org/10.21009/JDMB.05.2.3" TargetMode="External"/><Relationship Id="rId39" Type="http://schemas.openxmlformats.org/officeDocument/2006/relationships/hyperlink" Target="https://doi.org/10.3127/ajis.v25i0.2809" TargetMode="External"/><Relationship Id="rId34" Type="http://schemas.openxmlformats.org/officeDocument/2006/relationships/hyperlink" Target="https://doi.org/10.51748/agebj.v6i1.101" TargetMode="External"/><Relationship Id="rId50" Type="http://schemas.openxmlformats.org/officeDocument/2006/relationships/hyperlink" Target="https://doi.org/10.18510/hssr.2020.84108" TargetMode="External"/><Relationship Id="rId55" Type="http://schemas.openxmlformats.org/officeDocument/2006/relationships/hyperlink" Target="https://doi.org/10.3390/joitmc7010076" TargetMode="External"/><Relationship Id="rId7" Type="http://schemas.openxmlformats.org/officeDocument/2006/relationships/endnotes" Target="endnotes.xml"/><Relationship Id="rId71" Type="http://schemas.openxmlformats.org/officeDocument/2006/relationships/hyperlink" Target="https://doi.org/10.1016/j.ijpe.2021.1080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1294</TotalTime>
  <Pages>26</Pages>
  <Words>11651</Words>
  <Characters>66411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77907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2026_JGEMBR_15431</dc:title>
  <dc:creator>SDI</dc:creator>
  <cp:lastModifiedBy>SDI 1087</cp:lastModifiedBy>
  <cp:revision>496</cp:revision>
  <cp:lastPrinted>2026-08-01T06:40:00Z</cp:lastPrinted>
  <dcterms:created xsi:type="dcterms:W3CDTF">2026-07-20T05:01:00Z</dcterms:created>
  <dcterms:modified xsi:type="dcterms:W3CDTF">2026-08-04T12:02:00Z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b2ef8826-8551-4908-acfc-6a2b047223fd</vt:lpwstr>
  </property>
</Properties>
</file>