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A9AB3" w14:textId="77777777" w:rsidR="00754C9A" w:rsidRDefault="00754C9A" w:rsidP="00441B6F">
      <w:pPr>
        <w:pStyle w:val="Title"/>
        <w:spacing w:after="0"/>
        <w:jc w:val="both"/>
        <w:rPr>
          <w:rFonts w:cs="Arial"/>
        </w:rPr>
      </w:pPr>
    </w:p>
    <w:p w14:paraId="204DC096" w14:textId="77777777" w:rsidR="000B1628" w:rsidRPr="00AA631C" w:rsidRDefault="000B1628" w:rsidP="000B1628">
      <w:pPr>
        <w:pStyle w:val="Author"/>
        <w:rPr>
          <w:rFonts w:cs="Arial"/>
          <w:bCs/>
          <w:i/>
          <w:iCs/>
          <w:kern w:val="28"/>
          <w:sz w:val="18"/>
          <w:szCs w:val="18"/>
          <w:u w:val="single"/>
        </w:rPr>
      </w:pPr>
      <w:r w:rsidRPr="00AA631C">
        <w:rPr>
          <w:rFonts w:cs="Arial"/>
          <w:bCs/>
          <w:i/>
          <w:iCs/>
          <w:kern w:val="28"/>
          <w:sz w:val="18"/>
          <w:szCs w:val="18"/>
          <w:u w:val="single"/>
        </w:rPr>
        <w:t>Original Research Article</w:t>
      </w:r>
    </w:p>
    <w:p w14:paraId="1249C7C4" w14:textId="77777777" w:rsidR="0047150B" w:rsidRPr="00AA631C" w:rsidRDefault="0047150B" w:rsidP="000B1628">
      <w:pPr>
        <w:pStyle w:val="Author"/>
        <w:rPr>
          <w:rFonts w:cs="Arial"/>
          <w:bCs/>
          <w:i/>
          <w:iCs/>
          <w:kern w:val="28"/>
          <w:sz w:val="18"/>
          <w:szCs w:val="18"/>
          <w:u w:val="single"/>
        </w:rPr>
      </w:pPr>
    </w:p>
    <w:p w14:paraId="61E2021F" w14:textId="77777777" w:rsidR="00163BC4" w:rsidRPr="00AA631C" w:rsidRDefault="001A33F8" w:rsidP="00441B6F">
      <w:pPr>
        <w:pStyle w:val="Author"/>
        <w:spacing w:line="240" w:lineRule="auto"/>
        <w:rPr>
          <w:rFonts w:cs="Arial"/>
          <w:bCs/>
          <w:iCs/>
          <w:kern w:val="28"/>
          <w:sz w:val="36"/>
        </w:rPr>
      </w:pPr>
      <w:r w:rsidRPr="00AA631C">
        <w:rPr>
          <w:rFonts w:cs="Arial"/>
          <w:bCs/>
          <w:iCs/>
          <w:kern w:val="28"/>
          <w:sz w:val="36"/>
        </w:rPr>
        <w:t>Creating social value through green innovation product: The mediating role of green supply chain in the food and beverage industry</w:t>
      </w:r>
    </w:p>
    <w:p w14:paraId="367851FA" w14:textId="77777777" w:rsidR="00A258C3" w:rsidRPr="00AA631C" w:rsidRDefault="00A258C3" w:rsidP="00441B6F">
      <w:pPr>
        <w:pStyle w:val="Author"/>
        <w:spacing w:line="240" w:lineRule="auto"/>
        <w:jc w:val="both"/>
        <w:rPr>
          <w:rFonts w:cs="Arial"/>
          <w:sz w:val="36"/>
        </w:rPr>
      </w:pPr>
    </w:p>
    <w:p w14:paraId="40EDC12E" w14:textId="77777777" w:rsidR="001E26C8" w:rsidRPr="00AA631C" w:rsidRDefault="001E26C8" w:rsidP="00441B6F">
      <w:pPr>
        <w:pStyle w:val="Affiliation"/>
        <w:spacing w:after="0" w:line="240" w:lineRule="auto"/>
        <w:jc w:val="both"/>
        <w:rPr>
          <w:rFonts w:cs="Arial"/>
        </w:rPr>
      </w:pPr>
    </w:p>
    <w:p w14:paraId="7C18E7FC" w14:textId="77777777" w:rsidR="00820308" w:rsidRPr="00AA631C" w:rsidRDefault="00820308" w:rsidP="00441B6F">
      <w:pPr>
        <w:pStyle w:val="Affiliation"/>
        <w:spacing w:after="0" w:line="240" w:lineRule="auto"/>
        <w:jc w:val="both"/>
        <w:rPr>
          <w:rFonts w:cs="Arial"/>
        </w:rPr>
      </w:pPr>
    </w:p>
    <w:p w14:paraId="6288AC6D" w14:textId="77777777" w:rsidR="00820308" w:rsidRPr="00AA631C" w:rsidRDefault="00820308" w:rsidP="00441B6F">
      <w:pPr>
        <w:pStyle w:val="Affiliation"/>
        <w:spacing w:after="0" w:line="240" w:lineRule="auto"/>
        <w:jc w:val="both"/>
        <w:rPr>
          <w:rFonts w:cs="Arial"/>
        </w:rPr>
      </w:pPr>
    </w:p>
    <w:p w14:paraId="304BB16F" w14:textId="77777777" w:rsidR="00820308" w:rsidRPr="00AA631C" w:rsidRDefault="00820308" w:rsidP="00441B6F">
      <w:pPr>
        <w:pStyle w:val="Affiliation"/>
        <w:spacing w:after="0" w:line="240" w:lineRule="auto"/>
        <w:jc w:val="both"/>
        <w:rPr>
          <w:rFonts w:cs="Arial"/>
        </w:rPr>
      </w:pPr>
    </w:p>
    <w:p w14:paraId="62E2AF03" w14:textId="77777777" w:rsidR="002C57D2" w:rsidRPr="00AA631C" w:rsidRDefault="002C57D2" w:rsidP="00441B6F">
      <w:pPr>
        <w:pStyle w:val="Affiliation"/>
        <w:spacing w:after="0" w:line="240" w:lineRule="auto"/>
        <w:jc w:val="both"/>
        <w:rPr>
          <w:rFonts w:cs="Arial"/>
        </w:rPr>
      </w:pPr>
    </w:p>
    <w:p w14:paraId="2D60EF11" w14:textId="77777777" w:rsidR="00B01FCD" w:rsidRPr="00AA631C" w:rsidRDefault="00000000" w:rsidP="00441B6F">
      <w:pPr>
        <w:pStyle w:val="Copyright"/>
        <w:spacing w:after="0" w:line="240" w:lineRule="auto"/>
        <w:rPr>
          <w:rFonts w:cs="Arial"/>
        </w:rPr>
        <w:sectPr w:rsidR="00B01FCD" w:rsidRPr="00AA631C" w:rsidSect="000B162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cs="Arial"/>
        </w:rPr>
      </w:r>
      <w:r>
        <w:rPr>
          <w:rFonts w:cs="Arial"/>
        </w:rPr>
        <w:pict w14:anchorId="7CDEC4E4">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AA631C">
        <w:rPr>
          <w:rFonts w:cs="Arial"/>
        </w:rPr>
        <w:t>.</w:t>
      </w:r>
    </w:p>
    <w:p w14:paraId="7AC02501" w14:textId="77777777" w:rsidR="00B01FCD" w:rsidRPr="00AA631C" w:rsidRDefault="00B01FCD" w:rsidP="00441B6F">
      <w:pPr>
        <w:pStyle w:val="AbstHead"/>
        <w:spacing w:after="0"/>
        <w:rPr>
          <w:rFonts w:cs="Arial"/>
        </w:rPr>
      </w:pPr>
      <w:r w:rsidRPr="00AA631C">
        <w:rPr>
          <w:rFonts w:cs="Arial"/>
        </w:rPr>
        <w:t>ABSTRACT</w:t>
      </w:r>
      <w:r w:rsidR="0066510A" w:rsidRPr="00AA631C">
        <w:rPr>
          <w:rFonts w:cs="Arial"/>
        </w:rPr>
        <w:t xml:space="preserve"> </w:t>
      </w:r>
    </w:p>
    <w:p w14:paraId="3858A2A8" w14:textId="77777777" w:rsidR="00790ADA" w:rsidRPr="00AA631C" w:rsidRDefault="00790ADA" w:rsidP="00441B6F">
      <w:pPr>
        <w:pStyle w:val="AbstHead"/>
        <w:spacing w:after="0"/>
        <w:rPr>
          <w:rFonts w:cs="Arial"/>
        </w:rPr>
      </w:pPr>
    </w:p>
    <w:p w14:paraId="16AC820D" w14:textId="77777777" w:rsidR="0047150B" w:rsidRPr="00AA631C" w:rsidRDefault="0047150B" w:rsidP="00441B6F">
      <w:pPr>
        <w:pStyle w:val="Body"/>
        <w:spacing w:after="0"/>
      </w:pPr>
      <w:r w:rsidRPr="00AA631C">
        <w:rPr>
          <w:rStyle w:val="Strong"/>
        </w:rPr>
        <w:t>Background:</w:t>
      </w:r>
      <w:r w:rsidRPr="00AA631C">
        <w:t xml:space="preserve"> Food and beverage businesses face increasing pressure to reduce environmental impacts while creating value for employees, customers, suppliers and communities. This study examined the relationships among green product innovation, green supply chain management and social performance. </w:t>
      </w:r>
    </w:p>
    <w:p w14:paraId="42296534" w14:textId="77777777" w:rsidR="0047150B" w:rsidRPr="00AA631C" w:rsidRDefault="0047150B" w:rsidP="00441B6F">
      <w:pPr>
        <w:pStyle w:val="Body"/>
        <w:spacing w:after="0"/>
      </w:pPr>
      <w:r w:rsidRPr="00AA631C">
        <w:rPr>
          <w:rStyle w:val="Strong"/>
        </w:rPr>
        <w:t>Methods:</w:t>
      </w:r>
      <w:r w:rsidRPr="00AA631C">
        <w:t xml:space="preserve"> A quantitative cross-sectional survey was conducted among 100 owners and managers of food and beverage businesses that reported implementing environmentally responsible operating practices. Respondents were selected purposively and completed an online questionnaire measuring green product innovation, green supply chain management and social performance. The proposed model was </w:t>
      </w:r>
      <w:proofErr w:type="spellStart"/>
      <w:r w:rsidRPr="00AA631C">
        <w:t>analysed</w:t>
      </w:r>
      <w:proofErr w:type="spellEnd"/>
      <w:r w:rsidRPr="00AA631C">
        <w:t xml:space="preserve"> using partial least squares structural equation modelling with </w:t>
      </w:r>
      <w:proofErr w:type="spellStart"/>
      <w:r w:rsidRPr="00AA631C">
        <w:t>SmartPLS</w:t>
      </w:r>
      <w:proofErr w:type="spellEnd"/>
      <w:r w:rsidRPr="00AA631C">
        <w:t xml:space="preserve"> 4. Measurement quality was assessed through indicator loadings, average variance extracted, discriminant validity, Cronbach’s alpha and composite reliability, while structural relationships were evaluated through bootstrapping. </w:t>
      </w:r>
      <w:r w:rsidRPr="00AA631C">
        <w:rPr>
          <w:rStyle w:val="Strong"/>
        </w:rPr>
        <w:t>Results:</w:t>
      </w:r>
      <w:r w:rsidRPr="00AA631C">
        <w:t xml:space="preserve"> All indicator loadings exceeded 0.70, average variance extracted values ranged from 0.595 to 0.739, Cronbach’s alpha values ranged from 0.829 to 0.882, and composite reliability values ranged from 0.880 to 0.919. Green product innovation was positively associated with green supply chain management (β = 0.792, p &lt; 0.001) and social performance (β = 0.401, p = 0.001). Green supply chain management was also positively associated with social performance (β = 0.448, p &lt; 0.001). The model explained 62.8% of the variance in green supply chain management and 64.6% of the variance in social performance. </w:t>
      </w:r>
    </w:p>
    <w:p w14:paraId="4DFC47C4" w14:textId="7305D781" w:rsidR="00636EB2" w:rsidRPr="00AA631C" w:rsidRDefault="0047150B" w:rsidP="00441B6F">
      <w:pPr>
        <w:pStyle w:val="Body"/>
        <w:spacing w:after="0"/>
        <w:rPr>
          <w:rFonts w:cs="Arial"/>
          <w:i/>
        </w:rPr>
      </w:pPr>
      <w:r w:rsidRPr="00AA631C">
        <w:rPr>
          <w:rStyle w:val="Strong"/>
        </w:rPr>
        <w:t>Conclusion:</w:t>
      </w:r>
      <w:r w:rsidRPr="00AA631C">
        <w:t xml:space="preserve"> Green product innovation and environmentally responsible supply-chain practices were positively associated with reported social performance among the surveyed businesses.</w:t>
      </w:r>
    </w:p>
    <w:p w14:paraId="6E8FB75B" w14:textId="77777777" w:rsidR="00AA631C" w:rsidRPr="00AA631C" w:rsidRDefault="00AA631C" w:rsidP="00441B6F">
      <w:pPr>
        <w:pStyle w:val="Body"/>
        <w:spacing w:after="0"/>
        <w:rPr>
          <w:rFonts w:cs="Arial"/>
          <w:i/>
        </w:rPr>
      </w:pPr>
    </w:p>
    <w:p w14:paraId="6259FF3F" w14:textId="75D45A0E" w:rsidR="00A24E7E" w:rsidRPr="00AA631C" w:rsidRDefault="00A24E7E" w:rsidP="00441B6F">
      <w:pPr>
        <w:pStyle w:val="Body"/>
        <w:spacing w:after="0"/>
        <w:rPr>
          <w:rFonts w:cs="Arial"/>
          <w:i/>
        </w:rPr>
      </w:pPr>
      <w:r w:rsidRPr="00AA631C">
        <w:rPr>
          <w:rFonts w:cs="Arial"/>
          <w:b/>
          <w:bCs/>
          <w:i/>
        </w:rPr>
        <w:t>Keywords</w:t>
      </w:r>
      <w:r w:rsidRPr="00AA631C">
        <w:rPr>
          <w:rFonts w:cs="Arial"/>
          <w:i/>
        </w:rPr>
        <w:t xml:space="preserve">: </w:t>
      </w:r>
      <w:r w:rsidR="001A33F8" w:rsidRPr="00AA631C">
        <w:rPr>
          <w:rFonts w:cs="Arial"/>
          <w:i/>
        </w:rPr>
        <w:t>Green innovation product; green supply chain; social performance; stakeholder resource-based view; food and beverage industry</w:t>
      </w:r>
    </w:p>
    <w:p w14:paraId="31A1F3F2" w14:textId="77777777" w:rsidR="0024282C" w:rsidRPr="00AA631C" w:rsidRDefault="0024282C" w:rsidP="00441B6F">
      <w:pPr>
        <w:pStyle w:val="Body"/>
        <w:spacing w:after="0"/>
        <w:rPr>
          <w:rFonts w:cs="Arial"/>
          <w:i/>
          <w:sz w:val="18"/>
        </w:rPr>
      </w:pPr>
    </w:p>
    <w:p w14:paraId="2D185F82" w14:textId="77777777" w:rsidR="00505F06" w:rsidRPr="00AA631C" w:rsidRDefault="00505F06" w:rsidP="00441B6F">
      <w:pPr>
        <w:pStyle w:val="Body"/>
        <w:spacing w:after="0"/>
        <w:rPr>
          <w:rFonts w:cs="Arial"/>
          <w:i/>
        </w:rPr>
      </w:pPr>
    </w:p>
    <w:p w14:paraId="1B14DAD7" w14:textId="77777777" w:rsidR="00820308" w:rsidRPr="00AA631C" w:rsidRDefault="00820308" w:rsidP="00441B6F">
      <w:pPr>
        <w:pStyle w:val="AbstHead"/>
        <w:spacing w:after="0"/>
        <w:rPr>
          <w:rFonts w:cs="Arial"/>
        </w:rPr>
      </w:pPr>
    </w:p>
    <w:p w14:paraId="0A1C3111" w14:textId="77777777" w:rsidR="007F7B32" w:rsidRPr="00AA631C" w:rsidRDefault="00902823" w:rsidP="00441B6F">
      <w:pPr>
        <w:pStyle w:val="AbstHead"/>
        <w:spacing w:after="0"/>
        <w:rPr>
          <w:rFonts w:cs="Arial"/>
        </w:rPr>
      </w:pPr>
      <w:r w:rsidRPr="00AA631C">
        <w:rPr>
          <w:rFonts w:cs="Arial"/>
        </w:rPr>
        <w:t xml:space="preserve">1. </w:t>
      </w:r>
      <w:r w:rsidR="00B01FCD" w:rsidRPr="00AA631C">
        <w:rPr>
          <w:rFonts w:cs="Arial"/>
        </w:rPr>
        <w:t>INTRODUCTION</w:t>
      </w:r>
      <w:r w:rsidR="007F7B32" w:rsidRPr="00AA631C">
        <w:rPr>
          <w:rFonts w:cs="Arial"/>
        </w:rPr>
        <w:t xml:space="preserve"> </w:t>
      </w:r>
    </w:p>
    <w:p w14:paraId="76930D2C" w14:textId="77777777" w:rsidR="00897A64" w:rsidRPr="00AA631C" w:rsidRDefault="00897A64" w:rsidP="00897A64"/>
    <w:p w14:paraId="026D5370" w14:textId="555918C4" w:rsidR="001A33F8" w:rsidRPr="00AA631C" w:rsidRDefault="001A33F8" w:rsidP="00897A64">
      <w:r w:rsidRPr="00AA631C">
        <w:t>The expansion of industrial activities and increasing consumption have generated significant environmental and social consequences. Industrial growth has intensified resource use, waste generation, and emissions, which in turn contribute to environmental degradation and public health risks. Poorly managed industrial waste and emissions may increase community exposure to air and water pollution, thereby affecting public health and social well-being (</w:t>
      </w:r>
      <w:r w:rsidR="006C10C4" w:rsidRPr="006C10C4">
        <w:t>Carolina</w:t>
      </w:r>
      <w:r w:rsidRPr="00AA631C">
        <w:t>, 2024).</w:t>
      </w:r>
    </w:p>
    <w:p w14:paraId="3726AC4E" w14:textId="77777777" w:rsidR="00897A64" w:rsidRPr="00AA631C" w:rsidRDefault="00897A64" w:rsidP="00897A64"/>
    <w:p w14:paraId="45853884" w14:textId="2C5A7C99" w:rsidR="0018413C" w:rsidRPr="00AA631C" w:rsidRDefault="001A33F8">
      <w:r w:rsidRPr="00AA631C">
        <w:t xml:space="preserve">In response to these challenges, firms have increasingly integrated environmental, social, and governance (ESG) principles into their business strategies. ESG-oriented practices encourage firms to improve operational efficiency while reducing negative environmental and social impacts (Takwa et al., 2025). Within this context, the food and beverage industry represents a particularly relevant sector because it relies heavily on natural resources and involves complex </w:t>
      </w:r>
      <w:r w:rsidRPr="00AA631C">
        <w:lastRenderedPageBreak/>
        <w:t>supply chain activities. These characteristics make the industry highly exposed to environmental and social sustainability challenges, requiring firms to adopt more sustainable business practices (Gazzola et al., 2024; Gallego-Álvarez et al., 2025).</w:t>
      </w:r>
      <w:r w:rsidR="00AA631C" w:rsidRPr="00AA631C">
        <w:t xml:space="preserve"> </w:t>
      </w:r>
      <w:r w:rsidRPr="00AA631C">
        <w:rPr>
          <w:bCs/>
        </w:rPr>
        <w:t>Recent evidence from food and beverage SMEs indicates that green supply chain management may support multidimensional sustainability performance, while competitive advantage can help translate these practices into broader organisational outcomes (Nafisah &amp; Ratnamurni, 2025).</w:t>
      </w:r>
    </w:p>
    <w:p w14:paraId="22D5EC75" w14:textId="77777777" w:rsidR="00897A64" w:rsidRPr="00AA631C" w:rsidRDefault="00897A64" w:rsidP="00897A64"/>
    <w:p w14:paraId="4AC2F079" w14:textId="77D63E67" w:rsidR="0018413C" w:rsidRPr="00AA631C" w:rsidRDefault="001A33F8">
      <w:r w:rsidRPr="00AA631C">
        <w:t xml:space="preserve">One important way firms implement sustainability strategies is through green innovation </w:t>
      </w:r>
      <w:r w:rsidR="00897A64" w:rsidRPr="00AA631C">
        <w:t>products</w:t>
      </w:r>
      <w:r w:rsidRPr="00AA631C">
        <w:t xml:space="preserve"> and green supply chain</w:t>
      </w:r>
      <w:r w:rsidR="00897A64" w:rsidRPr="00AA631C">
        <w:t>s</w:t>
      </w:r>
      <w:r w:rsidRPr="00AA631C">
        <w:t>. Green product innovation enables firms to design products that reduce environmental impacts across the product life cycle, while green supply chain practices integrate environmental considerations into sourcing, production, distribution, and waste management activities (de Oliveira et al., 2018; Khan &amp; Qianli, 2017). Prior studies have shown that green innovation and green supply chain practices can improve firms’ social performance by strengthening stakeholder trust, reducing negative social impacts, and enhancing corporate responsibility (Xiao et al., 2024).</w:t>
      </w:r>
      <w:r w:rsidR="00AA631C" w:rsidRPr="00AA631C">
        <w:t xml:space="preserve"> </w:t>
      </w:r>
      <w:r w:rsidRPr="00AA631C">
        <w:rPr>
          <w:bCs/>
        </w:rPr>
        <w:t xml:space="preserve">Research on Indonesian SMEs further suggests that green product innovation can connect green-oriented organisational capabilities with sustainable performance (Na'imah &amp; Priyono, 2026). Related studies have linked innovation orientation and stakeholder relationships with green or eco-product innovation in emerging-market firms (Adomako &amp; Tran, 2024; Appiah &amp; </w:t>
      </w:r>
      <w:proofErr w:type="spellStart"/>
      <w:r w:rsidRPr="00AA631C">
        <w:rPr>
          <w:bCs/>
        </w:rPr>
        <w:t>Essuman</w:t>
      </w:r>
      <w:proofErr w:type="spellEnd"/>
      <w:r w:rsidRPr="00AA631C">
        <w:rPr>
          <w:bCs/>
        </w:rPr>
        <w:t>, 2024).</w:t>
      </w:r>
      <w:r w:rsidR="00AA631C" w:rsidRPr="00AA631C">
        <w:t xml:space="preserve"> </w:t>
      </w:r>
      <w:r w:rsidRPr="00AA631C">
        <w:rPr>
          <w:bCs/>
        </w:rPr>
        <w:t>Evidence from Spanish wineries similarly associates green supply chain management with sustainable performance and identifies green ambidexterity innovation as a potential mechanism in this relationship (Martínez-Falcó et al., 2024).</w:t>
      </w:r>
    </w:p>
    <w:p w14:paraId="33902AC0" w14:textId="77777777" w:rsidR="00897A64" w:rsidRPr="00AA631C" w:rsidRDefault="00897A64" w:rsidP="00897A64"/>
    <w:p w14:paraId="3CC4C498" w14:textId="77777777" w:rsidR="001A33F8" w:rsidRPr="00AA631C" w:rsidRDefault="001A33F8" w:rsidP="00897A64">
      <w:r w:rsidRPr="00AA631C">
        <w:t>Although the relationships among green innovation, green supply chain, and organisational performance have been widely examined, much of the existing literature has focused on manufacturing firms in general or on environmental and financial performance. Empirical evidence regarding how green innovation product and green supply chain influence social performance in the food and beverage industry, particularly in developing-country contexts, remains limited. Therefore, this study investigates the effects of green innovation product and green supply chain on social performance in the food and beverage industry in Yogyakarta, Indonesia.</w:t>
      </w:r>
    </w:p>
    <w:p w14:paraId="63B6C193" w14:textId="77777777" w:rsidR="00B01FCD" w:rsidRPr="00AA631C" w:rsidRDefault="00B01FCD" w:rsidP="001A33F8">
      <w:pPr>
        <w:pStyle w:val="Body"/>
        <w:spacing w:after="0"/>
        <w:rPr>
          <w:rFonts w:cs="Arial"/>
        </w:rPr>
      </w:pPr>
    </w:p>
    <w:p w14:paraId="752D13BE" w14:textId="77777777" w:rsidR="00790ADA" w:rsidRPr="00AA631C" w:rsidRDefault="00790ADA" w:rsidP="00441B6F">
      <w:pPr>
        <w:pStyle w:val="Body"/>
        <w:spacing w:after="0"/>
        <w:rPr>
          <w:rFonts w:cs="Arial"/>
        </w:rPr>
      </w:pPr>
    </w:p>
    <w:p w14:paraId="5D5B5D14" w14:textId="77777777" w:rsidR="007F7B32" w:rsidRPr="00AA631C" w:rsidRDefault="00902823" w:rsidP="00441B6F">
      <w:pPr>
        <w:pStyle w:val="AbstHead"/>
        <w:spacing w:after="0"/>
        <w:rPr>
          <w:rFonts w:cs="Arial"/>
        </w:rPr>
      </w:pPr>
      <w:r w:rsidRPr="00AA631C">
        <w:rPr>
          <w:rFonts w:cs="Arial"/>
        </w:rPr>
        <w:t xml:space="preserve">2. </w:t>
      </w:r>
      <w:r w:rsidR="00897A64" w:rsidRPr="00AA631C">
        <w:rPr>
          <w:bCs/>
        </w:rPr>
        <w:t>LITERATURE REVIEW</w:t>
      </w:r>
    </w:p>
    <w:p w14:paraId="150EA840" w14:textId="77777777" w:rsidR="00897A64" w:rsidRPr="00AA631C" w:rsidRDefault="00897A64" w:rsidP="00897A64">
      <w:pPr>
        <w:pStyle w:val="Body"/>
        <w:spacing w:after="0"/>
        <w:rPr>
          <w:rFonts w:cs="Arial"/>
        </w:rPr>
      </w:pPr>
      <w:r w:rsidRPr="00AA631C">
        <w:rPr>
          <w:b/>
        </w:rPr>
        <w:t>2.1 Stakeholder Resource-Based View</w:t>
      </w:r>
    </w:p>
    <w:p w14:paraId="6E596CE0" w14:textId="77777777" w:rsidR="00897A64" w:rsidRPr="00AA631C" w:rsidRDefault="00897A64" w:rsidP="00897A64">
      <w:pPr>
        <w:pStyle w:val="Body"/>
        <w:spacing w:after="0"/>
        <w:rPr>
          <w:rFonts w:cs="Arial"/>
        </w:rPr>
      </w:pPr>
    </w:p>
    <w:p w14:paraId="77B2AE1B" w14:textId="77777777" w:rsidR="00897A64" w:rsidRPr="00AA631C" w:rsidRDefault="00897A64" w:rsidP="00897A64">
      <w:r w:rsidRPr="00AA631C">
        <w:t>The stakeholder resource-based view (SRBV) extends the traditional resource-based view by emphasising that sustainable competitive advantage is derived not only from firms' internal resources and capabilities but also from their ability to establish and maintain valuable relationships with stakeholders (Sodhi, 2015; Freeman et al., 2021). From the SRBV perspective, sustainability-oriented capabilities enable firms to create long-term value for customers, suppliers, employees, communities, and other stakeholders while enhancing organisational performance.</w:t>
      </w:r>
    </w:p>
    <w:p w14:paraId="1CCE2ED5" w14:textId="77777777" w:rsidR="00897A64" w:rsidRPr="00AA631C" w:rsidRDefault="00897A64" w:rsidP="00897A64"/>
    <w:p w14:paraId="2CE75FF2" w14:textId="77777777" w:rsidR="00897A64" w:rsidRPr="00AA631C" w:rsidRDefault="00897A64" w:rsidP="00897A64">
      <w:r w:rsidRPr="00AA631C">
        <w:t xml:space="preserve">Within this perspective, green innovation product refers to the development of products that incorporate sustainability principles throughout the product life cycle through resource efficiency, environmentally friendly materials, and waste reduction (Dagher &amp; Itani, 2012; Ariffin et al., 2016). Meanwhile, green supply chain represents the integration of environmental considerations into all supply chain activities, including product design, sustainable sourcing, manufacturing, distribution, and end-of-life product management (de Oliveira et al., 2018; </w:t>
      </w:r>
      <w:proofErr w:type="spellStart"/>
      <w:r w:rsidRPr="00AA631C">
        <w:t>Nozari</w:t>
      </w:r>
      <w:proofErr w:type="spellEnd"/>
      <w:r w:rsidRPr="00AA631C">
        <w:t xml:space="preserve">, 2024). </w:t>
      </w:r>
    </w:p>
    <w:p w14:paraId="43589417" w14:textId="77777777" w:rsidR="00897A64" w:rsidRPr="00AA631C" w:rsidRDefault="00897A64" w:rsidP="00897A64"/>
    <w:p w14:paraId="383613A4" w14:textId="47ACDA3A" w:rsidR="00897A64" w:rsidRPr="00AA631C" w:rsidRDefault="00897A64" w:rsidP="00897A64">
      <w:r w:rsidRPr="00AA631C">
        <w:t xml:space="preserve">Previous studies have provided empirical support for the strategic role of these sustainability practices. Kara and Edinsel (2023) found that green product innovation strengthens the implementation of green supply chain management by mediating the relationship between firms' internal management practices and sustainable supply chain implementation. Similarly, </w:t>
      </w:r>
      <w:r w:rsidR="006C10C4" w:rsidRPr="006C10C4">
        <w:t>Sarfraz</w:t>
      </w:r>
      <w:r w:rsidR="006C10C4" w:rsidRPr="006C10C4">
        <w:t xml:space="preserve"> </w:t>
      </w:r>
      <w:r w:rsidRPr="00AA631C">
        <w:t>(202</w:t>
      </w:r>
      <w:r w:rsidR="006C10C4">
        <w:t>2</w:t>
      </w:r>
      <w:r w:rsidRPr="00AA631C">
        <w:t>) reported that green product innovation enhances organisational performance by improving corporate reputation and stakeholder trust. Furthermore, Kiet et al. (2024) demonstrated that green supply chain management positively influences social performance by strengthening corporate social responsibility and fostering stronger relationships with stakeholders. Collectively, these findings suggest that green innovation product and green supply chain constitute complementary organisational capabilities that contribute to sustainable competitive advantage and improved stakeholder value, as proposed by the SRBV.</w:t>
      </w:r>
    </w:p>
    <w:p w14:paraId="0D9C59E4" w14:textId="77777777" w:rsidR="00B95236" w:rsidRPr="00AA631C" w:rsidRDefault="00B95236" w:rsidP="00897A64">
      <w:pPr>
        <w:pStyle w:val="Body"/>
        <w:spacing w:after="0"/>
        <w:rPr>
          <w:rFonts w:cs="Arial"/>
        </w:rPr>
      </w:pPr>
      <w:r w:rsidRPr="00AA631C">
        <w:rPr>
          <w:rFonts w:cs="Arial"/>
        </w:rPr>
        <w:t>.</w:t>
      </w:r>
    </w:p>
    <w:p w14:paraId="4231351A" w14:textId="77777777" w:rsidR="00897A64" w:rsidRPr="00AA631C" w:rsidRDefault="00897A64" w:rsidP="00897A64">
      <w:pPr>
        <w:pStyle w:val="Body"/>
        <w:spacing w:after="0"/>
        <w:rPr>
          <w:rFonts w:cs="Arial"/>
        </w:rPr>
      </w:pPr>
      <w:r w:rsidRPr="00AA631C">
        <w:rPr>
          <w:rFonts w:cs="Arial"/>
          <w:b/>
          <w:caps/>
          <w:sz w:val="22"/>
        </w:rPr>
        <w:t xml:space="preserve">2.2 </w:t>
      </w:r>
      <w:r w:rsidRPr="00AA631C">
        <w:rPr>
          <w:rFonts w:cs="Arial"/>
          <w:b/>
          <w:sz w:val="22"/>
        </w:rPr>
        <w:t>Green Innovation Product</w:t>
      </w:r>
      <w:r w:rsidRPr="00AA631C">
        <w:rPr>
          <w:rFonts w:cs="Arial"/>
        </w:rPr>
        <w:t xml:space="preserve">   </w:t>
      </w:r>
    </w:p>
    <w:p w14:paraId="74CF05E7" w14:textId="77777777" w:rsidR="00897A64" w:rsidRPr="00AA631C" w:rsidRDefault="00897A64" w:rsidP="00897A64">
      <w:pPr>
        <w:pStyle w:val="Body"/>
        <w:spacing w:after="0"/>
        <w:rPr>
          <w:rFonts w:cs="Arial"/>
        </w:rPr>
      </w:pPr>
    </w:p>
    <w:p w14:paraId="4522587E" w14:textId="77777777" w:rsidR="00897A64" w:rsidRPr="00AA631C" w:rsidRDefault="00897A64" w:rsidP="00897A64">
      <w:pPr>
        <w:pStyle w:val="Body"/>
        <w:rPr>
          <w:rFonts w:cs="Arial"/>
        </w:rPr>
      </w:pPr>
      <w:r w:rsidRPr="00AA631C">
        <w:t>Green supply chain refers to the integration of environmental considerations into all supply chain activities, including product design, sustainable sourcing, manufacturing, distribution, consumption, and end-of-life product management, with the objective of minimising environmental impacts and reducing the consumption of non-renewable resources (de Oliveira et al., 2018; Nozari, 2024). Unlike conventional supply chain management, green supply chain incorporates environmentally responsible practices throughout the product life cycle, including sustainable material selection, waste reduction, reverse logistics, and resource-efficient production processes (Meng et al., 2021).</w:t>
      </w:r>
    </w:p>
    <w:p w14:paraId="51A9B110" w14:textId="77777777" w:rsidR="00790ADA" w:rsidRPr="00AA631C" w:rsidRDefault="00897A64" w:rsidP="00897A64">
      <w:pPr>
        <w:pStyle w:val="Body"/>
        <w:spacing w:after="0"/>
        <w:rPr>
          <w:rFonts w:cs="Arial"/>
        </w:rPr>
      </w:pPr>
      <w:r w:rsidRPr="00AA631C">
        <w:lastRenderedPageBreak/>
        <w:t>According to the stakeholder resource-based view (SRBV), green supply chain constitutes a strategic organisational capability that enables firms to coordinate internal resources and external stakeholder relationships to achieve sustainability objectives (Freeman et al., 2021; Sodhi, 2015). Through collaboration with environmentally responsible suppliers and the integration of sustainability principles across supply chain activities, firms can improve operational efficiency, reduce environmental risks, strengthen stakeholder trust, and enhance long-term competitive advantage.</w:t>
      </w:r>
    </w:p>
    <w:p w14:paraId="75FAA41A" w14:textId="77777777" w:rsidR="00897A64" w:rsidRPr="00AA631C" w:rsidRDefault="00897A64" w:rsidP="00897A64">
      <w:pPr>
        <w:pStyle w:val="Body"/>
        <w:spacing w:after="0"/>
        <w:rPr>
          <w:rFonts w:cs="Arial"/>
        </w:rPr>
      </w:pPr>
    </w:p>
    <w:p w14:paraId="2B766BDD" w14:textId="77777777" w:rsidR="00502516" w:rsidRPr="00AA631C" w:rsidRDefault="006B57D0" w:rsidP="00441B6F">
      <w:pPr>
        <w:pStyle w:val="Body"/>
        <w:spacing w:after="0"/>
        <w:rPr>
          <w:rFonts w:cs="Arial"/>
        </w:rPr>
      </w:pPr>
      <w:r w:rsidRPr="00AA631C">
        <w:rPr>
          <w:rFonts w:cs="Arial"/>
        </w:rPr>
        <w:t xml:space="preserve">Give adequate information to allow the experiment to be reproduced. Already published methods should be mentioned with references. Significant modifications of published methods and new methods should be described in detail. </w:t>
      </w:r>
      <w:r w:rsidR="00B01FCD" w:rsidRPr="00AA631C">
        <w:rPr>
          <w:rFonts w:cs="Arial"/>
        </w:rPr>
        <w:t>This section will include sub-sections.</w:t>
      </w:r>
      <w:r w:rsidR="00502516" w:rsidRPr="00AA631C">
        <w:rPr>
          <w:rFonts w:cs="Arial"/>
        </w:rPr>
        <w:t xml:space="preserve"> Tables &amp; figures should be placed inside the text. Tables and figures should be presented as per their appearance in the text. It is suggested that the discussion about the tables and figures should appear in the text before the appearance of the respective tables and figures. No tables or figures should be given without discussion or reference inside the text.</w:t>
      </w:r>
    </w:p>
    <w:p w14:paraId="7914BED8" w14:textId="77777777" w:rsidR="002E0D56" w:rsidRPr="00AA631C" w:rsidRDefault="002E0D56" w:rsidP="00441B6F">
      <w:pPr>
        <w:pStyle w:val="Body"/>
        <w:spacing w:after="0"/>
        <w:rPr>
          <w:rFonts w:cs="Arial"/>
        </w:rPr>
      </w:pPr>
    </w:p>
    <w:p w14:paraId="2BEA6233" w14:textId="77777777" w:rsidR="00897A64" w:rsidRPr="00AA631C" w:rsidRDefault="00897A64" w:rsidP="00897A64">
      <w:pPr>
        <w:pStyle w:val="Body"/>
        <w:spacing w:after="0"/>
        <w:rPr>
          <w:rFonts w:cs="Arial"/>
        </w:rPr>
      </w:pPr>
      <w:r w:rsidRPr="00AA631C">
        <w:rPr>
          <w:rFonts w:cs="Arial"/>
          <w:b/>
          <w:caps/>
          <w:sz w:val="22"/>
        </w:rPr>
        <w:t xml:space="preserve">2.3 </w:t>
      </w:r>
      <w:r w:rsidRPr="00AA631C">
        <w:rPr>
          <w:rFonts w:cs="Arial"/>
          <w:b/>
          <w:sz w:val="22"/>
        </w:rPr>
        <w:t>Green supply chain</w:t>
      </w:r>
      <w:r w:rsidRPr="00AA631C">
        <w:rPr>
          <w:rFonts w:cs="Arial"/>
        </w:rPr>
        <w:t xml:space="preserve">   </w:t>
      </w:r>
    </w:p>
    <w:p w14:paraId="59C61093" w14:textId="77777777" w:rsidR="00897A64" w:rsidRPr="00AA631C" w:rsidRDefault="00897A64" w:rsidP="00897A64">
      <w:pPr>
        <w:pStyle w:val="Body"/>
        <w:spacing w:after="0"/>
        <w:rPr>
          <w:rFonts w:cs="Arial"/>
        </w:rPr>
      </w:pPr>
    </w:p>
    <w:p w14:paraId="1E76AD46" w14:textId="77777777" w:rsidR="00897A64" w:rsidRPr="00AA631C" w:rsidRDefault="00897A64" w:rsidP="00897A64">
      <w:r w:rsidRPr="00AA631C">
        <w:t>Green supply chain refers to the integration of environmental considerations into all stages of the supply chain, including product design, sustainable sourcing, manufacturing, distribution, consumption, and end-of-life product management, with the objective of minimising environmental impacts and reducing the consumption of non-renewable resources (Nozari, 2024). Unlike conventional supply chain management, green supply chain incorporates environmentally responsible practices throughout the product life cycle, including the selection of sustainable raw materials, resource-efficient production processes, waste reduction, and reverse logistics (de Oliveira et al., 2018).</w:t>
      </w:r>
    </w:p>
    <w:p w14:paraId="49E2100D" w14:textId="77777777" w:rsidR="00897A64" w:rsidRPr="00AA631C" w:rsidRDefault="00897A64" w:rsidP="00897A64"/>
    <w:p w14:paraId="008E905A" w14:textId="77777777" w:rsidR="00897A64" w:rsidRPr="00AA631C" w:rsidRDefault="00897A64" w:rsidP="00897A64">
      <w:r w:rsidRPr="00AA631C">
        <w:t>Meng et al. (2021) further emphasised that green supply chain management requires firms to consider the environmental impacts of every business activity, from raw material procurement to the delivery of final products. Consequently, green supply chain functions as a strategic organisational capability that enables firms to integrate environmental sustainability into supply chain operations while improving resource efficiency and reducing environmental risks. From the perspective of SRBV, the effective implementation of green supply chain strengthens firms' ability to coordinate internal resources and stakeholder relationships, thereby supporting sustainable competitive advantage and long-term value creation (Freeman et al., 2021; Sodhi, 2015).</w:t>
      </w:r>
    </w:p>
    <w:p w14:paraId="78448710" w14:textId="77777777" w:rsidR="00897A64" w:rsidRPr="00AA631C" w:rsidRDefault="00897A64" w:rsidP="00897A64">
      <w:pPr>
        <w:spacing w:line="360" w:lineRule="auto"/>
      </w:pPr>
    </w:p>
    <w:p w14:paraId="77FE5DC2" w14:textId="77777777" w:rsidR="00897A64" w:rsidRPr="00AA631C" w:rsidRDefault="00897A64" w:rsidP="00897A64">
      <w:pPr>
        <w:pStyle w:val="Body"/>
        <w:spacing w:after="0"/>
        <w:rPr>
          <w:rFonts w:cs="Arial"/>
        </w:rPr>
      </w:pPr>
      <w:r w:rsidRPr="00AA631C">
        <w:rPr>
          <w:rFonts w:cs="Arial"/>
          <w:b/>
          <w:caps/>
          <w:sz w:val="22"/>
        </w:rPr>
        <w:t xml:space="preserve">2.3 </w:t>
      </w:r>
      <w:r w:rsidRPr="00AA631C">
        <w:rPr>
          <w:rFonts w:cs="Arial"/>
          <w:b/>
          <w:sz w:val="22"/>
        </w:rPr>
        <w:t>Social performance</w:t>
      </w:r>
      <w:r w:rsidRPr="00AA631C">
        <w:rPr>
          <w:rFonts w:cs="Arial"/>
        </w:rPr>
        <w:t xml:space="preserve">  </w:t>
      </w:r>
    </w:p>
    <w:p w14:paraId="745FC4E6" w14:textId="77777777" w:rsidR="00897A64" w:rsidRPr="00AA631C" w:rsidRDefault="00897A64" w:rsidP="00897A64">
      <w:pPr>
        <w:spacing w:line="360" w:lineRule="auto"/>
      </w:pPr>
    </w:p>
    <w:p w14:paraId="19119B47" w14:textId="77777777" w:rsidR="00897A64" w:rsidRPr="00AA631C" w:rsidRDefault="00897A64" w:rsidP="00897A64">
      <w:r w:rsidRPr="00AA631C">
        <w:t>Green innovation product refers to the development of products that incorporate environmental considerations throughout the product life cycle by improving resource efficiency, utilising environmentally friendly materials, and minimising waste generation (Dagher &amp; Itani, 2012; Ariffin et al., 2016). The primary objective of green product innovation is to reduce environmental impacts while creating value for both organisations and stakeholders through sustainable production and consumption practices (Sarfraz et al., 2022).</w:t>
      </w:r>
    </w:p>
    <w:p w14:paraId="537E9FAD" w14:textId="77777777" w:rsidR="00897A64" w:rsidRPr="00AA631C" w:rsidRDefault="00897A64" w:rsidP="00897A64"/>
    <w:p w14:paraId="3BC0821F" w14:textId="77777777" w:rsidR="00897A64" w:rsidRPr="00AA631C" w:rsidRDefault="00897A64" w:rsidP="00897A64">
      <w:pPr>
        <w:pStyle w:val="Body"/>
        <w:spacing w:after="0"/>
      </w:pPr>
      <w:r w:rsidRPr="00AA631C">
        <w:t>From the perspective of the SRBV, green innovation product represents a strategic organisational capability that enables firms to combine internal resources with stakeholder expectations to create sustainable competitive advantage (Freeman et al., 2021; Sodhi, 2015). By developing environmentally friendly products, firms demonstrate their commitment to sustainability, strengthen stakeholder relationships, enhance corporate reputation, and generate long-term social and environmental value (Sarfraz et al., 2022).</w:t>
      </w:r>
    </w:p>
    <w:p w14:paraId="634CA3AB" w14:textId="77777777" w:rsidR="00C35EC6" w:rsidRPr="00AA631C" w:rsidRDefault="00C35EC6" w:rsidP="00897A64">
      <w:pPr>
        <w:pStyle w:val="Body"/>
        <w:spacing w:after="0"/>
      </w:pPr>
    </w:p>
    <w:p w14:paraId="0E2FD11C" w14:textId="77777777" w:rsidR="00C35EC6" w:rsidRPr="00AA631C" w:rsidRDefault="00C35EC6" w:rsidP="00C35EC6">
      <w:pPr>
        <w:pStyle w:val="Body"/>
        <w:spacing w:after="0"/>
        <w:rPr>
          <w:rFonts w:cs="Arial"/>
        </w:rPr>
      </w:pPr>
      <w:r w:rsidRPr="00AA631C">
        <w:rPr>
          <w:rFonts w:cs="Arial"/>
          <w:b/>
          <w:caps/>
          <w:sz w:val="22"/>
        </w:rPr>
        <w:t xml:space="preserve">2.4 </w:t>
      </w:r>
      <w:r w:rsidRPr="00AA631C">
        <w:rPr>
          <w:b/>
          <w:bCs/>
        </w:rPr>
        <w:t>Hypothesis Development</w:t>
      </w:r>
      <w:r w:rsidRPr="00AA631C">
        <w:rPr>
          <w:rFonts w:cs="Arial"/>
          <w:b/>
          <w:sz w:val="22"/>
        </w:rPr>
        <w:t xml:space="preserve"> </w:t>
      </w:r>
      <w:r w:rsidRPr="00AA631C">
        <w:rPr>
          <w:rFonts w:cs="Arial"/>
        </w:rPr>
        <w:t xml:space="preserve"> </w:t>
      </w:r>
    </w:p>
    <w:p w14:paraId="5B75C78F" w14:textId="77777777" w:rsidR="00C35EC6" w:rsidRPr="00AA631C" w:rsidRDefault="00C35EC6" w:rsidP="00C35EC6">
      <w:pPr>
        <w:pStyle w:val="Body"/>
        <w:spacing w:after="0"/>
        <w:rPr>
          <w:rFonts w:cs="Arial"/>
        </w:rPr>
      </w:pPr>
    </w:p>
    <w:p w14:paraId="50758F1E" w14:textId="77777777" w:rsidR="00C35EC6" w:rsidRPr="00AA631C" w:rsidRDefault="00C35EC6" w:rsidP="00C35EC6">
      <w:pPr>
        <w:pStyle w:val="Body"/>
        <w:spacing w:after="0"/>
        <w:rPr>
          <w:rFonts w:cs="Arial"/>
        </w:rPr>
      </w:pPr>
      <w:r w:rsidRPr="00AA631C">
        <w:rPr>
          <w:rFonts w:cs="Arial"/>
          <w:b/>
          <w:u w:val="single"/>
        </w:rPr>
        <w:t>2.4.1 Green innovation product and social performance</w:t>
      </w:r>
      <w:r w:rsidRPr="00AA631C">
        <w:rPr>
          <w:rFonts w:cs="Arial"/>
        </w:rPr>
        <w:t xml:space="preserve">  </w:t>
      </w:r>
    </w:p>
    <w:p w14:paraId="49004764" w14:textId="77777777" w:rsidR="00C35EC6" w:rsidRPr="00AA631C" w:rsidRDefault="00C35EC6" w:rsidP="00C35EC6">
      <w:pPr>
        <w:pStyle w:val="Body"/>
        <w:spacing w:after="0"/>
        <w:rPr>
          <w:rFonts w:cs="Arial"/>
        </w:rPr>
      </w:pPr>
    </w:p>
    <w:p w14:paraId="2ABFAAD6" w14:textId="77777777" w:rsidR="00C35EC6" w:rsidRPr="00AA631C" w:rsidRDefault="00C35EC6" w:rsidP="00C35EC6">
      <w:r w:rsidRPr="00AA631C">
        <w:t>Green supply chain refers to the integration of environmental considerations into all stages of supply chain activities, including product design, sustainable sourcing, manufacturing, distribution, consumption, and end-of-life product management, with the objective of minimising environmental impacts and improving resource efficiency (de Oliveira et al., 2018; Nozari, 2024). This approach encourages firms to reduce waste, optimise resource utilisation, and adopt environmentally responsible practices throughout the product life cycle (Meng et al., 2021).</w:t>
      </w:r>
    </w:p>
    <w:p w14:paraId="16098F9D" w14:textId="77777777" w:rsidR="00C35EC6" w:rsidRPr="00AA631C" w:rsidRDefault="00C35EC6" w:rsidP="00C35EC6"/>
    <w:p w14:paraId="07D73289" w14:textId="77777777" w:rsidR="00C35EC6" w:rsidRPr="00AA631C" w:rsidRDefault="00C35EC6" w:rsidP="00C35EC6">
      <w:r w:rsidRPr="00AA631C">
        <w:t>From the perspective of the SRBV, green supply chain represents a strategic organisational capability that enables firms to coordinate internal resources and stakeholder relationships to achieve sustainability objectives. By integrating environmental practices across the supply chain, firms can strengthen collaboration with suppliers and customers, enhance operational efficiency, reduce environmental risks, and create long-term value for stakeholders (Sodhi, 2015; Freeman et al., 2021). Based on the theoretical arguments and empirical evidence, the following hypothesis is proposed:</w:t>
      </w:r>
    </w:p>
    <w:p w14:paraId="65BA6398" w14:textId="77777777" w:rsidR="00C35EC6" w:rsidRPr="00AA631C" w:rsidRDefault="00C35EC6" w:rsidP="00C35EC6"/>
    <w:p w14:paraId="3A8BB668" w14:textId="77777777" w:rsidR="00C35EC6" w:rsidRPr="00AA631C" w:rsidRDefault="00C35EC6" w:rsidP="00C35EC6">
      <w:pPr>
        <w:spacing w:line="360" w:lineRule="auto"/>
      </w:pPr>
      <w:r w:rsidRPr="00AA631C">
        <w:t>H2. Green Innovation Product has a positive and significant effect on Social Performance.</w:t>
      </w:r>
    </w:p>
    <w:p w14:paraId="1CE174BF" w14:textId="77777777" w:rsidR="00C35EC6" w:rsidRPr="00AA631C" w:rsidRDefault="00C35EC6" w:rsidP="00C35EC6">
      <w:pPr>
        <w:spacing w:line="360" w:lineRule="auto"/>
      </w:pPr>
    </w:p>
    <w:p w14:paraId="1048895F" w14:textId="77777777" w:rsidR="00C35EC6" w:rsidRPr="00AA631C" w:rsidRDefault="00C35EC6" w:rsidP="00C35EC6">
      <w:pPr>
        <w:pStyle w:val="Body"/>
        <w:spacing w:after="0"/>
        <w:rPr>
          <w:rFonts w:cs="Arial"/>
        </w:rPr>
      </w:pPr>
      <w:r w:rsidRPr="00AA631C">
        <w:rPr>
          <w:rFonts w:cs="Arial"/>
          <w:b/>
          <w:u w:val="single"/>
        </w:rPr>
        <w:t xml:space="preserve">2.4.2 Green Innovation Product and Green Supply Chain </w:t>
      </w:r>
    </w:p>
    <w:p w14:paraId="49CACE03" w14:textId="77777777" w:rsidR="00C35EC6" w:rsidRPr="00AA631C" w:rsidRDefault="00C35EC6" w:rsidP="00C35EC6">
      <w:pPr>
        <w:spacing w:line="360" w:lineRule="auto"/>
        <w:rPr>
          <w:i/>
          <w:iCs/>
        </w:rPr>
      </w:pPr>
    </w:p>
    <w:p w14:paraId="044E3464" w14:textId="77777777" w:rsidR="00C35EC6" w:rsidRPr="00AA631C" w:rsidRDefault="00C35EC6" w:rsidP="00C35EC6">
      <w:r w:rsidRPr="00AA631C">
        <w:t>Green Innovation Product encourages firms to redesign products by incorporating environmentally friendly materials, resource-efficient production processes, and waste reduction throughout the product life cycle. From the perspective of the SRBV, such product innovation represents a strategic organisational capability that requires firms to coordinate internal resources and collaborate with external stakeholders, particularly suppliers, to achieve sustainability objectives (Freeman et al., 2021; Sodhi, 2015). Consequently, firms pursuing green product innovation are more likely to adopt environmentally responsible supply chain practices to ensure consistency between product characteristics and upstream operational activities.</w:t>
      </w:r>
    </w:p>
    <w:p w14:paraId="473C9800" w14:textId="77777777" w:rsidR="00C35EC6" w:rsidRPr="00AA631C" w:rsidRDefault="00C35EC6" w:rsidP="00C35EC6"/>
    <w:p w14:paraId="7AA01043" w14:textId="77777777" w:rsidR="00C35EC6" w:rsidRPr="00AA631C" w:rsidRDefault="00C35EC6" w:rsidP="00C35EC6">
      <w:r w:rsidRPr="00AA631C">
        <w:t>The implementation of green innovation product often requires firms to select sustainable suppliers, improve resource efficiency, reduce waste generation, and integrate environmental considerations into procurement, production, and distribution processes. These practices strengthen the adoption of green supply chain by aligning product innovation with environmentally responsible supply chain management (de Oliveira et al., 2018; Meng et al., 2021).</w:t>
      </w:r>
    </w:p>
    <w:p w14:paraId="699CD97E" w14:textId="77777777" w:rsidR="00C35EC6" w:rsidRPr="00AA631C" w:rsidRDefault="00C35EC6" w:rsidP="00C35EC6"/>
    <w:p w14:paraId="41509A0E" w14:textId="77777777" w:rsidR="00C35EC6" w:rsidRPr="00AA631C" w:rsidRDefault="00C35EC6" w:rsidP="00C35EC6">
      <w:r w:rsidRPr="00AA631C">
        <w:t>Empirical evidence also supports this relationship. Kara and Edinsel (2023) found that green product innovation plays a significant role in strengthening Green Supply Chain Management by facilitating the integration of environmental practices into organisational operations. Similarly, Levi-Bliech and Dahan (2026) reported that environmentally oriented product innovation drives firms to transform their supply chains through sustainable sourcing and collaboration with environmentally responsible suppliers. Furthermore, Burki (2018) and Zhu et al. (2011) argued that increasing market demand for environmentally friendly products encourages firms to integrate green product innovation with sustainable supply chain practices. Based on the theoretical arguments and empirical evidence, the following hypothesis is proposed:</w:t>
      </w:r>
    </w:p>
    <w:p w14:paraId="4C32D869" w14:textId="77777777" w:rsidR="00C35EC6" w:rsidRPr="00AA631C" w:rsidRDefault="00C35EC6" w:rsidP="00C35EC6"/>
    <w:p w14:paraId="55A51F5E" w14:textId="77777777" w:rsidR="00C35EC6" w:rsidRPr="00AA631C" w:rsidRDefault="00C35EC6" w:rsidP="00C35EC6">
      <w:pPr>
        <w:spacing w:line="360" w:lineRule="auto"/>
      </w:pPr>
      <w:r w:rsidRPr="00AA631C">
        <w:t>H1. Green Innovation Product positively influences Green Supply Chain.</w:t>
      </w:r>
    </w:p>
    <w:p w14:paraId="3AB13037" w14:textId="77777777" w:rsidR="00C35EC6" w:rsidRPr="00AA631C" w:rsidRDefault="00C35EC6" w:rsidP="00C35EC6">
      <w:pPr>
        <w:spacing w:line="360" w:lineRule="auto"/>
      </w:pPr>
    </w:p>
    <w:p w14:paraId="3A938A5E" w14:textId="77777777" w:rsidR="00C35EC6" w:rsidRPr="00AA631C" w:rsidRDefault="00C35EC6" w:rsidP="00C35EC6">
      <w:pPr>
        <w:spacing w:line="360" w:lineRule="auto"/>
      </w:pPr>
      <w:r w:rsidRPr="00AA631C">
        <w:rPr>
          <w:rFonts w:cs="Arial"/>
          <w:b/>
          <w:u w:val="single"/>
        </w:rPr>
        <w:t xml:space="preserve">2.4.3 Green supply chain and social performance </w:t>
      </w:r>
    </w:p>
    <w:p w14:paraId="49301090" w14:textId="77777777" w:rsidR="00C35EC6" w:rsidRPr="00AA631C" w:rsidRDefault="00C35EC6" w:rsidP="00C35EC6">
      <w:pPr>
        <w:spacing w:line="360" w:lineRule="auto"/>
        <w:rPr>
          <w:i/>
          <w:iCs/>
        </w:rPr>
      </w:pPr>
    </w:p>
    <w:p w14:paraId="53F84B0A" w14:textId="77777777" w:rsidR="00C35EC6" w:rsidRPr="00AA631C" w:rsidRDefault="00C35EC6" w:rsidP="00C35EC6">
      <w:r w:rsidRPr="00AA631C">
        <w:t>Green supply chain integrates environmental considerations throughout supply chain activities, including sustainable sourcing, manufacturing, distribution, and end-of-life product management (de Oliveira et al., 2018; Nozari, 2024). From the perspective of the SRBV, environmentally responsible supply chain management represents a strategic organisational capability that enables firms to create value for multiple stakeholders while strengthening long-term competitive advantage (Freeman et al., 2021; Sodhi, 2015).</w:t>
      </w:r>
    </w:p>
    <w:p w14:paraId="77639998" w14:textId="77777777" w:rsidR="00C35EC6" w:rsidRPr="00AA631C" w:rsidRDefault="00C35EC6" w:rsidP="00C35EC6"/>
    <w:p w14:paraId="430849B0" w14:textId="77777777" w:rsidR="00C35EC6" w:rsidRPr="00AA631C" w:rsidRDefault="00C35EC6" w:rsidP="00C35EC6">
      <w:r w:rsidRPr="00AA631C">
        <w:t>By collaborating with environmentally responsible suppliers, minimising waste, improving resource efficiency, and adopting sustainable logistics practices, firms can reduce the negative social and environmental impacts of their operations. Consequently, the implementation of green supply chain is expected to improve Social Performance by enhancing stakeholder trust, corporate legitimacy, employee well-being, and community welfare.</w:t>
      </w:r>
    </w:p>
    <w:p w14:paraId="2FFFCD50" w14:textId="77777777" w:rsidR="00C35EC6" w:rsidRPr="00AA631C" w:rsidRDefault="00C35EC6" w:rsidP="00C35EC6"/>
    <w:p w14:paraId="037450E1" w14:textId="1A941A36" w:rsidR="00C35EC6" w:rsidRPr="00AA631C" w:rsidRDefault="00C35EC6" w:rsidP="00C35EC6">
      <w:r w:rsidRPr="00AA631C">
        <w:t xml:space="preserve">Previous studies have consistently reported a positive relationship between green supply chain management and social performance. </w:t>
      </w:r>
      <w:r w:rsidR="006C10C4" w:rsidRPr="006C10C4">
        <w:t>Mohammad</w:t>
      </w:r>
      <w:r w:rsidRPr="00AA631C">
        <w:t xml:space="preserve"> et al. (2024) found that green supply chain practices reduce the social impacts of business operations while strengthening corporate social responsibility. Similarly, Yang et al. (2020) demonstrated that the implementation of green supply chain practices contributes to improved stakeholder relationships, public trust, and workplace safety. Furthermore, Alsuraihi et al. (2022) argued that collaboration with environmentally responsible suppliers and customers enhances social performance through joint environmental problem-solving and stakeholder engagement. Based on the theoretical arguments and empirical evidence, the following hypothesis is proposed:</w:t>
      </w:r>
    </w:p>
    <w:p w14:paraId="204F80E9" w14:textId="77777777" w:rsidR="00C35EC6" w:rsidRPr="00AA631C" w:rsidRDefault="00C35EC6" w:rsidP="00C35EC6"/>
    <w:p w14:paraId="251134D3" w14:textId="77777777" w:rsidR="00C35EC6" w:rsidRPr="00AA631C" w:rsidRDefault="00C35EC6" w:rsidP="00C35EC6">
      <w:pPr>
        <w:spacing w:line="360" w:lineRule="auto"/>
      </w:pPr>
      <w:r w:rsidRPr="00AA631C">
        <w:t>H3. Green Supply Chain has a positive and significant effect on Social Performance.</w:t>
      </w:r>
    </w:p>
    <w:p w14:paraId="202455C0" w14:textId="77777777" w:rsidR="00C35EC6" w:rsidRPr="00AA631C" w:rsidRDefault="00C35EC6" w:rsidP="00C35EC6">
      <w:pPr>
        <w:spacing w:line="360" w:lineRule="auto"/>
        <w:ind w:firstLine="720"/>
      </w:pPr>
    </w:p>
    <w:p w14:paraId="2CFA6B16" w14:textId="77777777" w:rsidR="00C35EC6" w:rsidRPr="00AA631C" w:rsidRDefault="00C35EC6" w:rsidP="00C35EC6">
      <w:r w:rsidRPr="00AA631C">
        <w:t>Based on the theoretical arguments and the proposed hypotheses, the conceptual research framework is presented in Figure 1.</w:t>
      </w:r>
    </w:p>
    <w:p w14:paraId="1DEAF7A5" w14:textId="77777777" w:rsidR="00C35EC6" w:rsidRPr="00AA631C" w:rsidRDefault="00C35EC6" w:rsidP="00C35EC6">
      <w:pPr>
        <w:spacing w:line="360" w:lineRule="auto"/>
        <w:ind w:firstLine="720"/>
      </w:pPr>
    </w:p>
    <w:p w14:paraId="5A2B47D0" w14:textId="77777777" w:rsidR="00C35EC6" w:rsidRPr="00AA631C" w:rsidRDefault="00C35EC6" w:rsidP="00C35EC6">
      <w:pPr>
        <w:spacing w:line="360" w:lineRule="auto"/>
        <w:jc w:val="center"/>
      </w:pPr>
      <w:r w:rsidRPr="00AA631C">
        <w:rPr>
          <w:noProof/>
        </w:rPr>
        <w:lastRenderedPageBreak/>
        <w:drawing>
          <wp:inline distT="0" distB="0" distL="0" distR="0" wp14:anchorId="0E239A49" wp14:editId="06E28AAF">
            <wp:extent cx="5039995" cy="1446530"/>
            <wp:effectExtent l="0" t="0" r="8255" b="1270"/>
            <wp:docPr id="102587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78548" name="Picture 1025878548"/>
                    <pic:cNvPicPr/>
                  </pic:nvPicPr>
                  <pic:blipFill>
                    <a:blip r:embed="rId14">
                      <a:extLst>
                        <a:ext uri="{28A0092B-C50C-407E-A947-70E740481C1C}">
                          <a14:useLocalDpi xmlns:a14="http://schemas.microsoft.com/office/drawing/2010/main" val="0"/>
                        </a:ext>
                      </a:extLst>
                    </a:blip>
                    <a:stretch>
                      <a:fillRect/>
                    </a:stretch>
                  </pic:blipFill>
                  <pic:spPr>
                    <a:xfrm>
                      <a:off x="0" y="0"/>
                      <a:ext cx="5039995" cy="1446530"/>
                    </a:xfrm>
                    <a:prstGeom prst="rect">
                      <a:avLst/>
                    </a:prstGeom>
                  </pic:spPr>
                </pic:pic>
              </a:graphicData>
            </a:graphic>
          </wp:inline>
        </w:drawing>
      </w:r>
    </w:p>
    <w:p w14:paraId="496ECC5B" w14:textId="77777777" w:rsidR="00C35EC6" w:rsidRPr="00AA631C" w:rsidRDefault="00C35EC6" w:rsidP="00C35EC6">
      <w:pPr>
        <w:spacing w:line="360" w:lineRule="auto"/>
      </w:pPr>
      <w:r w:rsidRPr="00AA631C">
        <w:t xml:space="preserve"> </w:t>
      </w:r>
    </w:p>
    <w:p w14:paraId="3AA29813" w14:textId="77777777" w:rsidR="00C35EC6" w:rsidRPr="00AA631C" w:rsidRDefault="00C35EC6" w:rsidP="00C35EC6">
      <w:pPr>
        <w:spacing w:line="360" w:lineRule="auto"/>
        <w:jc w:val="center"/>
        <w:rPr>
          <w:b/>
          <w:bCs/>
        </w:rPr>
      </w:pPr>
      <w:r w:rsidRPr="00AA631C">
        <w:t>Figure 1 Theoretical framework</w:t>
      </w:r>
    </w:p>
    <w:p w14:paraId="0AB0E2A7" w14:textId="77777777" w:rsidR="00C35EC6" w:rsidRPr="00AA631C" w:rsidRDefault="00C35EC6" w:rsidP="00897A64">
      <w:pPr>
        <w:pStyle w:val="Body"/>
        <w:spacing w:after="0"/>
      </w:pPr>
    </w:p>
    <w:p w14:paraId="3EF3DAAA" w14:textId="77857780" w:rsidR="00C35EC6" w:rsidRPr="00AA631C" w:rsidRDefault="00C35EC6" w:rsidP="00C35EC6">
      <w:pPr>
        <w:pStyle w:val="Head1"/>
        <w:spacing w:after="0"/>
        <w:rPr>
          <w:rFonts w:cs="Arial"/>
        </w:rPr>
      </w:pPr>
      <w:r w:rsidRPr="00AA631C">
        <w:t>3. METHOD</w:t>
      </w:r>
      <w:r w:rsidR="006979C5">
        <w:t xml:space="preserve">OLOGY </w:t>
      </w:r>
    </w:p>
    <w:p w14:paraId="2C1875DD" w14:textId="77777777" w:rsidR="00C35EC6" w:rsidRPr="00AA631C" w:rsidRDefault="00C35EC6" w:rsidP="00C35EC6">
      <w:pPr>
        <w:spacing w:line="360" w:lineRule="auto"/>
        <w:rPr>
          <w:b/>
          <w:bCs/>
        </w:rPr>
      </w:pPr>
    </w:p>
    <w:p w14:paraId="416E6B6A" w14:textId="77777777" w:rsidR="00C35EC6" w:rsidRPr="00AA631C" w:rsidRDefault="00C35EC6" w:rsidP="00C35EC6">
      <w:pPr>
        <w:spacing w:line="360" w:lineRule="auto"/>
      </w:pPr>
      <w:r w:rsidRPr="00AA631C">
        <w:rPr>
          <w:rFonts w:cs="Arial"/>
          <w:b/>
          <w:caps/>
          <w:sz w:val="22"/>
        </w:rPr>
        <w:t xml:space="preserve">3.1 </w:t>
      </w:r>
      <w:r w:rsidRPr="00AA631C">
        <w:rPr>
          <w:rFonts w:cs="Arial"/>
          <w:b/>
          <w:sz w:val="22"/>
        </w:rPr>
        <w:t>Research Design</w:t>
      </w:r>
    </w:p>
    <w:p w14:paraId="441B89F7" w14:textId="77777777" w:rsidR="00C35EC6" w:rsidRPr="00AA631C" w:rsidRDefault="00C35EC6" w:rsidP="00C35EC6">
      <w:r w:rsidRPr="00AA631C">
        <w:t>This study employed a quantitative research approach with a causal research design to examine the effects of green innovation product and green supply chain on social performance in the food and beverage industry (Hair et al., 2022). Primary data were collected through an online questionnaire administered using Google Forms. The questionnaire was developed based on measurement indicators representing the three research constructs: green innovation product, green supply chain, and social performance.</w:t>
      </w:r>
    </w:p>
    <w:p w14:paraId="6F889501" w14:textId="77777777" w:rsidR="00C35EC6" w:rsidRPr="00AA631C" w:rsidRDefault="00C35EC6" w:rsidP="00C35EC6"/>
    <w:p w14:paraId="65C9441E" w14:textId="77777777" w:rsidR="00C35EC6" w:rsidRPr="00AA631C" w:rsidRDefault="00C35EC6" w:rsidP="00C35EC6">
      <w:r w:rsidRPr="00AA631C">
        <w:t>The study focused on food and beverage businesses operating in the Special Region of Yogyakarta, Indonesia. However, because the questionnaire was distributed online, respondents from other regions were also eligible to participate, provided they met the predefined sampling criteria.</w:t>
      </w:r>
    </w:p>
    <w:p w14:paraId="75471D5E" w14:textId="77777777" w:rsidR="00C35EC6" w:rsidRPr="00AA631C" w:rsidRDefault="00C35EC6" w:rsidP="00C35EC6">
      <w:pPr>
        <w:widowControl w:val="0"/>
        <w:spacing w:line="360" w:lineRule="auto"/>
      </w:pPr>
    </w:p>
    <w:p w14:paraId="443EA39F" w14:textId="77777777" w:rsidR="00C35EC6" w:rsidRPr="00AA631C" w:rsidRDefault="00C35EC6" w:rsidP="00C35EC6">
      <w:pPr>
        <w:widowControl w:val="0"/>
        <w:spacing w:line="360" w:lineRule="auto"/>
        <w:rPr>
          <w:b/>
          <w:bCs/>
        </w:rPr>
      </w:pPr>
      <w:r w:rsidRPr="00AA631C">
        <w:rPr>
          <w:b/>
          <w:bCs/>
        </w:rPr>
        <w:t>3.2 Population and Sample</w:t>
      </w:r>
    </w:p>
    <w:p w14:paraId="3217E9FF" w14:textId="77777777" w:rsidR="00C35EC6" w:rsidRPr="00AA631C" w:rsidRDefault="00C35EC6" w:rsidP="00C35EC6">
      <w:r w:rsidRPr="00AA631C">
        <w:t>A purposive sampling technique was employed to select respondents who met the objectives of the study (Sekaran &amp; Bougie, 2016). The target respondents were business owners or managers operating in the food and beverage industry who were at least 17 years old and had implemented environmentally responsible operational practices. These practices included sustainable raw material sourcing, environmentally friendly production processes, waste management, energy efficiency, sustainable supply chain management, and the use of environmentally friendly packaging.</w:t>
      </w:r>
    </w:p>
    <w:p w14:paraId="5A78B04E" w14:textId="77777777" w:rsidR="00C35EC6" w:rsidRPr="00AA631C" w:rsidRDefault="00C35EC6" w:rsidP="00C35EC6">
      <w:pPr>
        <w:widowControl w:val="0"/>
        <w:spacing w:line="360" w:lineRule="auto"/>
      </w:pPr>
    </w:p>
    <w:p w14:paraId="631083EA" w14:textId="77777777" w:rsidR="00C35EC6" w:rsidRPr="00AA631C" w:rsidRDefault="00C35EC6" w:rsidP="00C35EC6">
      <w:pPr>
        <w:widowControl w:val="0"/>
        <w:spacing w:line="360" w:lineRule="auto"/>
        <w:rPr>
          <w:b/>
          <w:bCs/>
        </w:rPr>
      </w:pPr>
      <w:r w:rsidRPr="00AA631C">
        <w:rPr>
          <w:b/>
          <w:bCs/>
        </w:rPr>
        <w:t>3.3 Inferential Statistical Analysis</w:t>
      </w:r>
    </w:p>
    <w:p w14:paraId="0BA19136" w14:textId="77777777" w:rsidR="00C35EC6" w:rsidRPr="00AA631C" w:rsidRDefault="00C35EC6" w:rsidP="00C35EC6">
      <w:r w:rsidRPr="00AA631C">
        <w:t>The proposed research model was analysed using Partial Least Squares Structural Equation Modelling (PLS-SEM) with SmartPLS 4 software. PLS-SEM was selected because it is appropriate for examining predictive relationships among latent constructs and is robust when dealing with relatively small sample sizes and non-normally distributed data (Hair et al., 2022).</w:t>
      </w:r>
    </w:p>
    <w:p w14:paraId="504C78FE" w14:textId="77777777" w:rsidR="00C35EC6" w:rsidRPr="00AA631C" w:rsidRDefault="00C35EC6" w:rsidP="00C35EC6">
      <w:pPr>
        <w:widowControl w:val="0"/>
        <w:spacing w:line="360" w:lineRule="auto"/>
      </w:pPr>
    </w:p>
    <w:p w14:paraId="20CA80D7" w14:textId="77777777" w:rsidR="00C35EC6" w:rsidRPr="00AA631C" w:rsidRDefault="00C35EC6" w:rsidP="00C35EC6">
      <w:pPr>
        <w:widowControl w:val="0"/>
        <w:spacing w:line="360" w:lineRule="auto"/>
        <w:rPr>
          <w:b/>
          <w:bCs/>
        </w:rPr>
      </w:pPr>
      <w:r w:rsidRPr="00AA631C">
        <w:rPr>
          <w:b/>
          <w:bCs/>
        </w:rPr>
        <w:t>3.4 Discriminant Validity</w:t>
      </w:r>
    </w:p>
    <w:p w14:paraId="13BD8669" w14:textId="77777777" w:rsidR="00C35EC6" w:rsidRPr="00AA631C" w:rsidRDefault="00C35EC6" w:rsidP="00C35EC6">
      <w:r w:rsidRPr="00AA631C">
        <w:t>Discriminant validity was assessed using the Fornell–Larcker criterion by comparing the square root of the Average Variance Extracted (AVE) of each construct with the correlations among constructs (Fornell &amp; Larcker, 1981). Discriminant validity is considered satisfactory when the square root of a construct's AVE exceeds its correlations with all other constructs (Hair et al., 2022).</w:t>
      </w:r>
    </w:p>
    <w:p w14:paraId="68DA1680" w14:textId="77777777" w:rsidR="00C35EC6" w:rsidRPr="00AA631C" w:rsidRDefault="00C35EC6" w:rsidP="00C35EC6">
      <w:pPr>
        <w:widowControl w:val="0"/>
        <w:spacing w:line="360" w:lineRule="auto"/>
      </w:pPr>
    </w:p>
    <w:p w14:paraId="119E1AB9" w14:textId="77777777" w:rsidR="00C35EC6" w:rsidRPr="00AA631C" w:rsidRDefault="00C35EC6" w:rsidP="00C35EC6">
      <w:pPr>
        <w:widowControl w:val="0"/>
        <w:spacing w:line="360" w:lineRule="auto"/>
        <w:rPr>
          <w:b/>
          <w:bCs/>
        </w:rPr>
      </w:pPr>
      <w:r w:rsidRPr="00AA631C">
        <w:rPr>
          <w:b/>
          <w:bCs/>
        </w:rPr>
        <w:t>3.5 Reliability Assessment</w:t>
      </w:r>
    </w:p>
    <w:p w14:paraId="7973E619" w14:textId="77777777" w:rsidR="00C35EC6" w:rsidRPr="00AA631C" w:rsidRDefault="00C35EC6" w:rsidP="00C35EC6">
      <w:r w:rsidRPr="00AA631C">
        <w:t>Construct reliability was evaluated using Cronbach's alpha. A Cronbach's alpha value of 0.70 or higher indicates satisfactory internal consistency, whereas values above 0.60 are considered acceptable for exploratory research (Hair et al., 2022).</w:t>
      </w:r>
    </w:p>
    <w:p w14:paraId="6E4F4471" w14:textId="77777777" w:rsidR="00C35EC6" w:rsidRPr="00AA631C" w:rsidRDefault="00C35EC6" w:rsidP="00C35EC6">
      <w:pPr>
        <w:widowControl w:val="0"/>
        <w:spacing w:line="360" w:lineRule="auto"/>
      </w:pPr>
    </w:p>
    <w:p w14:paraId="72018A86" w14:textId="77777777" w:rsidR="00C35EC6" w:rsidRPr="00AA631C" w:rsidRDefault="00C35EC6" w:rsidP="00C35EC6">
      <w:pPr>
        <w:widowControl w:val="0"/>
        <w:spacing w:line="360" w:lineRule="auto"/>
        <w:rPr>
          <w:b/>
          <w:bCs/>
        </w:rPr>
      </w:pPr>
      <w:r w:rsidRPr="00AA631C">
        <w:rPr>
          <w:b/>
        </w:rPr>
        <w:t>3.6 Structural Model (Inner Model)</w:t>
      </w:r>
    </w:p>
    <w:p w14:paraId="402C310A" w14:textId="77777777" w:rsidR="00C35EC6" w:rsidRPr="00AA631C" w:rsidRDefault="00C35EC6" w:rsidP="00C35EC6">
      <w:r w:rsidRPr="00AA631C">
        <w:lastRenderedPageBreak/>
        <w:t>After establishing the reliability and validity of the measurement model, the structural model was evaluated to examine the hypothesised relationships among the latent constructs. The assessment included the examination of path coefficients, the coefficient of determination (R²), effect size (f²), predictive relevance (Q²), and the statistical significance of the structural relationships using the bootstrapping procedure (Hair et al., 2022).</w:t>
      </w:r>
    </w:p>
    <w:p w14:paraId="7A6217EF" w14:textId="77777777" w:rsidR="007E0E91" w:rsidRPr="00AA631C" w:rsidRDefault="007E0E91" w:rsidP="00C35EC6"/>
    <w:p w14:paraId="203D1AB8" w14:textId="77777777" w:rsidR="007E0E91" w:rsidRPr="00AA631C" w:rsidRDefault="007E0E91" w:rsidP="007E0E91">
      <w:pPr>
        <w:pStyle w:val="Head1"/>
        <w:spacing w:after="0"/>
        <w:rPr>
          <w:rFonts w:cs="Arial"/>
        </w:rPr>
      </w:pPr>
      <w:r w:rsidRPr="00AA631C">
        <w:t>4. RESULTS AND DISCUSSION</w:t>
      </w:r>
    </w:p>
    <w:p w14:paraId="6336D816" w14:textId="77777777" w:rsidR="007E0E91" w:rsidRPr="00AA631C" w:rsidRDefault="007E0E91" w:rsidP="007E0E91"/>
    <w:p w14:paraId="4A0CBCA0" w14:textId="77777777" w:rsidR="007E0E91" w:rsidRPr="00AA631C" w:rsidRDefault="007E0E91" w:rsidP="007E0E91">
      <w:pPr>
        <w:pStyle w:val="Body"/>
        <w:spacing w:after="0"/>
        <w:rPr>
          <w:rFonts w:cs="Arial"/>
        </w:rPr>
      </w:pPr>
      <w:r w:rsidRPr="00AA631C">
        <w:rPr>
          <w:b/>
        </w:rPr>
        <w:t>4.1 Respondent Profile</w:t>
      </w:r>
    </w:p>
    <w:p w14:paraId="65AD30E5" w14:textId="77777777" w:rsidR="007E0E91" w:rsidRPr="00AA631C" w:rsidRDefault="007E0E91" w:rsidP="00C35EC6">
      <w:pPr>
        <w:spacing w:line="360" w:lineRule="auto"/>
        <w:rPr>
          <w:b/>
          <w:bCs/>
        </w:rPr>
      </w:pPr>
    </w:p>
    <w:p w14:paraId="4039BB2D" w14:textId="77777777" w:rsidR="00C35EC6" w:rsidRPr="00AA631C" w:rsidRDefault="00C35EC6" w:rsidP="00C35EC6">
      <w:r w:rsidRPr="00AA631C">
        <w:t>Table 1 summarizes the demographic characteristics of the respondents. Most respondents (82%) were between 17 and 35 years old, representing the productive age group, while the remaining respondents were over 35 years old. The gender distribution was relatively balanced, comprising 54% male and 46% female respondents.</w:t>
      </w:r>
    </w:p>
    <w:p w14:paraId="01CE7C1A" w14:textId="77777777" w:rsidR="00C35EC6" w:rsidRPr="00AA631C" w:rsidRDefault="00C35EC6" w:rsidP="00C35EC6"/>
    <w:p w14:paraId="697BA13F" w14:textId="77777777" w:rsidR="00C35EC6" w:rsidRPr="00AA631C" w:rsidRDefault="00C35EC6" w:rsidP="00C35EC6">
      <w:r w:rsidRPr="00AA631C">
        <w:t>Regarding occupational background, 51% of the respondents were business owners, while the remainder were managers with or without employees. This composition indicates that most respondents were directly involved in operational decision-making and therefore possessed adequate knowledge of the implementation of Green Innovation Product and Green Supply Chain within their organisations.</w:t>
      </w:r>
    </w:p>
    <w:p w14:paraId="46E5E9BF" w14:textId="77777777" w:rsidR="00C35EC6" w:rsidRPr="00AA631C" w:rsidRDefault="00C35EC6" w:rsidP="00C35EC6"/>
    <w:p w14:paraId="7D451887" w14:textId="77777777" w:rsidR="00C35EC6" w:rsidRPr="00AA631C" w:rsidRDefault="00C35EC6" w:rsidP="00C35EC6">
      <w:r w:rsidRPr="00AA631C">
        <w:t>All respondents (100%) reported implementing environmentally friendly Standard Operating Procedures (SOPs) in their business operations. Therefore, the respondents were considered to have sufficient experience to evaluate Green Innovation Product, Green Supply Chain, and Social Performance.</w:t>
      </w:r>
    </w:p>
    <w:p w14:paraId="5ECAF292" w14:textId="77777777" w:rsidR="00C35EC6" w:rsidRPr="00AA631C" w:rsidRDefault="00C35EC6" w:rsidP="00C35EC6">
      <w:pPr>
        <w:spacing w:line="360" w:lineRule="auto"/>
        <w:ind w:firstLine="720"/>
      </w:pPr>
    </w:p>
    <w:p w14:paraId="2AC8AAE0" w14:textId="77777777" w:rsidR="007E0E91" w:rsidRPr="00AA631C" w:rsidRDefault="007E0E91" w:rsidP="007E0E91">
      <w:pPr>
        <w:pStyle w:val="Body"/>
        <w:spacing w:after="0"/>
        <w:rPr>
          <w:rFonts w:cs="Arial"/>
        </w:rPr>
      </w:pPr>
      <w:r w:rsidRPr="00AA631C">
        <w:rPr>
          <w:rFonts w:cs="Arial"/>
          <w:b/>
          <w:caps/>
          <w:sz w:val="22"/>
        </w:rPr>
        <w:t>4.2 M</w:t>
      </w:r>
      <w:r w:rsidRPr="00AA631C">
        <w:rPr>
          <w:rFonts w:cs="Arial"/>
          <w:b/>
          <w:sz w:val="22"/>
        </w:rPr>
        <w:t xml:space="preserve">easurement model assessment </w:t>
      </w:r>
    </w:p>
    <w:p w14:paraId="6F501310" w14:textId="77777777" w:rsidR="007E0E91" w:rsidRPr="00AA631C" w:rsidRDefault="007E0E91" w:rsidP="007E0E91">
      <w:pPr>
        <w:spacing w:line="360" w:lineRule="auto"/>
        <w:rPr>
          <w:b/>
          <w:bCs/>
        </w:rPr>
      </w:pPr>
    </w:p>
    <w:p w14:paraId="6DF835C9" w14:textId="77777777" w:rsidR="00C35EC6" w:rsidRPr="00AA631C" w:rsidRDefault="00C35EC6" w:rsidP="00C35EC6">
      <w:r w:rsidRPr="00AA631C">
        <w:t>Table 1 summarizes the demographic characteristics of the respondents. Most respondents (82%) were between 17 and 35 years old, representing the productive age group, while the remaining respondents were over 35 years old. The gender distribution was relatively balanced, comprising 54% male and 46% female respondents.</w:t>
      </w:r>
    </w:p>
    <w:p w14:paraId="66344C4A" w14:textId="77777777" w:rsidR="00C35EC6" w:rsidRPr="00AA631C" w:rsidRDefault="00C35EC6" w:rsidP="00C35EC6"/>
    <w:p w14:paraId="7F5F9EDA" w14:textId="77777777" w:rsidR="00C35EC6" w:rsidRPr="00AA631C" w:rsidRDefault="00C35EC6" w:rsidP="00C35EC6">
      <w:r w:rsidRPr="00AA631C">
        <w:t>Regarding occupational background, 51% of the respondents were business owners, while the remainder were managers with or without employees. This composition indicates that most respondents were directly involved in operational decision-making and therefore possessed adequate knowledge of the implementation of green innovation product and green supply chain within their organisations.</w:t>
      </w:r>
    </w:p>
    <w:p w14:paraId="125E0796" w14:textId="77777777" w:rsidR="00C35EC6" w:rsidRPr="00AA631C" w:rsidRDefault="00C35EC6" w:rsidP="00C35EC6"/>
    <w:p w14:paraId="3C55B8AB" w14:textId="77777777" w:rsidR="00C35EC6" w:rsidRPr="00AA631C" w:rsidRDefault="00C35EC6" w:rsidP="00C35EC6">
      <w:r w:rsidRPr="00AA631C">
        <w:t>All respondents (100%) reported implementing environmentally friendly Standard Operating Procedures (SOPs) in their business operations. Therefore, the respondents were considered to have sufficient experience to evaluate green innovation product, green supply chain, and social performance.</w:t>
      </w:r>
    </w:p>
    <w:p w14:paraId="3F9A5449" w14:textId="77777777" w:rsidR="00C35EC6" w:rsidRPr="00AA631C" w:rsidRDefault="00C35EC6" w:rsidP="00C35EC6">
      <w:pPr>
        <w:spacing w:line="360" w:lineRule="auto"/>
      </w:pPr>
    </w:p>
    <w:p w14:paraId="1EA03808" w14:textId="77777777" w:rsidR="00C35EC6" w:rsidRPr="00AA631C" w:rsidRDefault="00C35EC6" w:rsidP="00C35EC6">
      <w:pPr>
        <w:spacing w:line="360" w:lineRule="auto"/>
        <w:jc w:val="center"/>
        <w:rPr>
          <w:b/>
          <w:bCs/>
        </w:rPr>
      </w:pPr>
      <w:r w:rsidRPr="00AA631C">
        <w:rPr>
          <w:b/>
          <w:bCs/>
        </w:rPr>
        <w:t>Table 1. Respondent characteristics</w:t>
      </w:r>
    </w:p>
    <w:p w14:paraId="039257A3" w14:textId="77777777" w:rsidR="007E0E91" w:rsidRPr="00AA631C" w:rsidRDefault="007E0E91" w:rsidP="00C35EC6">
      <w:pPr>
        <w:spacing w:line="360" w:lineRule="auto"/>
        <w:jc w:val="center"/>
        <w:rPr>
          <w:b/>
          <w:bCs/>
        </w:rPr>
      </w:pPr>
    </w:p>
    <w:tbl>
      <w:tblPr>
        <w:tblW w:w="6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76"/>
        <w:gridCol w:w="776"/>
      </w:tblGrid>
      <w:tr w:rsidR="00C35EC6" w:rsidRPr="00AA631C" w14:paraId="48CE2E0F" w14:textId="77777777" w:rsidTr="000E22AD">
        <w:trPr>
          <w:cantSplit/>
          <w:jc w:val="center"/>
        </w:trPr>
        <w:tc>
          <w:tcPr>
            <w:tcW w:w="5035" w:type="dxa"/>
            <w:vAlign w:val="center"/>
            <w:hideMark/>
          </w:tcPr>
          <w:p w14:paraId="2038BBB1" w14:textId="77777777" w:rsidR="00C35EC6" w:rsidRPr="00AA631C" w:rsidRDefault="00C35EC6" w:rsidP="000E22AD">
            <w:pPr>
              <w:jc w:val="center"/>
              <w:rPr>
                <w:color w:val="000000"/>
                <w:lang w:val="en-ID" w:eastAsia="en-ID"/>
              </w:rPr>
            </w:pPr>
            <w:r w:rsidRPr="00AA631C">
              <w:rPr>
                <w:color w:val="000000"/>
                <w:lang w:val="en-ID" w:eastAsia="en-ID"/>
              </w:rPr>
              <w:t>Demographic Characteristics</w:t>
            </w:r>
          </w:p>
        </w:tc>
        <w:tc>
          <w:tcPr>
            <w:tcW w:w="576" w:type="dxa"/>
            <w:vAlign w:val="center"/>
            <w:hideMark/>
          </w:tcPr>
          <w:p w14:paraId="3B8546F9" w14:textId="77777777" w:rsidR="00C35EC6" w:rsidRPr="00AA631C" w:rsidRDefault="00C35EC6" w:rsidP="000E22AD">
            <w:pPr>
              <w:jc w:val="right"/>
              <w:rPr>
                <w:color w:val="000000"/>
                <w:lang w:val="en-ID" w:eastAsia="en-ID"/>
              </w:rPr>
            </w:pPr>
            <w:r w:rsidRPr="00AA631C">
              <w:rPr>
                <w:color w:val="000000"/>
                <w:lang w:val="en-ID" w:eastAsia="en-ID"/>
              </w:rPr>
              <w:t>n</w:t>
            </w:r>
          </w:p>
        </w:tc>
        <w:tc>
          <w:tcPr>
            <w:tcW w:w="776" w:type="dxa"/>
            <w:vAlign w:val="center"/>
            <w:hideMark/>
          </w:tcPr>
          <w:p w14:paraId="030097DA" w14:textId="77777777" w:rsidR="00C35EC6" w:rsidRPr="00AA631C" w:rsidRDefault="00C35EC6" w:rsidP="000E22AD">
            <w:pPr>
              <w:jc w:val="right"/>
              <w:rPr>
                <w:color w:val="000000"/>
                <w:lang w:val="en-ID" w:eastAsia="en-ID"/>
              </w:rPr>
            </w:pPr>
            <w:r w:rsidRPr="00AA631C">
              <w:rPr>
                <w:color w:val="000000"/>
                <w:lang w:val="en-ID" w:eastAsia="en-ID"/>
              </w:rPr>
              <w:t>%</w:t>
            </w:r>
          </w:p>
        </w:tc>
      </w:tr>
      <w:tr w:rsidR="00C35EC6" w:rsidRPr="00AA631C" w14:paraId="70742E5B" w14:textId="77777777" w:rsidTr="000E22AD">
        <w:trPr>
          <w:cantSplit/>
          <w:jc w:val="center"/>
        </w:trPr>
        <w:tc>
          <w:tcPr>
            <w:tcW w:w="5035" w:type="dxa"/>
            <w:vAlign w:val="center"/>
            <w:hideMark/>
          </w:tcPr>
          <w:p w14:paraId="28C9C135" w14:textId="77777777" w:rsidR="00C35EC6" w:rsidRPr="00AA631C" w:rsidRDefault="00C35EC6" w:rsidP="000E22AD">
            <w:pPr>
              <w:rPr>
                <w:color w:val="000000"/>
                <w:lang w:val="en-ID" w:eastAsia="en-ID"/>
              </w:rPr>
            </w:pPr>
            <w:r w:rsidRPr="00AA631C">
              <w:rPr>
                <w:color w:val="000000"/>
                <w:lang w:val="en-ID" w:eastAsia="en-ID"/>
              </w:rPr>
              <w:t>Age</w:t>
            </w:r>
          </w:p>
        </w:tc>
        <w:tc>
          <w:tcPr>
            <w:tcW w:w="576" w:type="dxa"/>
            <w:vAlign w:val="center"/>
            <w:hideMark/>
          </w:tcPr>
          <w:p w14:paraId="5F05CADF" w14:textId="77777777" w:rsidR="00C35EC6" w:rsidRPr="00AA631C" w:rsidRDefault="00C35EC6" w:rsidP="000E22AD">
            <w:pPr>
              <w:rPr>
                <w:color w:val="000000"/>
                <w:lang w:val="en-ID" w:eastAsia="en-ID"/>
              </w:rPr>
            </w:pPr>
          </w:p>
        </w:tc>
        <w:tc>
          <w:tcPr>
            <w:tcW w:w="776" w:type="dxa"/>
            <w:vAlign w:val="center"/>
            <w:hideMark/>
          </w:tcPr>
          <w:p w14:paraId="7C44A4D3" w14:textId="77777777" w:rsidR="00C35EC6" w:rsidRPr="00AA631C" w:rsidRDefault="00C35EC6" w:rsidP="000E22AD">
            <w:pPr>
              <w:jc w:val="right"/>
              <w:rPr>
                <w:lang w:val="en-ID" w:eastAsia="en-ID"/>
              </w:rPr>
            </w:pPr>
          </w:p>
        </w:tc>
      </w:tr>
      <w:tr w:rsidR="00C35EC6" w:rsidRPr="00AA631C" w14:paraId="64683071" w14:textId="77777777" w:rsidTr="000E22AD">
        <w:trPr>
          <w:cantSplit/>
          <w:jc w:val="center"/>
        </w:trPr>
        <w:tc>
          <w:tcPr>
            <w:tcW w:w="5035" w:type="dxa"/>
            <w:vAlign w:val="center"/>
            <w:hideMark/>
          </w:tcPr>
          <w:p w14:paraId="34235511" w14:textId="77777777" w:rsidR="00C35EC6" w:rsidRPr="00AA631C" w:rsidRDefault="00C35EC6" w:rsidP="000E22AD">
            <w:pPr>
              <w:rPr>
                <w:color w:val="000000"/>
                <w:lang w:val="en-ID" w:eastAsia="en-ID"/>
              </w:rPr>
            </w:pPr>
            <w:r w:rsidRPr="00AA631C">
              <w:rPr>
                <w:color w:val="000000"/>
                <w:lang w:val="en-ID" w:eastAsia="en-ID"/>
              </w:rPr>
              <w:t>17–25 years</w:t>
            </w:r>
          </w:p>
        </w:tc>
        <w:tc>
          <w:tcPr>
            <w:tcW w:w="576" w:type="dxa"/>
            <w:vAlign w:val="center"/>
            <w:hideMark/>
          </w:tcPr>
          <w:p w14:paraId="4A833854" w14:textId="77777777" w:rsidR="00C35EC6" w:rsidRPr="00AA631C" w:rsidRDefault="00C35EC6" w:rsidP="000E22AD">
            <w:pPr>
              <w:jc w:val="right"/>
              <w:rPr>
                <w:color w:val="000000"/>
                <w:lang w:val="en-ID" w:eastAsia="en-ID"/>
              </w:rPr>
            </w:pPr>
            <w:r w:rsidRPr="00AA631C">
              <w:rPr>
                <w:color w:val="000000"/>
                <w:lang w:val="en-ID" w:eastAsia="en-ID"/>
              </w:rPr>
              <w:t>43</w:t>
            </w:r>
          </w:p>
        </w:tc>
        <w:tc>
          <w:tcPr>
            <w:tcW w:w="776" w:type="dxa"/>
            <w:vAlign w:val="center"/>
            <w:hideMark/>
          </w:tcPr>
          <w:p w14:paraId="2714CF7A" w14:textId="77777777" w:rsidR="00C35EC6" w:rsidRPr="00AA631C" w:rsidRDefault="00C35EC6" w:rsidP="000E22AD">
            <w:pPr>
              <w:jc w:val="right"/>
              <w:rPr>
                <w:color w:val="000000"/>
                <w:lang w:val="en-ID" w:eastAsia="en-ID"/>
              </w:rPr>
            </w:pPr>
            <w:r w:rsidRPr="00AA631C">
              <w:rPr>
                <w:color w:val="000000"/>
                <w:lang w:val="en-ID" w:eastAsia="en-ID"/>
              </w:rPr>
              <w:t>43%</w:t>
            </w:r>
          </w:p>
        </w:tc>
      </w:tr>
      <w:tr w:rsidR="00C35EC6" w:rsidRPr="00AA631C" w14:paraId="75891982" w14:textId="77777777" w:rsidTr="000E22AD">
        <w:trPr>
          <w:cantSplit/>
          <w:jc w:val="center"/>
        </w:trPr>
        <w:tc>
          <w:tcPr>
            <w:tcW w:w="5035" w:type="dxa"/>
            <w:vAlign w:val="center"/>
            <w:hideMark/>
          </w:tcPr>
          <w:p w14:paraId="0C1756F1" w14:textId="77777777" w:rsidR="00C35EC6" w:rsidRPr="00AA631C" w:rsidRDefault="00C35EC6" w:rsidP="000E22AD">
            <w:pPr>
              <w:rPr>
                <w:color w:val="000000"/>
                <w:lang w:val="en-ID" w:eastAsia="en-ID"/>
              </w:rPr>
            </w:pPr>
            <w:r w:rsidRPr="00AA631C">
              <w:rPr>
                <w:color w:val="000000"/>
                <w:lang w:val="en-ID" w:eastAsia="en-ID"/>
              </w:rPr>
              <w:t>26–35 years</w:t>
            </w:r>
          </w:p>
        </w:tc>
        <w:tc>
          <w:tcPr>
            <w:tcW w:w="576" w:type="dxa"/>
            <w:vAlign w:val="center"/>
            <w:hideMark/>
          </w:tcPr>
          <w:p w14:paraId="766F00A3" w14:textId="77777777" w:rsidR="00C35EC6" w:rsidRPr="00AA631C" w:rsidRDefault="00C35EC6" w:rsidP="000E22AD">
            <w:pPr>
              <w:jc w:val="right"/>
              <w:rPr>
                <w:color w:val="000000"/>
                <w:lang w:val="en-ID" w:eastAsia="en-ID"/>
              </w:rPr>
            </w:pPr>
            <w:r w:rsidRPr="00AA631C">
              <w:rPr>
                <w:color w:val="000000"/>
                <w:lang w:val="en-ID" w:eastAsia="en-ID"/>
              </w:rPr>
              <w:t>39</w:t>
            </w:r>
          </w:p>
        </w:tc>
        <w:tc>
          <w:tcPr>
            <w:tcW w:w="776" w:type="dxa"/>
            <w:vAlign w:val="center"/>
            <w:hideMark/>
          </w:tcPr>
          <w:p w14:paraId="1B786A0C" w14:textId="77777777" w:rsidR="00C35EC6" w:rsidRPr="00AA631C" w:rsidRDefault="00C35EC6" w:rsidP="000E22AD">
            <w:pPr>
              <w:jc w:val="right"/>
              <w:rPr>
                <w:color w:val="000000"/>
                <w:lang w:val="en-ID" w:eastAsia="en-ID"/>
              </w:rPr>
            </w:pPr>
            <w:r w:rsidRPr="00AA631C">
              <w:rPr>
                <w:color w:val="000000"/>
                <w:lang w:val="en-ID" w:eastAsia="en-ID"/>
              </w:rPr>
              <w:t>39%</w:t>
            </w:r>
          </w:p>
        </w:tc>
      </w:tr>
      <w:tr w:rsidR="00C35EC6" w:rsidRPr="00AA631C" w14:paraId="75C294F1" w14:textId="77777777" w:rsidTr="000E22AD">
        <w:trPr>
          <w:cantSplit/>
          <w:jc w:val="center"/>
        </w:trPr>
        <w:tc>
          <w:tcPr>
            <w:tcW w:w="5035" w:type="dxa"/>
            <w:vAlign w:val="center"/>
            <w:hideMark/>
          </w:tcPr>
          <w:p w14:paraId="27A4978D" w14:textId="77777777" w:rsidR="00C35EC6" w:rsidRPr="00AA631C" w:rsidRDefault="00C35EC6" w:rsidP="000E22AD">
            <w:pPr>
              <w:rPr>
                <w:color w:val="000000"/>
                <w:lang w:val="en-ID" w:eastAsia="en-ID"/>
              </w:rPr>
            </w:pPr>
            <w:r w:rsidRPr="00AA631C">
              <w:rPr>
                <w:color w:val="000000"/>
                <w:lang w:val="en-ID" w:eastAsia="en-ID"/>
              </w:rPr>
              <w:t>36–45 years</w:t>
            </w:r>
          </w:p>
        </w:tc>
        <w:tc>
          <w:tcPr>
            <w:tcW w:w="576" w:type="dxa"/>
            <w:vAlign w:val="center"/>
            <w:hideMark/>
          </w:tcPr>
          <w:p w14:paraId="7056B17E" w14:textId="77777777" w:rsidR="00C35EC6" w:rsidRPr="00AA631C" w:rsidRDefault="00C35EC6" w:rsidP="000E22AD">
            <w:pPr>
              <w:jc w:val="right"/>
              <w:rPr>
                <w:color w:val="000000"/>
                <w:lang w:val="en-ID" w:eastAsia="en-ID"/>
              </w:rPr>
            </w:pPr>
            <w:r w:rsidRPr="00AA631C">
              <w:rPr>
                <w:color w:val="000000"/>
                <w:lang w:val="en-ID" w:eastAsia="en-ID"/>
              </w:rPr>
              <w:t>14</w:t>
            </w:r>
          </w:p>
        </w:tc>
        <w:tc>
          <w:tcPr>
            <w:tcW w:w="776" w:type="dxa"/>
            <w:vAlign w:val="center"/>
            <w:hideMark/>
          </w:tcPr>
          <w:p w14:paraId="48E43498" w14:textId="77777777" w:rsidR="00C35EC6" w:rsidRPr="00AA631C" w:rsidRDefault="00C35EC6" w:rsidP="000E22AD">
            <w:pPr>
              <w:jc w:val="right"/>
              <w:rPr>
                <w:color w:val="000000"/>
                <w:lang w:val="en-ID" w:eastAsia="en-ID"/>
              </w:rPr>
            </w:pPr>
            <w:r w:rsidRPr="00AA631C">
              <w:rPr>
                <w:color w:val="000000"/>
                <w:lang w:val="en-ID" w:eastAsia="en-ID"/>
              </w:rPr>
              <w:t>14%</w:t>
            </w:r>
          </w:p>
        </w:tc>
      </w:tr>
      <w:tr w:rsidR="00C35EC6" w:rsidRPr="00AA631C" w14:paraId="72CB26F3" w14:textId="77777777" w:rsidTr="000E22AD">
        <w:trPr>
          <w:cantSplit/>
          <w:jc w:val="center"/>
        </w:trPr>
        <w:tc>
          <w:tcPr>
            <w:tcW w:w="5035" w:type="dxa"/>
            <w:vAlign w:val="center"/>
            <w:hideMark/>
          </w:tcPr>
          <w:p w14:paraId="44D8C6B4" w14:textId="77777777" w:rsidR="00C35EC6" w:rsidRPr="00AA631C" w:rsidRDefault="00C35EC6" w:rsidP="000E22AD">
            <w:pPr>
              <w:rPr>
                <w:color w:val="000000"/>
                <w:lang w:val="en-ID" w:eastAsia="en-ID"/>
              </w:rPr>
            </w:pPr>
            <w:r w:rsidRPr="00AA631C">
              <w:rPr>
                <w:color w:val="000000"/>
                <w:lang w:val="en-ID" w:eastAsia="en-ID"/>
              </w:rPr>
              <w:t>46–50 years</w:t>
            </w:r>
          </w:p>
        </w:tc>
        <w:tc>
          <w:tcPr>
            <w:tcW w:w="576" w:type="dxa"/>
            <w:vAlign w:val="center"/>
            <w:hideMark/>
          </w:tcPr>
          <w:p w14:paraId="4B4BC99F" w14:textId="77777777" w:rsidR="00C35EC6" w:rsidRPr="00AA631C" w:rsidRDefault="00C35EC6" w:rsidP="000E22AD">
            <w:pPr>
              <w:jc w:val="right"/>
              <w:rPr>
                <w:color w:val="000000"/>
                <w:lang w:val="en-ID" w:eastAsia="en-ID"/>
              </w:rPr>
            </w:pPr>
            <w:r w:rsidRPr="00AA631C">
              <w:rPr>
                <w:color w:val="000000"/>
                <w:lang w:val="en-ID" w:eastAsia="en-ID"/>
              </w:rPr>
              <w:t>4</w:t>
            </w:r>
          </w:p>
        </w:tc>
        <w:tc>
          <w:tcPr>
            <w:tcW w:w="776" w:type="dxa"/>
            <w:vAlign w:val="center"/>
            <w:hideMark/>
          </w:tcPr>
          <w:p w14:paraId="3582B79F" w14:textId="77777777" w:rsidR="00C35EC6" w:rsidRPr="00AA631C" w:rsidRDefault="00C35EC6" w:rsidP="000E22AD">
            <w:pPr>
              <w:jc w:val="right"/>
              <w:rPr>
                <w:color w:val="000000"/>
                <w:lang w:val="en-ID" w:eastAsia="en-ID"/>
              </w:rPr>
            </w:pPr>
            <w:r w:rsidRPr="00AA631C">
              <w:rPr>
                <w:color w:val="000000"/>
                <w:lang w:val="en-ID" w:eastAsia="en-ID"/>
              </w:rPr>
              <w:t>4%</w:t>
            </w:r>
          </w:p>
        </w:tc>
      </w:tr>
      <w:tr w:rsidR="00C35EC6" w:rsidRPr="00AA631C" w14:paraId="53F6C82D" w14:textId="77777777" w:rsidTr="000E22AD">
        <w:trPr>
          <w:cantSplit/>
          <w:jc w:val="center"/>
        </w:trPr>
        <w:tc>
          <w:tcPr>
            <w:tcW w:w="5035" w:type="dxa"/>
            <w:vAlign w:val="center"/>
            <w:hideMark/>
          </w:tcPr>
          <w:p w14:paraId="76A23076" w14:textId="77777777" w:rsidR="00C35EC6" w:rsidRPr="00AA631C" w:rsidRDefault="00C35EC6" w:rsidP="000E22AD">
            <w:pPr>
              <w:rPr>
                <w:color w:val="000000"/>
                <w:lang w:val="en-ID" w:eastAsia="en-ID"/>
              </w:rPr>
            </w:pPr>
            <w:r w:rsidRPr="00AA631C">
              <w:rPr>
                <w:color w:val="000000"/>
                <w:lang w:val="en-ID" w:eastAsia="en-ID"/>
              </w:rPr>
              <w:t>Total</w:t>
            </w:r>
          </w:p>
        </w:tc>
        <w:tc>
          <w:tcPr>
            <w:tcW w:w="576" w:type="dxa"/>
            <w:vAlign w:val="center"/>
            <w:hideMark/>
          </w:tcPr>
          <w:p w14:paraId="472A0631" w14:textId="77777777" w:rsidR="00C35EC6" w:rsidRPr="00AA631C" w:rsidRDefault="00C35EC6" w:rsidP="000E22AD">
            <w:pPr>
              <w:jc w:val="right"/>
              <w:rPr>
                <w:color w:val="000000"/>
                <w:lang w:val="en-ID" w:eastAsia="en-ID"/>
              </w:rPr>
            </w:pPr>
            <w:r w:rsidRPr="00AA631C">
              <w:rPr>
                <w:color w:val="000000"/>
                <w:lang w:val="en-ID" w:eastAsia="en-ID"/>
              </w:rPr>
              <w:t>100</w:t>
            </w:r>
          </w:p>
        </w:tc>
        <w:tc>
          <w:tcPr>
            <w:tcW w:w="776" w:type="dxa"/>
            <w:vAlign w:val="center"/>
            <w:hideMark/>
          </w:tcPr>
          <w:p w14:paraId="323C7239" w14:textId="77777777" w:rsidR="00C35EC6" w:rsidRPr="00AA631C" w:rsidRDefault="00C35EC6" w:rsidP="000E22AD">
            <w:pPr>
              <w:jc w:val="right"/>
              <w:rPr>
                <w:color w:val="000000"/>
                <w:lang w:val="en-ID" w:eastAsia="en-ID"/>
              </w:rPr>
            </w:pPr>
            <w:r w:rsidRPr="00AA631C">
              <w:rPr>
                <w:color w:val="000000"/>
                <w:lang w:val="en-ID" w:eastAsia="en-ID"/>
              </w:rPr>
              <w:t>100%</w:t>
            </w:r>
          </w:p>
        </w:tc>
      </w:tr>
      <w:tr w:rsidR="00C35EC6" w:rsidRPr="00AA631C" w14:paraId="7E05C0A0" w14:textId="77777777" w:rsidTr="000E22AD">
        <w:trPr>
          <w:cantSplit/>
          <w:jc w:val="center"/>
        </w:trPr>
        <w:tc>
          <w:tcPr>
            <w:tcW w:w="5035" w:type="dxa"/>
            <w:vAlign w:val="center"/>
            <w:hideMark/>
          </w:tcPr>
          <w:p w14:paraId="3D6A4D86" w14:textId="77777777" w:rsidR="00C35EC6" w:rsidRPr="00AA631C" w:rsidRDefault="00C35EC6" w:rsidP="000E22AD">
            <w:pPr>
              <w:rPr>
                <w:color w:val="000000"/>
                <w:lang w:val="en-ID" w:eastAsia="en-ID"/>
              </w:rPr>
            </w:pPr>
            <w:r w:rsidRPr="00AA631C">
              <w:rPr>
                <w:color w:val="000000"/>
                <w:lang w:val="en-ID" w:eastAsia="en-ID"/>
              </w:rPr>
              <w:t>Gender</w:t>
            </w:r>
          </w:p>
        </w:tc>
        <w:tc>
          <w:tcPr>
            <w:tcW w:w="576" w:type="dxa"/>
            <w:vAlign w:val="center"/>
            <w:hideMark/>
          </w:tcPr>
          <w:p w14:paraId="322CEC17" w14:textId="77777777" w:rsidR="00C35EC6" w:rsidRPr="00AA631C" w:rsidRDefault="00C35EC6" w:rsidP="000E22AD">
            <w:pPr>
              <w:rPr>
                <w:color w:val="000000"/>
                <w:lang w:val="en-ID" w:eastAsia="en-ID"/>
              </w:rPr>
            </w:pPr>
          </w:p>
        </w:tc>
        <w:tc>
          <w:tcPr>
            <w:tcW w:w="776" w:type="dxa"/>
            <w:vAlign w:val="center"/>
            <w:hideMark/>
          </w:tcPr>
          <w:p w14:paraId="006A031B" w14:textId="77777777" w:rsidR="00C35EC6" w:rsidRPr="00AA631C" w:rsidRDefault="00C35EC6" w:rsidP="000E22AD">
            <w:pPr>
              <w:jc w:val="right"/>
              <w:rPr>
                <w:lang w:val="en-ID" w:eastAsia="en-ID"/>
              </w:rPr>
            </w:pPr>
          </w:p>
        </w:tc>
      </w:tr>
      <w:tr w:rsidR="00C35EC6" w:rsidRPr="00AA631C" w14:paraId="4972528E" w14:textId="77777777" w:rsidTr="000E22AD">
        <w:trPr>
          <w:cantSplit/>
          <w:jc w:val="center"/>
        </w:trPr>
        <w:tc>
          <w:tcPr>
            <w:tcW w:w="5035" w:type="dxa"/>
            <w:vAlign w:val="center"/>
            <w:hideMark/>
          </w:tcPr>
          <w:p w14:paraId="3DBBC592" w14:textId="77777777" w:rsidR="00C35EC6" w:rsidRPr="00AA631C" w:rsidRDefault="00C35EC6" w:rsidP="000E22AD">
            <w:pPr>
              <w:rPr>
                <w:color w:val="000000"/>
                <w:lang w:val="en-ID" w:eastAsia="en-ID"/>
              </w:rPr>
            </w:pPr>
            <w:r w:rsidRPr="00AA631C">
              <w:rPr>
                <w:color w:val="000000"/>
                <w:lang w:val="en-ID" w:eastAsia="en-ID"/>
              </w:rPr>
              <w:t>Male</w:t>
            </w:r>
          </w:p>
        </w:tc>
        <w:tc>
          <w:tcPr>
            <w:tcW w:w="576" w:type="dxa"/>
            <w:vAlign w:val="center"/>
            <w:hideMark/>
          </w:tcPr>
          <w:p w14:paraId="6797353F" w14:textId="77777777" w:rsidR="00C35EC6" w:rsidRPr="00AA631C" w:rsidRDefault="00C35EC6" w:rsidP="000E22AD">
            <w:pPr>
              <w:jc w:val="right"/>
              <w:rPr>
                <w:color w:val="000000"/>
                <w:lang w:val="en-ID" w:eastAsia="en-ID"/>
              </w:rPr>
            </w:pPr>
            <w:r w:rsidRPr="00AA631C">
              <w:rPr>
                <w:color w:val="000000"/>
                <w:lang w:val="en-ID" w:eastAsia="en-ID"/>
              </w:rPr>
              <w:t>54</w:t>
            </w:r>
          </w:p>
        </w:tc>
        <w:tc>
          <w:tcPr>
            <w:tcW w:w="776" w:type="dxa"/>
            <w:vAlign w:val="center"/>
            <w:hideMark/>
          </w:tcPr>
          <w:p w14:paraId="2EE2AF78" w14:textId="77777777" w:rsidR="00C35EC6" w:rsidRPr="00AA631C" w:rsidRDefault="00C35EC6" w:rsidP="000E22AD">
            <w:pPr>
              <w:jc w:val="right"/>
              <w:rPr>
                <w:color w:val="000000"/>
                <w:lang w:val="en-ID" w:eastAsia="en-ID"/>
              </w:rPr>
            </w:pPr>
            <w:r w:rsidRPr="00AA631C">
              <w:rPr>
                <w:color w:val="000000"/>
                <w:lang w:val="en-ID" w:eastAsia="en-ID"/>
              </w:rPr>
              <w:t>54%</w:t>
            </w:r>
          </w:p>
        </w:tc>
      </w:tr>
      <w:tr w:rsidR="00C35EC6" w:rsidRPr="00AA631C" w14:paraId="3CAA9293" w14:textId="77777777" w:rsidTr="000E22AD">
        <w:trPr>
          <w:cantSplit/>
          <w:jc w:val="center"/>
        </w:trPr>
        <w:tc>
          <w:tcPr>
            <w:tcW w:w="5035" w:type="dxa"/>
            <w:vAlign w:val="center"/>
            <w:hideMark/>
          </w:tcPr>
          <w:p w14:paraId="41D5E1C2" w14:textId="77777777" w:rsidR="00C35EC6" w:rsidRPr="00AA631C" w:rsidRDefault="00C35EC6" w:rsidP="000E22AD">
            <w:pPr>
              <w:rPr>
                <w:color w:val="000000"/>
                <w:lang w:val="en-ID" w:eastAsia="en-ID"/>
              </w:rPr>
            </w:pPr>
            <w:r w:rsidRPr="00AA631C">
              <w:rPr>
                <w:color w:val="000000"/>
                <w:lang w:val="en-ID" w:eastAsia="en-ID"/>
              </w:rPr>
              <w:t>Female</w:t>
            </w:r>
          </w:p>
        </w:tc>
        <w:tc>
          <w:tcPr>
            <w:tcW w:w="576" w:type="dxa"/>
            <w:vAlign w:val="center"/>
            <w:hideMark/>
          </w:tcPr>
          <w:p w14:paraId="4542B6F4" w14:textId="77777777" w:rsidR="00C35EC6" w:rsidRPr="00AA631C" w:rsidRDefault="00C35EC6" w:rsidP="000E22AD">
            <w:pPr>
              <w:jc w:val="right"/>
              <w:rPr>
                <w:color w:val="000000"/>
                <w:lang w:val="en-ID" w:eastAsia="en-ID"/>
              </w:rPr>
            </w:pPr>
            <w:r w:rsidRPr="00AA631C">
              <w:rPr>
                <w:color w:val="000000"/>
                <w:lang w:val="en-ID" w:eastAsia="en-ID"/>
              </w:rPr>
              <w:t>46</w:t>
            </w:r>
          </w:p>
        </w:tc>
        <w:tc>
          <w:tcPr>
            <w:tcW w:w="776" w:type="dxa"/>
            <w:vAlign w:val="center"/>
            <w:hideMark/>
          </w:tcPr>
          <w:p w14:paraId="2B718290" w14:textId="77777777" w:rsidR="00C35EC6" w:rsidRPr="00AA631C" w:rsidRDefault="00C35EC6" w:rsidP="000E22AD">
            <w:pPr>
              <w:jc w:val="right"/>
              <w:rPr>
                <w:color w:val="000000"/>
                <w:lang w:val="en-ID" w:eastAsia="en-ID"/>
              </w:rPr>
            </w:pPr>
            <w:r w:rsidRPr="00AA631C">
              <w:rPr>
                <w:color w:val="000000"/>
                <w:lang w:val="en-ID" w:eastAsia="en-ID"/>
              </w:rPr>
              <w:t>46%</w:t>
            </w:r>
          </w:p>
        </w:tc>
      </w:tr>
      <w:tr w:rsidR="00C35EC6" w:rsidRPr="00AA631C" w14:paraId="1CBFDD24" w14:textId="77777777" w:rsidTr="000E22AD">
        <w:trPr>
          <w:cantSplit/>
          <w:jc w:val="center"/>
        </w:trPr>
        <w:tc>
          <w:tcPr>
            <w:tcW w:w="5035" w:type="dxa"/>
            <w:vAlign w:val="center"/>
            <w:hideMark/>
          </w:tcPr>
          <w:p w14:paraId="76C5D715" w14:textId="77777777" w:rsidR="00C35EC6" w:rsidRPr="00AA631C" w:rsidRDefault="00C35EC6" w:rsidP="000E22AD">
            <w:pPr>
              <w:rPr>
                <w:color w:val="000000"/>
                <w:lang w:val="en-ID" w:eastAsia="en-ID"/>
              </w:rPr>
            </w:pPr>
            <w:r w:rsidRPr="00AA631C">
              <w:rPr>
                <w:color w:val="000000"/>
                <w:lang w:val="en-ID" w:eastAsia="en-ID"/>
              </w:rPr>
              <w:t>Total</w:t>
            </w:r>
          </w:p>
        </w:tc>
        <w:tc>
          <w:tcPr>
            <w:tcW w:w="576" w:type="dxa"/>
            <w:vAlign w:val="center"/>
            <w:hideMark/>
          </w:tcPr>
          <w:p w14:paraId="1ED93DFC" w14:textId="77777777" w:rsidR="00C35EC6" w:rsidRPr="00AA631C" w:rsidRDefault="00C35EC6" w:rsidP="000E22AD">
            <w:pPr>
              <w:jc w:val="right"/>
              <w:rPr>
                <w:color w:val="000000"/>
                <w:lang w:val="en-ID" w:eastAsia="en-ID"/>
              </w:rPr>
            </w:pPr>
            <w:r w:rsidRPr="00AA631C">
              <w:rPr>
                <w:color w:val="000000"/>
                <w:lang w:val="en-ID" w:eastAsia="en-ID"/>
              </w:rPr>
              <w:t>100</w:t>
            </w:r>
          </w:p>
        </w:tc>
        <w:tc>
          <w:tcPr>
            <w:tcW w:w="776" w:type="dxa"/>
            <w:vAlign w:val="center"/>
            <w:hideMark/>
          </w:tcPr>
          <w:p w14:paraId="0F2BC20B" w14:textId="77777777" w:rsidR="00C35EC6" w:rsidRPr="00AA631C" w:rsidRDefault="00C35EC6" w:rsidP="000E22AD">
            <w:pPr>
              <w:jc w:val="right"/>
              <w:rPr>
                <w:color w:val="000000"/>
                <w:lang w:val="en-ID" w:eastAsia="en-ID"/>
              </w:rPr>
            </w:pPr>
            <w:r w:rsidRPr="00AA631C">
              <w:rPr>
                <w:color w:val="000000"/>
                <w:lang w:val="en-ID" w:eastAsia="en-ID"/>
              </w:rPr>
              <w:t>100%</w:t>
            </w:r>
          </w:p>
        </w:tc>
      </w:tr>
      <w:tr w:rsidR="00C35EC6" w:rsidRPr="00AA631C" w14:paraId="21B22A16" w14:textId="77777777" w:rsidTr="000E22AD">
        <w:trPr>
          <w:cantSplit/>
          <w:jc w:val="center"/>
        </w:trPr>
        <w:tc>
          <w:tcPr>
            <w:tcW w:w="5035" w:type="dxa"/>
            <w:vAlign w:val="center"/>
            <w:hideMark/>
          </w:tcPr>
          <w:p w14:paraId="079369F3" w14:textId="77777777" w:rsidR="00C35EC6" w:rsidRPr="00AA631C" w:rsidRDefault="00C35EC6" w:rsidP="000E22AD">
            <w:pPr>
              <w:rPr>
                <w:color w:val="000000"/>
                <w:lang w:val="en-ID" w:eastAsia="en-ID"/>
              </w:rPr>
            </w:pPr>
            <w:r w:rsidRPr="00AA631C">
              <w:rPr>
                <w:color w:val="000000"/>
                <w:lang w:val="en-ID" w:eastAsia="en-ID"/>
              </w:rPr>
              <w:t>Occupation</w:t>
            </w:r>
          </w:p>
        </w:tc>
        <w:tc>
          <w:tcPr>
            <w:tcW w:w="576" w:type="dxa"/>
            <w:vAlign w:val="center"/>
            <w:hideMark/>
          </w:tcPr>
          <w:p w14:paraId="3D5447C6" w14:textId="77777777" w:rsidR="00C35EC6" w:rsidRPr="00AA631C" w:rsidRDefault="00C35EC6" w:rsidP="000E22AD">
            <w:pPr>
              <w:rPr>
                <w:color w:val="000000"/>
                <w:lang w:val="en-ID" w:eastAsia="en-ID"/>
              </w:rPr>
            </w:pPr>
          </w:p>
        </w:tc>
        <w:tc>
          <w:tcPr>
            <w:tcW w:w="776" w:type="dxa"/>
            <w:vAlign w:val="center"/>
            <w:hideMark/>
          </w:tcPr>
          <w:p w14:paraId="65524F1E" w14:textId="77777777" w:rsidR="00C35EC6" w:rsidRPr="00AA631C" w:rsidRDefault="00C35EC6" w:rsidP="000E22AD">
            <w:pPr>
              <w:jc w:val="right"/>
              <w:rPr>
                <w:lang w:val="en-ID" w:eastAsia="en-ID"/>
              </w:rPr>
            </w:pPr>
          </w:p>
        </w:tc>
      </w:tr>
      <w:tr w:rsidR="00C35EC6" w:rsidRPr="00AA631C" w14:paraId="4FFDA771" w14:textId="77777777" w:rsidTr="000E22AD">
        <w:trPr>
          <w:cantSplit/>
          <w:jc w:val="center"/>
        </w:trPr>
        <w:tc>
          <w:tcPr>
            <w:tcW w:w="5035" w:type="dxa"/>
            <w:vAlign w:val="center"/>
            <w:hideMark/>
          </w:tcPr>
          <w:p w14:paraId="4B054EF4" w14:textId="77777777" w:rsidR="00C35EC6" w:rsidRPr="00AA631C" w:rsidRDefault="00C35EC6" w:rsidP="000E22AD">
            <w:pPr>
              <w:rPr>
                <w:color w:val="000000"/>
                <w:lang w:val="en-ID" w:eastAsia="en-ID"/>
              </w:rPr>
            </w:pPr>
            <w:r w:rsidRPr="00AA631C">
              <w:rPr>
                <w:color w:val="000000"/>
                <w:lang w:val="en-ID" w:eastAsia="en-ID"/>
              </w:rPr>
              <w:t>Business owner</w:t>
            </w:r>
          </w:p>
        </w:tc>
        <w:tc>
          <w:tcPr>
            <w:tcW w:w="576" w:type="dxa"/>
            <w:vAlign w:val="center"/>
            <w:hideMark/>
          </w:tcPr>
          <w:p w14:paraId="25B2D2FD" w14:textId="77777777" w:rsidR="00C35EC6" w:rsidRPr="00AA631C" w:rsidRDefault="00C35EC6" w:rsidP="000E22AD">
            <w:pPr>
              <w:jc w:val="right"/>
              <w:rPr>
                <w:color w:val="000000"/>
                <w:lang w:val="en-ID" w:eastAsia="en-ID"/>
              </w:rPr>
            </w:pPr>
            <w:r w:rsidRPr="00AA631C">
              <w:rPr>
                <w:color w:val="000000"/>
                <w:lang w:val="en-ID" w:eastAsia="en-ID"/>
              </w:rPr>
              <w:t>51</w:t>
            </w:r>
          </w:p>
        </w:tc>
        <w:tc>
          <w:tcPr>
            <w:tcW w:w="776" w:type="dxa"/>
            <w:vAlign w:val="center"/>
            <w:hideMark/>
          </w:tcPr>
          <w:p w14:paraId="58550069" w14:textId="77777777" w:rsidR="00C35EC6" w:rsidRPr="00AA631C" w:rsidRDefault="00C35EC6" w:rsidP="000E22AD">
            <w:pPr>
              <w:jc w:val="right"/>
              <w:rPr>
                <w:color w:val="000000"/>
                <w:lang w:val="en-ID" w:eastAsia="en-ID"/>
              </w:rPr>
            </w:pPr>
            <w:r w:rsidRPr="00AA631C">
              <w:rPr>
                <w:color w:val="000000"/>
                <w:lang w:val="en-ID" w:eastAsia="en-ID"/>
              </w:rPr>
              <w:t>51%</w:t>
            </w:r>
          </w:p>
        </w:tc>
      </w:tr>
      <w:tr w:rsidR="00C35EC6" w:rsidRPr="00AA631C" w14:paraId="5B982A68" w14:textId="77777777" w:rsidTr="000E22AD">
        <w:trPr>
          <w:cantSplit/>
          <w:jc w:val="center"/>
        </w:trPr>
        <w:tc>
          <w:tcPr>
            <w:tcW w:w="5035" w:type="dxa"/>
            <w:vAlign w:val="center"/>
            <w:hideMark/>
          </w:tcPr>
          <w:p w14:paraId="510D7816" w14:textId="77777777" w:rsidR="00C35EC6" w:rsidRPr="00AA631C" w:rsidRDefault="00C35EC6" w:rsidP="000E22AD">
            <w:pPr>
              <w:rPr>
                <w:color w:val="000000"/>
                <w:lang w:val="en-ID" w:eastAsia="en-ID"/>
              </w:rPr>
            </w:pPr>
            <w:r w:rsidRPr="00AA631C">
              <w:rPr>
                <w:color w:val="000000"/>
                <w:lang w:val="en-ID" w:eastAsia="en-ID"/>
              </w:rPr>
              <w:t>Manager with employees</w:t>
            </w:r>
          </w:p>
        </w:tc>
        <w:tc>
          <w:tcPr>
            <w:tcW w:w="576" w:type="dxa"/>
            <w:vAlign w:val="center"/>
            <w:hideMark/>
          </w:tcPr>
          <w:p w14:paraId="0CC4BC43" w14:textId="77777777" w:rsidR="00C35EC6" w:rsidRPr="00AA631C" w:rsidRDefault="00C35EC6" w:rsidP="000E22AD">
            <w:pPr>
              <w:jc w:val="right"/>
              <w:rPr>
                <w:color w:val="000000"/>
                <w:lang w:val="en-ID" w:eastAsia="en-ID"/>
              </w:rPr>
            </w:pPr>
            <w:r w:rsidRPr="00AA631C">
              <w:rPr>
                <w:color w:val="000000"/>
                <w:lang w:val="en-ID" w:eastAsia="en-ID"/>
              </w:rPr>
              <w:t>25</w:t>
            </w:r>
          </w:p>
        </w:tc>
        <w:tc>
          <w:tcPr>
            <w:tcW w:w="776" w:type="dxa"/>
            <w:vAlign w:val="center"/>
            <w:hideMark/>
          </w:tcPr>
          <w:p w14:paraId="727708C4" w14:textId="77777777" w:rsidR="00C35EC6" w:rsidRPr="00AA631C" w:rsidRDefault="00C35EC6" w:rsidP="000E22AD">
            <w:pPr>
              <w:jc w:val="right"/>
              <w:rPr>
                <w:color w:val="000000"/>
                <w:lang w:val="en-ID" w:eastAsia="en-ID"/>
              </w:rPr>
            </w:pPr>
            <w:r w:rsidRPr="00AA631C">
              <w:rPr>
                <w:color w:val="000000"/>
                <w:lang w:val="en-ID" w:eastAsia="en-ID"/>
              </w:rPr>
              <w:t>25%</w:t>
            </w:r>
          </w:p>
        </w:tc>
      </w:tr>
      <w:tr w:rsidR="00C35EC6" w:rsidRPr="00AA631C" w14:paraId="08419E8C" w14:textId="77777777" w:rsidTr="000E22AD">
        <w:trPr>
          <w:cantSplit/>
          <w:jc w:val="center"/>
        </w:trPr>
        <w:tc>
          <w:tcPr>
            <w:tcW w:w="5035" w:type="dxa"/>
            <w:vAlign w:val="center"/>
            <w:hideMark/>
          </w:tcPr>
          <w:p w14:paraId="779FC480" w14:textId="77777777" w:rsidR="00C35EC6" w:rsidRPr="00AA631C" w:rsidRDefault="00C35EC6" w:rsidP="000E22AD">
            <w:pPr>
              <w:rPr>
                <w:color w:val="000000"/>
                <w:lang w:val="en-ID" w:eastAsia="en-ID"/>
              </w:rPr>
            </w:pPr>
            <w:r w:rsidRPr="00AA631C">
              <w:rPr>
                <w:color w:val="000000"/>
                <w:lang w:val="en-ID" w:eastAsia="en-ID"/>
              </w:rPr>
              <w:t>Manager without employees</w:t>
            </w:r>
          </w:p>
        </w:tc>
        <w:tc>
          <w:tcPr>
            <w:tcW w:w="576" w:type="dxa"/>
            <w:vAlign w:val="center"/>
            <w:hideMark/>
          </w:tcPr>
          <w:p w14:paraId="474251D8" w14:textId="77777777" w:rsidR="00C35EC6" w:rsidRPr="00AA631C" w:rsidRDefault="00C35EC6" w:rsidP="000E22AD">
            <w:pPr>
              <w:jc w:val="right"/>
              <w:rPr>
                <w:color w:val="000000"/>
                <w:lang w:val="en-ID" w:eastAsia="en-ID"/>
              </w:rPr>
            </w:pPr>
            <w:r w:rsidRPr="00AA631C">
              <w:rPr>
                <w:color w:val="000000"/>
                <w:lang w:val="en-ID" w:eastAsia="en-ID"/>
              </w:rPr>
              <w:t>24</w:t>
            </w:r>
          </w:p>
        </w:tc>
        <w:tc>
          <w:tcPr>
            <w:tcW w:w="776" w:type="dxa"/>
            <w:vAlign w:val="center"/>
            <w:hideMark/>
          </w:tcPr>
          <w:p w14:paraId="564AA24F" w14:textId="77777777" w:rsidR="00C35EC6" w:rsidRPr="00AA631C" w:rsidRDefault="00C35EC6" w:rsidP="000E22AD">
            <w:pPr>
              <w:jc w:val="right"/>
              <w:rPr>
                <w:color w:val="000000"/>
                <w:lang w:val="en-ID" w:eastAsia="en-ID"/>
              </w:rPr>
            </w:pPr>
            <w:r w:rsidRPr="00AA631C">
              <w:rPr>
                <w:color w:val="000000"/>
                <w:lang w:val="en-ID" w:eastAsia="en-ID"/>
              </w:rPr>
              <w:t>24%</w:t>
            </w:r>
          </w:p>
        </w:tc>
      </w:tr>
      <w:tr w:rsidR="00C35EC6" w:rsidRPr="00AA631C" w14:paraId="2C948EE3" w14:textId="77777777" w:rsidTr="000E22AD">
        <w:trPr>
          <w:cantSplit/>
          <w:jc w:val="center"/>
        </w:trPr>
        <w:tc>
          <w:tcPr>
            <w:tcW w:w="5035" w:type="dxa"/>
            <w:vAlign w:val="center"/>
            <w:hideMark/>
          </w:tcPr>
          <w:p w14:paraId="586C1F46" w14:textId="77777777" w:rsidR="00C35EC6" w:rsidRPr="00AA631C" w:rsidRDefault="00C35EC6" w:rsidP="000E22AD">
            <w:pPr>
              <w:rPr>
                <w:color w:val="000000"/>
                <w:lang w:val="en-ID" w:eastAsia="en-ID"/>
              </w:rPr>
            </w:pPr>
            <w:r w:rsidRPr="00AA631C">
              <w:rPr>
                <w:color w:val="000000"/>
                <w:lang w:val="en-ID" w:eastAsia="en-ID"/>
              </w:rPr>
              <w:t>Total</w:t>
            </w:r>
          </w:p>
        </w:tc>
        <w:tc>
          <w:tcPr>
            <w:tcW w:w="576" w:type="dxa"/>
            <w:vAlign w:val="center"/>
            <w:hideMark/>
          </w:tcPr>
          <w:p w14:paraId="46F8A608" w14:textId="77777777" w:rsidR="00C35EC6" w:rsidRPr="00AA631C" w:rsidRDefault="00C35EC6" w:rsidP="000E22AD">
            <w:pPr>
              <w:jc w:val="right"/>
              <w:rPr>
                <w:color w:val="000000"/>
                <w:lang w:val="en-ID" w:eastAsia="en-ID"/>
              </w:rPr>
            </w:pPr>
            <w:r w:rsidRPr="00AA631C">
              <w:rPr>
                <w:color w:val="000000"/>
                <w:lang w:val="en-ID" w:eastAsia="en-ID"/>
              </w:rPr>
              <w:t>100</w:t>
            </w:r>
          </w:p>
        </w:tc>
        <w:tc>
          <w:tcPr>
            <w:tcW w:w="776" w:type="dxa"/>
            <w:vAlign w:val="center"/>
            <w:hideMark/>
          </w:tcPr>
          <w:p w14:paraId="4C06666F" w14:textId="77777777" w:rsidR="00C35EC6" w:rsidRPr="00AA631C" w:rsidRDefault="00C35EC6" w:rsidP="000E22AD">
            <w:pPr>
              <w:jc w:val="right"/>
              <w:rPr>
                <w:color w:val="000000"/>
                <w:lang w:val="en-ID" w:eastAsia="en-ID"/>
              </w:rPr>
            </w:pPr>
            <w:r w:rsidRPr="00AA631C">
              <w:rPr>
                <w:color w:val="000000"/>
                <w:lang w:val="en-ID" w:eastAsia="en-ID"/>
              </w:rPr>
              <w:t>100%</w:t>
            </w:r>
          </w:p>
        </w:tc>
      </w:tr>
      <w:tr w:rsidR="00C35EC6" w:rsidRPr="00AA631C" w14:paraId="0B2018F7" w14:textId="77777777" w:rsidTr="000E22AD">
        <w:trPr>
          <w:cantSplit/>
          <w:jc w:val="center"/>
        </w:trPr>
        <w:tc>
          <w:tcPr>
            <w:tcW w:w="6387" w:type="dxa"/>
            <w:gridSpan w:val="3"/>
            <w:vAlign w:val="center"/>
            <w:hideMark/>
          </w:tcPr>
          <w:p w14:paraId="5A3A56C8" w14:textId="77777777" w:rsidR="00C35EC6" w:rsidRPr="00AA631C" w:rsidRDefault="00C35EC6" w:rsidP="000E22AD">
            <w:pPr>
              <w:rPr>
                <w:lang w:val="en-ID" w:eastAsia="en-ID"/>
              </w:rPr>
            </w:pPr>
            <w:r w:rsidRPr="00AA631C">
              <w:rPr>
                <w:color w:val="000000"/>
                <w:lang w:val="en-ID" w:eastAsia="en-ID"/>
              </w:rPr>
              <w:lastRenderedPageBreak/>
              <w:t xml:space="preserve">Implementation of environmentally friendly standard operating procedures </w:t>
            </w:r>
          </w:p>
        </w:tc>
      </w:tr>
      <w:tr w:rsidR="00C35EC6" w:rsidRPr="00AA631C" w14:paraId="4083F014" w14:textId="77777777" w:rsidTr="000E22AD">
        <w:trPr>
          <w:cantSplit/>
          <w:jc w:val="center"/>
        </w:trPr>
        <w:tc>
          <w:tcPr>
            <w:tcW w:w="5035" w:type="dxa"/>
            <w:vAlign w:val="center"/>
            <w:hideMark/>
          </w:tcPr>
          <w:p w14:paraId="696A7B31" w14:textId="77777777" w:rsidR="00C35EC6" w:rsidRPr="00AA631C" w:rsidRDefault="00C35EC6" w:rsidP="000E22AD">
            <w:pPr>
              <w:rPr>
                <w:color w:val="000000"/>
                <w:lang w:val="en-ID" w:eastAsia="en-ID"/>
              </w:rPr>
            </w:pPr>
            <w:r w:rsidRPr="00AA631C">
              <w:rPr>
                <w:color w:val="000000"/>
                <w:lang w:val="en-ID" w:eastAsia="en-ID"/>
              </w:rPr>
              <w:t>Yes</w:t>
            </w:r>
          </w:p>
        </w:tc>
        <w:tc>
          <w:tcPr>
            <w:tcW w:w="576" w:type="dxa"/>
            <w:vAlign w:val="center"/>
            <w:hideMark/>
          </w:tcPr>
          <w:p w14:paraId="3505013C" w14:textId="77777777" w:rsidR="00C35EC6" w:rsidRPr="00AA631C" w:rsidRDefault="00C35EC6" w:rsidP="000E22AD">
            <w:pPr>
              <w:jc w:val="right"/>
              <w:rPr>
                <w:color w:val="000000"/>
                <w:lang w:val="en-ID" w:eastAsia="en-ID"/>
              </w:rPr>
            </w:pPr>
            <w:r w:rsidRPr="00AA631C">
              <w:rPr>
                <w:color w:val="000000"/>
                <w:lang w:val="en-ID" w:eastAsia="en-ID"/>
              </w:rPr>
              <w:t>100</w:t>
            </w:r>
          </w:p>
        </w:tc>
        <w:tc>
          <w:tcPr>
            <w:tcW w:w="776" w:type="dxa"/>
            <w:vAlign w:val="center"/>
            <w:hideMark/>
          </w:tcPr>
          <w:p w14:paraId="1C0D2CFF" w14:textId="77777777" w:rsidR="00C35EC6" w:rsidRPr="00AA631C" w:rsidRDefault="00C35EC6" w:rsidP="000E22AD">
            <w:pPr>
              <w:jc w:val="right"/>
              <w:rPr>
                <w:color w:val="000000"/>
                <w:lang w:val="en-ID" w:eastAsia="en-ID"/>
              </w:rPr>
            </w:pPr>
            <w:r w:rsidRPr="00AA631C">
              <w:rPr>
                <w:color w:val="000000"/>
                <w:lang w:val="en-ID" w:eastAsia="en-ID"/>
              </w:rPr>
              <w:t>100%</w:t>
            </w:r>
          </w:p>
        </w:tc>
      </w:tr>
      <w:tr w:rsidR="00C35EC6" w:rsidRPr="00AA631C" w14:paraId="5948BB73" w14:textId="77777777" w:rsidTr="000E22AD">
        <w:trPr>
          <w:cantSplit/>
          <w:jc w:val="center"/>
        </w:trPr>
        <w:tc>
          <w:tcPr>
            <w:tcW w:w="5035" w:type="dxa"/>
            <w:vAlign w:val="center"/>
            <w:hideMark/>
          </w:tcPr>
          <w:p w14:paraId="209E0702" w14:textId="77777777" w:rsidR="00C35EC6" w:rsidRPr="00AA631C" w:rsidRDefault="00C35EC6" w:rsidP="000E22AD">
            <w:pPr>
              <w:rPr>
                <w:color w:val="000000"/>
                <w:lang w:val="en-ID" w:eastAsia="en-ID"/>
              </w:rPr>
            </w:pPr>
            <w:r w:rsidRPr="00AA631C">
              <w:rPr>
                <w:color w:val="000000"/>
                <w:lang w:val="en-ID" w:eastAsia="en-ID"/>
              </w:rPr>
              <w:t>No</w:t>
            </w:r>
          </w:p>
        </w:tc>
        <w:tc>
          <w:tcPr>
            <w:tcW w:w="576" w:type="dxa"/>
            <w:vAlign w:val="center"/>
            <w:hideMark/>
          </w:tcPr>
          <w:p w14:paraId="697FA619" w14:textId="77777777" w:rsidR="00C35EC6" w:rsidRPr="00AA631C" w:rsidRDefault="00C35EC6" w:rsidP="000E22AD">
            <w:pPr>
              <w:jc w:val="right"/>
              <w:rPr>
                <w:color w:val="000000"/>
                <w:lang w:val="en-ID" w:eastAsia="en-ID"/>
              </w:rPr>
            </w:pPr>
            <w:r w:rsidRPr="00AA631C">
              <w:rPr>
                <w:color w:val="000000"/>
                <w:lang w:val="en-ID" w:eastAsia="en-ID"/>
              </w:rPr>
              <w:t>0</w:t>
            </w:r>
          </w:p>
        </w:tc>
        <w:tc>
          <w:tcPr>
            <w:tcW w:w="776" w:type="dxa"/>
            <w:vAlign w:val="center"/>
            <w:hideMark/>
          </w:tcPr>
          <w:p w14:paraId="61140D22" w14:textId="77777777" w:rsidR="00C35EC6" w:rsidRPr="00AA631C" w:rsidRDefault="00C35EC6" w:rsidP="000E22AD">
            <w:pPr>
              <w:jc w:val="right"/>
              <w:rPr>
                <w:color w:val="000000"/>
                <w:lang w:val="en-ID" w:eastAsia="en-ID"/>
              </w:rPr>
            </w:pPr>
            <w:r w:rsidRPr="00AA631C">
              <w:rPr>
                <w:color w:val="000000"/>
                <w:lang w:val="en-ID" w:eastAsia="en-ID"/>
              </w:rPr>
              <w:t>0%</w:t>
            </w:r>
          </w:p>
        </w:tc>
      </w:tr>
      <w:tr w:rsidR="00C35EC6" w:rsidRPr="00AA631C" w14:paraId="767F57C5" w14:textId="77777777" w:rsidTr="000E22AD">
        <w:trPr>
          <w:cantSplit/>
          <w:jc w:val="center"/>
        </w:trPr>
        <w:tc>
          <w:tcPr>
            <w:tcW w:w="5035" w:type="dxa"/>
            <w:vAlign w:val="center"/>
            <w:hideMark/>
          </w:tcPr>
          <w:p w14:paraId="564C0C68" w14:textId="77777777" w:rsidR="00C35EC6" w:rsidRPr="00AA631C" w:rsidRDefault="00C35EC6" w:rsidP="000E22AD">
            <w:pPr>
              <w:rPr>
                <w:color w:val="000000"/>
                <w:lang w:val="en-ID" w:eastAsia="en-ID"/>
              </w:rPr>
            </w:pPr>
            <w:r w:rsidRPr="00AA631C">
              <w:rPr>
                <w:color w:val="000000"/>
                <w:lang w:val="en-ID" w:eastAsia="en-ID"/>
              </w:rPr>
              <w:t>Total</w:t>
            </w:r>
          </w:p>
        </w:tc>
        <w:tc>
          <w:tcPr>
            <w:tcW w:w="576" w:type="dxa"/>
            <w:vAlign w:val="center"/>
            <w:hideMark/>
          </w:tcPr>
          <w:p w14:paraId="3E84E59F" w14:textId="77777777" w:rsidR="00C35EC6" w:rsidRPr="00AA631C" w:rsidRDefault="00C35EC6" w:rsidP="000E22AD">
            <w:pPr>
              <w:jc w:val="right"/>
              <w:rPr>
                <w:color w:val="000000"/>
                <w:lang w:val="en-ID" w:eastAsia="en-ID"/>
              </w:rPr>
            </w:pPr>
            <w:r w:rsidRPr="00AA631C">
              <w:rPr>
                <w:color w:val="000000"/>
                <w:lang w:val="en-ID" w:eastAsia="en-ID"/>
              </w:rPr>
              <w:t>100</w:t>
            </w:r>
          </w:p>
        </w:tc>
        <w:tc>
          <w:tcPr>
            <w:tcW w:w="776" w:type="dxa"/>
            <w:vAlign w:val="center"/>
            <w:hideMark/>
          </w:tcPr>
          <w:p w14:paraId="0B69D790" w14:textId="77777777" w:rsidR="00C35EC6" w:rsidRPr="00AA631C" w:rsidRDefault="00C35EC6" w:rsidP="000E22AD">
            <w:pPr>
              <w:jc w:val="right"/>
              <w:rPr>
                <w:color w:val="000000"/>
                <w:lang w:val="en-ID" w:eastAsia="en-ID"/>
              </w:rPr>
            </w:pPr>
            <w:r w:rsidRPr="00AA631C">
              <w:rPr>
                <w:color w:val="000000"/>
                <w:lang w:val="en-ID" w:eastAsia="en-ID"/>
              </w:rPr>
              <w:t>100%</w:t>
            </w:r>
          </w:p>
        </w:tc>
      </w:tr>
    </w:tbl>
    <w:p w14:paraId="0E572412" w14:textId="77777777" w:rsidR="007E0E91" w:rsidRPr="00AA631C" w:rsidRDefault="007E0E91" w:rsidP="007E0E91">
      <w:pPr>
        <w:spacing w:line="360" w:lineRule="auto"/>
        <w:ind w:left="990"/>
        <w:jc w:val="center"/>
      </w:pPr>
      <w:r w:rsidRPr="00AA631C">
        <w:rPr>
          <w:noProof/>
          <w:sz w:val="11"/>
        </w:rPr>
        <w:drawing>
          <wp:anchor distT="0" distB="0" distL="0" distR="0" simplePos="0" relativeHeight="251655168" behindDoc="1" locked="0" layoutInCell="1" allowOverlap="1" wp14:anchorId="4A9813EB" wp14:editId="66987174">
            <wp:simplePos x="0" y="0"/>
            <wp:positionH relativeFrom="page">
              <wp:posOffset>1495673</wp:posOffset>
            </wp:positionH>
            <wp:positionV relativeFrom="paragraph">
              <wp:posOffset>263738</wp:posOffset>
            </wp:positionV>
            <wp:extent cx="4977559" cy="2466975"/>
            <wp:effectExtent l="0" t="0" r="0" b="0"/>
            <wp:wrapTopAndBottom/>
            <wp:docPr id="719584158"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4977559" cy="2466975"/>
                    </a:xfrm>
                    <a:prstGeom prst="rect">
                      <a:avLst/>
                    </a:prstGeom>
                  </pic:spPr>
                </pic:pic>
              </a:graphicData>
            </a:graphic>
          </wp:anchor>
        </w:drawing>
      </w:r>
    </w:p>
    <w:p w14:paraId="400F71A0" w14:textId="77777777" w:rsidR="00C35EC6" w:rsidRPr="00AA631C" w:rsidRDefault="00C35EC6" w:rsidP="007E0E91">
      <w:pPr>
        <w:spacing w:line="360" w:lineRule="auto"/>
        <w:ind w:left="990"/>
        <w:jc w:val="center"/>
      </w:pPr>
      <w:r w:rsidRPr="00AA631C">
        <w:t xml:space="preserve">Figure </w:t>
      </w:r>
      <w:r w:rsidR="007C4D81" w:rsidRPr="00AA631C">
        <w:t>2</w:t>
      </w:r>
      <w:r w:rsidRPr="00AA631C">
        <w:t>. Outlier measurement model</w:t>
      </w:r>
    </w:p>
    <w:p w14:paraId="2B86CB9C" w14:textId="77777777" w:rsidR="00C35EC6" w:rsidRPr="00AA631C" w:rsidRDefault="00C35EC6" w:rsidP="00C35EC6">
      <w:pPr>
        <w:spacing w:line="360" w:lineRule="auto"/>
        <w:ind w:firstLine="720"/>
      </w:pPr>
    </w:p>
    <w:p w14:paraId="6D3DFA42" w14:textId="77777777" w:rsidR="00C35EC6" w:rsidRPr="00AA631C" w:rsidRDefault="007E0E91" w:rsidP="00C35EC6">
      <w:pPr>
        <w:spacing w:line="360" w:lineRule="auto"/>
        <w:rPr>
          <w:b/>
          <w:bCs/>
          <w:sz w:val="22"/>
          <w:szCs w:val="22"/>
        </w:rPr>
      </w:pPr>
      <w:r w:rsidRPr="00AA631C">
        <w:rPr>
          <w:b/>
        </w:rPr>
        <w:t>4.3 Indicator Reliability</w:t>
      </w:r>
    </w:p>
    <w:p w14:paraId="7DB6A6F7" w14:textId="77777777" w:rsidR="00C35EC6" w:rsidRPr="00AA631C" w:rsidRDefault="00C35EC6" w:rsidP="00C35EC6">
      <w:r w:rsidRPr="00AA631C">
        <w:t>Indicator reliability was assessed using outer loadings. As presented in Table 2, all indicator loadings ranged from 0.728 to 0.883, exceeding the recommended threshold of 0.70 (Hair et al., 2022). These results indicate that all indicators adequately represented their respective latent constructs and were retained for subsequent analyses.</w:t>
      </w:r>
    </w:p>
    <w:p w14:paraId="63304EA2" w14:textId="77777777" w:rsidR="00C35EC6" w:rsidRPr="00AA631C" w:rsidRDefault="00C35EC6" w:rsidP="00C35EC6">
      <w:pPr>
        <w:rPr>
          <w:lang w:val="en-ID"/>
        </w:rPr>
      </w:pPr>
    </w:p>
    <w:p w14:paraId="4F459543" w14:textId="77777777" w:rsidR="00C35EC6" w:rsidRPr="00AA631C" w:rsidRDefault="00C35EC6" w:rsidP="007E0E91">
      <w:pPr>
        <w:pStyle w:val="Caption"/>
      </w:pPr>
      <w:r w:rsidRPr="00AA631C">
        <w:t>Table</w:t>
      </w:r>
      <w:r w:rsidRPr="00AA631C">
        <w:rPr>
          <w:spacing w:val="-13"/>
        </w:rPr>
        <w:t xml:space="preserve"> </w:t>
      </w:r>
      <w:r w:rsidRPr="00AA631C">
        <w:t>2.</w:t>
      </w:r>
      <w:r w:rsidRPr="00AA631C">
        <w:rPr>
          <w:spacing w:val="-12"/>
        </w:rPr>
        <w:t xml:space="preserve"> </w:t>
      </w:r>
      <w:r w:rsidRPr="00AA631C">
        <w:t>Outer</w:t>
      </w:r>
      <w:r w:rsidRPr="00AA631C">
        <w:rPr>
          <w:spacing w:val="-4"/>
        </w:rPr>
        <w:t xml:space="preserve"> </w:t>
      </w:r>
      <w:r w:rsidRPr="00AA631C">
        <w:rPr>
          <w:spacing w:val="-2"/>
        </w:rPr>
        <w:t>Loading</w:t>
      </w:r>
    </w:p>
    <w:tbl>
      <w:tblPr>
        <w:tblStyle w:val="TableNormal1"/>
        <w:tblW w:w="81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1"/>
        <w:gridCol w:w="2609"/>
        <w:gridCol w:w="1885"/>
        <w:gridCol w:w="2435"/>
      </w:tblGrid>
      <w:tr w:rsidR="00C35EC6" w:rsidRPr="00AA631C" w14:paraId="441D74B2" w14:textId="77777777" w:rsidTr="007E0E91">
        <w:trPr>
          <w:cantSplit/>
        </w:trPr>
        <w:tc>
          <w:tcPr>
            <w:tcW w:w="1261" w:type="dxa"/>
            <w:vAlign w:val="center"/>
          </w:tcPr>
          <w:p w14:paraId="3B7C0135" w14:textId="77777777" w:rsidR="00C35EC6" w:rsidRPr="00AA631C" w:rsidRDefault="00C35EC6" w:rsidP="000E22AD">
            <w:pPr>
              <w:pStyle w:val="TableParagraph"/>
              <w:spacing w:after="0"/>
              <w:ind w:left="0"/>
              <w:jc w:val="left"/>
              <w:rPr>
                <w:rFonts w:ascii="Arial" w:hAnsi="Arial" w:cs="Arial"/>
              </w:rPr>
            </w:pPr>
          </w:p>
        </w:tc>
        <w:tc>
          <w:tcPr>
            <w:tcW w:w="2609" w:type="dxa"/>
            <w:vAlign w:val="center"/>
          </w:tcPr>
          <w:p w14:paraId="1F472E3D" w14:textId="77777777" w:rsidR="00C35EC6" w:rsidRPr="00AA631C" w:rsidRDefault="00C35EC6" w:rsidP="000E22AD">
            <w:pPr>
              <w:pStyle w:val="TableParagraph"/>
              <w:spacing w:after="0"/>
              <w:ind w:left="755" w:hanging="471"/>
              <w:jc w:val="left"/>
              <w:rPr>
                <w:rFonts w:ascii="Arial" w:hAnsi="Arial" w:cs="Arial"/>
              </w:rPr>
            </w:pPr>
            <w:r w:rsidRPr="00AA631C">
              <w:rPr>
                <w:rFonts w:ascii="Arial" w:hAnsi="Arial" w:cs="Arial"/>
                <w:spacing w:val="-2"/>
              </w:rPr>
              <w:t>Green</w:t>
            </w:r>
            <w:r w:rsidRPr="00AA631C">
              <w:rPr>
                <w:rFonts w:ascii="Arial" w:hAnsi="Arial" w:cs="Arial"/>
                <w:spacing w:val="-15"/>
              </w:rPr>
              <w:t xml:space="preserve"> </w:t>
            </w:r>
            <w:r w:rsidRPr="00AA631C">
              <w:rPr>
                <w:rFonts w:ascii="Arial" w:hAnsi="Arial" w:cs="Arial"/>
                <w:spacing w:val="-2"/>
              </w:rPr>
              <w:t>innovation product</w:t>
            </w:r>
          </w:p>
        </w:tc>
        <w:tc>
          <w:tcPr>
            <w:tcW w:w="1885" w:type="dxa"/>
            <w:vAlign w:val="center"/>
          </w:tcPr>
          <w:p w14:paraId="08C5A7CA" w14:textId="77777777" w:rsidR="00C35EC6" w:rsidRPr="00AA631C" w:rsidRDefault="00C35EC6" w:rsidP="000E22AD">
            <w:pPr>
              <w:pStyle w:val="TableParagraph"/>
              <w:spacing w:after="0"/>
              <w:ind w:left="660" w:right="292" w:hanging="376"/>
              <w:jc w:val="left"/>
              <w:rPr>
                <w:rFonts w:ascii="Arial" w:hAnsi="Arial" w:cs="Arial"/>
              </w:rPr>
            </w:pPr>
            <w:r w:rsidRPr="00AA631C">
              <w:rPr>
                <w:rFonts w:ascii="Arial" w:hAnsi="Arial" w:cs="Arial"/>
                <w:spacing w:val="-2"/>
              </w:rPr>
              <w:t>Green</w:t>
            </w:r>
            <w:r w:rsidRPr="00AA631C">
              <w:rPr>
                <w:rFonts w:ascii="Arial" w:hAnsi="Arial" w:cs="Arial"/>
                <w:spacing w:val="-15"/>
              </w:rPr>
              <w:t xml:space="preserve"> </w:t>
            </w:r>
            <w:r w:rsidRPr="00AA631C">
              <w:rPr>
                <w:rFonts w:ascii="Arial" w:hAnsi="Arial" w:cs="Arial"/>
                <w:spacing w:val="-2"/>
              </w:rPr>
              <w:t>supply chain</w:t>
            </w:r>
          </w:p>
        </w:tc>
        <w:tc>
          <w:tcPr>
            <w:tcW w:w="2435" w:type="dxa"/>
            <w:vAlign w:val="center"/>
          </w:tcPr>
          <w:p w14:paraId="21C2AAC1" w14:textId="77777777" w:rsidR="00C35EC6" w:rsidRPr="00AA631C" w:rsidRDefault="00C35EC6" w:rsidP="000E22AD">
            <w:pPr>
              <w:pStyle w:val="TableParagraph"/>
              <w:spacing w:after="0"/>
              <w:ind w:left="3" w:right="3"/>
              <w:rPr>
                <w:rFonts w:ascii="Arial" w:hAnsi="Arial" w:cs="Arial"/>
              </w:rPr>
            </w:pPr>
            <w:r w:rsidRPr="00AA631C">
              <w:rPr>
                <w:rFonts w:ascii="Arial" w:hAnsi="Arial" w:cs="Arial"/>
              </w:rPr>
              <w:t>Social</w:t>
            </w:r>
            <w:r w:rsidRPr="00AA631C">
              <w:rPr>
                <w:rFonts w:ascii="Arial" w:hAnsi="Arial" w:cs="Arial"/>
                <w:spacing w:val="-12"/>
              </w:rPr>
              <w:t xml:space="preserve"> </w:t>
            </w:r>
            <w:r w:rsidRPr="00AA631C">
              <w:rPr>
                <w:rFonts w:ascii="Arial" w:hAnsi="Arial" w:cs="Arial"/>
                <w:spacing w:val="-2"/>
              </w:rPr>
              <w:t>performance</w:t>
            </w:r>
          </w:p>
        </w:tc>
      </w:tr>
      <w:tr w:rsidR="00C35EC6" w:rsidRPr="00AA631C" w14:paraId="49B8D717" w14:textId="77777777" w:rsidTr="007E0E91">
        <w:trPr>
          <w:cantSplit/>
        </w:trPr>
        <w:tc>
          <w:tcPr>
            <w:tcW w:w="1261" w:type="dxa"/>
            <w:vAlign w:val="center"/>
          </w:tcPr>
          <w:p w14:paraId="3912AE8D" w14:textId="77777777" w:rsidR="00C35EC6" w:rsidRPr="00AA631C" w:rsidRDefault="00C35EC6" w:rsidP="000E22AD">
            <w:pPr>
              <w:pStyle w:val="TableParagraph"/>
              <w:spacing w:after="0"/>
              <w:ind w:left="25" w:right="17"/>
              <w:rPr>
                <w:rFonts w:ascii="Arial" w:hAnsi="Arial" w:cs="Arial"/>
              </w:rPr>
            </w:pPr>
            <w:r w:rsidRPr="00AA631C">
              <w:rPr>
                <w:rFonts w:ascii="Arial" w:hAnsi="Arial" w:cs="Arial"/>
                <w:spacing w:val="-4"/>
              </w:rPr>
              <w:t>GIP1</w:t>
            </w:r>
          </w:p>
        </w:tc>
        <w:tc>
          <w:tcPr>
            <w:tcW w:w="2609" w:type="dxa"/>
            <w:vAlign w:val="center"/>
          </w:tcPr>
          <w:p w14:paraId="1CBF218E" w14:textId="77777777" w:rsidR="00C35EC6" w:rsidRPr="00AA631C" w:rsidRDefault="00C35EC6" w:rsidP="000E22AD">
            <w:pPr>
              <w:pStyle w:val="TableParagraph"/>
              <w:spacing w:after="0"/>
              <w:ind w:left="13"/>
              <w:rPr>
                <w:rFonts w:ascii="Arial" w:hAnsi="Arial" w:cs="Arial"/>
              </w:rPr>
            </w:pPr>
            <w:r w:rsidRPr="00AA631C">
              <w:rPr>
                <w:rFonts w:ascii="Arial" w:hAnsi="Arial" w:cs="Arial"/>
                <w:spacing w:val="-2"/>
              </w:rPr>
              <w:t>0.838</w:t>
            </w:r>
          </w:p>
        </w:tc>
        <w:tc>
          <w:tcPr>
            <w:tcW w:w="1885" w:type="dxa"/>
            <w:vAlign w:val="center"/>
          </w:tcPr>
          <w:p w14:paraId="6B76FF41"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4F2B4312" w14:textId="77777777" w:rsidR="00C35EC6" w:rsidRPr="00AA631C" w:rsidRDefault="00C35EC6" w:rsidP="000E22AD">
            <w:pPr>
              <w:pStyle w:val="TableParagraph"/>
              <w:spacing w:after="0"/>
              <w:ind w:left="0"/>
              <w:jc w:val="left"/>
              <w:rPr>
                <w:rFonts w:ascii="Arial" w:hAnsi="Arial" w:cs="Arial"/>
              </w:rPr>
            </w:pPr>
          </w:p>
        </w:tc>
      </w:tr>
      <w:tr w:rsidR="00C35EC6" w:rsidRPr="00AA631C" w14:paraId="2FECD527" w14:textId="77777777" w:rsidTr="007E0E91">
        <w:trPr>
          <w:cantSplit/>
        </w:trPr>
        <w:tc>
          <w:tcPr>
            <w:tcW w:w="1261" w:type="dxa"/>
            <w:vAlign w:val="center"/>
          </w:tcPr>
          <w:p w14:paraId="5320671E" w14:textId="77777777" w:rsidR="00C35EC6" w:rsidRPr="00AA631C" w:rsidRDefault="00C35EC6" w:rsidP="000E22AD">
            <w:pPr>
              <w:pStyle w:val="TableParagraph"/>
              <w:spacing w:after="0"/>
              <w:ind w:left="25" w:right="17"/>
              <w:rPr>
                <w:rFonts w:ascii="Arial" w:hAnsi="Arial" w:cs="Arial"/>
              </w:rPr>
            </w:pPr>
            <w:r w:rsidRPr="00AA631C">
              <w:rPr>
                <w:rFonts w:ascii="Arial" w:hAnsi="Arial" w:cs="Arial"/>
                <w:spacing w:val="-4"/>
              </w:rPr>
              <w:t>GIP2</w:t>
            </w:r>
          </w:p>
        </w:tc>
        <w:tc>
          <w:tcPr>
            <w:tcW w:w="2609" w:type="dxa"/>
            <w:vAlign w:val="center"/>
          </w:tcPr>
          <w:p w14:paraId="1D20DAF8" w14:textId="77777777" w:rsidR="00C35EC6" w:rsidRPr="00AA631C" w:rsidRDefault="00C35EC6" w:rsidP="000E22AD">
            <w:pPr>
              <w:pStyle w:val="TableParagraph"/>
              <w:spacing w:after="0"/>
              <w:ind w:left="13"/>
              <w:rPr>
                <w:rFonts w:ascii="Arial" w:hAnsi="Arial" w:cs="Arial"/>
              </w:rPr>
            </w:pPr>
            <w:r w:rsidRPr="00AA631C">
              <w:rPr>
                <w:rFonts w:ascii="Arial" w:hAnsi="Arial" w:cs="Arial"/>
                <w:spacing w:val="-2"/>
              </w:rPr>
              <w:t>0.882</w:t>
            </w:r>
          </w:p>
        </w:tc>
        <w:tc>
          <w:tcPr>
            <w:tcW w:w="1885" w:type="dxa"/>
            <w:vAlign w:val="center"/>
          </w:tcPr>
          <w:p w14:paraId="107D133F"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2957FF60" w14:textId="77777777" w:rsidR="00C35EC6" w:rsidRPr="00AA631C" w:rsidRDefault="00C35EC6" w:rsidP="000E22AD">
            <w:pPr>
              <w:pStyle w:val="TableParagraph"/>
              <w:spacing w:after="0"/>
              <w:ind w:left="0"/>
              <w:jc w:val="left"/>
              <w:rPr>
                <w:rFonts w:ascii="Arial" w:hAnsi="Arial" w:cs="Arial"/>
              </w:rPr>
            </w:pPr>
          </w:p>
        </w:tc>
      </w:tr>
      <w:tr w:rsidR="00C35EC6" w:rsidRPr="00AA631C" w14:paraId="55009BC3" w14:textId="77777777" w:rsidTr="007E0E91">
        <w:trPr>
          <w:cantSplit/>
        </w:trPr>
        <w:tc>
          <w:tcPr>
            <w:tcW w:w="1261" w:type="dxa"/>
            <w:vAlign w:val="center"/>
          </w:tcPr>
          <w:p w14:paraId="2BB9F364" w14:textId="77777777" w:rsidR="00C35EC6" w:rsidRPr="00AA631C" w:rsidRDefault="00C35EC6" w:rsidP="000E22AD">
            <w:pPr>
              <w:pStyle w:val="TableParagraph"/>
              <w:spacing w:after="0"/>
              <w:ind w:left="25" w:right="17"/>
              <w:rPr>
                <w:rFonts w:ascii="Arial" w:hAnsi="Arial" w:cs="Arial"/>
              </w:rPr>
            </w:pPr>
            <w:r w:rsidRPr="00AA631C">
              <w:rPr>
                <w:rFonts w:ascii="Arial" w:hAnsi="Arial" w:cs="Arial"/>
                <w:spacing w:val="-4"/>
              </w:rPr>
              <w:t>GIP3</w:t>
            </w:r>
          </w:p>
        </w:tc>
        <w:tc>
          <w:tcPr>
            <w:tcW w:w="2609" w:type="dxa"/>
            <w:vAlign w:val="center"/>
          </w:tcPr>
          <w:p w14:paraId="17BAFBFA" w14:textId="77777777" w:rsidR="00C35EC6" w:rsidRPr="00AA631C" w:rsidRDefault="00C35EC6" w:rsidP="000E22AD">
            <w:pPr>
              <w:pStyle w:val="TableParagraph"/>
              <w:spacing w:after="0"/>
              <w:ind w:left="13"/>
              <w:rPr>
                <w:rFonts w:ascii="Arial" w:hAnsi="Arial" w:cs="Arial"/>
              </w:rPr>
            </w:pPr>
            <w:r w:rsidRPr="00AA631C">
              <w:rPr>
                <w:rFonts w:ascii="Arial" w:hAnsi="Arial" w:cs="Arial"/>
                <w:spacing w:val="-2"/>
              </w:rPr>
              <w:t>0.883</w:t>
            </w:r>
          </w:p>
        </w:tc>
        <w:tc>
          <w:tcPr>
            <w:tcW w:w="1885" w:type="dxa"/>
            <w:vAlign w:val="center"/>
          </w:tcPr>
          <w:p w14:paraId="7B616595"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6282F512" w14:textId="77777777" w:rsidR="00C35EC6" w:rsidRPr="00AA631C" w:rsidRDefault="00C35EC6" w:rsidP="000E22AD">
            <w:pPr>
              <w:pStyle w:val="TableParagraph"/>
              <w:spacing w:after="0"/>
              <w:ind w:left="0"/>
              <w:jc w:val="left"/>
              <w:rPr>
                <w:rFonts w:ascii="Arial" w:hAnsi="Arial" w:cs="Arial"/>
              </w:rPr>
            </w:pPr>
          </w:p>
        </w:tc>
      </w:tr>
      <w:tr w:rsidR="00C35EC6" w:rsidRPr="00AA631C" w14:paraId="7C5241EA" w14:textId="77777777" w:rsidTr="007E0E91">
        <w:trPr>
          <w:cantSplit/>
        </w:trPr>
        <w:tc>
          <w:tcPr>
            <w:tcW w:w="1261" w:type="dxa"/>
            <w:vAlign w:val="center"/>
          </w:tcPr>
          <w:p w14:paraId="13647B15" w14:textId="77777777" w:rsidR="00C35EC6" w:rsidRPr="00AA631C" w:rsidRDefault="00C35EC6" w:rsidP="000E22AD">
            <w:pPr>
              <w:pStyle w:val="TableParagraph"/>
              <w:spacing w:after="0"/>
              <w:ind w:left="25" w:right="17"/>
              <w:rPr>
                <w:rFonts w:ascii="Arial" w:hAnsi="Arial" w:cs="Arial"/>
              </w:rPr>
            </w:pPr>
            <w:r w:rsidRPr="00AA631C">
              <w:rPr>
                <w:rFonts w:ascii="Arial" w:hAnsi="Arial" w:cs="Arial"/>
                <w:spacing w:val="-4"/>
              </w:rPr>
              <w:t>GIP4</w:t>
            </w:r>
          </w:p>
        </w:tc>
        <w:tc>
          <w:tcPr>
            <w:tcW w:w="2609" w:type="dxa"/>
            <w:vAlign w:val="center"/>
          </w:tcPr>
          <w:p w14:paraId="10D2960B" w14:textId="77777777" w:rsidR="00C35EC6" w:rsidRPr="00AA631C" w:rsidRDefault="00C35EC6" w:rsidP="000E22AD">
            <w:pPr>
              <w:pStyle w:val="TableParagraph"/>
              <w:spacing w:after="0"/>
              <w:ind w:left="13"/>
              <w:rPr>
                <w:rFonts w:ascii="Arial" w:hAnsi="Arial" w:cs="Arial"/>
              </w:rPr>
            </w:pPr>
            <w:r w:rsidRPr="00AA631C">
              <w:rPr>
                <w:rFonts w:ascii="Arial" w:hAnsi="Arial" w:cs="Arial"/>
                <w:spacing w:val="-2"/>
              </w:rPr>
              <w:t>0.833</w:t>
            </w:r>
          </w:p>
        </w:tc>
        <w:tc>
          <w:tcPr>
            <w:tcW w:w="1885" w:type="dxa"/>
            <w:vAlign w:val="center"/>
          </w:tcPr>
          <w:p w14:paraId="79D2ED6C"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2BEB48BD" w14:textId="77777777" w:rsidR="00C35EC6" w:rsidRPr="00AA631C" w:rsidRDefault="00C35EC6" w:rsidP="000E22AD">
            <w:pPr>
              <w:pStyle w:val="TableParagraph"/>
              <w:spacing w:after="0"/>
              <w:ind w:left="0"/>
              <w:jc w:val="left"/>
              <w:rPr>
                <w:rFonts w:ascii="Arial" w:hAnsi="Arial" w:cs="Arial"/>
              </w:rPr>
            </w:pPr>
          </w:p>
        </w:tc>
      </w:tr>
      <w:tr w:rsidR="00C35EC6" w:rsidRPr="00AA631C" w14:paraId="2C7348E0" w14:textId="77777777" w:rsidTr="007E0E91">
        <w:trPr>
          <w:cantSplit/>
        </w:trPr>
        <w:tc>
          <w:tcPr>
            <w:tcW w:w="1261" w:type="dxa"/>
            <w:vAlign w:val="center"/>
          </w:tcPr>
          <w:p w14:paraId="7AB7A43E" w14:textId="77777777" w:rsidR="00C35EC6" w:rsidRPr="00AA631C" w:rsidRDefault="00C35EC6" w:rsidP="000E22AD">
            <w:pPr>
              <w:pStyle w:val="TableParagraph"/>
              <w:spacing w:after="0"/>
              <w:ind w:left="25" w:right="16"/>
              <w:rPr>
                <w:rFonts w:ascii="Arial" w:hAnsi="Arial" w:cs="Arial"/>
              </w:rPr>
            </w:pPr>
            <w:r w:rsidRPr="00AA631C">
              <w:rPr>
                <w:rFonts w:ascii="Arial" w:hAnsi="Arial" w:cs="Arial"/>
                <w:spacing w:val="-4"/>
              </w:rPr>
              <w:t>GSC1</w:t>
            </w:r>
          </w:p>
        </w:tc>
        <w:tc>
          <w:tcPr>
            <w:tcW w:w="2609" w:type="dxa"/>
            <w:vAlign w:val="center"/>
          </w:tcPr>
          <w:p w14:paraId="7224D0A3"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0964EFA2" w14:textId="77777777" w:rsidR="00C35EC6" w:rsidRPr="00AA631C" w:rsidRDefault="00C35EC6" w:rsidP="000E22AD">
            <w:pPr>
              <w:pStyle w:val="TableParagraph"/>
              <w:spacing w:after="0"/>
              <w:ind w:left="8"/>
              <w:rPr>
                <w:rFonts w:ascii="Arial" w:hAnsi="Arial" w:cs="Arial"/>
              </w:rPr>
            </w:pPr>
            <w:r w:rsidRPr="00AA631C">
              <w:rPr>
                <w:rFonts w:ascii="Arial" w:hAnsi="Arial" w:cs="Arial"/>
                <w:spacing w:val="-2"/>
              </w:rPr>
              <w:t>0.791</w:t>
            </w:r>
          </w:p>
        </w:tc>
        <w:tc>
          <w:tcPr>
            <w:tcW w:w="2435" w:type="dxa"/>
            <w:vAlign w:val="center"/>
          </w:tcPr>
          <w:p w14:paraId="0049DB6B" w14:textId="77777777" w:rsidR="00C35EC6" w:rsidRPr="00AA631C" w:rsidRDefault="00C35EC6" w:rsidP="000E22AD">
            <w:pPr>
              <w:pStyle w:val="TableParagraph"/>
              <w:spacing w:after="0"/>
              <w:ind w:left="0"/>
              <w:jc w:val="left"/>
              <w:rPr>
                <w:rFonts w:ascii="Arial" w:hAnsi="Arial" w:cs="Arial"/>
              </w:rPr>
            </w:pPr>
          </w:p>
        </w:tc>
      </w:tr>
      <w:tr w:rsidR="00C35EC6" w:rsidRPr="00AA631C" w14:paraId="22F9996B" w14:textId="77777777" w:rsidTr="007E0E91">
        <w:trPr>
          <w:cantSplit/>
        </w:trPr>
        <w:tc>
          <w:tcPr>
            <w:tcW w:w="1261" w:type="dxa"/>
            <w:vAlign w:val="center"/>
          </w:tcPr>
          <w:p w14:paraId="5DBF8B46" w14:textId="77777777" w:rsidR="00C35EC6" w:rsidRPr="00AA631C" w:rsidRDefault="00C35EC6" w:rsidP="000E22AD">
            <w:pPr>
              <w:pStyle w:val="TableParagraph"/>
              <w:spacing w:after="0"/>
              <w:ind w:left="25" w:right="16"/>
              <w:rPr>
                <w:rFonts w:ascii="Arial" w:hAnsi="Arial" w:cs="Arial"/>
              </w:rPr>
            </w:pPr>
            <w:r w:rsidRPr="00AA631C">
              <w:rPr>
                <w:rFonts w:ascii="Arial" w:hAnsi="Arial" w:cs="Arial"/>
                <w:spacing w:val="-4"/>
              </w:rPr>
              <w:t>GSC2</w:t>
            </w:r>
          </w:p>
        </w:tc>
        <w:tc>
          <w:tcPr>
            <w:tcW w:w="2609" w:type="dxa"/>
            <w:vAlign w:val="center"/>
          </w:tcPr>
          <w:p w14:paraId="184ED2C0"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22F7CCD2" w14:textId="77777777" w:rsidR="00C35EC6" w:rsidRPr="00AA631C" w:rsidRDefault="00C35EC6" w:rsidP="000E22AD">
            <w:pPr>
              <w:pStyle w:val="TableParagraph"/>
              <w:spacing w:after="0"/>
              <w:ind w:left="8"/>
              <w:rPr>
                <w:rFonts w:ascii="Arial" w:hAnsi="Arial" w:cs="Arial"/>
              </w:rPr>
            </w:pPr>
            <w:r w:rsidRPr="00AA631C">
              <w:rPr>
                <w:rFonts w:ascii="Arial" w:hAnsi="Arial" w:cs="Arial"/>
                <w:spacing w:val="-2"/>
              </w:rPr>
              <w:t>0.801</w:t>
            </w:r>
          </w:p>
        </w:tc>
        <w:tc>
          <w:tcPr>
            <w:tcW w:w="2435" w:type="dxa"/>
            <w:vAlign w:val="center"/>
          </w:tcPr>
          <w:p w14:paraId="17794931" w14:textId="77777777" w:rsidR="00C35EC6" w:rsidRPr="00AA631C" w:rsidRDefault="00C35EC6" w:rsidP="000E22AD">
            <w:pPr>
              <w:pStyle w:val="TableParagraph"/>
              <w:spacing w:after="0"/>
              <w:ind w:left="0"/>
              <w:jc w:val="left"/>
              <w:rPr>
                <w:rFonts w:ascii="Arial" w:hAnsi="Arial" w:cs="Arial"/>
              </w:rPr>
            </w:pPr>
          </w:p>
        </w:tc>
      </w:tr>
      <w:tr w:rsidR="00C35EC6" w:rsidRPr="00AA631C" w14:paraId="1C588D53" w14:textId="77777777" w:rsidTr="007E0E91">
        <w:trPr>
          <w:cantSplit/>
        </w:trPr>
        <w:tc>
          <w:tcPr>
            <w:tcW w:w="1261" w:type="dxa"/>
            <w:vAlign w:val="center"/>
          </w:tcPr>
          <w:p w14:paraId="5C7F75B0" w14:textId="77777777" w:rsidR="00C35EC6" w:rsidRPr="00AA631C" w:rsidRDefault="00C35EC6" w:rsidP="000E22AD">
            <w:pPr>
              <w:pStyle w:val="TableParagraph"/>
              <w:spacing w:after="0"/>
              <w:ind w:left="25" w:right="16"/>
              <w:rPr>
                <w:rFonts w:ascii="Arial" w:hAnsi="Arial" w:cs="Arial"/>
              </w:rPr>
            </w:pPr>
            <w:r w:rsidRPr="00AA631C">
              <w:rPr>
                <w:rFonts w:ascii="Arial" w:hAnsi="Arial" w:cs="Arial"/>
                <w:spacing w:val="-4"/>
              </w:rPr>
              <w:t>GSC3</w:t>
            </w:r>
          </w:p>
        </w:tc>
        <w:tc>
          <w:tcPr>
            <w:tcW w:w="2609" w:type="dxa"/>
            <w:vAlign w:val="center"/>
          </w:tcPr>
          <w:p w14:paraId="20D2B648"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4EA7BDB9" w14:textId="77777777" w:rsidR="00C35EC6" w:rsidRPr="00AA631C" w:rsidRDefault="00C35EC6" w:rsidP="000E22AD">
            <w:pPr>
              <w:pStyle w:val="TableParagraph"/>
              <w:spacing w:after="0"/>
              <w:ind w:left="8"/>
              <w:rPr>
                <w:rFonts w:ascii="Arial" w:hAnsi="Arial" w:cs="Arial"/>
              </w:rPr>
            </w:pPr>
            <w:r w:rsidRPr="00AA631C">
              <w:rPr>
                <w:rFonts w:ascii="Arial" w:hAnsi="Arial" w:cs="Arial"/>
                <w:spacing w:val="-2"/>
              </w:rPr>
              <w:t>0.871</w:t>
            </w:r>
          </w:p>
        </w:tc>
        <w:tc>
          <w:tcPr>
            <w:tcW w:w="2435" w:type="dxa"/>
            <w:vAlign w:val="center"/>
          </w:tcPr>
          <w:p w14:paraId="14264CAF" w14:textId="77777777" w:rsidR="00C35EC6" w:rsidRPr="00AA631C" w:rsidRDefault="00C35EC6" w:rsidP="000E22AD">
            <w:pPr>
              <w:pStyle w:val="TableParagraph"/>
              <w:spacing w:after="0"/>
              <w:ind w:left="0"/>
              <w:jc w:val="left"/>
              <w:rPr>
                <w:rFonts w:ascii="Arial" w:hAnsi="Arial" w:cs="Arial"/>
              </w:rPr>
            </w:pPr>
          </w:p>
        </w:tc>
      </w:tr>
      <w:tr w:rsidR="00C35EC6" w:rsidRPr="00AA631C" w14:paraId="329347B5" w14:textId="77777777" w:rsidTr="007E0E91">
        <w:trPr>
          <w:cantSplit/>
        </w:trPr>
        <w:tc>
          <w:tcPr>
            <w:tcW w:w="1261" w:type="dxa"/>
            <w:vAlign w:val="center"/>
          </w:tcPr>
          <w:p w14:paraId="0C326207" w14:textId="77777777" w:rsidR="00C35EC6" w:rsidRPr="00AA631C" w:rsidRDefault="00C35EC6" w:rsidP="000E22AD">
            <w:pPr>
              <w:pStyle w:val="TableParagraph"/>
              <w:spacing w:after="0"/>
              <w:ind w:left="25" w:right="16"/>
              <w:rPr>
                <w:rFonts w:ascii="Arial" w:hAnsi="Arial" w:cs="Arial"/>
              </w:rPr>
            </w:pPr>
            <w:r w:rsidRPr="00AA631C">
              <w:rPr>
                <w:rFonts w:ascii="Arial" w:hAnsi="Arial" w:cs="Arial"/>
                <w:spacing w:val="-4"/>
              </w:rPr>
              <w:t>GSC4</w:t>
            </w:r>
          </w:p>
        </w:tc>
        <w:tc>
          <w:tcPr>
            <w:tcW w:w="2609" w:type="dxa"/>
            <w:vAlign w:val="center"/>
          </w:tcPr>
          <w:p w14:paraId="03E754DA"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5CAEEC69" w14:textId="77777777" w:rsidR="00C35EC6" w:rsidRPr="00AA631C" w:rsidRDefault="00C35EC6" w:rsidP="000E22AD">
            <w:pPr>
              <w:pStyle w:val="TableParagraph"/>
              <w:spacing w:after="0"/>
              <w:ind w:left="8"/>
              <w:rPr>
                <w:rFonts w:ascii="Arial" w:hAnsi="Arial" w:cs="Arial"/>
              </w:rPr>
            </w:pPr>
            <w:r w:rsidRPr="00AA631C">
              <w:rPr>
                <w:rFonts w:ascii="Arial" w:hAnsi="Arial" w:cs="Arial"/>
                <w:spacing w:val="-2"/>
              </w:rPr>
              <w:t>0.836</w:t>
            </w:r>
          </w:p>
        </w:tc>
        <w:tc>
          <w:tcPr>
            <w:tcW w:w="2435" w:type="dxa"/>
            <w:vAlign w:val="center"/>
          </w:tcPr>
          <w:p w14:paraId="3DB06158" w14:textId="77777777" w:rsidR="00C35EC6" w:rsidRPr="00AA631C" w:rsidRDefault="00C35EC6" w:rsidP="000E22AD">
            <w:pPr>
              <w:pStyle w:val="TableParagraph"/>
              <w:spacing w:after="0"/>
              <w:ind w:left="0"/>
              <w:jc w:val="left"/>
              <w:rPr>
                <w:rFonts w:ascii="Arial" w:hAnsi="Arial" w:cs="Arial"/>
              </w:rPr>
            </w:pPr>
          </w:p>
        </w:tc>
      </w:tr>
      <w:tr w:rsidR="00C35EC6" w:rsidRPr="00AA631C" w14:paraId="6C31A984" w14:textId="77777777" w:rsidTr="007E0E91">
        <w:trPr>
          <w:cantSplit/>
        </w:trPr>
        <w:tc>
          <w:tcPr>
            <w:tcW w:w="1261" w:type="dxa"/>
            <w:vAlign w:val="center"/>
          </w:tcPr>
          <w:p w14:paraId="5732C351" w14:textId="77777777" w:rsidR="00C35EC6" w:rsidRPr="00AA631C" w:rsidRDefault="00C35EC6" w:rsidP="000E22AD">
            <w:pPr>
              <w:pStyle w:val="TableParagraph"/>
              <w:spacing w:after="0"/>
              <w:ind w:left="25" w:right="16"/>
              <w:rPr>
                <w:rFonts w:ascii="Arial" w:hAnsi="Arial" w:cs="Arial"/>
              </w:rPr>
            </w:pPr>
            <w:r w:rsidRPr="00AA631C">
              <w:rPr>
                <w:rFonts w:ascii="Arial" w:hAnsi="Arial" w:cs="Arial"/>
                <w:spacing w:val="-4"/>
              </w:rPr>
              <w:t>GSC5</w:t>
            </w:r>
          </w:p>
        </w:tc>
        <w:tc>
          <w:tcPr>
            <w:tcW w:w="2609" w:type="dxa"/>
            <w:vAlign w:val="center"/>
          </w:tcPr>
          <w:p w14:paraId="517BEF17"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1A901814" w14:textId="77777777" w:rsidR="00C35EC6" w:rsidRPr="00AA631C" w:rsidRDefault="00C35EC6" w:rsidP="000E22AD">
            <w:pPr>
              <w:pStyle w:val="TableParagraph"/>
              <w:spacing w:after="0"/>
              <w:ind w:left="8"/>
              <w:rPr>
                <w:rFonts w:ascii="Arial" w:hAnsi="Arial" w:cs="Arial"/>
              </w:rPr>
            </w:pPr>
            <w:r w:rsidRPr="00AA631C">
              <w:rPr>
                <w:rFonts w:ascii="Arial" w:hAnsi="Arial" w:cs="Arial"/>
                <w:spacing w:val="-2"/>
              </w:rPr>
              <w:t>0.773</w:t>
            </w:r>
          </w:p>
        </w:tc>
        <w:tc>
          <w:tcPr>
            <w:tcW w:w="2435" w:type="dxa"/>
            <w:vAlign w:val="center"/>
          </w:tcPr>
          <w:p w14:paraId="24F87F20" w14:textId="77777777" w:rsidR="00C35EC6" w:rsidRPr="00AA631C" w:rsidRDefault="00C35EC6" w:rsidP="000E22AD">
            <w:pPr>
              <w:pStyle w:val="TableParagraph"/>
              <w:spacing w:after="0"/>
              <w:ind w:left="0"/>
              <w:jc w:val="left"/>
              <w:rPr>
                <w:rFonts w:ascii="Arial" w:hAnsi="Arial" w:cs="Arial"/>
              </w:rPr>
            </w:pPr>
          </w:p>
        </w:tc>
      </w:tr>
      <w:tr w:rsidR="00C35EC6" w:rsidRPr="00AA631C" w14:paraId="44DE4F04" w14:textId="77777777" w:rsidTr="007E0E91">
        <w:trPr>
          <w:cantSplit/>
        </w:trPr>
        <w:tc>
          <w:tcPr>
            <w:tcW w:w="1261" w:type="dxa"/>
            <w:vAlign w:val="center"/>
          </w:tcPr>
          <w:p w14:paraId="48412450" w14:textId="77777777" w:rsidR="00C35EC6" w:rsidRPr="00AA631C" w:rsidRDefault="00C35EC6" w:rsidP="000E22AD">
            <w:pPr>
              <w:pStyle w:val="TableParagraph"/>
              <w:spacing w:after="0"/>
              <w:ind w:left="25"/>
              <w:rPr>
                <w:rFonts w:ascii="Arial" w:hAnsi="Arial" w:cs="Arial"/>
              </w:rPr>
            </w:pPr>
            <w:r w:rsidRPr="00AA631C">
              <w:rPr>
                <w:rFonts w:ascii="Arial" w:hAnsi="Arial" w:cs="Arial"/>
                <w:spacing w:val="-5"/>
              </w:rPr>
              <w:t>SP1</w:t>
            </w:r>
          </w:p>
        </w:tc>
        <w:tc>
          <w:tcPr>
            <w:tcW w:w="2609" w:type="dxa"/>
            <w:vAlign w:val="center"/>
          </w:tcPr>
          <w:p w14:paraId="061AF88B"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53BD9A0D"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2BCBCF59" w14:textId="77777777" w:rsidR="00C35EC6" w:rsidRPr="00AA631C" w:rsidRDefault="00C35EC6" w:rsidP="000E22AD">
            <w:pPr>
              <w:pStyle w:val="TableParagraph"/>
              <w:spacing w:after="0"/>
              <w:ind w:left="3"/>
              <w:rPr>
                <w:rFonts w:ascii="Arial" w:hAnsi="Arial" w:cs="Arial"/>
              </w:rPr>
            </w:pPr>
            <w:r w:rsidRPr="00AA631C">
              <w:rPr>
                <w:rFonts w:ascii="Arial" w:hAnsi="Arial" w:cs="Arial"/>
                <w:spacing w:val="-2"/>
              </w:rPr>
              <w:t>0.772</w:t>
            </w:r>
          </w:p>
        </w:tc>
      </w:tr>
      <w:tr w:rsidR="00C35EC6" w:rsidRPr="00AA631C" w14:paraId="7085C6E7" w14:textId="77777777" w:rsidTr="007E0E91">
        <w:trPr>
          <w:cantSplit/>
        </w:trPr>
        <w:tc>
          <w:tcPr>
            <w:tcW w:w="1261" w:type="dxa"/>
            <w:vAlign w:val="center"/>
          </w:tcPr>
          <w:p w14:paraId="1F8A2372" w14:textId="77777777" w:rsidR="00C35EC6" w:rsidRPr="00AA631C" w:rsidRDefault="00C35EC6" w:rsidP="000E22AD">
            <w:pPr>
              <w:pStyle w:val="TableParagraph"/>
              <w:spacing w:after="0"/>
              <w:ind w:left="25"/>
              <w:rPr>
                <w:rFonts w:ascii="Arial" w:hAnsi="Arial" w:cs="Arial"/>
              </w:rPr>
            </w:pPr>
            <w:r w:rsidRPr="00AA631C">
              <w:rPr>
                <w:rFonts w:ascii="Arial" w:hAnsi="Arial" w:cs="Arial"/>
                <w:spacing w:val="-5"/>
              </w:rPr>
              <w:t>SP2</w:t>
            </w:r>
          </w:p>
        </w:tc>
        <w:tc>
          <w:tcPr>
            <w:tcW w:w="2609" w:type="dxa"/>
            <w:vAlign w:val="center"/>
          </w:tcPr>
          <w:p w14:paraId="117EA1D6"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421344EA"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7847AB5B" w14:textId="77777777" w:rsidR="00C35EC6" w:rsidRPr="00AA631C" w:rsidRDefault="00C35EC6" w:rsidP="000E22AD">
            <w:pPr>
              <w:pStyle w:val="TableParagraph"/>
              <w:spacing w:after="0"/>
              <w:ind w:left="3"/>
              <w:rPr>
                <w:rFonts w:ascii="Arial" w:hAnsi="Arial" w:cs="Arial"/>
              </w:rPr>
            </w:pPr>
            <w:r w:rsidRPr="00AA631C">
              <w:rPr>
                <w:rFonts w:ascii="Arial" w:hAnsi="Arial" w:cs="Arial"/>
                <w:spacing w:val="-2"/>
              </w:rPr>
              <w:t>0.765</w:t>
            </w:r>
          </w:p>
        </w:tc>
      </w:tr>
      <w:tr w:rsidR="00C35EC6" w:rsidRPr="00AA631C" w14:paraId="63155CCD" w14:textId="77777777" w:rsidTr="007E0E91">
        <w:trPr>
          <w:cantSplit/>
        </w:trPr>
        <w:tc>
          <w:tcPr>
            <w:tcW w:w="1261" w:type="dxa"/>
            <w:vAlign w:val="center"/>
          </w:tcPr>
          <w:p w14:paraId="572C8E11" w14:textId="77777777" w:rsidR="00C35EC6" w:rsidRPr="00AA631C" w:rsidRDefault="00C35EC6" w:rsidP="000E22AD">
            <w:pPr>
              <w:pStyle w:val="TableParagraph"/>
              <w:spacing w:after="0"/>
              <w:ind w:left="25"/>
              <w:rPr>
                <w:rFonts w:ascii="Arial" w:hAnsi="Arial" w:cs="Arial"/>
              </w:rPr>
            </w:pPr>
            <w:r w:rsidRPr="00AA631C">
              <w:rPr>
                <w:rFonts w:ascii="Arial" w:hAnsi="Arial" w:cs="Arial"/>
                <w:spacing w:val="-5"/>
              </w:rPr>
              <w:t>SP3</w:t>
            </w:r>
          </w:p>
        </w:tc>
        <w:tc>
          <w:tcPr>
            <w:tcW w:w="2609" w:type="dxa"/>
            <w:vAlign w:val="center"/>
          </w:tcPr>
          <w:p w14:paraId="63530FA5"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048C153F"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0D17BF5F" w14:textId="77777777" w:rsidR="00C35EC6" w:rsidRPr="00AA631C" w:rsidRDefault="00C35EC6" w:rsidP="000E22AD">
            <w:pPr>
              <w:pStyle w:val="TableParagraph"/>
              <w:spacing w:after="0"/>
              <w:ind w:left="3"/>
              <w:rPr>
                <w:rFonts w:ascii="Arial" w:hAnsi="Arial" w:cs="Arial"/>
              </w:rPr>
            </w:pPr>
            <w:r w:rsidRPr="00AA631C">
              <w:rPr>
                <w:rFonts w:ascii="Arial" w:hAnsi="Arial" w:cs="Arial"/>
                <w:spacing w:val="-2"/>
              </w:rPr>
              <w:t>0.845</w:t>
            </w:r>
          </w:p>
        </w:tc>
      </w:tr>
      <w:tr w:rsidR="00C35EC6" w:rsidRPr="00AA631C" w14:paraId="7255D1F8" w14:textId="77777777" w:rsidTr="007E0E91">
        <w:trPr>
          <w:cantSplit/>
        </w:trPr>
        <w:tc>
          <w:tcPr>
            <w:tcW w:w="1261" w:type="dxa"/>
            <w:vAlign w:val="center"/>
          </w:tcPr>
          <w:p w14:paraId="459614A4" w14:textId="77777777" w:rsidR="00C35EC6" w:rsidRPr="00AA631C" w:rsidRDefault="00C35EC6" w:rsidP="000E22AD">
            <w:pPr>
              <w:pStyle w:val="TableParagraph"/>
              <w:spacing w:after="0"/>
              <w:ind w:left="25"/>
              <w:rPr>
                <w:rFonts w:ascii="Arial" w:hAnsi="Arial" w:cs="Arial"/>
              </w:rPr>
            </w:pPr>
            <w:r w:rsidRPr="00AA631C">
              <w:rPr>
                <w:rFonts w:ascii="Arial" w:hAnsi="Arial" w:cs="Arial"/>
                <w:spacing w:val="-5"/>
              </w:rPr>
              <w:t>SP4</w:t>
            </w:r>
          </w:p>
        </w:tc>
        <w:tc>
          <w:tcPr>
            <w:tcW w:w="2609" w:type="dxa"/>
            <w:vAlign w:val="center"/>
          </w:tcPr>
          <w:p w14:paraId="29A2AE32"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61018D1A"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138F0F97" w14:textId="77777777" w:rsidR="00C35EC6" w:rsidRPr="00AA631C" w:rsidRDefault="00C35EC6" w:rsidP="000E22AD">
            <w:pPr>
              <w:pStyle w:val="TableParagraph"/>
              <w:spacing w:after="0"/>
              <w:ind w:left="3"/>
              <w:rPr>
                <w:rFonts w:ascii="Arial" w:hAnsi="Arial" w:cs="Arial"/>
              </w:rPr>
            </w:pPr>
            <w:r w:rsidRPr="00AA631C">
              <w:rPr>
                <w:rFonts w:ascii="Arial" w:hAnsi="Arial" w:cs="Arial"/>
                <w:spacing w:val="-2"/>
              </w:rPr>
              <w:t>0.741</w:t>
            </w:r>
          </w:p>
        </w:tc>
      </w:tr>
      <w:tr w:rsidR="00C35EC6" w:rsidRPr="00AA631C" w14:paraId="6EACC726" w14:textId="77777777" w:rsidTr="007E0E91">
        <w:trPr>
          <w:cantSplit/>
        </w:trPr>
        <w:tc>
          <w:tcPr>
            <w:tcW w:w="1261" w:type="dxa"/>
            <w:vAlign w:val="center"/>
          </w:tcPr>
          <w:p w14:paraId="6165072F" w14:textId="77777777" w:rsidR="00C35EC6" w:rsidRPr="00AA631C" w:rsidRDefault="00C35EC6" w:rsidP="000E22AD">
            <w:pPr>
              <w:pStyle w:val="TableParagraph"/>
              <w:spacing w:after="0"/>
              <w:ind w:left="25"/>
              <w:rPr>
                <w:rFonts w:ascii="Arial" w:hAnsi="Arial" w:cs="Arial"/>
              </w:rPr>
            </w:pPr>
            <w:r w:rsidRPr="00AA631C">
              <w:rPr>
                <w:rFonts w:ascii="Arial" w:hAnsi="Arial" w:cs="Arial"/>
                <w:spacing w:val="-5"/>
              </w:rPr>
              <w:t>SP5</w:t>
            </w:r>
          </w:p>
        </w:tc>
        <w:tc>
          <w:tcPr>
            <w:tcW w:w="2609" w:type="dxa"/>
            <w:vAlign w:val="center"/>
          </w:tcPr>
          <w:p w14:paraId="7BD18C15" w14:textId="77777777" w:rsidR="00C35EC6" w:rsidRPr="00AA631C" w:rsidRDefault="00C35EC6" w:rsidP="000E22AD">
            <w:pPr>
              <w:pStyle w:val="TableParagraph"/>
              <w:spacing w:after="0"/>
              <w:ind w:left="0"/>
              <w:jc w:val="left"/>
              <w:rPr>
                <w:rFonts w:ascii="Arial" w:hAnsi="Arial" w:cs="Arial"/>
              </w:rPr>
            </w:pPr>
          </w:p>
        </w:tc>
        <w:tc>
          <w:tcPr>
            <w:tcW w:w="1885" w:type="dxa"/>
            <w:vAlign w:val="center"/>
          </w:tcPr>
          <w:p w14:paraId="30F8050E" w14:textId="77777777" w:rsidR="00C35EC6" w:rsidRPr="00AA631C" w:rsidRDefault="00C35EC6" w:rsidP="000E22AD">
            <w:pPr>
              <w:pStyle w:val="TableParagraph"/>
              <w:spacing w:after="0"/>
              <w:ind w:left="0"/>
              <w:jc w:val="left"/>
              <w:rPr>
                <w:rFonts w:ascii="Arial" w:hAnsi="Arial" w:cs="Arial"/>
              </w:rPr>
            </w:pPr>
          </w:p>
        </w:tc>
        <w:tc>
          <w:tcPr>
            <w:tcW w:w="2435" w:type="dxa"/>
            <w:vAlign w:val="center"/>
          </w:tcPr>
          <w:p w14:paraId="35E6B4A4" w14:textId="77777777" w:rsidR="00C35EC6" w:rsidRPr="00AA631C" w:rsidRDefault="00C35EC6" w:rsidP="000E22AD">
            <w:pPr>
              <w:pStyle w:val="TableParagraph"/>
              <w:spacing w:after="0"/>
              <w:ind w:left="3"/>
              <w:rPr>
                <w:rFonts w:ascii="Arial" w:hAnsi="Arial" w:cs="Arial"/>
              </w:rPr>
            </w:pPr>
            <w:r w:rsidRPr="00AA631C">
              <w:rPr>
                <w:rFonts w:ascii="Arial" w:hAnsi="Arial" w:cs="Arial"/>
                <w:spacing w:val="-2"/>
              </w:rPr>
              <w:t>0.728</w:t>
            </w:r>
          </w:p>
        </w:tc>
      </w:tr>
    </w:tbl>
    <w:p w14:paraId="7560F942" w14:textId="77777777" w:rsidR="00C35EC6" w:rsidRPr="00AA631C" w:rsidRDefault="00C35EC6" w:rsidP="00C35EC6">
      <w:pPr>
        <w:rPr>
          <w:lang w:val="en-ID"/>
        </w:rPr>
      </w:pPr>
    </w:p>
    <w:p w14:paraId="24474DF1" w14:textId="77777777" w:rsidR="00C35EC6" w:rsidRPr="00AA631C" w:rsidRDefault="007E0E91" w:rsidP="00C35EC6">
      <w:pPr>
        <w:spacing w:line="360" w:lineRule="auto"/>
        <w:rPr>
          <w:b/>
          <w:bCs/>
          <w:sz w:val="22"/>
          <w:szCs w:val="22"/>
        </w:rPr>
      </w:pPr>
      <w:r w:rsidRPr="00AA631C">
        <w:rPr>
          <w:b/>
          <w:bCs/>
          <w:sz w:val="22"/>
          <w:szCs w:val="22"/>
        </w:rPr>
        <w:t xml:space="preserve">4.4 </w:t>
      </w:r>
      <w:r w:rsidR="00C35EC6" w:rsidRPr="00AA631C">
        <w:rPr>
          <w:b/>
          <w:bCs/>
          <w:sz w:val="22"/>
          <w:szCs w:val="22"/>
        </w:rPr>
        <w:t>Convergent validity</w:t>
      </w:r>
    </w:p>
    <w:p w14:paraId="5E85DEDB" w14:textId="77777777" w:rsidR="00C35EC6" w:rsidRPr="00AA631C" w:rsidRDefault="00C35EC6" w:rsidP="00C35EC6">
      <w:r w:rsidRPr="00AA631C">
        <w:t>Convergent validity was evaluated using the Average Variance Extracted (AVE). As shown in Table 3, the AVE values ranged from 0.595 to 0.739, exceeding the recommended threshold of 0.50. These findings indicate that each construct explained more than 50% of the variance of its indicators, confirming satisfactory convergent validity.</w:t>
      </w:r>
    </w:p>
    <w:p w14:paraId="50C35C43" w14:textId="77777777" w:rsidR="00C35EC6" w:rsidRPr="00AA631C" w:rsidRDefault="00C35EC6" w:rsidP="00C35EC6">
      <w:pPr>
        <w:rPr>
          <w:lang w:val="en-ID"/>
        </w:rPr>
      </w:pPr>
    </w:p>
    <w:p w14:paraId="71B754F9" w14:textId="77777777" w:rsidR="00C35EC6" w:rsidRPr="00AA631C" w:rsidRDefault="00C35EC6" w:rsidP="007E0E91">
      <w:pPr>
        <w:pStyle w:val="Caption"/>
      </w:pPr>
      <w:r w:rsidRPr="00AA631C">
        <w:t>Table</w:t>
      </w:r>
      <w:r w:rsidRPr="00AA631C">
        <w:rPr>
          <w:spacing w:val="-15"/>
        </w:rPr>
        <w:t xml:space="preserve"> </w:t>
      </w:r>
      <w:r w:rsidRPr="00AA631C">
        <w:t>3.</w:t>
      </w:r>
      <w:r w:rsidRPr="00AA631C">
        <w:rPr>
          <w:spacing w:val="-13"/>
        </w:rPr>
        <w:t xml:space="preserve"> </w:t>
      </w:r>
      <w:r w:rsidRPr="00AA631C">
        <w:t>Average</w:t>
      </w:r>
      <w:r w:rsidRPr="00AA631C">
        <w:rPr>
          <w:spacing w:val="-13"/>
        </w:rPr>
        <w:t xml:space="preserve"> </w:t>
      </w:r>
      <w:r w:rsidRPr="00AA631C">
        <w:t>variance</w:t>
      </w:r>
      <w:r w:rsidRPr="00AA631C">
        <w:rPr>
          <w:spacing w:val="-8"/>
        </w:rPr>
        <w:t xml:space="preserve"> </w:t>
      </w:r>
      <w:r w:rsidRPr="00AA631C">
        <w:t>extracted</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07"/>
        <w:gridCol w:w="3517"/>
      </w:tblGrid>
      <w:tr w:rsidR="00C35EC6" w:rsidRPr="00AA631C" w14:paraId="56698937" w14:textId="77777777" w:rsidTr="000E22AD">
        <w:trPr>
          <w:jc w:val="center"/>
        </w:trPr>
        <w:tc>
          <w:tcPr>
            <w:tcW w:w="4407" w:type="dxa"/>
            <w:shd w:val="clear" w:color="auto" w:fill="D9D9D9"/>
          </w:tcPr>
          <w:p w14:paraId="2143BE1C" w14:textId="77777777" w:rsidR="00C35EC6" w:rsidRPr="00AA631C" w:rsidRDefault="00C35EC6" w:rsidP="000E22AD">
            <w:pPr>
              <w:pStyle w:val="TableParagraph"/>
              <w:spacing w:before="1"/>
              <w:ind w:left="25"/>
              <w:rPr>
                <w:rFonts w:ascii="Arial" w:hAnsi="Arial" w:cs="Arial"/>
                <w:bCs/>
                <w:sz w:val="20"/>
                <w:szCs w:val="20"/>
              </w:rPr>
            </w:pPr>
            <w:r w:rsidRPr="00AA631C">
              <w:rPr>
                <w:rFonts w:ascii="Arial" w:hAnsi="Arial" w:cs="Arial"/>
                <w:bCs/>
                <w:spacing w:val="-2"/>
                <w:sz w:val="20"/>
                <w:szCs w:val="20"/>
              </w:rPr>
              <w:lastRenderedPageBreak/>
              <w:t>Variabel</w:t>
            </w:r>
          </w:p>
        </w:tc>
        <w:tc>
          <w:tcPr>
            <w:tcW w:w="3517" w:type="dxa"/>
            <w:shd w:val="clear" w:color="auto" w:fill="D9D9D9"/>
          </w:tcPr>
          <w:p w14:paraId="3EE0F025" w14:textId="77777777" w:rsidR="00C35EC6" w:rsidRPr="00AA631C" w:rsidRDefault="00C35EC6" w:rsidP="000E22AD">
            <w:pPr>
              <w:pStyle w:val="TableParagraph"/>
              <w:spacing w:before="1"/>
              <w:ind w:left="33" w:right="15"/>
              <w:rPr>
                <w:rFonts w:ascii="Arial" w:hAnsi="Arial" w:cs="Arial"/>
                <w:bCs/>
                <w:sz w:val="20"/>
                <w:szCs w:val="20"/>
              </w:rPr>
            </w:pPr>
            <w:r w:rsidRPr="00AA631C">
              <w:rPr>
                <w:rFonts w:ascii="Arial" w:hAnsi="Arial" w:cs="Arial"/>
                <w:bCs/>
                <w:spacing w:val="-4"/>
                <w:sz w:val="20"/>
                <w:szCs w:val="20"/>
              </w:rPr>
              <w:t>Average</w:t>
            </w:r>
            <w:r w:rsidRPr="00AA631C">
              <w:rPr>
                <w:rFonts w:ascii="Arial" w:hAnsi="Arial" w:cs="Arial"/>
                <w:bCs/>
                <w:spacing w:val="-7"/>
                <w:sz w:val="20"/>
                <w:szCs w:val="20"/>
              </w:rPr>
              <w:t xml:space="preserve"> </w:t>
            </w:r>
            <w:r w:rsidRPr="00AA631C">
              <w:rPr>
                <w:rFonts w:ascii="Arial" w:hAnsi="Arial" w:cs="Arial"/>
                <w:bCs/>
                <w:spacing w:val="-4"/>
                <w:sz w:val="20"/>
                <w:szCs w:val="20"/>
              </w:rPr>
              <w:t>Variance</w:t>
            </w:r>
            <w:r w:rsidRPr="00AA631C">
              <w:rPr>
                <w:rFonts w:ascii="Arial" w:hAnsi="Arial" w:cs="Arial"/>
                <w:bCs/>
                <w:spacing w:val="-1"/>
                <w:sz w:val="20"/>
                <w:szCs w:val="20"/>
              </w:rPr>
              <w:t xml:space="preserve"> </w:t>
            </w:r>
            <w:r w:rsidRPr="00AA631C">
              <w:rPr>
                <w:rFonts w:ascii="Arial" w:hAnsi="Arial" w:cs="Arial"/>
                <w:bCs/>
                <w:spacing w:val="-4"/>
                <w:sz w:val="20"/>
                <w:szCs w:val="20"/>
              </w:rPr>
              <w:t xml:space="preserve">Extracted </w:t>
            </w:r>
            <w:r w:rsidRPr="00AA631C">
              <w:rPr>
                <w:rFonts w:ascii="Arial" w:hAnsi="Arial" w:cs="Arial"/>
                <w:bCs/>
                <w:spacing w:val="-2"/>
                <w:sz w:val="20"/>
                <w:szCs w:val="20"/>
              </w:rPr>
              <w:t>(AVE)</w:t>
            </w:r>
          </w:p>
        </w:tc>
      </w:tr>
      <w:tr w:rsidR="00C35EC6" w:rsidRPr="00AA631C" w14:paraId="5A36F55C" w14:textId="77777777" w:rsidTr="000E22AD">
        <w:trPr>
          <w:jc w:val="center"/>
        </w:trPr>
        <w:tc>
          <w:tcPr>
            <w:tcW w:w="4407" w:type="dxa"/>
          </w:tcPr>
          <w:p w14:paraId="29C1F1A7"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Green</w:t>
            </w:r>
            <w:r w:rsidRPr="00AA631C">
              <w:rPr>
                <w:rFonts w:ascii="Arial" w:hAnsi="Arial" w:cs="Arial"/>
                <w:bCs/>
                <w:spacing w:val="-7"/>
                <w:sz w:val="20"/>
                <w:szCs w:val="20"/>
              </w:rPr>
              <w:t xml:space="preserve"> </w:t>
            </w:r>
            <w:r w:rsidRPr="00AA631C">
              <w:rPr>
                <w:rFonts w:ascii="Arial" w:hAnsi="Arial" w:cs="Arial"/>
                <w:bCs/>
                <w:sz w:val="20"/>
                <w:szCs w:val="20"/>
              </w:rPr>
              <w:t>innovation</w:t>
            </w:r>
            <w:r w:rsidRPr="00AA631C">
              <w:rPr>
                <w:rFonts w:ascii="Arial" w:hAnsi="Arial" w:cs="Arial"/>
                <w:bCs/>
                <w:spacing w:val="-7"/>
                <w:sz w:val="20"/>
                <w:szCs w:val="20"/>
              </w:rPr>
              <w:t xml:space="preserve"> </w:t>
            </w:r>
            <w:r w:rsidRPr="00AA631C">
              <w:rPr>
                <w:rFonts w:ascii="Arial" w:hAnsi="Arial" w:cs="Arial"/>
                <w:bCs/>
                <w:spacing w:val="-2"/>
                <w:sz w:val="20"/>
                <w:szCs w:val="20"/>
              </w:rPr>
              <w:t>product</w:t>
            </w:r>
          </w:p>
        </w:tc>
        <w:tc>
          <w:tcPr>
            <w:tcW w:w="3517" w:type="dxa"/>
          </w:tcPr>
          <w:p w14:paraId="10605203" w14:textId="77777777" w:rsidR="00C35EC6" w:rsidRPr="00AA631C" w:rsidRDefault="00C35EC6" w:rsidP="000E22AD">
            <w:pPr>
              <w:pStyle w:val="TableParagraph"/>
              <w:spacing w:before="1"/>
              <w:ind w:left="33" w:right="5"/>
              <w:rPr>
                <w:rFonts w:ascii="Arial" w:hAnsi="Arial" w:cs="Arial"/>
                <w:bCs/>
                <w:sz w:val="20"/>
                <w:szCs w:val="20"/>
              </w:rPr>
            </w:pPr>
            <w:r w:rsidRPr="00AA631C">
              <w:rPr>
                <w:rFonts w:ascii="Arial" w:hAnsi="Arial" w:cs="Arial"/>
                <w:bCs/>
                <w:spacing w:val="-2"/>
                <w:sz w:val="20"/>
                <w:szCs w:val="20"/>
              </w:rPr>
              <w:t>0.739</w:t>
            </w:r>
          </w:p>
        </w:tc>
      </w:tr>
      <w:tr w:rsidR="00C35EC6" w:rsidRPr="00AA631C" w14:paraId="6BC84368" w14:textId="77777777" w:rsidTr="000E22AD">
        <w:trPr>
          <w:jc w:val="center"/>
        </w:trPr>
        <w:tc>
          <w:tcPr>
            <w:tcW w:w="4407" w:type="dxa"/>
          </w:tcPr>
          <w:p w14:paraId="096FB413"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Green</w:t>
            </w:r>
            <w:r w:rsidRPr="00AA631C">
              <w:rPr>
                <w:rFonts w:ascii="Arial" w:hAnsi="Arial" w:cs="Arial"/>
                <w:bCs/>
                <w:spacing w:val="-9"/>
                <w:sz w:val="20"/>
                <w:szCs w:val="20"/>
              </w:rPr>
              <w:t xml:space="preserve"> </w:t>
            </w:r>
            <w:r w:rsidRPr="00AA631C">
              <w:rPr>
                <w:rFonts w:ascii="Arial" w:hAnsi="Arial" w:cs="Arial"/>
                <w:bCs/>
                <w:sz w:val="20"/>
                <w:szCs w:val="20"/>
              </w:rPr>
              <w:t>supply</w:t>
            </w:r>
            <w:r w:rsidRPr="00AA631C">
              <w:rPr>
                <w:rFonts w:ascii="Arial" w:hAnsi="Arial" w:cs="Arial"/>
                <w:bCs/>
                <w:spacing w:val="-7"/>
                <w:sz w:val="20"/>
                <w:szCs w:val="20"/>
              </w:rPr>
              <w:t xml:space="preserve"> </w:t>
            </w:r>
            <w:r w:rsidRPr="00AA631C">
              <w:rPr>
                <w:rFonts w:ascii="Arial" w:hAnsi="Arial" w:cs="Arial"/>
                <w:bCs/>
                <w:spacing w:val="-4"/>
                <w:sz w:val="20"/>
                <w:szCs w:val="20"/>
              </w:rPr>
              <w:t>chain</w:t>
            </w:r>
          </w:p>
        </w:tc>
        <w:tc>
          <w:tcPr>
            <w:tcW w:w="3517" w:type="dxa"/>
          </w:tcPr>
          <w:p w14:paraId="1D5BF4BA" w14:textId="77777777" w:rsidR="00C35EC6" w:rsidRPr="00AA631C" w:rsidRDefault="00C35EC6" w:rsidP="000E22AD">
            <w:pPr>
              <w:pStyle w:val="TableParagraph"/>
              <w:spacing w:before="1"/>
              <w:ind w:left="33" w:right="5"/>
              <w:rPr>
                <w:rFonts w:ascii="Arial" w:hAnsi="Arial" w:cs="Arial"/>
                <w:bCs/>
                <w:sz w:val="20"/>
                <w:szCs w:val="20"/>
              </w:rPr>
            </w:pPr>
            <w:r w:rsidRPr="00AA631C">
              <w:rPr>
                <w:rFonts w:ascii="Arial" w:hAnsi="Arial" w:cs="Arial"/>
                <w:bCs/>
                <w:spacing w:val="-2"/>
                <w:sz w:val="20"/>
                <w:szCs w:val="20"/>
              </w:rPr>
              <w:t>0.664</w:t>
            </w:r>
          </w:p>
        </w:tc>
      </w:tr>
      <w:tr w:rsidR="00C35EC6" w:rsidRPr="00AA631C" w14:paraId="6B2E403C" w14:textId="77777777" w:rsidTr="000E22AD">
        <w:trPr>
          <w:jc w:val="center"/>
        </w:trPr>
        <w:tc>
          <w:tcPr>
            <w:tcW w:w="4407" w:type="dxa"/>
          </w:tcPr>
          <w:p w14:paraId="7CCEE3B0"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Social</w:t>
            </w:r>
            <w:r w:rsidRPr="00AA631C">
              <w:rPr>
                <w:rFonts w:ascii="Arial" w:hAnsi="Arial" w:cs="Arial"/>
                <w:bCs/>
                <w:spacing w:val="-9"/>
                <w:sz w:val="20"/>
                <w:szCs w:val="20"/>
              </w:rPr>
              <w:t xml:space="preserve"> </w:t>
            </w:r>
            <w:r w:rsidRPr="00AA631C">
              <w:rPr>
                <w:rFonts w:ascii="Arial" w:hAnsi="Arial" w:cs="Arial"/>
                <w:bCs/>
                <w:spacing w:val="-2"/>
                <w:sz w:val="20"/>
                <w:szCs w:val="20"/>
              </w:rPr>
              <w:t>performance</w:t>
            </w:r>
          </w:p>
        </w:tc>
        <w:tc>
          <w:tcPr>
            <w:tcW w:w="3517" w:type="dxa"/>
          </w:tcPr>
          <w:p w14:paraId="2801E155" w14:textId="77777777" w:rsidR="00C35EC6" w:rsidRPr="00AA631C" w:rsidRDefault="00C35EC6" w:rsidP="000E22AD">
            <w:pPr>
              <w:pStyle w:val="TableParagraph"/>
              <w:spacing w:before="1"/>
              <w:ind w:left="33" w:right="5"/>
              <w:rPr>
                <w:rFonts w:ascii="Arial" w:hAnsi="Arial" w:cs="Arial"/>
                <w:bCs/>
                <w:sz w:val="20"/>
                <w:szCs w:val="20"/>
              </w:rPr>
            </w:pPr>
            <w:r w:rsidRPr="00AA631C">
              <w:rPr>
                <w:rFonts w:ascii="Arial" w:hAnsi="Arial" w:cs="Arial"/>
                <w:bCs/>
                <w:spacing w:val="-2"/>
                <w:sz w:val="20"/>
                <w:szCs w:val="20"/>
              </w:rPr>
              <w:t>0.595</w:t>
            </w:r>
          </w:p>
        </w:tc>
      </w:tr>
    </w:tbl>
    <w:p w14:paraId="68632D23" w14:textId="77777777" w:rsidR="00C35EC6" w:rsidRPr="00AA631C" w:rsidRDefault="00C35EC6" w:rsidP="00C35EC6">
      <w:pPr>
        <w:rPr>
          <w:lang w:val="en-ID"/>
        </w:rPr>
      </w:pPr>
    </w:p>
    <w:p w14:paraId="3FC794EC" w14:textId="77777777" w:rsidR="00C35EC6" w:rsidRPr="00AA631C" w:rsidRDefault="007E0E91" w:rsidP="00C35EC6">
      <w:pPr>
        <w:spacing w:line="360" w:lineRule="auto"/>
        <w:rPr>
          <w:b/>
          <w:bCs/>
          <w:sz w:val="22"/>
          <w:szCs w:val="22"/>
        </w:rPr>
      </w:pPr>
      <w:r w:rsidRPr="00AA631C">
        <w:rPr>
          <w:b/>
          <w:bCs/>
          <w:sz w:val="22"/>
          <w:szCs w:val="22"/>
        </w:rPr>
        <w:t xml:space="preserve">4.5 </w:t>
      </w:r>
      <w:r w:rsidR="00C35EC6" w:rsidRPr="00AA631C">
        <w:rPr>
          <w:b/>
          <w:bCs/>
          <w:sz w:val="22"/>
          <w:szCs w:val="22"/>
        </w:rPr>
        <w:t>Discriminant validity</w:t>
      </w:r>
    </w:p>
    <w:p w14:paraId="66A8E937" w14:textId="77777777" w:rsidR="00C35EC6" w:rsidRPr="00AA631C" w:rsidRDefault="00C35EC6" w:rsidP="00C35EC6">
      <w:r w:rsidRPr="00AA631C">
        <w:t>Discriminant validity was evaluated using the Fornell–Larcker criterion and cross-loadings. As presented in Table 4, the square root of the AVE for each construct exceeded its correlations with the remaining constructs, satisfying the Fornell–Larcker criterion.</w:t>
      </w:r>
    </w:p>
    <w:p w14:paraId="7907C7C2" w14:textId="77777777" w:rsidR="007E0E91" w:rsidRPr="00AA631C" w:rsidRDefault="007E0E91" w:rsidP="00C35EC6">
      <w:pPr>
        <w:spacing w:line="360" w:lineRule="auto"/>
        <w:ind w:firstLine="720"/>
      </w:pPr>
    </w:p>
    <w:p w14:paraId="3A874314" w14:textId="77777777" w:rsidR="00C35EC6" w:rsidRPr="00AA631C" w:rsidRDefault="00C35EC6" w:rsidP="007E0E91">
      <w:pPr>
        <w:pStyle w:val="Caption"/>
      </w:pPr>
      <w:r w:rsidRPr="00AA631C">
        <w:t>Tab</w:t>
      </w:r>
      <w:r w:rsidR="00691DA6" w:rsidRPr="00AA631C">
        <w:t>le</w:t>
      </w:r>
      <w:r w:rsidRPr="00AA631C">
        <w:rPr>
          <w:spacing w:val="-8"/>
        </w:rPr>
        <w:t xml:space="preserve"> </w:t>
      </w:r>
      <w:r w:rsidRPr="00AA631C">
        <w:t>4. Fornell-Larcker</w:t>
      </w:r>
      <w:r w:rsidRPr="00AA631C">
        <w:rPr>
          <w:spacing w:val="4"/>
        </w:rPr>
        <w:t xml:space="preserve"> </w:t>
      </w:r>
      <w:r w:rsidRPr="00AA631C">
        <w:t>Criterion</w:t>
      </w:r>
    </w:p>
    <w:tbl>
      <w:tblPr>
        <w:tblStyle w:val="TableNormal1"/>
        <w:tblW w:w="0" w:type="auto"/>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1"/>
        <w:gridCol w:w="2161"/>
        <w:gridCol w:w="1801"/>
        <w:gridCol w:w="2161"/>
      </w:tblGrid>
      <w:tr w:rsidR="00C35EC6" w:rsidRPr="00AA631C" w14:paraId="467B8316" w14:textId="77777777" w:rsidTr="000E22AD">
        <w:trPr>
          <w:trHeight w:val="20"/>
        </w:trPr>
        <w:tc>
          <w:tcPr>
            <w:tcW w:w="1791" w:type="dxa"/>
            <w:tcBorders>
              <w:right w:val="single" w:sz="12" w:space="0" w:color="000000"/>
            </w:tcBorders>
          </w:tcPr>
          <w:p w14:paraId="72253BCA" w14:textId="77777777" w:rsidR="00C35EC6" w:rsidRPr="00AA631C" w:rsidRDefault="00C35EC6" w:rsidP="000E22AD">
            <w:pPr>
              <w:pStyle w:val="TableParagraph"/>
              <w:spacing w:after="0"/>
              <w:ind w:left="0"/>
              <w:jc w:val="left"/>
              <w:rPr>
                <w:rFonts w:ascii="Arial" w:hAnsi="Arial" w:cs="Arial"/>
                <w:bCs/>
                <w:sz w:val="20"/>
                <w:szCs w:val="20"/>
              </w:rPr>
            </w:pPr>
          </w:p>
        </w:tc>
        <w:tc>
          <w:tcPr>
            <w:tcW w:w="2161" w:type="dxa"/>
            <w:tcBorders>
              <w:left w:val="single" w:sz="12" w:space="0" w:color="000000"/>
            </w:tcBorders>
            <w:shd w:val="clear" w:color="auto" w:fill="D9D9D9"/>
          </w:tcPr>
          <w:p w14:paraId="1973B94F" w14:textId="77777777" w:rsidR="00C35EC6" w:rsidRPr="00AA631C" w:rsidRDefault="00C35EC6" w:rsidP="000E22AD">
            <w:pPr>
              <w:pStyle w:val="TableParagraph"/>
              <w:spacing w:after="0"/>
              <w:ind w:left="670" w:hanging="500"/>
              <w:jc w:val="left"/>
              <w:rPr>
                <w:rFonts w:ascii="Arial" w:hAnsi="Arial" w:cs="Arial"/>
                <w:bCs/>
                <w:sz w:val="20"/>
                <w:szCs w:val="20"/>
              </w:rPr>
            </w:pPr>
            <w:r w:rsidRPr="00AA631C">
              <w:rPr>
                <w:rFonts w:ascii="Arial" w:hAnsi="Arial" w:cs="Arial"/>
                <w:bCs/>
                <w:spacing w:val="-4"/>
                <w:sz w:val="20"/>
                <w:szCs w:val="20"/>
              </w:rPr>
              <w:t>Green</w:t>
            </w:r>
            <w:r w:rsidRPr="00AA631C">
              <w:rPr>
                <w:rFonts w:ascii="Arial" w:hAnsi="Arial" w:cs="Arial"/>
                <w:bCs/>
                <w:spacing w:val="-15"/>
                <w:sz w:val="20"/>
                <w:szCs w:val="20"/>
              </w:rPr>
              <w:t xml:space="preserve"> </w:t>
            </w:r>
            <w:r w:rsidRPr="00AA631C">
              <w:rPr>
                <w:rFonts w:ascii="Arial" w:hAnsi="Arial" w:cs="Arial"/>
                <w:bCs/>
                <w:spacing w:val="-4"/>
                <w:sz w:val="20"/>
                <w:szCs w:val="20"/>
              </w:rPr>
              <w:t xml:space="preserve">innovation </w:t>
            </w:r>
            <w:r w:rsidRPr="00AA631C">
              <w:rPr>
                <w:rFonts w:ascii="Arial" w:hAnsi="Arial" w:cs="Arial"/>
                <w:bCs/>
                <w:spacing w:val="-2"/>
                <w:sz w:val="20"/>
                <w:szCs w:val="20"/>
              </w:rPr>
              <w:t>product</w:t>
            </w:r>
          </w:p>
        </w:tc>
        <w:tc>
          <w:tcPr>
            <w:tcW w:w="1801" w:type="dxa"/>
            <w:shd w:val="clear" w:color="auto" w:fill="D9D9D9"/>
          </w:tcPr>
          <w:p w14:paraId="0798C82C" w14:textId="77777777" w:rsidR="00C35EC6" w:rsidRPr="00AA631C" w:rsidRDefault="00C35EC6" w:rsidP="000E22AD">
            <w:pPr>
              <w:pStyle w:val="TableParagraph"/>
              <w:spacing w:after="0"/>
              <w:ind w:left="595" w:hanging="396"/>
              <w:jc w:val="left"/>
              <w:rPr>
                <w:rFonts w:ascii="Arial" w:hAnsi="Arial" w:cs="Arial"/>
                <w:bCs/>
                <w:sz w:val="20"/>
                <w:szCs w:val="20"/>
              </w:rPr>
            </w:pPr>
            <w:r w:rsidRPr="00AA631C">
              <w:rPr>
                <w:rFonts w:ascii="Arial" w:hAnsi="Arial" w:cs="Arial"/>
                <w:bCs/>
                <w:spacing w:val="-2"/>
                <w:sz w:val="20"/>
                <w:szCs w:val="20"/>
              </w:rPr>
              <w:t>Green</w:t>
            </w:r>
            <w:r w:rsidRPr="00AA631C">
              <w:rPr>
                <w:rFonts w:ascii="Arial" w:hAnsi="Arial" w:cs="Arial"/>
                <w:bCs/>
                <w:spacing w:val="-13"/>
                <w:sz w:val="20"/>
                <w:szCs w:val="20"/>
              </w:rPr>
              <w:t xml:space="preserve"> </w:t>
            </w:r>
            <w:r w:rsidRPr="00AA631C">
              <w:rPr>
                <w:rFonts w:ascii="Arial" w:hAnsi="Arial" w:cs="Arial"/>
                <w:bCs/>
                <w:spacing w:val="-2"/>
                <w:sz w:val="20"/>
                <w:szCs w:val="20"/>
              </w:rPr>
              <w:t>supply chain</w:t>
            </w:r>
          </w:p>
        </w:tc>
        <w:tc>
          <w:tcPr>
            <w:tcW w:w="2161" w:type="dxa"/>
            <w:shd w:val="clear" w:color="auto" w:fill="D9D9D9"/>
          </w:tcPr>
          <w:p w14:paraId="0B43E381" w14:textId="77777777" w:rsidR="00C35EC6" w:rsidRPr="00AA631C" w:rsidRDefault="00C35EC6" w:rsidP="000E22AD">
            <w:pPr>
              <w:pStyle w:val="TableParagraph"/>
              <w:spacing w:after="0"/>
              <w:ind w:left="419" w:firstLine="365"/>
              <w:jc w:val="left"/>
              <w:rPr>
                <w:rFonts w:ascii="Arial" w:hAnsi="Arial" w:cs="Arial"/>
                <w:bCs/>
                <w:sz w:val="20"/>
                <w:szCs w:val="20"/>
              </w:rPr>
            </w:pPr>
            <w:r w:rsidRPr="00AA631C">
              <w:rPr>
                <w:rFonts w:ascii="Arial" w:hAnsi="Arial" w:cs="Arial"/>
                <w:bCs/>
                <w:spacing w:val="-2"/>
                <w:sz w:val="20"/>
                <w:szCs w:val="20"/>
              </w:rPr>
              <w:t xml:space="preserve">Social </w:t>
            </w:r>
            <w:r w:rsidRPr="00AA631C">
              <w:rPr>
                <w:rFonts w:ascii="Arial" w:hAnsi="Arial" w:cs="Arial"/>
                <w:bCs/>
                <w:spacing w:val="-4"/>
                <w:sz w:val="20"/>
                <w:szCs w:val="20"/>
              </w:rPr>
              <w:t>performance</w:t>
            </w:r>
          </w:p>
        </w:tc>
      </w:tr>
      <w:tr w:rsidR="00C35EC6" w:rsidRPr="00AA631C" w14:paraId="174FCDDF" w14:textId="77777777" w:rsidTr="000E22AD">
        <w:trPr>
          <w:trHeight w:val="20"/>
        </w:trPr>
        <w:tc>
          <w:tcPr>
            <w:tcW w:w="1791" w:type="dxa"/>
            <w:tcBorders>
              <w:right w:val="single" w:sz="12" w:space="0" w:color="000000"/>
            </w:tcBorders>
            <w:shd w:val="clear" w:color="auto" w:fill="D9D9D9"/>
          </w:tcPr>
          <w:p w14:paraId="0B60B7D1" w14:textId="77777777" w:rsidR="00C35EC6" w:rsidRPr="00AA631C" w:rsidRDefault="00C35EC6" w:rsidP="000E22AD">
            <w:pPr>
              <w:pStyle w:val="TableParagraph"/>
              <w:spacing w:after="0"/>
              <w:ind w:left="345" w:right="315" w:hanging="1"/>
              <w:rPr>
                <w:rFonts w:ascii="Arial" w:hAnsi="Arial" w:cs="Arial"/>
                <w:bCs/>
                <w:sz w:val="20"/>
                <w:szCs w:val="20"/>
              </w:rPr>
            </w:pPr>
            <w:r w:rsidRPr="00AA631C">
              <w:rPr>
                <w:rFonts w:ascii="Arial" w:hAnsi="Arial" w:cs="Arial"/>
                <w:bCs/>
                <w:spacing w:val="-2"/>
                <w:sz w:val="20"/>
                <w:szCs w:val="20"/>
              </w:rPr>
              <w:t xml:space="preserve">Green </w:t>
            </w:r>
            <w:r w:rsidRPr="00AA631C">
              <w:rPr>
                <w:rFonts w:ascii="Arial" w:hAnsi="Arial" w:cs="Arial"/>
                <w:bCs/>
                <w:spacing w:val="-4"/>
                <w:sz w:val="20"/>
                <w:szCs w:val="20"/>
              </w:rPr>
              <w:t xml:space="preserve">innovation </w:t>
            </w:r>
            <w:r w:rsidRPr="00AA631C">
              <w:rPr>
                <w:rFonts w:ascii="Arial" w:hAnsi="Arial" w:cs="Arial"/>
                <w:bCs/>
                <w:spacing w:val="-2"/>
                <w:sz w:val="20"/>
                <w:szCs w:val="20"/>
              </w:rPr>
              <w:t>product</w:t>
            </w:r>
          </w:p>
        </w:tc>
        <w:tc>
          <w:tcPr>
            <w:tcW w:w="2161" w:type="dxa"/>
            <w:tcBorders>
              <w:left w:val="single" w:sz="12" w:space="0" w:color="000000"/>
            </w:tcBorders>
            <w:vAlign w:val="center"/>
          </w:tcPr>
          <w:p w14:paraId="187871B8" w14:textId="77777777" w:rsidR="00C35EC6" w:rsidRPr="00AA631C" w:rsidRDefault="00C35EC6" w:rsidP="000E22AD">
            <w:pPr>
              <w:pStyle w:val="TableParagraph"/>
              <w:spacing w:after="0"/>
              <w:ind w:left="28"/>
              <w:rPr>
                <w:rFonts w:ascii="Arial" w:hAnsi="Arial" w:cs="Arial"/>
                <w:bCs/>
                <w:sz w:val="20"/>
                <w:szCs w:val="20"/>
              </w:rPr>
            </w:pPr>
            <w:r w:rsidRPr="00AA631C">
              <w:rPr>
                <w:rFonts w:ascii="Arial" w:hAnsi="Arial" w:cs="Arial"/>
                <w:bCs/>
                <w:spacing w:val="-2"/>
                <w:sz w:val="20"/>
                <w:szCs w:val="20"/>
              </w:rPr>
              <w:t>0.859</w:t>
            </w:r>
          </w:p>
        </w:tc>
        <w:tc>
          <w:tcPr>
            <w:tcW w:w="1801" w:type="dxa"/>
            <w:shd w:val="clear" w:color="auto" w:fill="808080"/>
            <w:vAlign w:val="center"/>
          </w:tcPr>
          <w:p w14:paraId="5FAF5A70" w14:textId="77777777" w:rsidR="00C35EC6" w:rsidRPr="00AA631C" w:rsidRDefault="00C35EC6" w:rsidP="000E22AD">
            <w:pPr>
              <w:pStyle w:val="TableParagraph"/>
              <w:spacing w:after="0"/>
              <w:ind w:left="0"/>
              <w:jc w:val="left"/>
              <w:rPr>
                <w:rFonts w:ascii="Arial" w:hAnsi="Arial" w:cs="Arial"/>
                <w:bCs/>
                <w:sz w:val="20"/>
                <w:szCs w:val="20"/>
              </w:rPr>
            </w:pPr>
          </w:p>
        </w:tc>
        <w:tc>
          <w:tcPr>
            <w:tcW w:w="2161" w:type="dxa"/>
            <w:shd w:val="clear" w:color="auto" w:fill="808080"/>
            <w:vAlign w:val="center"/>
          </w:tcPr>
          <w:p w14:paraId="652D562C" w14:textId="77777777" w:rsidR="00C35EC6" w:rsidRPr="00AA631C" w:rsidRDefault="00C35EC6" w:rsidP="000E22AD">
            <w:pPr>
              <w:pStyle w:val="TableParagraph"/>
              <w:spacing w:after="0"/>
              <w:ind w:left="0"/>
              <w:jc w:val="left"/>
              <w:rPr>
                <w:rFonts w:ascii="Arial" w:hAnsi="Arial" w:cs="Arial"/>
                <w:bCs/>
                <w:sz w:val="20"/>
                <w:szCs w:val="20"/>
              </w:rPr>
            </w:pPr>
          </w:p>
        </w:tc>
      </w:tr>
      <w:tr w:rsidR="00C35EC6" w:rsidRPr="00AA631C" w14:paraId="5066679A" w14:textId="77777777" w:rsidTr="000E22AD">
        <w:trPr>
          <w:trHeight w:val="25"/>
        </w:trPr>
        <w:tc>
          <w:tcPr>
            <w:tcW w:w="1791" w:type="dxa"/>
            <w:tcBorders>
              <w:right w:val="single" w:sz="12" w:space="0" w:color="000000"/>
            </w:tcBorders>
            <w:shd w:val="clear" w:color="auto" w:fill="D9D9D9"/>
          </w:tcPr>
          <w:p w14:paraId="6B99AF76" w14:textId="77777777" w:rsidR="00C35EC6" w:rsidRPr="00AA631C" w:rsidRDefault="00C35EC6" w:rsidP="000E22AD">
            <w:pPr>
              <w:pStyle w:val="TableParagraph"/>
              <w:spacing w:after="0"/>
              <w:ind w:left="585" w:hanging="395"/>
              <w:jc w:val="left"/>
              <w:rPr>
                <w:rFonts w:ascii="Arial" w:hAnsi="Arial" w:cs="Arial"/>
                <w:bCs/>
                <w:sz w:val="20"/>
                <w:szCs w:val="20"/>
              </w:rPr>
            </w:pPr>
            <w:r w:rsidRPr="00AA631C">
              <w:rPr>
                <w:rFonts w:ascii="Arial" w:hAnsi="Arial" w:cs="Arial"/>
                <w:bCs/>
                <w:spacing w:val="-2"/>
                <w:sz w:val="20"/>
                <w:szCs w:val="20"/>
              </w:rPr>
              <w:t>Green</w:t>
            </w:r>
            <w:r w:rsidRPr="00AA631C">
              <w:rPr>
                <w:rFonts w:ascii="Arial" w:hAnsi="Arial" w:cs="Arial"/>
                <w:bCs/>
                <w:spacing w:val="-13"/>
                <w:sz w:val="20"/>
                <w:szCs w:val="20"/>
              </w:rPr>
              <w:t xml:space="preserve"> </w:t>
            </w:r>
            <w:r w:rsidRPr="00AA631C">
              <w:rPr>
                <w:rFonts w:ascii="Arial" w:hAnsi="Arial" w:cs="Arial"/>
                <w:bCs/>
                <w:spacing w:val="-2"/>
                <w:sz w:val="20"/>
                <w:szCs w:val="20"/>
              </w:rPr>
              <w:t>supply chain</w:t>
            </w:r>
          </w:p>
        </w:tc>
        <w:tc>
          <w:tcPr>
            <w:tcW w:w="2161" w:type="dxa"/>
            <w:tcBorders>
              <w:left w:val="single" w:sz="12" w:space="0" w:color="000000"/>
            </w:tcBorders>
            <w:vAlign w:val="center"/>
          </w:tcPr>
          <w:p w14:paraId="01ED3EB4" w14:textId="77777777" w:rsidR="00C35EC6" w:rsidRPr="00AA631C" w:rsidRDefault="00C35EC6" w:rsidP="000E22AD">
            <w:pPr>
              <w:pStyle w:val="TableParagraph"/>
              <w:spacing w:after="0"/>
              <w:ind w:left="28"/>
              <w:rPr>
                <w:rFonts w:ascii="Arial" w:hAnsi="Arial" w:cs="Arial"/>
                <w:bCs/>
                <w:sz w:val="20"/>
                <w:szCs w:val="20"/>
              </w:rPr>
            </w:pPr>
            <w:r w:rsidRPr="00AA631C">
              <w:rPr>
                <w:rFonts w:ascii="Arial" w:hAnsi="Arial" w:cs="Arial"/>
                <w:bCs/>
                <w:spacing w:val="-2"/>
                <w:sz w:val="20"/>
                <w:szCs w:val="20"/>
              </w:rPr>
              <w:t>0.792</w:t>
            </w:r>
          </w:p>
        </w:tc>
        <w:tc>
          <w:tcPr>
            <w:tcW w:w="1801" w:type="dxa"/>
            <w:vAlign w:val="center"/>
          </w:tcPr>
          <w:p w14:paraId="058B242F" w14:textId="77777777" w:rsidR="00C35EC6" w:rsidRPr="00AA631C" w:rsidRDefault="00C35EC6" w:rsidP="000E22AD">
            <w:pPr>
              <w:pStyle w:val="TableParagraph"/>
              <w:spacing w:after="0"/>
              <w:ind w:left="43"/>
              <w:rPr>
                <w:rFonts w:ascii="Arial" w:hAnsi="Arial" w:cs="Arial"/>
                <w:bCs/>
                <w:sz w:val="20"/>
                <w:szCs w:val="20"/>
              </w:rPr>
            </w:pPr>
            <w:r w:rsidRPr="00AA631C">
              <w:rPr>
                <w:rFonts w:ascii="Arial" w:hAnsi="Arial" w:cs="Arial"/>
                <w:bCs/>
                <w:spacing w:val="-2"/>
                <w:sz w:val="20"/>
                <w:szCs w:val="20"/>
              </w:rPr>
              <w:t>0.815</w:t>
            </w:r>
          </w:p>
        </w:tc>
        <w:tc>
          <w:tcPr>
            <w:tcW w:w="2161" w:type="dxa"/>
            <w:shd w:val="clear" w:color="auto" w:fill="808080"/>
            <w:vAlign w:val="center"/>
          </w:tcPr>
          <w:p w14:paraId="45F7D9AC" w14:textId="77777777" w:rsidR="00C35EC6" w:rsidRPr="00AA631C" w:rsidRDefault="00C35EC6" w:rsidP="000E22AD">
            <w:pPr>
              <w:pStyle w:val="TableParagraph"/>
              <w:spacing w:after="0"/>
              <w:ind w:left="0"/>
              <w:jc w:val="left"/>
              <w:rPr>
                <w:rFonts w:ascii="Arial" w:hAnsi="Arial" w:cs="Arial"/>
                <w:bCs/>
                <w:sz w:val="20"/>
                <w:szCs w:val="20"/>
              </w:rPr>
            </w:pPr>
          </w:p>
        </w:tc>
      </w:tr>
      <w:tr w:rsidR="00C35EC6" w:rsidRPr="00AA631C" w14:paraId="4F2699D7" w14:textId="77777777" w:rsidTr="000E22AD">
        <w:trPr>
          <w:trHeight w:val="155"/>
        </w:trPr>
        <w:tc>
          <w:tcPr>
            <w:tcW w:w="1791" w:type="dxa"/>
            <w:tcBorders>
              <w:right w:val="single" w:sz="12" w:space="0" w:color="000000"/>
            </w:tcBorders>
            <w:shd w:val="clear" w:color="auto" w:fill="D9D9D9"/>
          </w:tcPr>
          <w:p w14:paraId="03A15E7C" w14:textId="77777777" w:rsidR="00C35EC6" w:rsidRPr="00AA631C" w:rsidRDefault="00C35EC6" w:rsidP="000E22AD">
            <w:pPr>
              <w:pStyle w:val="TableParagraph"/>
              <w:spacing w:after="0"/>
              <w:ind w:left="230" w:firstLine="365"/>
              <w:jc w:val="left"/>
              <w:rPr>
                <w:rFonts w:ascii="Arial" w:hAnsi="Arial" w:cs="Arial"/>
                <w:bCs/>
                <w:sz w:val="20"/>
                <w:szCs w:val="20"/>
              </w:rPr>
            </w:pPr>
            <w:r w:rsidRPr="00AA631C">
              <w:rPr>
                <w:rFonts w:ascii="Arial" w:hAnsi="Arial" w:cs="Arial"/>
                <w:bCs/>
                <w:spacing w:val="-2"/>
                <w:sz w:val="20"/>
                <w:szCs w:val="20"/>
              </w:rPr>
              <w:t xml:space="preserve">Social </w:t>
            </w:r>
            <w:r w:rsidRPr="00AA631C">
              <w:rPr>
                <w:rFonts w:ascii="Arial" w:hAnsi="Arial" w:cs="Arial"/>
                <w:bCs/>
                <w:spacing w:val="-4"/>
                <w:sz w:val="20"/>
                <w:szCs w:val="20"/>
              </w:rPr>
              <w:t>performance</w:t>
            </w:r>
          </w:p>
        </w:tc>
        <w:tc>
          <w:tcPr>
            <w:tcW w:w="2161" w:type="dxa"/>
            <w:tcBorders>
              <w:left w:val="single" w:sz="12" w:space="0" w:color="000000"/>
            </w:tcBorders>
            <w:vAlign w:val="center"/>
          </w:tcPr>
          <w:p w14:paraId="60B25EDC" w14:textId="77777777" w:rsidR="00C35EC6" w:rsidRPr="00AA631C" w:rsidRDefault="00C35EC6" w:rsidP="000E22AD">
            <w:pPr>
              <w:pStyle w:val="TableParagraph"/>
              <w:spacing w:after="0"/>
              <w:ind w:left="28"/>
              <w:rPr>
                <w:rFonts w:ascii="Arial" w:hAnsi="Arial" w:cs="Arial"/>
                <w:bCs/>
                <w:sz w:val="20"/>
                <w:szCs w:val="20"/>
              </w:rPr>
            </w:pPr>
            <w:r w:rsidRPr="00AA631C">
              <w:rPr>
                <w:rFonts w:ascii="Arial" w:hAnsi="Arial" w:cs="Arial"/>
                <w:bCs/>
                <w:spacing w:val="-2"/>
                <w:sz w:val="20"/>
                <w:szCs w:val="20"/>
              </w:rPr>
              <w:t>0.756</w:t>
            </w:r>
          </w:p>
        </w:tc>
        <w:tc>
          <w:tcPr>
            <w:tcW w:w="1801" w:type="dxa"/>
            <w:vAlign w:val="center"/>
          </w:tcPr>
          <w:p w14:paraId="35EE1762" w14:textId="77777777" w:rsidR="00C35EC6" w:rsidRPr="00AA631C" w:rsidRDefault="00C35EC6" w:rsidP="000E22AD">
            <w:pPr>
              <w:pStyle w:val="TableParagraph"/>
              <w:spacing w:after="0"/>
              <w:ind w:left="43"/>
              <w:rPr>
                <w:rFonts w:ascii="Arial" w:hAnsi="Arial" w:cs="Arial"/>
                <w:bCs/>
                <w:sz w:val="20"/>
                <w:szCs w:val="20"/>
              </w:rPr>
            </w:pPr>
            <w:r w:rsidRPr="00AA631C">
              <w:rPr>
                <w:rFonts w:ascii="Arial" w:hAnsi="Arial" w:cs="Arial"/>
                <w:bCs/>
                <w:spacing w:val="-2"/>
                <w:sz w:val="20"/>
                <w:szCs w:val="20"/>
              </w:rPr>
              <w:t>0.766</w:t>
            </w:r>
          </w:p>
        </w:tc>
        <w:tc>
          <w:tcPr>
            <w:tcW w:w="2161" w:type="dxa"/>
            <w:vAlign w:val="center"/>
          </w:tcPr>
          <w:p w14:paraId="0A03CEF1" w14:textId="77777777" w:rsidR="00C35EC6" w:rsidRPr="00AA631C" w:rsidRDefault="00C35EC6" w:rsidP="000E22AD">
            <w:pPr>
              <w:pStyle w:val="TableParagraph"/>
              <w:spacing w:after="0"/>
              <w:ind w:left="42"/>
              <w:rPr>
                <w:rFonts w:ascii="Arial" w:hAnsi="Arial" w:cs="Arial"/>
                <w:bCs/>
                <w:sz w:val="20"/>
                <w:szCs w:val="20"/>
              </w:rPr>
            </w:pPr>
            <w:r w:rsidRPr="00AA631C">
              <w:rPr>
                <w:rFonts w:ascii="Arial" w:hAnsi="Arial" w:cs="Arial"/>
                <w:bCs/>
                <w:spacing w:val="-2"/>
                <w:sz w:val="20"/>
                <w:szCs w:val="20"/>
              </w:rPr>
              <w:t>0.771</w:t>
            </w:r>
          </w:p>
        </w:tc>
      </w:tr>
    </w:tbl>
    <w:p w14:paraId="16E89FFB" w14:textId="77777777" w:rsidR="00C35EC6" w:rsidRPr="00AA631C" w:rsidRDefault="00C35EC6" w:rsidP="00C35EC6">
      <w:pPr>
        <w:pStyle w:val="BodyText"/>
        <w:spacing w:before="88"/>
      </w:pPr>
    </w:p>
    <w:p w14:paraId="754E0F9C" w14:textId="77777777" w:rsidR="00C35EC6" w:rsidRPr="00AA631C" w:rsidRDefault="00C35EC6" w:rsidP="00C35EC6">
      <w:r w:rsidRPr="00AA631C">
        <w:t>Furthermore, the cross-loading analysis (Table 5) showed that each indicator loaded more strongly on its intended construct than on any other construct. Collectively, these findings confirm that the measurement model demonstrates satisfactory discriminant validity.</w:t>
      </w:r>
    </w:p>
    <w:p w14:paraId="4EB9D30D" w14:textId="77777777" w:rsidR="00C35EC6" w:rsidRPr="00AA631C" w:rsidRDefault="00C35EC6" w:rsidP="00C35EC6">
      <w:pPr>
        <w:pStyle w:val="BodyText"/>
        <w:spacing w:before="88"/>
      </w:pPr>
    </w:p>
    <w:p w14:paraId="49E26B78" w14:textId="77777777" w:rsidR="00C35EC6" w:rsidRPr="00AA631C" w:rsidRDefault="00C35EC6" w:rsidP="007E0E91">
      <w:pPr>
        <w:pStyle w:val="Caption"/>
      </w:pPr>
      <w:r w:rsidRPr="00AA631C">
        <w:t>Tab</w:t>
      </w:r>
      <w:r w:rsidR="00691DA6" w:rsidRPr="00AA631C">
        <w:t xml:space="preserve">le </w:t>
      </w:r>
      <w:r w:rsidRPr="00AA631C">
        <w:t>5. Cross</w:t>
      </w:r>
      <w:r w:rsidRPr="00AA631C">
        <w:rPr>
          <w:spacing w:val="2"/>
        </w:rPr>
        <w:t xml:space="preserve"> </w:t>
      </w:r>
      <w:r w:rsidRPr="00AA631C">
        <w:rPr>
          <w:spacing w:val="-2"/>
        </w:rPr>
        <w:t>Loading</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
        <w:gridCol w:w="8"/>
        <w:gridCol w:w="2251"/>
        <w:gridCol w:w="2251"/>
        <w:gridCol w:w="2522"/>
      </w:tblGrid>
      <w:tr w:rsidR="00C35EC6" w:rsidRPr="00AA631C" w14:paraId="219A776C" w14:textId="77777777" w:rsidTr="000E22AD">
        <w:trPr>
          <w:cantSplit/>
          <w:jc w:val="center"/>
        </w:trPr>
        <w:tc>
          <w:tcPr>
            <w:tcW w:w="986" w:type="dxa"/>
            <w:gridSpan w:val="2"/>
          </w:tcPr>
          <w:p w14:paraId="0E41BAF4" w14:textId="77777777" w:rsidR="00C35EC6" w:rsidRPr="00AA631C" w:rsidRDefault="00C35EC6" w:rsidP="000E22AD">
            <w:pPr>
              <w:pStyle w:val="TableParagraph"/>
              <w:spacing w:after="0"/>
              <w:ind w:left="0"/>
              <w:jc w:val="left"/>
              <w:rPr>
                <w:rFonts w:ascii="Arial" w:hAnsi="Arial" w:cs="Arial"/>
                <w:sz w:val="20"/>
                <w:szCs w:val="20"/>
              </w:rPr>
            </w:pPr>
          </w:p>
        </w:tc>
        <w:tc>
          <w:tcPr>
            <w:tcW w:w="2251" w:type="dxa"/>
            <w:shd w:val="clear" w:color="auto" w:fill="C0C0C0"/>
          </w:tcPr>
          <w:p w14:paraId="0AADECC0" w14:textId="77777777" w:rsidR="00C35EC6" w:rsidRPr="00AA631C" w:rsidRDefault="00C35EC6" w:rsidP="000E22AD">
            <w:pPr>
              <w:pStyle w:val="TableParagraph"/>
              <w:spacing w:after="0"/>
              <w:ind w:left="729" w:hanging="490"/>
              <w:jc w:val="left"/>
              <w:rPr>
                <w:rFonts w:ascii="Arial" w:hAnsi="Arial" w:cs="Arial"/>
                <w:b/>
                <w:i/>
                <w:sz w:val="20"/>
                <w:szCs w:val="20"/>
              </w:rPr>
            </w:pPr>
            <w:r w:rsidRPr="00AA631C">
              <w:rPr>
                <w:rFonts w:ascii="Arial" w:hAnsi="Arial" w:cs="Arial"/>
                <w:b/>
                <w:i/>
                <w:spacing w:val="-2"/>
                <w:sz w:val="20"/>
                <w:szCs w:val="20"/>
              </w:rPr>
              <w:t>Green</w:t>
            </w:r>
            <w:r w:rsidRPr="00AA631C">
              <w:rPr>
                <w:rFonts w:ascii="Arial" w:hAnsi="Arial" w:cs="Arial"/>
                <w:b/>
                <w:i/>
                <w:spacing w:val="-13"/>
                <w:sz w:val="20"/>
                <w:szCs w:val="20"/>
              </w:rPr>
              <w:t xml:space="preserve"> </w:t>
            </w:r>
            <w:r w:rsidRPr="00AA631C">
              <w:rPr>
                <w:rFonts w:ascii="Arial" w:hAnsi="Arial" w:cs="Arial"/>
                <w:b/>
                <w:i/>
                <w:spacing w:val="-2"/>
                <w:sz w:val="20"/>
                <w:szCs w:val="20"/>
              </w:rPr>
              <w:t>Innovation Product</w:t>
            </w:r>
          </w:p>
        </w:tc>
        <w:tc>
          <w:tcPr>
            <w:tcW w:w="2251" w:type="dxa"/>
            <w:tcBorders>
              <w:right w:val="single" w:sz="6" w:space="0" w:color="000000"/>
            </w:tcBorders>
            <w:shd w:val="clear" w:color="auto" w:fill="C0C0C0"/>
          </w:tcPr>
          <w:p w14:paraId="4D602783" w14:textId="77777777" w:rsidR="00C35EC6" w:rsidRPr="00AA631C" w:rsidRDefault="00C35EC6" w:rsidP="000E22AD">
            <w:pPr>
              <w:pStyle w:val="TableParagraph"/>
              <w:spacing w:after="0"/>
              <w:ind w:left="114"/>
              <w:jc w:val="left"/>
              <w:rPr>
                <w:rFonts w:ascii="Arial" w:hAnsi="Arial" w:cs="Arial"/>
                <w:b/>
                <w:i/>
                <w:sz w:val="20"/>
                <w:szCs w:val="20"/>
              </w:rPr>
            </w:pPr>
            <w:r w:rsidRPr="00AA631C">
              <w:rPr>
                <w:rFonts w:ascii="Arial" w:hAnsi="Arial" w:cs="Arial"/>
                <w:b/>
                <w:i/>
                <w:sz w:val="20"/>
                <w:szCs w:val="20"/>
              </w:rPr>
              <w:t>Green</w:t>
            </w:r>
            <w:r w:rsidRPr="00AA631C">
              <w:rPr>
                <w:rFonts w:ascii="Arial" w:hAnsi="Arial" w:cs="Arial"/>
                <w:b/>
                <w:i/>
                <w:spacing w:val="-6"/>
                <w:sz w:val="20"/>
                <w:szCs w:val="20"/>
              </w:rPr>
              <w:t xml:space="preserve"> </w:t>
            </w:r>
            <w:r w:rsidRPr="00AA631C">
              <w:rPr>
                <w:rFonts w:ascii="Arial" w:hAnsi="Arial" w:cs="Arial"/>
                <w:b/>
                <w:i/>
                <w:sz w:val="20"/>
                <w:szCs w:val="20"/>
              </w:rPr>
              <w:t>Supply</w:t>
            </w:r>
            <w:r w:rsidRPr="00AA631C">
              <w:rPr>
                <w:rFonts w:ascii="Arial" w:hAnsi="Arial" w:cs="Arial"/>
                <w:b/>
                <w:i/>
                <w:spacing w:val="-2"/>
                <w:sz w:val="20"/>
                <w:szCs w:val="20"/>
              </w:rPr>
              <w:t xml:space="preserve"> </w:t>
            </w:r>
            <w:r w:rsidRPr="00AA631C">
              <w:rPr>
                <w:rFonts w:ascii="Arial" w:hAnsi="Arial" w:cs="Arial"/>
                <w:b/>
                <w:i/>
                <w:spacing w:val="-4"/>
                <w:sz w:val="20"/>
                <w:szCs w:val="20"/>
              </w:rPr>
              <w:t>Chain</w:t>
            </w:r>
          </w:p>
        </w:tc>
        <w:tc>
          <w:tcPr>
            <w:tcW w:w="2522" w:type="dxa"/>
            <w:tcBorders>
              <w:left w:val="single" w:sz="6" w:space="0" w:color="000000"/>
            </w:tcBorders>
            <w:shd w:val="clear" w:color="auto" w:fill="C0C0C0"/>
          </w:tcPr>
          <w:p w14:paraId="7CD8BB68" w14:textId="77777777" w:rsidR="00C35EC6" w:rsidRPr="00AA631C" w:rsidRDefault="00C35EC6" w:rsidP="000E22AD">
            <w:pPr>
              <w:pStyle w:val="TableParagraph"/>
              <w:spacing w:after="0"/>
              <w:ind w:left="277"/>
              <w:jc w:val="left"/>
              <w:rPr>
                <w:rFonts w:ascii="Arial" w:hAnsi="Arial" w:cs="Arial"/>
                <w:b/>
                <w:i/>
                <w:sz w:val="20"/>
                <w:szCs w:val="20"/>
              </w:rPr>
            </w:pPr>
            <w:r w:rsidRPr="00AA631C">
              <w:rPr>
                <w:rFonts w:ascii="Arial" w:hAnsi="Arial" w:cs="Arial"/>
                <w:b/>
                <w:i/>
                <w:sz w:val="20"/>
                <w:szCs w:val="20"/>
              </w:rPr>
              <w:t>Social</w:t>
            </w:r>
            <w:r w:rsidRPr="00AA631C">
              <w:rPr>
                <w:rFonts w:ascii="Arial" w:hAnsi="Arial" w:cs="Arial"/>
                <w:b/>
                <w:i/>
                <w:spacing w:val="-10"/>
                <w:sz w:val="20"/>
                <w:szCs w:val="20"/>
              </w:rPr>
              <w:t xml:space="preserve"> </w:t>
            </w:r>
            <w:r w:rsidRPr="00AA631C">
              <w:rPr>
                <w:rFonts w:ascii="Arial" w:hAnsi="Arial" w:cs="Arial"/>
                <w:b/>
                <w:i/>
                <w:spacing w:val="-2"/>
                <w:sz w:val="20"/>
                <w:szCs w:val="20"/>
              </w:rPr>
              <w:t>Performance</w:t>
            </w:r>
          </w:p>
        </w:tc>
      </w:tr>
      <w:tr w:rsidR="00C35EC6" w:rsidRPr="00AA631C" w14:paraId="2F5162D9" w14:textId="77777777" w:rsidTr="000E22AD">
        <w:trPr>
          <w:cantSplit/>
          <w:jc w:val="center"/>
        </w:trPr>
        <w:tc>
          <w:tcPr>
            <w:tcW w:w="986" w:type="dxa"/>
            <w:gridSpan w:val="2"/>
            <w:shd w:val="clear" w:color="auto" w:fill="C0C0C0"/>
          </w:tcPr>
          <w:p w14:paraId="3DE440C7" w14:textId="77777777" w:rsidR="00C35EC6" w:rsidRPr="00AA631C" w:rsidRDefault="00C35EC6" w:rsidP="000E22AD">
            <w:pPr>
              <w:pStyle w:val="TableParagraph"/>
              <w:spacing w:after="0"/>
              <w:ind w:left="14" w:right="11"/>
              <w:rPr>
                <w:rFonts w:ascii="Arial" w:hAnsi="Arial" w:cs="Arial"/>
                <w:b/>
                <w:sz w:val="20"/>
                <w:szCs w:val="20"/>
              </w:rPr>
            </w:pPr>
            <w:r w:rsidRPr="00AA631C">
              <w:rPr>
                <w:rFonts w:ascii="Arial" w:hAnsi="Arial" w:cs="Arial"/>
                <w:b/>
                <w:spacing w:val="-4"/>
                <w:sz w:val="20"/>
                <w:szCs w:val="20"/>
              </w:rPr>
              <w:t>GIP1</w:t>
            </w:r>
          </w:p>
        </w:tc>
        <w:tc>
          <w:tcPr>
            <w:tcW w:w="2251" w:type="dxa"/>
          </w:tcPr>
          <w:p w14:paraId="7895E443" w14:textId="77777777" w:rsidR="00C35EC6" w:rsidRPr="00AA631C" w:rsidRDefault="00C35EC6" w:rsidP="000E22AD">
            <w:pPr>
              <w:pStyle w:val="TableParagraph"/>
              <w:spacing w:after="0"/>
              <w:ind w:left="13"/>
              <w:rPr>
                <w:rFonts w:ascii="Arial" w:hAnsi="Arial" w:cs="Arial"/>
                <w:b/>
                <w:sz w:val="20"/>
                <w:szCs w:val="20"/>
              </w:rPr>
            </w:pPr>
            <w:r w:rsidRPr="00AA631C">
              <w:rPr>
                <w:rFonts w:ascii="Arial" w:hAnsi="Arial" w:cs="Arial"/>
                <w:b/>
                <w:spacing w:val="-2"/>
                <w:sz w:val="20"/>
                <w:szCs w:val="20"/>
              </w:rPr>
              <w:t>0.838</w:t>
            </w:r>
          </w:p>
        </w:tc>
        <w:tc>
          <w:tcPr>
            <w:tcW w:w="2251" w:type="dxa"/>
            <w:tcBorders>
              <w:right w:val="single" w:sz="6" w:space="0" w:color="000000"/>
            </w:tcBorders>
          </w:tcPr>
          <w:p w14:paraId="2962D39B"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0.629</w:t>
            </w:r>
          </w:p>
        </w:tc>
        <w:tc>
          <w:tcPr>
            <w:tcW w:w="2522" w:type="dxa"/>
            <w:tcBorders>
              <w:left w:val="single" w:sz="6" w:space="0" w:color="000000"/>
            </w:tcBorders>
          </w:tcPr>
          <w:p w14:paraId="4F5C9F20"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0.637</w:t>
            </w:r>
          </w:p>
        </w:tc>
      </w:tr>
      <w:tr w:rsidR="00C35EC6" w:rsidRPr="00AA631C" w14:paraId="765D7530" w14:textId="77777777" w:rsidTr="000E22AD">
        <w:trPr>
          <w:cantSplit/>
          <w:jc w:val="center"/>
        </w:trPr>
        <w:tc>
          <w:tcPr>
            <w:tcW w:w="986" w:type="dxa"/>
            <w:gridSpan w:val="2"/>
            <w:shd w:val="clear" w:color="auto" w:fill="C0C0C0"/>
          </w:tcPr>
          <w:p w14:paraId="6049D89A" w14:textId="77777777" w:rsidR="00C35EC6" w:rsidRPr="00AA631C" w:rsidRDefault="00C35EC6" w:rsidP="000E22AD">
            <w:pPr>
              <w:pStyle w:val="TableParagraph"/>
              <w:spacing w:after="0"/>
              <w:ind w:left="14" w:right="11"/>
              <w:rPr>
                <w:rFonts w:ascii="Arial" w:hAnsi="Arial" w:cs="Arial"/>
                <w:b/>
                <w:sz w:val="20"/>
                <w:szCs w:val="20"/>
              </w:rPr>
            </w:pPr>
            <w:r w:rsidRPr="00AA631C">
              <w:rPr>
                <w:rFonts w:ascii="Arial" w:hAnsi="Arial" w:cs="Arial"/>
                <w:b/>
                <w:spacing w:val="-4"/>
                <w:sz w:val="20"/>
                <w:szCs w:val="20"/>
              </w:rPr>
              <w:t>GIP2</w:t>
            </w:r>
          </w:p>
        </w:tc>
        <w:tc>
          <w:tcPr>
            <w:tcW w:w="2251" w:type="dxa"/>
          </w:tcPr>
          <w:p w14:paraId="0C076783" w14:textId="77777777" w:rsidR="00C35EC6" w:rsidRPr="00AA631C" w:rsidRDefault="00C35EC6" w:rsidP="000E22AD">
            <w:pPr>
              <w:pStyle w:val="TableParagraph"/>
              <w:spacing w:after="0"/>
              <w:ind w:left="13"/>
              <w:rPr>
                <w:rFonts w:ascii="Arial" w:hAnsi="Arial" w:cs="Arial"/>
                <w:b/>
                <w:sz w:val="20"/>
                <w:szCs w:val="20"/>
              </w:rPr>
            </w:pPr>
            <w:r w:rsidRPr="00AA631C">
              <w:rPr>
                <w:rFonts w:ascii="Arial" w:hAnsi="Arial" w:cs="Arial"/>
                <w:b/>
                <w:spacing w:val="-2"/>
                <w:sz w:val="20"/>
                <w:szCs w:val="20"/>
              </w:rPr>
              <w:t>0.882</w:t>
            </w:r>
          </w:p>
        </w:tc>
        <w:tc>
          <w:tcPr>
            <w:tcW w:w="2251" w:type="dxa"/>
            <w:tcBorders>
              <w:right w:val="single" w:sz="6" w:space="0" w:color="000000"/>
            </w:tcBorders>
          </w:tcPr>
          <w:p w14:paraId="131ABEB8"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0.716</w:t>
            </w:r>
          </w:p>
        </w:tc>
        <w:tc>
          <w:tcPr>
            <w:tcW w:w="2522" w:type="dxa"/>
            <w:tcBorders>
              <w:left w:val="single" w:sz="6" w:space="0" w:color="000000"/>
            </w:tcBorders>
          </w:tcPr>
          <w:p w14:paraId="0413602E"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0.636</w:t>
            </w:r>
          </w:p>
        </w:tc>
      </w:tr>
      <w:tr w:rsidR="00C35EC6" w:rsidRPr="00AA631C" w14:paraId="1BAC0FA2" w14:textId="77777777" w:rsidTr="000E22AD">
        <w:trPr>
          <w:cantSplit/>
          <w:jc w:val="center"/>
        </w:trPr>
        <w:tc>
          <w:tcPr>
            <w:tcW w:w="986" w:type="dxa"/>
            <w:gridSpan w:val="2"/>
            <w:shd w:val="clear" w:color="auto" w:fill="C0C0C0"/>
          </w:tcPr>
          <w:p w14:paraId="7A65A047" w14:textId="77777777" w:rsidR="00C35EC6" w:rsidRPr="00AA631C" w:rsidRDefault="00C35EC6" w:rsidP="000E22AD">
            <w:pPr>
              <w:pStyle w:val="TableParagraph"/>
              <w:spacing w:after="0"/>
              <w:ind w:left="14" w:right="11"/>
              <w:rPr>
                <w:rFonts w:ascii="Arial" w:hAnsi="Arial" w:cs="Arial"/>
                <w:b/>
                <w:sz w:val="20"/>
                <w:szCs w:val="20"/>
              </w:rPr>
            </w:pPr>
            <w:r w:rsidRPr="00AA631C">
              <w:rPr>
                <w:rFonts w:ascii="Arial" w:hAnsi="Arial" w:cs="Arial"/>
                <w:b/>
                <w:spacing w:val="-4"/>
                <w:sz w:val="20"/>
                <w:szCs w:val="20"/>
              </w:rPr>
              <w:t>GIP3</w:t>
            </w:r>
          </w:p>
        </w:tc>
        <w:tc>
          <w:tcPr>
            <w:tcW w:w="2251" w:type="dxa"/>
          </w:tcPr>
          <w:p w14:paraId="27C2CF16" w14:textId="77777777" w:rsidR="00C35EC6" w:rsidRPr="00AA631C" w:rsidRDefault="00C35EC6" w:rsidP="000E22AD">
            <w:pPr>
              <w:pStyle w:val="TableParagraph"/>
              <w:spacing w:after="0"/>
              <w:ind w:left="13"/>
              <w:rPr>
                <w:rFonts w:ascii="Arial" w:hAnsi="Arial" w:cs="Arial"/>
                <w:b/>
                <w:sz w:val="20"/>
                <w:szCs w:val="20"/>
              </w:rPr>
            </w:pPr>
            <w:r w:rsidRPr="00AA631C">
              <w:rPr>
                <w:rFonts w:ascii="Arial" w:hAnsi="Arial" w:cs="Arial"/>
                <w:b/>
                <w:spacing w:val="-2"/>
                <w:sz w:val="20"/>
                <w:szCs w:val="20"/>
              </w:rPr>
              <w:t>0.883</w:t>
            </w:r>
          </w:p>
        </w:tc>
        <w:tc>
          <w:tcPr>
            <w:tcW w:w="2251" w:type="dxa"/>
            <w:tcBorders>
              <w:right w:val="single" w:sz="6" w:space="0" w:color="000000"/>
            </w:tcBorders>
          </w:tcPr>
          <w:p w14:paraId="778F4C3D"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0.688</w:t>
            </w:r>
          </w:p>
        </w:tc>
        <w:tc>
          <w:tcPr>
            <w:tcW w:w="2522" w:type="dxa"/>
            <w:tcBorders>
              <w:left w:val="single" w:sz="6" w:space="0" w:color="000000"/>
            </w:tcBorders>
          </w:tcPr>
          <w:p w14:paraId="4F6CCAC7"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0.677</w:t>
            </w:r>
          </w:p>
        </w:tc>
      </w:tr>
      <w:tr w:rsidR="00C35EC6" w:rsidRPr="00AA631C" w14:paraId="3B1F3C9C" w14:textId="77777777" w:rsidTr="000E22AD">
        <w:trPr>
          <w:cantSplit/>
          <w:jc w:val="center"/>
        </w:trPr>
        <w:tc>
          <w:tcPr>
            <w:tcW w:w="986" w:type="dxa"/>
            <w:gridSpan w:val="2"/>
            <w:shd w:val="clear" w:color="auto" w:fill="C0C0C0"/>
          </w:tcPr>
          <w:p w14:paraId="32E07D70" w14:textId="77777777" w:rsidR="00C35EC6" w:rsidRPr="00AA631C" w:rsidRDefault="00C35EC6" w:rsidP="000E22AD">
            <w:pPr>
              <w:pStyle w:val="TableParagraph"/>
              <w:spacing w:after="0"/>
              <w:ind w:left="14" w:right="11"/>
              <w:rPr>
                <w:rFonts w:ascii="Arial" w:hAnsi="Arial" w:cs="Arial"/>
                <w:b/>
                <w:sz w:val="20"/>
                <w:szCs w:val="20"/>
              </w:rPr>
            </w:pPr>
            <w:r w:rsidRPr="00AA631C">
              <w:rPr>
                <w:rFonts w:ascii="Arial" w:hAnsi="Arial" w:cs="Arial"/>
                <w:b/>
                <w:spacing w:val="-4"/>
                <w:sz w:val="20"/>
                <w:szCs w:val="20"/>
              </w:rPr>
              <w:t>GIP4</w:t>
            </w:r>
          </w:p>
        </w:tc>
        <w:tc>
          <w:tcPr>
            <w:tcW w:w="2251" w:type="dxa"/>
          </w:tcPr>
          <w:p w14:paraId="69390561" w14:textId="77777777" w:rsidR="00C35EC6" w:rsidRPr="00AA631C" w:rsidRDefault="00C35EC6" w:rsidP="000E22AD">
            <w:pPr>
              <w:pStyle w:val="TableParagraph"/>
              <w:spacing w:after="0"/>
              <w:ind w:left="13"/>
              <w:rPr>
                <w:rFonts w:ascii="Arial" w:hAnsi="Arial" w:cs="Arial"/>
                <w:b/>
                <w:sz w:val="20"/>
                <w:szCs w:val="20"/>
              </w:rPr>
            </w:pPr>
            <w:r w:rsidRPr="00AA631C">
              <w:rPr>
                <w:rFonts w:ascii="Arial" w:hAnsi="Arial" w:cs="Arial"/>
                <w:b/>
                <w:spacing w:val="-2"/>
                <w:sz w:val="20"/>
                <w:szCs w:val="20"/>
              </w:rPr>
              <w:t>0.833</w:t>
            </w:r>
          </w:p>
        </w:tc>
        <w:tc>
          <w:tcPr>
            <w:tcW w:w="2251" w:type="dxa"/>
            <w:tcBorders>
              <w:right w:val="single" w:sz="6" w:space="0" w:color="000000"/>
            </w:tcBorders>
          </w:tcPr>
          <w:p w14:paraId="4B905652"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0.688</w:t>
            </w:r>
          </w:p>
        </w:tc>
        <w:tc>
          <w:tcPr>
            <w:tcW w:w="2522" w:type="dxa"/>
            <w:tcBorders>
              <w:left w:val="single" w:sz="6" w:space="0" w:color="000000"/>
            </w:tcBorders>
          </w:tcPr>
          <w:p w14:paraId="7B4C59D5"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0.648</w:t>
            </w:r>
          </w:p>
        </w:tc>
      </w:tr>
      <w:tr w:rsidR="00C35EC6" w:rsidRPr="00AA631C" w14:paraId="5713FFA4" w14:textId="77777777" w:rsidTr="000E22AD">
        <w:trPr>
          <w:cantSplit/>
          <w:jc w:val="center"/>
        </w:trPr>
        <w:tc>
          <w:tcPr>
            <w:tcW w:w="986" w:type="dxa"/>
            <w:gridSpan w:val="2"/>
            <w:shd w:val="clear" w:color="auto" w:fill="C0C0C0"/>
          </w:tcPr>
          <w:p w14:paraId="38650CCE" w14:textId="77777777" w:rsidR="00C35EC6" w:rsidRPr="00AA631C" w:rsidRDefault="00C35EC6" w:rsidP="000E22AD">
            <w:pPr>
              <w:pStyle w:val="TableParagraph"/>
              <w:spacing w:after="0"/>
              <w:ind w:left="14"/>
              <w:rPr>
                <w:rFonts w:ascii="Arial" w:hAnsi="Arial" w:cs="Arial"/>
                <w:b/>
                <w:sz w:val="20"/>
                <w:szCs w:val="20"/>
              </w:rPr>
            </w:pPr>
            <w:r w:rsidRPr="00AA631C">
              <w:rPr>
                <w:rFonts w:ascii="Arial" w:hAnsi="Arial" w:cs="Arial"/>
                <w:b/>
                <w:spacing w:val="-4"/>
                <w:sz w:val="20"/>
                <w:szCs w:val="20"/>
              </w:rPr>
              <w:t>GSC1</w:t>
            </w:r>
          </w:p>
        </w:tc>
        <w:tc>
          <w:tcPr>
            <w:tcW w:w="2251" w:type="dxa"/>
          </w:tcPr>
          <w:p w14:paraId="17A91667"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0.658</w:t>
            </w:r>
          </w:p>
        </w:tc>
        <w:tc>
          <w:tcPr>
            <w:tcW w:w="2251" w:type="dxa"/>
            <w:tcBorders>
              <w:right w:val="single" w:sz="6" w:space="0" w:color="000000"/>
            </w:tcBorders>
          </w:tcPr>
          <w:p w14:paraId="4CCD1F8B" w14:textId="77777777" w:rsidR="00C35EC6" w:rsidRPr="00AA631C" w:rsidRDefault="00C35EC6" w:rsidP="000E22AD">
            <w:pPr>
              <w:pStyle w:val="TableParagraph"/>
              <w:spacing w:after="0"/>
              <w:ind w:left="25"/>
              <w:rPr>
                <w:rFonts w:ascii="Arial" w:hAnsi="Arial" w:cs="Arial"/>
                <w:b/>
                <w:sz w:val="20"/>
                <w:szCs w:val="20"/>
              </w:rPr>
            </w:pPr>
            <w:r w:rsidRPr="00AA631C">
              <w:rPr>
                <w:rFonts w:ascii="Arial" w:hAnsi="Arial" w:cs="Arial"/>
                <w:b/>
                <w:spacing w:val="-2"/>
                <w:sz w:val="20"/>
                <w:szCs w:val="20"/>
              </w:rPr>
              <w:t>0.791</w:t>
            </w:r>
          </w:p>
        </w:tc>
        <w:tc>
          <w:tcPr>
            <w:tcW w:w="2522" w:type="dxa"/>
            <w:tcBorders>
              <w:left w:val="single" w:sz="6" w:space="0" w:color="000000"/>
            </w:tcBorders>
          </w:tcPr>
          <w:p w14:paraId="74400530"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0.569</w:t>
            </w:r>
          </w:p>
        </w:tc>
      </w:tr>
      <w:tr w:rsidR="00C35EC6" w:rsidRPr="00AA631C" w14:paraId="52F419E4" w14:textId="77777777" w:rsidTr="000E22AD">
        <w:trPr>
          <w:cantSplit/>
          <w:jc w:val="center"/>
        </w:trPr>
        <w:tc>
          <w:tcPr>
            <w:tcW w:w="986" w:type="dxa"/>
            <w:gridSpan w:val="2"/>
            <w:shd w:val="clear" w:color="auto" w:fill="C0C0C0"/>
          </w:tcPr>
          <w:p w14:paraId="35432480" w14:textId="77777777" w:rsidR="00C35EC6" w:rsidRPr="00AA631C" w:rsidRDefault="00C35EC6" w:rsidP="000E22AD">
            <w:pPr>
              <w:pStyle w:val="TableParagraph"/>
              <w:spacing w:after="0"/>
              <w:ind w:left="14"/>
              <w:rPr>
                <w:rFonts w:ascii="Arial" w:hAnsi="Arial" w:cs="Arial"/>
                <w:b/>
                <w:sz w:val="20"/>
                <w:szCs w:val="20"/>
              </w:rPr>
            </w:pPr>
            <w:r w:rsidRPr="00AA631C">
              <w:rPr>
                <w:rFonts w:ascii="Arial" w:hAnsi="Arial" w:cs="Arial"/>
                <w:b/>
                <w:spacing w:val="-4"/>
                <w:sz w:val="20"/>
                <w:szCs w:val="20"/>
              </w:rPr>
              <w:t>GSC2</w:t>
            </w:r>
          </w:p>
        </w:tc>
        <w:tc>
          <w:tcPr>
            <w:tcW w:w="2251" w:type="dxa"/>
          </w:tcPr>
          <w:p w14:paraId="6BDC07E2"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0.560</w:t>
            </w:r>
          </w:p>
        </w:tc>
        <w:tc>
          <w:tcPr>
            <w:tcW w:w="2251" w:type="dxa"/>
            <w:tcBorders>
              <w:right w:val="single" w:sz="6" w:space="0" w:color="000000"/>
            </w:tcBorders>
          </w:tcPr>
          <w:p w14:paraId="73274A95" w14:textId="77777777" w:rsidR="00C35EC6" w:rsidRPr="00AA631C" w:rsidRDefault="00C35EC6" w:rsidP="000E22AD">
            <w:pPr>
              <w:pStyle w:val="TableParagraph"/>
              <w:spacing w:after="0"/>
              <w:ind w:left="25"/>
              <w:rPr>
                <w:rFonts w:ascii="Arial" w:hAnsi="Arial" w:cs="Arial"/>
                <w:b/>
                <w:sz w:val="20"/>
                <w:szCs w:val="20"/>
              </w:rPr>
            </w:pPr>
            <w:r w:rsidRPr="00AA631C">
              <w:rPr>
                <w:rFonts w:ascii="Arial" w:hAnsi="Arial" w:cs="Arial"/>
                <w:b/>
                <w:spacing w:val="-2"/>
                <w:sz w:val="20"/>
                <w:szCs w:val="20"/>
              </w:rPr>
              <w:t>0.801</w:t>
            </w:r>
          </w:p>
        </w:tc>
        <w:tc>
          <w:tcPr>
            <w:tcW w:w="2522" w:type="dxa"/>
            <w:tcBorders>
              <w:left w:val="single" w:sz="6" w:space="0" w:color="000000"/>
            </w:tcBorders>
          </w:tcPr>
          <w:p w14:paraId="45651C1B"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0.544</w:t>
            </w:r>
          </w:p>
        </w:tc>
      </w:tr>
      <w:tr w:rsidR="00C35EC6" w:rsidRPr="00AA631C" w14:paraId="15543D28" w14:textId="77777777" w:rsidTr="000E22AD">
        <w:trPr>
          <w:cantSplit/>
          <w:jc w:val="center"/>
        </w:trPr>
        <w:tc>
          <w:tcPr>
            <w:tcW w:w="986" w:type="dxa"/>
            <w:gridSpan w:val="2"/>
            <w:shd w:val="clear" w:color="auto" w:fill="C0C0C0"/>
          </w:tcPr>
          <w:p w14:paraId="799210BF" w14:textId="77777777" w:rsidR="00C35EC6" w:rsidRPr="00AA631C" w:rsidRDefault="00C35EC6" w:rsidP="000E22AD">
            <w:pPr>
              <w:pStyle w:val="TableParagraph"/>
              <w:spacing w:after="0"/>
              <w:ind w:left="14"/>
              <w:rPr>
                <w:rFonts w:ascii="Arial" w:hAnsi="Arial" w:cs="Arial"/>
                <w:b/>
                <w:sz w:val="20"/>
                <w:szCs w:val="20"/>
              </w:rPr>
            </w:pPr>
            <w:r w:rsidRPr="00AA631C">
              <w:rPr>
                <w:rFonts w:ascii="Arial" w:hAnsi="Arial" w:cs="Arial"/>
                <w:b/>
                <w:spacing w:val="-4"/>
                <w:sz w:val="20"/>
                <w:szCs w:val="20"/>
              </w:rPr>
              <w:t>GSC3</w:t>
            </w:r>
          </w:p>
        </w:tc>
        <w:tc>
          <w:tcPr>
            <w:tcW w:w="2251" w:type="dxa"/>
          </w:tcPr>
          <w:p w14:paraId="7399762E"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0.692</w:t>
            </w:r>
          </w:p>
        </w:tc>
        <w:tc>
          <w:tcPr>
            <w:tcW w:w="2251" w:type="dxa"/>
            <w:tcBorders>
              <w:right w:val="single" w:sz="6" w:space="0" w:color="000000"/>
            </w:tcBorders>
          </w:tcPr>
          <w:p w14:paraId="6157BA38" w14:textId="77777777" w:rsidR="00C35EC6" w:rsidRPr="00AA631C" w:rsidRDefault="00C35EC6" w:rsidP="000E22AD">
            <w:pPr>
              <w:pStyle w:val="TableParagraph"/>
              <w:spacing w:after="0"/>
              <w:ind w:left="25"/>
              <w:rPr>
                <w:rFonts w:ascii="Arial" w:hAnsi="Arial" w:cs="Arial"/>
                <w:b/>
                <w:sz w:val="20"/>
                <w:szCs w:val="20"/>
              </w:rPr>
            </w:pPr>
            <w:r w:rsidRPr="00AA631C">
              <w:rPr>
                <w:rFonts w:ascii="Arial" w:hAnsi="Arial" w:cs="Arial"/>
                <w:b/>
                <w:spacing w:val="-2"/>
                <w:sz w:val="20"/>
                <w:szCs w:val="20"/>
              </w:rPr>
              <w:t>0.871</w:t>
            </w:r>
          </w:p>
        </w:tc>
        <w:tc>
          <w:tcPr>
            <w:tcW w:w="2522" w:type="dxa"/>
            <w:tcBorders>
              <w:left w:val="single" w:sz="6" w:space="0" w:color="000000"/>
            </w:tcBorders>
          </w:tcPr>
          <w:p w14:paraId="7D8FEBC1"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0.662</w:t>
            </w:r>
          </w:p>
        </w:tc>
      </w:tr>
      <w:tr w:rsidR="00C35EC6" w:rsidRPr="00AA631C" w14:paraId="5F857469" w14:textId="77777777" w:rsidTr="000E22AD">
        <w:trPr>
          <w:cantSplit/>
          <w:jc w:val="center"/>
        </w:trPr>
        <w:tc>
          <w:tcPr>
            <w:tcW w:w="986" w:type="dxa"/>
            <w:gridSpan w:val="2"/>
            <w:shd w:val="clear" w:color="auto" w:fill="C0C0C0"/>
          </w:tcPr>
          <w:p w14:paraId="5BBAECB0" w14:textId="77777777" w:rsidR="00C35EC6" w:rsidRPr="00AA631C" w:rsidRDefault="00C35EC6" w:rsidP="000E22AD">
            <w:pPr>
              <w:pStyle w:val="TableParagraph"/>
              <w:spacing w:after="0"/>
              <w:ind w:left="14"/>
              <w:rPr>
                <w:rFonts w:ascii="Arial" w:hAnsi="Arial" w:cs="Arial"/>
                <w:b/>
                <w:sz w:val="20"/>
                <w:szCs w:val="20"/>
              </w:rPr>
            </w:pPr>
            <w:r w:rsidRPr="00AA631C">
              <w:rPr>
                <w:rFonts w:ascii="Arial" w:hAnsi="Arial" w:cs="Arial"/>
                <w:b/>
                <w:spacing w:val="-4"/>
                <w:sz w:val="20"/>
                <w:szCs w:val="20"/>
              </w:rPr>
              <w:t>GSC4</w:t>
            </w:r>
          </w:p>
        </w:tc>
        <w:tc>
          <w:tcPr>
            <w:tcW w:w="2251" w:type="dxa"/>
          </w:tcPr>
          <w:p w14:paraId="2D170EE1"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0.669</w:t>
            </w:r>
          </w:p>
        </w:tc>
        <w:tc>
          <w:tcPr>
            <w:tcW w:w="2251" w:type="dxa"/>
            <w:tcBorders>
              <w:right w:val="single" w:sz="6" w:space="0" w:color="000000"/>
            </w:tcBorders>
          </w:tcPr>
          <w:p w14:paraId="68A299A3" w14:textId="77777777" w:rsidR="00C35EC6" w:rsidRPr="00AA631C" w:rsidRDefault="00C35EC6" w:rsidP="000E22AD">
            <w:pPr>
              <w:pStyle w:val="TableParagraph"/>
              <w:spacing w:after="0"/>
              <w:ind w:left="25"/>
              <w:rPr>
                <w:rFonts w:ascii="Arial" w:hAnsi="Arial" w:cs="Arial"/>
                <w:b/>
                <w:sz w:val="20"/>
                <w:szCs w:val="20"/>
              </w:rPr>
            </w:pPr>
            <w:r w:rsidRPr="00AA631C">
              <w:rPr>
                <w:rFonts w:ascii="Arial" w:hAnsi="Arial" w:cs="Arial"/>
                <w:b/>
                <w:spacing w:val="-2"/>
                <w:sz w:val="20"/>
                <w:szCs w:val="20"/>
              </w:rPr>
              <w:t>0.836</w:t>
            </w:r>
          </w:p>
        </w:tc>
        <w:tc>
          <w:tcPr>
            <w:tcW w:w="2522" w:type="dxa"/>
            <w:tcBorders>
              <w:left w:val="single" w:sz="6" w:space="0" w:color="000000"/>
            </w:tcBorders>
          </w:tcPr>
          <w:p w14:paraId="40ED027E"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0.638</w:t>
            </w:r>
          </w:p>
        </w:tc>
      </w:tr>
      <w:tr w:rsidR="00C35EC6" w:rsidRPr="00AA631C" w14:paraId="159AF4DA" w14:textId="77777777" w:rsidTr="000E22AD">
        <w:trPr>
          <w:cantSplit/>
          <w:jc w:val="center"/>
        </w:trPr>
        <w:tc>
          <w:tcPr>
            <w:tcW w:w="986" w:type="dxa"/>
            <w:gridSpan w:val="2"/>
            <w:shd w:val="clear" w:color="auto" w:fill="C0C0C0"/>
          </w:tcPr>
          <w:p w14:paraId="1DCFDBC7" w14:textId="77777777" w:rsidR="00C35EC6" w:rsidRPr="00AA631C" w:rsidRDefault="00C35EC6" w:rsidP="000E22AD">
            <w:pPr>
              <w:pStyle w:val="TableParagraph"/>
              <w:spacing w:after="0"/>
              <w:ind w:left="14"/>
              <w:rPr>
                <w:rFonts w:ascii="Arial" w:hAnsi="Arial" w:cs="Arial"/>
                <w:b/>
                <w:sz w:val="20"/>
                <w:szCs w:val="20"/>
              </w:rPr>
            </w:pPr>
            <w:r w:rsidRPr="00AA631C">
              <w:rPr>
                <w:rFonts w:ascii="Arial" w:hAnsi="Arial" w:cs="Arial"/>
                <w:b/>
                <w:spacing w:val="-4"/>
                <w:sz w:val="20"/>
                <w:szCs w:val="20"/>
              </w:rPr>
              <w:t>GSC5</w:t>
            </w:r>
          </w:p>
        </w:tc>
        <w:tc>
          <w:tcPr>
            <w:tcW w:w="2251" w:type="dxa"/>
          </w:tcPr>
          <w:p w14:paraId="4A2F2FE4"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0.638</w:t>
            </w:r>
          </w:p>
        </w:tc>
        <w:tc>
          <w:tcPr>
            <w:tcW w:w="2251" w:type="dxa"/>
            <w:tcBorders>
              <w:right w:val="single" w:sz="6" w:space="0" w:color="000000"/>
            </w:tcBorders>
          </w:tcPr>
          <w:p w14:paraId="0F4D2C6D" w14:textId="77777777" w:rsidR="00C35EC6" w:rsidRPr="00AA631C" w:rsidRDefault="00C35EC6" w:rsidP="000E22AD">
            <w:pPr>
              <w:pStyle w:val="TableParagraph"/>
              <w:spacing w:after="0"/>
              <w:ind w:left="25"/>
              <w:rPr>
                <w:rFonts w:ascii="Arial" w:hAnsi="Arial" w:cs="Arial"/>
                <w:b/>
                <w:sz w:val="20"/>
                <w:szCs w:val="20"/>
              </w:rPr>
            </w:pPr>
            <w:r w:rsidRPr="00AA631C">
              <w:rPr>
                <w:rFonts w:ascii="Arial" w:hAnsi="Arial" w:cs="Arial"/>
                <w:b/>
                <w:spacing w:val="-2"/>
                <w:sz w:val="20"/>
                <w:szCs w:val="20"/>
              </w:rPr>
              <w:t>0.773</w:t>
            </w:r>
          </w:p>
        </w:tc>
        <w:tc>
          <w:tcPr>
            <w:tcW w:w="2522" w:type="dxa"/>
            <w:tcBorders>
              <w:left w:val="single" w:sz="6" w:space="0" w:color="000000"/>
            </w:tcBorders>
          </w:tcPr>
          <w:p w14:paraId="1EAE08F9" w14:textId="77777777" w:rsidR="00C35EC6" w:rsidRPr="00AA631C" w:rsidRDefault="00C35EC6" w:rsidP="000E22AD">
            <w:pPr>
              <w:pStyle w:val="TableParagraph"/>
              <w:spacing w:after="0"/>
              <w:ind w:left="19"/>
              <w:rPr>
                <w:rFonts w:ascii="Arial" w:hAnsi="Arial" w:cs="Arial"/>
                <w:sz w:val="20"/>
                <w:szCs w:val="20"/>
              </w:rPr>
            </w:pPr>
            <w:r w:rsidRPr="00AA631C">
              <w:rPr>
                <w:rFonts w:ascii="Arial" w:hAnsi="Arial" w:cs="Arial"/>
                <w:spacing w:val="-2"/>
                <w:sz w:val="20"/>
                <w:szCs w:val="20"/>
              </w:rPr>
              <w:t>0.691</w:t>
            </w:r>
          </w:p>
        </w:tc>
      </w:tr>
      <w:tr w:rsidR="00C35EC6" w:rsidRPr="00AA631C" w14:paraId="5606FF48" w14:textId="77777777" w:rsidTr="000E22AD">
        <w:trPr>
          <w:cantSplit/>
          <w:jc w:val="center"/>
        </w:trPr>
        <w:tc>
          <w:tcPr>
            <w:tcW w:w="986" w:type="dxa"/>
            <w:gridSpan w:val="2"/>
            <w:shd w:val="clear" w:color="auto" w:fill="C0C0C0"/>
          </w:tcPr>
          <w:p w14:paraId="74B0121A" w14:textId="77777777" w:rsidR="00C35EC6" w:rsidRPr="00AA631C" w:rsidRDefault="00C35EC6" w:rsidP="000E22AD">
            <w:pPr>
              <w:pStyle w:val="TableParagraph"/>
              <w:spacing w:after="0"/>
              <w:ind w:left="14" w:right="10"/>
              <w:rPr>
                <w:rFonts w:ascii="Arial" w:hAnsi="Arial" w:cs="Arial"/>
                <w:b/>
                <w:sz w:val="20"/>
                <w:szCs w:val="20"/>
              </w:rPr>
            </w:pPr>
            <w:r w:rsidRPr="00AA631C">
              <w:rPr>
                <w:rFonts w:ascii="Arial" w:hAnsi="Arial" w:cs="Arial"/>
                <w:b/>
                <w:spacing w:val="-5"/>
                <w:sz w:val="20"/>
                <w:szCs w:val="20"/>
              </w:rPr>
              <w:t>SP1</w:t>
            </w:r>
          </w:p>
        </w:tc>
        <w:tc>
          <w:tcPr>
            <w:tcW w:w="2251" w:type="dxa"/>
          </w:tcPr>
          <w:p w14:paraId="21B37784"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0.687</w:t>
            </w:r>
          </w:p>
        </w:tc>
        <w:tc>
          <w:tcPr>
            <w:tcW w:w="2251" w:type="dxa"/>
            <w:tcBorders>
              <w:right w:val="single" w:sz="6" w:space="0" w:color="000000"/>
            </w:tcBorders>
          </w:tcPr>
          <w:p w14:paraId="7CFCD765"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0.712</w:t>
            </w:r>
          </w:p>
        </w:tc>
        <w:tc>
          <w:tcPr>
            <w:tcW w:w="2522" w:type="dxa"/>
            <w:tcBorders>
              <w:left w:val="single" w:sz="6" w:space="0" w:color="000000"/>
            </w:tcBorders>
          </w:tcPr>
          <w:p w14:paraId="0AE032BC" w14:textId="77777777" w:rsidR="00C35EC6" w:rsidRPr="00AA631C" w:rsidRDefault="00C35EC6" w:rsidP="000E22AD">
            <w:pPr>
              <w:pStyle w:val="TableParagraph"/>
              <w:spacing w:after="0"/>
              <w:ind w:left="19"/>
              <w:rPr>
                <w:rFonts w:ascii="Arial" w:hAnsi="Arial" w:cs="Arial"/>
                <w:b/>
                <w:sz w:val="20"/>
                <w:szCs w:val="20"/>
              </w:rPr>
            </w:pPr>
            <w:r w:rsidRPr="00AA631C">
              <w:rPr>
                <w:rFonts w:ascii="Arial" w:hAnsi="Arial" w:cs="Arial"/>
                <w:b/>
                <w:spacing w:val="-2"/>
                <w:sz w:val="20"/>
                <w:szCs w:val="20"/>
              </w:rPr>
              <w:t>0.772</w:t>
            </w:r>
          </w:p>
        </w:tc>
      </w:tr>
      <w:tr w:rsidR="00C35EC6" w:rsidRPr="00AA631C" w14:paraId="7FB4D267" w14:textId="77777777" w:rsidTr="000E22AD">
        <w:trPr>
          <w:cantSplit/>
          <w:jc w:val="center"/>
        </w:trPr>
        <w:tc>
          <w:tcPr>
            <w:tcW w:w="986" w:type="dxa"/>
            <w:gridSpan w:val="2"/>
            <w:shd w:val="clear" w:color="auto" w:fill="C0C0C0"/>
          </w:tcPr>
          <w:p w14:paraId="657C54B5" w14:textId="77777777" w:rsidR="00C35EC6" w:rsidRPr="00AA631C" w:rsidRDefault="00C35EC6" w:rsidP="000E22AD">
            <w:pPr>
              <w:pStyle w:val="TableParagraph"/>
              <w:spacing w:after="0"/>
              <w:ind w:left="14" w:right="10"/>
              <w:rPr>
                <w:rFonts w:ascii="Arial" w:hAnsi="Arial" w:cs="Arial"/>
                <w:b/>
                <w:sz w:val="20"/>
                <w:szCs w:val="20"/>
              </w:rPr>
            </w:pPr>
            <w:r w:rsidRPr="00AA631C">
              <w:rPr>
                <w:rFonts w:ascii="Arial" w:hAnsi="Arial" w:cs="Arial"/>
                <w:b/>
                <w:spacing w:val="-5"/>
                <w:sz w:val="20"/>
                <w:szCs w:val="20"/>
              </w:rPr>
              <w:t>SP2</w:t>
            </w:r>
          </w:p>
        </w:tc>
        <w:tc>
          <w:tcPr>
            <w:tcW w:w="2251" w:type="dxa"/>
          </w:tcPr>
          <w:p w14:paraId="6DCA7EA4"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0.575</w:t>
            </w:r>
          </w:p>
        </w:tc>
        <w:tc>
          <w:tcPr>
            <w:tcW w:w="2251" w:type="dxa"/>
            <w:tcBorders>
              <w:right w:val="single" w:sz="6" w:space="0" w:color="000000"/>
            </w:tcBorders>
          </w:tcPr>
          <w:p w14:paraId="0C694015"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0.564</w:t>
            </w:r>
          </w:p>
        </w:tc>
        <w:tc>
          <w:tcPr>
            <w:tcW w:w="2522" w:type="dxa"/>
            <w:tcBorders>
              <w:left w:val="single" w:sz="6" w:space="0" w:color="000000"/>
            </w:tcBorders>
          </w:tcPr>
          <w:p w14:paraId="3CCC2BB0" w14:textId="77777777" w:rsidR="00C35EC6" w:rsidRPr="00AA631C" w:rsidRDefault="00C35EC6" w:rsidP="000E22AD">
            <w:pPr>
              <w:pStyle w:val="TableParagraph"/>
              <w:spacing w:after="0"/>
              <w:ind w:left="19"/>
              <w:rPr>
                <w:rFonts w:ascii="Arial" w:hAnsi="Arial" w:cs="Arial"/>
                <w:b/>
                <w:sz w:val="20"/>
                <w:szCs w:val="20"/>
              </w:rPr>
            </w:pPr>
            <w:r w:rsidRPr="00AA631C">
              <w:rPr>
                <w:rFonts w:ascii="Arial" w:hAnsi="Arial" w:cs="Arial"/>
                <w:b/>
                <w:spacing w:val="-2"/>
                <w:sz w:val="20"/>
                <w:szCs w:val="20"/>
              </w:rPr>
              <w:t>0.765</w:t>
            </w:r>
          </w:p>
        </w:tc>
      </w:tr>
      <w:tr w:rsidR="00C35EC6" w:rsidRPr="00AA631C" w14:paraId="3E94E264" w14:textId="77777777" w:rsidTr="000E22AD">
        <w:trPr>
          <w:cantSplit/>
          <w:jc w:val="center"/>
        </w:trPr>
        <w:tc>
          <w:tcPr>
            <w:tcW w:w="986" w:type="dxa"/>
            <w:gridSpan w:val="2"/>
            <w:shd w:val="clear" w:color="auto" w:fill="C0C0C0"/>
          </w:tcPr>
          <w:p w14:paraId="56F8C6F5" w14:textId="77777777" w:rsidR="00C35EC6" w:rsidRPr="00AA631C" w:rsidRDefault="00C35EC6" w:rsidP="000E22AD">
            <w:pPr>
              <w:pStyle w:val="TableParagraph"/>
              <w:spacing w:after="0"/>
              <w:ind w:left="14" w:right="10"/>
              <w:rPr>
                <w:rFonts w:ascii="Arial" w:hAnsi="Arial" w:cs="Arial"/>
                <w:b/>
                <w:sz w:val="20"/>
                <w:szCs w:val="20"/>
              </w:rPr>
            </w:pPr>
            <w:r w:rsidRPr="00AA631C">
              <w:rPr>
                <w:rFonts w:ascii="Arial" w:hAnsi="Arial" w:cs="Arial"/>
                <w:b/>
                <w:spacing w:val="-5"/>
                <w:sz w:val="20"/>
                <w:szCs w:val="20"/>
              </w:rPr>
              <w:t>SP3</w:t>
            </w:r>
          </w:p>
        </w:tc>
        <w:tc>
          <w:tcPr>
            <w:tcW w:w="2251" w:type="dxa"/>
          </w:tcPr>
          <w:p w14:paraId="20F5837E"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0.583</w:t>
            </w:r>
          </w:p>
        </w:tc>
        <w:tc>
          <w:tcPr>
            <w:tcW w:w="2251" w:type="dxa"/>
            <w:tcBorders>
              <w:right w:val="single" w:sz="6" w:space="0" w:color="000000"/>
            </w:tcBorders>
          </w:tcPr>
          <w:p w14:paraId="05C22E20"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0.588</w:t>
            </w:r>
          </w:p>
        </w:tc>
        <w:tc>
          <w:tcPr>
            <w:tcW w:w="2522" w:type="dxa"/>
            <w:tcBorders>
              <w:left w:val="single" w:sz="6" w:space="0" w:color="000000"/>
            </w:tcBorders>
          </w:tcPr>
          <w:p w14:paraId="057041B1" w14:textId="77777777" w:rsidR="00C35EC6" w:rsidRPr="00AA631C" w:rsidRDefault="00C35EC6" w:rsidP="000E22AD">
            <w:pPr>
              <w:pStyle w:val="TableParagraph"/>
              <w:spacing w:after="0"/>
              <w:ind w:left="19"/>
              <w:rPr>
                <w:rFonts w:ascii="Arial" w:hAnsi="Arial" w:cs="Arial"/>
                <w:b/>
                <w:sz w:val="20"/>
                <w:szCs w:val="20"/>
              </w:rPr>
            </w:pPr>
            <w:r w:rsidRPr="00AA631C">
              <w:rPr>
                <w:rFonts w:ascii="Arial" w:hAnsi="Arial" w:cs="Arial"/>
                <w:b/>
                <w:spacing w:val="-2"/>
                <w:sz w:val="20"/>
                <w:szCs w:val="20"/>
              </w:rPr>
              <w:t>0.845</w:t>
            </w:r>
          </w:p>
        </w:tc>
      </w:tr>
      <w:tr w:rsidR="00C35EC6" w:rsidRPr="00AA631C" w14:paraId="730D71BB" w14:textId="77777777" w:rsidTr="000E22AD">
        <w:trPr>
          <w:cantSplit/>
          <w:jc w:val="center"/>
        </w:trPr>
        <w:tc>
          <w:tcPr>
            <w:tcW w:w="986" w:type="dxa"/>
            <w:gridSpan w:val="2"/>
            <w:shd w:val="clear" w:color="auto" w:fill="C0C0C0"/>
          </w:tcPr>
          <w:p w14:paraId="70BDEDEB" w14:textId="77777777" w:rsidR="00C35EC6" w:rsidRPr="00AA631C" w:rsidRDefault="00C35EC6" w:rsidP="000E22AD">
            <w:pPr>
              <w:pStyle w:val="TableParagraph"/>
              <w:spacing w:after="0"/>
              <w:ind w:left="14" w:right="10"/>
              <w:rPr>
                <w:rFonts w:ascii="Arial" w:hAnsi="Arial" w:cs="Arial"/>
                <w:b/>
                <w:sz w:val="20"/>
                <w:szCs w:val="20"/>
              </w:rPr>
            </w:pPr>
            <w:r w:rsidRPr="00AA631C">
              <w:rPr>
                <w:rFonts w:ascii="Arial" w:hAnsi="Arial" w:cs="Arial"/>
                <w:b/>
                <w:spacing w:val="-5"/>
                <w:sz w:val="20"/>
                <w:szCs w:val="20"/>
              </w:rPr>
              <w:t>SP4</w:t>
            </w:r>
          </w:p>
        </w:tc>
        <w:tc>
          <w:tcPr>
            <w:tcW w:w="2251" w:type="dxa"/>
          </w:tcPr>
          <w:p w14:paraId="415D372C" w14:textId="77777777" w:rsidR="00C35EC6" w:rsidRPr="00AA631C" w:rsidRDefault="00C35EC6" w:rsidP="000E22AD">
            <w:pPr>
              <w:pStyle w:val="TableParagraph"/>
              <w:spacing w:after="0"/>
              <w:ind w:left="13"/>
              <w:rPr>
                <w:rFonts w:ascii="Arial" w:hAnsi="Arial" w:cs="Arial"/>
                <w:sz w:val="20"/>
                <w:szCs w:val="20"/>
              </w:rPr>
            </w:pPr>
            <w:r w:rsidRPr="00AA631C">
              <w:rPr>
                <w:rFonts w:ascii="Arial" w:hAnsi="Arial" w:cs="Arial"/>
                <w:spacing w:val="-2"/>
                <w:sz w:val="20"/>
                <w:szCs w:val="20"/>
              </w:rPr>
              <w:t>0.560</w:t>
            </w:r>
          </w:p>
        </w:tc>
        <w:tc>
          <w:tcPr>
            <w:tcW w:w="2251" w:type="dxa"/>
            <w:tcBorders>
              <w:right w:val="single" w:sz="6" w:space="0" w:color="000000"/>
            </w:tcBorders>
          </w:tcPr>
          <w:p w14:paraId="301A74EB"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0.508</w:t>
            </w:r>
          </w:p>
        </w:tc>
        <w:tc>
          <w:tcPr>
            <w:tcW w:w="2522" w:type="dxa"/>
            <w:tcBorders>
              <w:left w:val="single" w:sz="6" w:space="0" w:color="000000"/>
            </w:tcBorders>
          </w:tcPr>
          <w:p w14:paraId="02041E5C" w14:textId="77777777" w:rsidR="00C35EC6" w:rsidRPr="00AA631C" w:rsidRDefault="00C35EC6" w:rsidP="000E22AD">
            <w:pPr>
              <w:pStyle w:val="TableParagraph"/>
              <w:spacing w:after="0"/>
              <w:ind w:left="19"/>
              <w:rPr>
                <w:rFonts w:ascii="Arial" w:hAnsi="Arial" w:cs="Arial"/>
                <w:b/>
                <w:sz w:val="20"/>
                <w:szCs w:val="20"/>
              </w:rPr>
            </w:pPr>
            <w:r w:rsidRPr="00AA631C">
              <w:rPr>
                <w:rFonts w:ascii="Arial" w:hAnsi="Arial" w:cs="Arial"/>
                <w:b/>
                <w:spacing w:val="-2"/>
                <w:sz w:val="20"/>
                <w:szCs w:val="20"/>
              </w:rPr>
              <w:t>0.741</w:t>
            </w:r>
          </w:p>
        </w:tc>
      </w:tr>
      <w:tr w:rsidR="00C35EC6" w:rsidRPr="00AA631C" w14:paraId="4A9DA9DC" w14:textId="77777777" w:rsidTr="000E22AD">
        <w:trPr>
          <w:trHeight w:val="99"/>
          <w:jc w:val="center"/>
        </w:trPr>
        <w:tc>
          <w:tcPr>
            <w:tcW w:w="978" w:type="dxa"/>
            <w:tcBorders>
              <w:bottom w:val="nil"/>
            </w:tcBorders>
            <w:shd w:val="clear" w:color="auto" w:fill="C0C0C0"/>
          </w:tcPr>
          <w:p w14:paraId="65D1099F" w14:textId="77777777" w:rsidR="00C35EC6" w:rsidRPr="00AA631C" w:rsidRDefault="00C35EC6" w:rsidP="000E22AD">
            <w:pPr>
              <w:pStyle w:val="TableParagraph"/>
              <w:spacing w:after="0"/>
              <w:ind w:left="0"/>
              <w:jc w:val="left"/>
              <w:rPr>
                <w:rFonts w:ascii="Arial" w:hAnsi="Arial" w:cs="Arial"/>
                <w:sz w:val="20"/>
                <w:szCs w:val="20"/>
              </w:rPr>
            </w:pPr>
          </w:p>
        </w:tc>
        <w:tc>
          <w:tcPr>
            <w:tcW w:w="2259" w:type="dxa"/>
            <w:gridSpan w:val="2"/>
            <w:vMerge w:val="restart"/>
          </w:tcPr>
          <w:p w14:paraId="1F6AFEE4" w14:textId="77777777" w:rsidR="00C35EC6" w:rsidRPr="00AA631C" w:rsidRDefault="00C35EC6" w:rsidP="000E22AD">
            <w:pPr>
              <w:pStyle w:val="TableParagraph"/>
              <w:spacing w:after="0"/>
              <w:ind w:left="21"/>
              <w:rPr>
                <w:rFonts w:ascii="Arial" w:hAnsi="Arial" w:cs="Arial"/>
                <w:sz w:val="20"/>
                <w:szCs w:val="20"/>
              </w:rPr>
            </w:pPr>
            <w:r w:rsidRPr="00AA631C">
              <w:rPr>
                <w:rFonts w:ascii="Arial" w:hAnsi="Arial" w:cs="Arial"/>
                <w:spacing w:val="-2"/>
                <w:sz w:val="20"/>
                <w:szCs w:val="20"/>
              </w:rPr>
              <w:t>0.478</w:t>
            </w:r>
          </w:p>
        </w:tc>
        <w:tc>
          <w:tcPr>
            <w:tcW w:w="2251" w:type="dxa"/>
            <w:vMerge w:val="restart"/>
            <w:tcBorders>
              <w:right w:val="single" w:sz="6" w:space="0" w:color="000000"/>
            </w:tcBorders>
          </w:tcPr>
          <w:p w14:paraId="66C13A68" w14:textId="77777777" w:rsidR="00C35EC6" w:rsidRPr="00AA631C" w:rsidRDefault="00C35EC6" w:rsidP="000E22AD">
            <w:pPr>
              <w:pStyle w:val="TableParagraph"/>
              <w:spacing w:after="0"/>
              <w:ind w:left="25"/>
              <w:rPr>
                <w:rFonts w:ascii="Arial" w:hAnsi="Arial" w:cs="Arial"/>
                <w:sz w:val="20"/>
                <w:szCs w:val="20"/>
              </w:rPr>
            </w:pPr>
            <w:r w:rsidRPr="00AA631C">
              <w:rPr>
                <w:rFonts w:ascii="Arial" w:hAnsi="Arial" w:cs="Arial"/>
                <w:spacing w:val="-2"/>
                <w:sz w:val="20"/>
                <w:szCs w:val="20"/>
              </w:rPr>
              <w:t>0.547</w:t>
            </w:r>
          </w:p>
        </w:tc>
        <w:tc>
          <w:tcPr>
            <w:tcW w:w="2522" w:type="dxa"/>
            <w:vMerge w:val="restart"/>
            <w:tcBorders>
              <w:left w:val="single" w:sz="6" w:space="0" w:color="000000"/>
            </w:tcBorders>
          </w:tcPr>
          <w:p w14:paraId="1DEA8FDC" w14:textId="77777777" w:rsidR="00C35EC6" w:rsidRPr="00AA631C" w:rsidRDefault="00C35EC6" w:rsidP="000E22AD">
            <w:pPr>
              <w:pStyle w:val="TableParagraph"/>
              <w:spacing w:after="0"/>
              <w:ind w:left="19"/>
              <w:rPr>
                <w:rFonts w:ascii="Arial" w:hAnsi="Arial" w:cs="Arial"/>
                <w:b/>
                <w:sz w:val="20"/>
                <w:szCs w:val="20"/>
              </w:rPr>
            </w:pPr>
            <w:r w:rsidRPr="00AA631C">
              <w:rPr>
                <w:rFonts w:ascii="Arial" w:hAnsi="Arial" w:cs="Arial"/>
                <w:b/>
                <w:spacing w:val="-2"/>
                <w:sz w:val="20"/>
                <w:szCs w:val="20"/>
              </w:rPr>
              <w:t>0.728</w:t>
            </w:r>
          </w:p>
        </w:tc>
      </w:tr>
      <w:tr w:rsidR="00C35EC6" w:rsidRPr="00AA631C" w14:paraId="060C7E20" w14:textId="77777777" w:rsidTr="000E22AD">
        <w:trPr>
          <w:trHeight w:val="43"/>
          <w:jc w:val="center"/>
        </w:trPr>
        <w:tc>
          <w:tcPr>
            <w:tcW w:w="978" w:type="dxa"/>
            <w:tcBorders>
              <w:top w:val="nil"/>
            </w:tcBorders>
            <w:shd w:val="clear" w:color="auto" w:fill="C0C0C0"/>
          </w:tcPr>
          <w:p w14:paraId="1D8A4CF1" w14:textId="77777777" w:rsidR="00C35EC6" w:rsidRPr="00AA631C" w:rsidRDefault="00C35EC6" w:rsidP="000E22AD">
            <w:pPr>
              <w:pStyle w:val="TableParagraph"/>
              <w:spacing w:after="0"/>
              <w:ind w:left="290"/>
              <w:jc w:val="left"/>
              <w:rPr>
                <w:rFonts w:ascii="Arial" w:hAnsi="Arial" w:cs="Arial"/>
                <w:b/>
                <w:sz w:val="20"/>
                <w:szCs w:val="20"/>
              </w:rPr>
            </w:pPr>
            <w:r w:rsidRPr="00AA631C">
              <w:rPr>
                <w:rFonts w:ascii="Arial" w:hAnsi="Arial" w:cs="Arial"/>
                <w:b/>
                <w:spacing w:val="-5"/>
                <w:sz w:val="20"/>
                <w:szCs w:val="20"/>
              </w:rPr>
              <w:t>SP5</w:t>
            </w:r>
          </w:p>
        </w:tc>
        <w:tc>
          <w:tcPr>
            <w:tcW w:w="2259" w:type="dxa"/>
            <w:gridSpan w:val="2"/>
            <w:vMerge/>
            <w:tcBorders>
              <w:top w:val="nil"/>
            </w:tcBorders>
          </w:tcPr>
          <w:p w14:paraId="5DB6823B" w14:textId="77777777" w:rsidR="00C35EC6" w:rsidRPr="00AA631C" w:rsidRDefault="00C35EC6" w:rsidP="000E22AD">
            <w:pPr>
              <w:rPr>
                <w:rFonts w:cs="Arial"/>
                <w:sz w:val="20"/>
                <w:szCs w:val="20"/>
              </w:rPr>
            </w:pPr>
          </w:p>
        </w:tc>
        <w:tc>
          <w:tcPr>
            <w:tcW w:w="2251" w:type="dxa"/>
            <w:vMerge/>
            <w:tcBorders>
              <w:top w:val="nil"/>
              <w:right w:val="single" w:sz="6" w:space="0" w:color="000000"/>
            </w:tcBorders>
          </w:tcPr>
          <w:p w14:paraId="3DAEF29E" w14:textId="77777777" w:rsidR="00C35EC6" w:rsidRPr="00AA631C" w:rsidRDefault="00C35EC6" w:rsidP="000E22AD">
            <w:pPr>
              <w:rPr>
                <w:rFonts w:cs="Arial"/>
                <w:sz w:val="20"/>
                <w:szCs w:val="20"/>
              </w:rPr>
            </w:pPr>
          </w:p>
        </w:tc>
        <w:tc>
          <w:tcPr>
            <w:tcW w:w="2522" w:type="dxa"/>
            <w:vMerge/>
            <w:tcBorders>
              <w:top w:val="nil"/>
              <w:left w:val="single" w:sz="6" w:space="0" w:color="000000"/>
            </w:tcBorders>
          </w:tcPr>
          <w:p w14:paraId="7B9E616D" w14:textId="77777777" w:rsidR="00C35EC6" w:rsidRPr="00AA631C" w:rsidRDefault="00C35EC6" w:rsidP="000E22AD">
            <w:pPr>
              <w:rPr>
                <w:rFonts w:cs="Arial"/>
                <w:sz w:val="20"/>
                <w:szCs w:val="20"/>
              </w:rPr>
            </w:pPr>
          </w:p>
        </w:tc>
      </w:tr>
    </w:tbl>
    <w:p w14:paraId="284F37EA" w14:textId="77777777" w:rsidR="00C35EC6" w:rsidRPr="00AA631C" w:rsidRDefault="00C35EC6" w:rsidP="00C35EC6">
      <w:pPr>
        <w:spacing w:line="360" w:lineRule="auto"/>
        <w:ind w:firstLine="720"/>
      </w:pPr>
    </w:p>
    <w:p w14:paraId="0220DEE2" w14:textId="77777777" w:rsidR="00C35EC6" w:rsidRPr="00AA631C" w:rsidRDefault="007E0E91" w:rsidP="00C35EC6">
      <w:pPr>
        <w:spacing w:line="360" w:lineRule="auto"/>
        <w:rPr>
          <w:b/>
          <w:bCs/>
          <w:sz w:val="22"/>
          <w:szCs w:val="22"/>
        </w:rPr>
      </w:pPr>
      <w:r w:rsidRPr="00AA631C">
        <w:rPr>
          <w:b/>
          <w:bCs/>
          <w:sz w:val="22"/>
          <w:szCs w:val="22"/>
        </w:rPr>
        <w:t xml:space="preserve">4.6 </w:t>
      </w:r>
      <w:r w:rsidR="00C35EC6" w:rsidRPr="00AA631C">
        <w:rPr>
          <w:b/>
          <w:bCs/>
          <w:sz w:val="22"/>
          <w:szCs w:val="22"/>
        </w:rPr>
        <w:t>Construct reliability</w:t>
      </w:r>
    </w:p>
    <w:p w14:paraId="42133388" w14:textId="77777777" w:rsidR="00C35EC6" w:rsidRPr="00AA631C" w:rsidRDefault="00C35EC6" w:rsidP="00C35EC6">
      <w:r w:rsidRPr="00AA631C">
        <w:t>Construct reliability was assessed using Cronbach's alpha and Composite Reliability (CR). As reported in Table 6, Cronbach's alpha values ranged from 0.829 to 0.882, while Composite Reliability values ranged from 0.880 to 0.919. All values exceeded the recommended threshold of 0.70 (Hair et al., 2022), indicating satisfactory internal consistency across all constructs.</w:t>
      </w:r>
    </w:p>
    <w:p w14:paraId="75ACC16C" w14:textId="77777777" w:rsidR="00C35EC6" w:rsidRPr="00AA631C" w:rsidRDefault="00C35EC6" w:rsidP="00C35EC6">
      <w:pPr>
        <w:spacing w:line="360" w:lineRule="auto"/>
        <w:ind w:firstLine="720"/>
      </w:pPr>
    </w:p>
    <w:p w14:paraId="7F8534FB" w14:textId="77777777" w:rsidR="00C35EC6" w:rsidRPr="00AA631C" w:rsidRDefault="00C35EC6" w:rsidP="007E0E91">
      <w:pPr>
        <w:pStyle w:val="Caption"/>
      </w:pPr>
      <w:r w:rsidRPr="00AA631C">
        <w:lastRenderedPageBreak/>
        <w:t>Table</w:t>
      </w:r>
      <w:r w:rsidRPr="00AA631C">
        <w:rPr>
          <w:spacing w:val="-17"/>
        </w:rPr>
        <w:t xml:space="preserve"> </w:t>
      </w:r>
      <w:r w:rsidRPr="00AA631C">
        <w:t>6.</w:t>
      </w:r>
      <w:r w:rsidRPr="00AA631C">
        <w:rPr>
          <w:spacing w:val="-14"/>
        </w:rPr>
        <w:t xml:space="preserve"> </w:t>
      </w:r>
      <w:r w:rsidRPr="00AA631C">
        <w:t>Cronbach’s</w:t>
      </w:r>
      <w:r w:rsidRPr="00AA631C">
        <w:rPr>
          <w:spacing w:val="-14"/>
        </w:rPr>
        <w:t xml:space="preserve"> </w:t>
      </w:r>
      <w:r w:rsidRPr="00AA631C">
        <w:t>Alpha</w:t>
      </w:r>
      <w:r w:rsidRPr="00AA631C">
        <w:rPr>
          <w:spacing w:val="-12"/>
        </w:rPr>
        <w:t xml:space="preserve"> </w:t>
      </w:r>
      <w:r w:rsidRPr="00AA631C">
        <w:t>dan</w:t>
      </w:r>
      <w:r w:rsidRPr="00AA631C">
        <w:rPr>
          <w:spacing w:val="-10"/>
        </w:rPr>
        <w:t xml:space="preserve"> </w:t>
      </w:r>
      <w:r w:rsidRPr="00AA631C">
        <w:t>Composite</w:t>
      </w:r>
      <w:r w:rsidRPr="00AA631C">
        <w:rPr>
          <w:spacing w:val="-12"/>
        </w:rPr>
        <w:t xml:space="preserve"> </w:t>
      </w:r>
      <w:r w:rsidRPr="00AA631C">
        <w:rPr>
          <w:spacing w:val="-2"/>
        </w:rPr>
        <w:t>Reliability</w:t>
      </w:r>
    </w:p>
    <w:tbl>
      <w:tblPr>
        <w:tblStyle w:val="TableNormal1"/>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1"/>
        <w:gridCol w:w="2071"/>
        <w:gridCol w:w="3152"/>
      </w:tblGrid>
      <w:tr w:rsidR="00C35EC6" w:rsidRPr="00AA631C" w14:paraId="7E207DEF" w14:textId="77777777" w:rsidTr="000E22AD">
        <w:trPr>
          <w:cantSplit/>
          <w:jc w:val="center"/>
        </w:trPr>
        <w:tc>
          <w:tcPr>
            <w:tcW w:w="2961" w:type="dxa"/>
            <w:shd w:val="clear" w:color="auto" w:fill="D9D9D9"/>
          </w:tcPr>
          <w:p w14:paraId="344E7EFD" w14:textId="77777777" w:rsidR="00C35EC6" w:rsidRPr="00AA631C" w:rsidRDefault="00C35EC6" w:rsidP="000E22AD">
            <w:pPr>
              <w:pStyle w:val="TableParagraph"/>
              <w:spacing w:before="1"/>
              <w:ind w:left="31"/>
              <w:rPr>
                <w:rFonts w:ascii="Arial" w:hAnsi="Arial" w:cs="Arial"/>
                <w:bCs/>
                <w:sz w:val="20"/>
                <w:szCs w:val="20"/>
              </w:rPr>
            </w:pPr>
            <w:r w:rsidRPr="00AA631C">
              <w:rPr>
                <w:rFonts w:ascii="Arial" w:hAnsi="Arial" w:cs="Arial"/>
                <w:bCs/>
                <w:spacing w:val="-2"/>
                <w:sz w:val="20"/>
                <w:szCs w:val="20"/>
              </w:rPr>
              <w:t>Variabel</w:t>
            </w:r>
          </w:p>
        </w:tc>
        <w:tc>
          <w:tcPr>
            <w:tcW w:w="2071" w:type="dxa"/>
            <w:shd w:val="clear" w:color="auto" w:fill="D9D9D9"/>
          </w:tcPr>
          <w:p w14:paraId="426A88DA" w14:textId="77777777" w:rsidR="00C35EC6" w:rsidRPr="00AA631C" w:rsidRDefault="00C35EC6" w:rsidP="000E22AD">
            <w:pPr>
              <w:pStyle w:val="TableParagraph"/>
              <w:spacing w:before="1"/>
              <w:ind w:left="40"/>
              <w:rPr>
                <w:rFonts w:ascii="Arial" w:hAnsi="Arial" w:cs="Arial"/>
                <w:bCs/>
                <w:sz w:val="20"/>
                <w:szCs w:val="20"/>
              </w:rPr>
            </w:pPr>
            <w:r w:rsidRPr="00AA631C">
              <w:rPr>
                <w:rFonts w:ascii="Arial" w:hAnsi="Arial" w:cs="Arial"/>
                <w:bCs/>
                <w:spacing w:val="-4"/>
                <w:sz w:val="20"/>
                <w:szCs w:val="20"/>
              </w:rPr>
              <w:t>Cronbach’s</w:t>
            </w:r>
            <w:r w:rsidRPr="00AA631C">
              <w:rPr>
                <w:rFonts w:ascii="Arial" w:hAnsi="Arial" w:cs="Arial"/>
                <w:bCs/>
                <w:spacing w:val="5"/>
                <w:sz w:val="20"/>
                <w:szCs w:val="20"/>
              </w:rPr>
              <w:t xml:space="preserve"> </w:t>
            </w:r>
            <w:r w:rsidRPr="00AA631C">
              <w:rPr>
                <w:rFonts w:ascii="Arial" w:hAnsi="Arial" w:cs="Arial"/>
                <w:bCs/>
                <w:spacing w:val="-2"/>
                <w:sz w:val="20"/>
                <w:szCs w:val="20"/>
              </w:rPr>
              <w:t>Alpha</w:t>
            </w:r>
          </w:p>
        </w:tc>
        <w:tc>
          <w:tcPr>
            <w:tcW w:w="3152" w:type="dxa"/>
            <w:shd w:val="clear" w:color="auto" w:fill="D9D9D9"/>
          </w:tcPr>
          <w:p w14:paraId="0C10DDFA" w14:textId="77777777" w:rsidR="00C35EC6" w:rsidRPr="00AA631C" w:rsidRDefault="00C35EC6" w:rsidP="000E22AD">
            <w:pPr>
              <w:pStyle w:val="TableParagraph"/>
              <w:spacing w:before="1"/>
              <w:ind w:left="43" w:right="10"/>
              <w:rPr>
                <w:rFonts w:ascii="Arial" w:hAnsi="Arial" w:cs="Arial"/>
                <w:bCs/>
                <w:sz w:val="20"/>
                <w:szCs w:val="20"/>
              </w:rPr>
            </w:pPr>
            <w:r w:rsidRPr="00AA631C">
              <w:rPr>
                <w:rFonts w:ascii="Arial" w:hAnsi="Arial" w:cs="Arial"/>
                <w:bCs/>
                <w:sz w:val="20"/>
                <w:szCs w:val="20"/>
              </w:rPr>
              <w:t>Composite</w:t>
            </w:r>
            <w:r w:rsidRPr="00AA631C">
              <w:rPr>
                <w:rFonts w:ascii="Arial" w:hAnsi="Arial" w:cs="Arial"/>
                <w:bCs/>
                <w:spacing w:val="-10"/>
                <w:sz w:val="20"/>
                <w:szCs w:val="20"/>
              </w:rPr>
              <w:t xml:space="preserve"> </w:t>
            </w:r>
            <w:r w:rsidRPr="00AA631C">
              <w:rPr>
                <w:rFonts w:ascii="Arial" w:hAnsi="Arial" w:cs="Arial"/>
                <w:bCs/>
                <w:sz w:val="20"/>
                <w:szCs w:val="20"/>
              </w:rPr>
              <w:t>Reliability</w:t>
            </w:r>
            <w:r w:rsidRPr="00AA631C">
              <w:rPr>
                <w:rFonts w:ascii="Arial" w:hAnsi="Arial" w:cs="Arial"/>
                <w:bCs/>
                <w:spacing w:val="-9"/>
                <w:sz w:val="20"/>
                <w:szCs w:val="20"/>
              </w:rPr>
              <w:t xml:space="preserve"> </w:t>
            </w:r>
            <w:r w:rsidRPr="00AA631C">
              <w:rPr>
                <w:rFonts w:ascii="Arial" w:hAnsi="Arial" w:cs="Arial"/>
                <w:bCs/>
                <w:spacing w:val="-4"/>
                <w:sz w:val="20"/>
                <w:szCs w:val="20"/>
              </w:rPr>
              <w:t>(CR)</w:t>
            </w:r>
          </w:p>
        </w:tc>
      </w:tr>
      <w:tr w:rsidR="00C35EC6" w:rsidRPr="00AA631C" w14:paraId="03ED7A4C" w14:textId="77777777" w:rsidTr="000E22AD">
        <w:trPr>
          <w:cantSplit/>
          <w:jc w:val="center"/>
        </w:trPr>
        <w:tc>
          <w:tcPr>
            <w:tcW w:w="2961" w:type="dxa"/>
          </w:tcPr>
          <w:p w14:paraId="3F8C29EB"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Green</w:t>
            </w:r>
            <w:r w:rsidRPr="00AA631C">
              <w:rPr>
                <w:rFonts w:ascii="Arial" w:hAnsi="Arial" w:cs="Arial"/>
                <w:bCs/>
                <w:spacing w:val="-4"/>
                <w:sz w:val="20"/>
                <w:szCs w:val="20"/>
              </w:rPr>
              <w:t xml:space="preserve"> </w:t>
            </w:r>
            <w:r w:rsidRPr="00AA631C">
              <w:rPr>
                <w:rFonts w:ascii="Arial" w:hAnsi="Arial" w:cs="Arial"/>
                <w:bCs/>
                <w:sz w:val="20"/>
                <w:szCs w:val="20"/>
              </w:rPr>
              <w:t>innovation</w:t>
            </w:r>
            <w:r w:rsidRPr="00AA631C">
              <w:rPr>
                <w:rFonts w:ascii="Arial" w:hAnsi="Arial" w:cs="Arial"/>
                <w:bCs/>
                <w:spacing w:val="-3"/>
                <w:sz w:val="20"/>
                <w:szCs w:val="20"/>
              </w:rPr>
              <w:t xml:space="preserve"> </w:t>
            </w:r>
            <w:r w:rsidRPr="00AA631C">
              <w:rPr>
                <w:rFonts w:ascii="Arial" w:hAnsi="Arial" w:cs="Arial"/>
                <w:bCs/>
                <w:spacing w:val="-2"/>
                <w:sz w:val="20"/>
                <w:szCs w:val="20"/>
              </w:rPr>
              <w:t>product</w:t>
            </w:r>
          </w:p>
        </w:tc>
        <w:tc>
          <w:tcPr>
            <w:tcW w:w="2071" w:type="dxa"/>
          </w:tcPr>
          <w:p w14:paraId="7F30EC04" w14:textId="77777777" w:rsidR="00C35EC6" w:rsidRPr="00AA631C" w:rsidRDefault="00C35EC6" w:rsidP="000E22AD">
            <w:pPr>
              <w:pStyle w:val="TableParagraph"/>
              <w:spacing w:before="1"/>
              <w:ind w:left="40" w:right="5"/>
              <w:rPr>
                <w:rFonts w:ascii="Arial" w:hAnsi="Arial" w:cs="Arial"/>
                <w:bCs/>
                <w:sz w:val="20"/>
                <w:szCs w:val="20"/>
              </w:rPr>
            </w:pPr>
            <w:r w:rsidRPr="00AA631C">
              <w:rPr>
                <w:rFonts w:ascii="Arial" w:hAnsi="Arial" w:cs="Arial"/>
                <w:bCs/>
                <w:spacing w:val="-2"/>
                <w:sz w:val="20"/>
                <w:szCs w:val="20"/>
              </w:rPr>
              <w:t>0.882</w:t>
            </w:r>
          </w:p>
        </w:tc>
        <w:tc>
          <w:tcPr>
            <w:tcW w:w="3152" w:type="dxa"/>
          </w:tcPr>
          <w:p w14:paraId="12DB58E1" w14:textId="77777777" w:rsidR="00C35EC6" w:rsidRPr="00AA631C" w:rsidRDefault="00C35EC6" w:rsidP="000E22AD">
            <w:pPr>
              <w:pStyle w:val="TableParagraph"/>
              <w:spacing w:before="1"/>
              <w:ind w:left="43"/>
              <w:rPr>
                <w:rFonts w:ascii="Arial" w:hAnsi="Arial" w:cs="Arial"/>
                <w:bCs/>
                <w:sz w:val="20"/>
                <w:szCs w:val="20"/>
              </w:rPr>
            </w:pPr>
            <w:r w:rsidRPr="00AA631C">
              <w:rPr>
                <w:rFonts w:ascii="Arial" w:hAnsi="Arial" w:cs="Arial"/>
                <w:bCs/>
                <w:spacing w:val="-2"/>
                <w:sz w:val="20"/>
                <w:szCs w:val="20"/>
              </w:rPr>
              <w:t>0.919</w:t>
            </w:r>
          </w:p>
        </w:tc>
      </w:tr>
      <w:tr w:rsidR="00C35EC6" w:rsidRPr="00AA631C" w14:paraId="7BF08D3F" w14:textId="77777777" w:rsidTr="000E22AD">
        <w:trPr>
          <w:cantSplit/>
          <w:jc w:val="center"/>
        </w:trPr>
        <w:tc>
          <w:tcPr>
            <w:tcW w:w="2961" w:type="dxa"/>
          </w:tcPr>
          <w:p w14:paraId="48795ED2"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Green</w:t>
            </w:r>
            <w:r w:rsidRPr="00AA631C">
              <w:rPr>
                <w:rFonts w:ascii="Arial" w:hAnsi="Arial" w:cs="Arial"/>
                <w:bCs/>
                <w:spacing w:val="-4"/>
                <w:sz w:val="20"/>
                <w:szCs w:val="20"/>
              </w:rPr>
              <w:t xml:space="preserve"> </w:t>
            </w:r>
            <w:r w:rsidRPr="00AA631C">
              <w:rPr>
                <w:rFonts w:ascii="Arial" w:hAnsi="Arial" w:cs="Arial"/>
                <w:bCs/>
                <w:sz w:val="20"/>
                <w:szCs w:val="20"/>
              </w:rPr>
              <w:t>supply</w:t>
            </w:r>
            <w:r w:rsidRPr="00AA631C">
              <w:rPr>
                <w:rFonts w:ascii="Arial" w:hAnsi="Arial" w:cs="Arial"/>
                <w:bCs/>
                <w:spacing w:val="-3"/>
                <w:sz w:val="20"/>
                <w:szCs w:val="20"/>
              </w:rPr>
              <w:t xml:space="preserve"> </w:t>
            </w:r>
            <w:r w:rsidRPr="00AA631C">
              <w:rPr>
                <w:rFonts w:ascii="Arial" w:hAnsi="Arial" w:cs="Arial"/>
                <w:bCs/>
                <w:spacing w:val="-4"/>
                <w:sz w:val="20"/>
                <w:szCs w:val="20"/>
              </w:rPr>
              <w:t>chain</w:t>
            </w:r>
          </w:p>
        </w:tc>
        <w:tc>
          <w:tcPr>
            <w:tcW w:w="2071" w:type="dxa"/>
          </w:tcPr>
          <w:p w14:paraId="73377461" w14:textId="77777777" w:rsidR="00C35EC6" w:rsidRPr="00AA631C" w:rsidRDefault="00C35EC6" w:rsidP="000E22AD">
            <w:pPr>
              <w:pStyle w:val="TableParagraph"/>
              <w:spacing w:before="1"/>
              <w:ind w:left="40" w:right="5"/>
              <w:rPr>
                <w:rFonts w:ascii="Arial" w:hAnsi="Arial" w:cs="Arial"/>
                <w:bCs/>
                <w:sz w:val="20"/>
                <w:szCs w:val="20"/>
              </w:rPr>
            </w:pPr>
            <w:r w:rsidRPr="00AA631C">
              <w:rPr>
                <w:rFonts w:ascii="Arial" w:hAnsi="Arial" w:cs="Arial"/>
                <w:bCs/>
                <w:spacing w:val="-2"/>
                <w:sz w:val="20"/>
                <w:szCs w:val="20"/>
              </w:rPr>
              <w:t>0.873</w:t>
            </w:r>
          </w:p>
        </w:tc>
        <w:tc>
          <w:tcPr>
            <w:tcW w:w="3152" w:type="dxa"/>
          </w:tcPr>
          <w:p w14:paraId="3178A221" w14:textId="77777777" w:rsidR="00C35EC6" w:rsidRPr="00AA631C" w:rsidRDefault="00C35EC6" w:rsidP="000E22AD">
            <w:pPr>
              <w:pStyle w:val="TableParagraph"/>
              <w:spacing w:before="1"/>
              <w:ind w:left="43"/>
              <w:rPr>
                <w:rFonts w:ascii="Arial" w:hAnsi="Arial" w:cs="Arial"/>
                <w:bCs/>
                <w:sz w:val="20"/>
                <w:szCs w:val="20"/>
              </w:rPr>
            </w:pPr>
            <w:r w:rsidRPr="00AA631C">
              <w:rPr>
                <w:rFonts w:ascii="Arial" w:hAnsi="Arial" w:cs="Arial"/>
                <w:bCs/>
                <w:spacing w:val="-2"/>
                <w:sz w:val="20"/>
                <w:szCs w:val="20"/>
              </w:rPr>
              <w:t>0.908</w:t>
            </w:r>
          </w:p>
        </w:tc>
      </w:tr>
      <w:tr w:rsidR="00C35EC6" w:rsidRPr="00AA631C" w14:paraId="057CDF88" w14:textId="77777777" w:rsidTr="000E22AD">
        <w:trPr>
          <w:cantSplit/>
          <w:jc w:val="center"/>
        </w:trPr>
        <w:tc>
          <w:tcPr>
            <w:tcW w:w="2961" w:type="dxa"/>
          </w:tcPr>
          <w:p w14:paraId="5667B21B" w14:textId="77777777" w:rsidR="00C35EC6" w:rsidRPr="00AA631C" w:rsidRDefault="00C35EC6" w:rsidP="000E22AD">
            <w:pPr>
              <w:pStyle w:val="TableParagraph"/>
              <w:spacing w:before="1"/>
              <w:ind w:left="105"/>
              <w:jc w:val="left"/>
              <w:rPr>
                <w:rFonts w:ascii="Arial" w:hAnsi="Arial" w:cs="Arial"/>
                <w:bCs/>
                <w:sz w:val="20"/>
                <w:szCs w:val="20"/>
              </w:rPr>
            </w:pPr>
            <w:r w:rsidRPr="00AA631C">
              <w:rPr>
                <w:rFonts w:ascii="Arial" w:hAnsi="Arial" w:cs="Arial"/>
                <w:bCs/>
                <w:sz w:val="20"/>
                <w:szCs w:val="20"/>
              </w:rPr>
              <w:t>Social</w:t>
            </w:r>
            <w:r w:rsidRPr="00AA631C">
              <w:rPr>
                <w:rFonts w:ascii="Arial" w:hAnsi="Arial" w:cs="Arial"/>
                <w:bCs/>
                <w:spacing w:val="-9"/>
                <w:sz w:val="20"/>
                <w:szCs w:val="20"/>
              </w:rPr>
              <w:t xml:space="preserve"> </w:t>
            </w:r>
            <w:r w:rsidRPr="00AA631C">
              <w:rPr>
                <w:rFonts w:ascii="Arial" w:hAnsi="Arial" w:cs="Arial"/>
                <w:bCs/>
                <w:spacing w:val="-2"/>
                <w:sz w:val="20"/>
                <w:szCs w:val="20"/>
              </w:rPr>
              <w:t>performance</w:t>
            </w:r>
          </w:p>
        </w:tc>
        <w:tc>
          <w:tcPr>
            <w:tcW w:w="2071" w:type="dxa"/>
          </w:tcPr>
          <w:p w14:paraId="63289856" w14:textId="77777777" w:rsidR="00C35EC6" w:rsidRPr="00AA631C" w:rsidRDefault="00C35EC6" w:rsidP="000E22AD">
            <w:pPr>
              <w:pStyle w:val="TableParagraph"/>
              <w:spacing w:before="1"/>
              <w:ind w:left="40" w:right="5"/>
              <w:rPr>
                <w:rFonts w:ascii="Arial" w:hAnsi="Arial" w:cs="Arial"/>
                <w:bCs/>
                <w:sz w:val="20"/>
                <w:szCs w:val="20"/>
              </w:rPr>
            </w:pPr>
            <w:r w:rsidRPr="00AA631C">
              <w:rPr>
                <w:rFonts w:ascii="Arial" w:hAnsi="Arial" w:cs="Arial"/>
                <w:bCs/>
                <w:spacing w:val="-2"/>
                <w:sz w:val="20"/>
                <w:szCs w:val="20"/>
              </w:rPr>
              <w:t>0.829</w:t>
            </w:r>
          </w:p>
        </w:tc>
        <w:tc>
          <w:tcPr>
            <w:tcW w:w="3152" w:type="dxa"/>
          </w:tcPr>
          <w:p w14:paraId="276915FA" w14:textId="77777777" w:rsidR="00C35EC6" w:rsidRPr="00AA631C" w:rsidRDefault="00C35EC6" w:rsidP="000E22AD">
            <w:pPr>
              <w:pStyle w:val="TableParagraph"/>
              <w:spacing w:before="1"/>
              <w:ind w:left="43"/>
              <w:rPr>
                <w:rFonts w:ascii="Arial" w:hAnsi="Arial" w:cs="Arial"/>
                <w:bCs/>
                <w:sz w:val="20"/>
                <w:szCs w:val="20"/>
              </w:rPr>
            </w:pPr>
            <w:r w:rsidRPr="00AA631C">
              <w:rPr>
                <w:rFonts w:ascii="Arial" w:hAnsi="Arial" w:cs="Arial"/>
                <w:bCs/>
                <w:spacing w:val="-2"/>
                <w:sz w:val="20"/>
                <w:szCs w:val="20"/>
              </w:rPr>
              <w:t>0.880</w:t>
            </w:r>
          </w:p>
        </w:tc>
      </w:tr>
    </w:tbl>
    <w:p w14:paraId="2298115E" w14:textId="77777777" w:rsidR="00C35EC6" w:rsidRPr="00AA631C" w:rsidRDefault="00C35EC6" w:rsidP="00C35EC6">
      <w:pPr>
        <w:spacing w:line="360" w:lineRule="auto"/>
        <w:ind w:firstLine="720"/>
      </w:pPr>
    </w:p>
    <w:p w14:paraId="3EDEF606" w14:textId="77777777" w:rsidR="00C35EC6" w:rsidRPr="00AA631C" w:rsidRDefault="007E0E91" w:rsidP="00C35EC6">
      <w:pPr>
        <w:spacing w:line="360" w:lineRule="auto"/>
        <w:rPr>
          <w:b/>
          <w:bCs/>
          <w:sz w:val="22"/>
          <w:szCs w:val="22"/>
        </w:rPr>
      </w:pPr>
      <w:r w:rsidRPr="00AA631C">
        <w:rPr>
          <w:b/>
          <w:bCs/>
          <w:sz w:val="22"/>
          <w:szCs w:val="22"/>
        </w:rPr>
        <w:t xml:space="preserve">4.7 </w:t>
      </w:r>
      <w:r w:rsidR="00C35EC6" w:rsidRPr="00AA631C">
        <w:rPr>
          <w:b/>
          <w:bCs/>
          <w:sz w:val="22"/>
          <w:szCs w:val="22"/>
        </w:rPr>
        <w:t>Structural model assessment</w:t>
      </w:r>
    </w:p>
    <w:p w14:paraId="0A912AD6" w14:textId="77777777" w:rsidR="007E0E91" w:rsidRPr="00AA631C" w:rsidRDefault="007E0E91" w:rsidP="00C35EC6">
      <w:pPr>
        <w:spacing w:line="360" w:lineRule="auto"/>
        <w:rPr>
          <w:b/>
          <w:bCs/>
          <w:sz w:val="22"/>
          <w:szCs w:val="22"/>
        </w:rPr>
      </w:pPr>
      <w:r w:rsidRPr="00AA631C">
        <w:rPr>
          <w:rFonts w:cs="Arial"/>
          <w:b/>
          <w:u w:val="single"/>
        </w:rPr>
        <w:t>4.7.1 Coefficient of determination (R²)</w:t>
      </w:r>
    </w:p>
    <w:p w14:paraId="7E25015F" w14:textId="77777777" w:rsidR="00C35EC6" w:rsidRPr="00AA631C" w:rsidRDefault="00C35EC6" w:rsidP="00C35EC6">
      <w:pPr>
        <w:spacing w:line="360" w:lineRule="auto"/>
        <w:rPr>
          <w:i/>
          <w:iCs/>
        </w:rPr>
      </w:pPr>
    </w:p>
    <w:p w14:paraId="6CB28B1A" w14:textId="77777777" w:rsidR="00C35EC6" w:rsidRPr="00AA631C" w:rsidRDefault="00C35EC6" w:rsidP="00C35EC6">
      <w:r w:rsidRPr="00AA631C">
        <w:t>The explanatory power of the structural model was evaluated using the coefficient of determination (R²). As shown in Table 7, Green Supply Chain achieved an R² value of 0.628, indicating that 62.8% of its variance was explained by Green Innovation Product. Similarly, Social Performance obtained an R² value of 0.646, indicating that 64.6% of its variance was jointly explained by Green Innovation Product and Green Supply Chain. According to Hair et al. (2022), these values indicate moderate to substantial explanatory power.</w:t>
      </w:r>
    </w:p>
    <w:p w14:paraId="188F4C60" w14:textId="77777777" w:rsidR="00C35EC6" w:rsidRPr="00AA631C" w:rsidRDefault="00C35EC6" w:rsidP="00C35EC6"/>
    <w:p w14:paraId="4C71AFF4" w14:textId="77777777" w:rsidR="00C35EC6" w:rsidRPr="00AA631C" w:rsidRDefault="00C35EC6" w:rsidP="007E0E91">
      <w:pPr>
        <w:pStyle w:val="Caption"/>
      </w:pPr>
      <w:r w:rsidRPr="00AA631C">
        <w:t>Tab</w:t>
      </w:r>
      <w:r w:rsidR="007C4D81" w:rsidRPr="00AA631C">
        <w:t xml:space="preserve">le </w:t>
      </w:r>
      <w:r w:rsidRPr="00AA631C">
        <w:t>7.</w:t>
      </w:r>
      <w:r w:rsidRPr="00AA631C">
        <w:rPr>
          <w:spacing w:val="-13"/>
        </w:rPr>
        <w:t xml:space="preserve"> </w:t>
      </w:r>
      <w:r w:rsidRPr="00AA631C">
        <w:t>Hasil</w:t>
      </w:r>
      <w:r w:rsidRPr="00AA631C">
        <w:rPr>
          <w:spacing w:val="-13"/>
        </w:rPr>
        <w:t xml:space="preserve"> </w:t>
      </w:r>
      <w:r w:rsidRPr="00AA631C">
        <w:t>R-</w:t>
      </w:r>
      <w:r w:rsidRPr="00AA631C">
        <w:rPr>
          <w:spacing w:val="-2"/>
        </w:rPr>
        <w:t>Square</w:t>
      </w: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2"/>
        <w:gridCol w:w="1676"/>
        <w:gridCol w:w="3017"/>
      </w:tblGrid>
      <w:tr w:rsidR="00C35EC6" w:rsidRPr="00AA631C" w14:paraId="5C0E345D" w14:textId="77777777" w:rsidTr="000E22AD">
        <w:trPr>
          <w:jc w:val="center"/>
        </w:trPr>
        <w:tc>
          <w:tcPr>
            <w:tcW w:w="3252" w:type="dxa"/>
          </w:tcPr>
          <w:p w14:paraId="4077FC82" w14:textId="77777777" w:rsidR="00C35EC6" w:rsidRPr="00AA631C" w:rsidRDefault="00C35EC6" w:rsidP="000E22AD">
            <w:pPr>
              <w:pStyle w:val="TableParagraph"/>
              <w:ind w:left="0"/>
              <w:jc w:val="left"/>
              <w:rPr>
                <w:rFonts w:ascii="Arial" w:hAnsi="Arial" w:cs="Arial"/>
                <w:sz w:val="20"/>
                <w:szCs w:val="20"/>
              </w:rPr>
            </w:pPr>
          </w:p>
        </w:tc>
        <w:tc>
          <w:tcPr>
            <w:tcW w:w="1676" w:type="dxa"/>
          </w:tcPr>
          <w:p w14:paraId="561ECB09" w14:textId="77777777" w:rsidR="00C35EC6" w:rsidRPr="00AA631C" w:rsidRDefault="00C35EC6" w:rsidP="000E22AD">
            <w:pPr>
              <w:pStyle w:val="TableParagraph"/>
              <w:spacing w:before="1"/>
              <w:ind w:left="29"/>
              <w:rPr>
                <w:rFonts w:ascii="Arial" w:hAnsi="Arial" w:cs="Arial"/>
                <w:iCs/>
                <w:sz w:val="20"/>
                <w:szCs w:val="20"/>
              </w:rPr>
            </w:pPr>
            <w:r w:rsidRPr="00AA631C">
              <w:rPr>
                <w:rFonts w:ascii="Arial" w:hAnsi="Arial" w:cs="Arial"/>
                <w:iCs/>
                <w:spacing w:val="-3"/>
                <w:sz w:val="20"/>
                <w:szCs w:val="20"/>
              </w:rPr>
              <w:t>R-</w:t>
            </w:r>
            <w:r w:rsidRPr="00AA631C">
              <w:rPr>
                <w:rFonts w:ascii="Arial" w:hAnsi="Arial" w:cs="Arial"/>
                <w:iCs/>
                <w:spacing w:val="-2"/>
                <w:sz w:val="20"/>
                <w:szCs w:val="20"/>
              </w:rPr>
              <w:t>Square</w:t>
            </w:r>
          </w:p>
        </w:tc>
        <w:tc>
          <w:tcPr>
            <w:tcW w:w="3017" w:type="dxa"/>
          </w:tcPr>
          <w:p w14:paraId="766000DE" w14:textId="77777777" w:rsidR="00C35EC6" w:rsidRPr="00AA631C" w:rsidRDefault="00C35EC6" w:rsidP="000E22AD">
            <w:pPr>
              <w:pStyle w:val="TableParagraph"/>
              <w:spacing w:before="1"/>
              <w:ind w:left="6" w:right="5"/>
              <w:rPr>
                <w:rFonts w:ascii="Arial" w:hAnsi="Arial" w:cs="Arial"/>
                <w:iCs/>
                <w:sz w:val="20"/>
                <w:szCs w:val="20"/>
              </w:rPr>
            </w:pPr>
            <w:r w:rsidRPr="00AA631C">
              <w:rPr>
                <w:rFonts w:ascii="Arial" w:hAnsi="Arial" w:cs="Arial"/>
                <w:iCs/>
                <w:sz w:val="20"/>
                <w:szCs w:val="20"/>
              </w:rPr>
              <w:t>R-Square</w:t>
            </w:r>
            <w:r w:rsidRPr="00AA631C">
              <w:rPr>
                <w:rFonts w:ascii="Arial" w:hAnsi="Arial" w:cs="Arial"/>
                <w:iCs/>
                <w:spacing w:val="-11"/>
                <w:sz w:val="20"/>
                <w:szCs w:val="20"/>
              </w:rPr>
              <w:t xml:space="preserve"> </w:t>
            </w:r>
            <w:r w:rsidRPr="00AA631C">
              <w:rPr>
                <w:rFonts w:ascii="Arial" w:hAnsi="Arial" w:cs="Arial"/>
                <w:iCs/>
                <w:spacing w:val="-2"/>
                <w:sz w:val="20"/>
                <w:szCs w:val="20"/>
              </w:rPr>
              <w:t>Adjusted</w:t>
            </w:r>
          </w:p>
        </w:tc>
      </w:tr>
      <w:tr w:rsidR="00C35EC6" w:rsidRPr="00AA631C" w14:paraId="4F0175B3" w14:textId="77777777" w:rsidTr="000E22AD">
        <w:trPr>
          <w:jc w:val="center"/>
        </w:trPr>
        <w:tc>
          <w:tcPr>
            <w:tcW w:w="3252" w:type="dxa"/>
          </w:tcPr>
          <w:p w14:paraId="27FBCD65" w14:textId="77777777" w:rsidR="00C35EC6" w:rsidRPr="00AA631C" w:rsidRDefault="00C35EC6" w:rsidP="000E22AD">
            <w:pPr>
              <w:pStyle w:val="TableParagraph"/>
              <w:spacing w:before="1"/>
              <w:ind w:left="100"/>
              <w:jc w:val="left"/>
              <w:rPr>
                <w:rFonts w:ascii="Arial" w:hAnsi="Arial" w:cs="Arial"/>
                <w:iCs/>
                <w:sz w:val="20"/>
                <w:szCs w:val="20"/>
              </w:rPr>
            </w:pPr>
            <w:r w:rsidRPr="00AA631C">
              <w:rPr>
                <w:rFonts w:ascii="Arial" w:hAnsi="Arial" w:cs="Arial"/>
                <w:iCs/>
                <w:sz w:val="20"/>
                <w:szCs w:val="20"/>
              </w:rPr>
              <w:t>Green</w:t>
            </w:r>
            <w:r w:rsidRPr="00AA631C">
              <w:rPr>
                <w:rFonts w:ascii="Arial" w:hAnsi="Arial" w:cs="Arial"/>
                <w:iCs/>
                <w:spacing w:val="-4"/>
                <w:sz w:val="20"/>
                <w:szCs w:val="20"/>
              </w:rPr>
              <w:t xml:space="preserve"> </w:t>
            </w:r>
            <w:r w:rsidRPr="00AA631C">
              <w:rPr>
                <w:rFonts w:ascii="Arial" w:hAnsi="Arial" w:cs="Arial"/>
                <w:iCs/>
                <w:sz w:val="20"/>
                <w:szCs w:val="20"/>
              </w:rPr>
              <w:t>supply</w:t>
            </w:r>
            <w:r w:rsidRPr="00AA631C">
              <w:rPr>
                <w:rFonts w:ascii="Arial" w:hAnsi="Arial" w:cs="Arial"/>
                <w:iCs/>
                <w:spacing w:val="-3"/>
                <w:sz w:val="20"/>
                <w:szCs w:val="20"/>
              </w:rPr>
              <w:t xml:space="preserve"> </w:t>
            </w:r>
            <w:r w:rsidRPr="00AA631C">
              <w:rPr>
                <w:rFonts w:ascii="Arial" w:hAnsi="Arial" w:cs="Arial"/>
                <w:iCs/>
                <w:spacing w:val="-4"/>
                <w:sz w:val="20"/>
                <w:szCs w:val="20"/>
              </w:rPr>
              <w:t>chain</w:t>
            </w:r>
          </w:p>
        </w:tc>
        <w:tc>
          <w:tcPr>
            <w:tcW w:w="1676" w:type="dxa"/>
          </w:tcPr>
          <w:p w14:paraId="02036DF7" w14:textId="77777777" w:rsidR="00C35EC6" w:rsidRPr="00AA631C" w:rsidRDefault="00C35EC6" w:rsidP="000E22AD">
            <w:pPr>
              <w:pStyle w:val="TableParagraph"/>
              <w:spacing w:before="1"/>
              <w:ind w:left="29" w:right="11"/>
              <w:rPr>
                <w:rFonts w:ascii="Arial" w:hAnsi="Arial" w:cs="Arial"/>
                <w:sz w:val="20"/>
                <w:szCs w:val="20"/>
              </w:rPr>
            </w:pPr>
            <w:r w:rsidRPr="00AA631C">
              <w:rPr>
                <w:rFonts w:ascii="Arial" w:hAnsi="Arial" w:cs="Arial"/>
                <w:spacing w:val="-2"/>
                <w:sz w:val="20"/>
                <w:szCs w:val="20"/>
              </w:rPr>
              <w:t>0.628</w:t>
            </w:r>
          </w:p>
        </w:tc>
        <w:tc>
          <w:tcPr>
            <w:tcW w:w="3017" w:type="dxa"/>
          </w:tcPr>
          <w:p w14:paraId="589E6124" w14:textId="77777777" w:rsidR="00C35EC6" w:rsidRPr="00AA631C" w:rsidRDefault="00C35EC6" w:rsidP="000E22AD">
            <w:pPr>
              <w:pStyle w:val="TableParagraph"/>
              <w:spacing w:before="1"/>
              <w:ind w:left="6"/>
              <w:rPr>
                <w:rFonts w:ascii="Arial" w:hAnsi="Arial" w:cs="Arial"/>
                <w:sz w:val="20"/>
                <w:szCs w:val="20"/>
              </w:rPr>
            </w:pPr>
            <w:r w:rsidRPr="00AA631C">
              <w:rPr>
                <w:rFonts w:ascii="Arial" w:hAnsi="Arial" w:cs="Arial"/>
                <w:spacing w:val="-2"/>
                <w:sz w:val="20"/>
                <w:szCs w:val="20"/>
              </w:rPr>
              <w:t>0.624</w:t>
            </w:r>
          </w:p>
        </w:tc>
      </w:tr>
      <w:tr w:rsidR="00C35EC6" w:rsidRPr="00AA631C" w14:paraId="02A4612E" w14:textId="77777777" w:rsidTr="000E22AD">
        <w:trPr>
          <w:jc w:val="center"/>
        </w:trPr>
        <w:tc>
          <w:tcPr>
            <w:tcW w:w="3252" w:type="dxa"/>
          </w:tcPr>
          <w:p w14:paraId="060D39C9" w14:textId="77777777" w:rsidR="00C35EC6" w:rsidRPr="00AA631C" w:rsidRDefault="00C35EC6" w:rsidP="000E22AD">
            <w:pPr>
              <w:pStyle w:val="TableParagraph"/>
              <w:spacing w:before="1"/>
              <w:ind w:left="100"/>
              <w:jc w:val="left"/>
              <w:rPr>
                <w:rFonts w:ascii="Arial" w:hAnsi="Arial" w:cs="Arial"/>
                <w:iCs/>
                <w:sz w:val="20"/>
                <w:szCs w:val="20"/>
              </w:rPr>
            </w:pPr>
            <w:r w:rsidRPr="00AA631C">
              <w:rPr>
                <w:rFonts w:ascii="Arial" w:hAnsi="Arial" w:cs="Arial"/>
                <w:iCs/>
                <w:sz w:val="20"/>
                <w:szCs w:val="20"/>
              </w:rPr>
              <w:t>Social</w:t>
            </w:r>
            <w:r w:rsidRPr="00AA631C">
              <w:rPr>
                <w:rFonts w:ascii="Arial" w:hAnsi="Arial" w:cs="Arial"/>
                <w:iCs/>
                <w:spacing w:val="-9"/>
                <w:sz w:val="20"/>
                <w:szCs w:val="20"/>
              </w:rPr>
              <w:t xml:space="preserve"> </w:t>
            </w:r>
            <w:r w:rsidRPr="00AA631C">
              <w:rPr>
                <w:rFonts w:ascii="Arial" w:hAnsi="Arial" w:cs="Arial"/>
                <w:iCs/>
                <w:spacing w:val="-2"/>
                <w:sz w:val="20"/>
                <w:szCs w:val="20"/>
              </w:rPr>
              <w:t>performance</w:t>
            </w:r>
          </w:p>
        </w:tc>
        <w:tc>
          <w:tcPr>
            <w:tcW w:w="1676" w:type="dxa"/>
          </w:tcPr>
          <w:p w14:paraId="446E7AC2" w14:textId="77777777" w:rsidR="00C35EC6" w:rsidRPr="00AA631C" w:rsidRDefault="00C35EC6" w:rsidP="000E22AD">
            <w:pPr>
              <w:pStyle w:val="TableParagraph"/>
              <w:spacing w:before="1"/>
              <w:ind w:left="29" w:right="11"/>
              <w:rPr>
                <w:rFonts w:ascii="Arial" w:hAnsi="Arial" w:cs="Arial"/>
                <w:sz w:val="20"/>
                <w:szCs w:val="20"/>
              </w:rPr>
            </w:pPr>
            <w:r w:rsidRPr="00AA631C">
              <w:rPr>
                <w:rFonts w:ascii="Arial" w:hAnsi="Arial" w:cs="Arial"/>
                <w:spacing w:val="-2"/>
                <w:sz w:val="20"/>
                <w:szCs w:val="20"/>
              </w:rPr>
              <w:t>0.646</w:t>
            </w:r>
          </w:p>
        </w:tc>
        <w:tc>
          <w:tcPr>
            <w:tcW w:w="3017" w:type="dxa"/>
          </w:tcPr>
          <w:p w14:paraId="5D683ACB" w14:textId="77777777" w:rsidR="00C35EC6" w:rsidRPr="00AA631C" w:rsidRDefault="00C35EC6" w:rsidP="000E22AD">
            <w:pPr>
              <w:pStyle w:val="TableParagraph"/>
              <w:spacing w:before="1"/>
              <w:ind w:left="6"/>
              <w:rPr>
                <w:rFonts w:ascii="Arial" w:hAnsi="Arial" w:cs="Arial"/>
                <w:sz w:val="20"/>
                <w:szCs w:val="20"/>
              </w:rPr>
            </w:pPr>
            <w:r w:rsidRPr="00AA631C">
              <w:rPr>
                <w:rFonts w:ascii="Arial" w:hAnsi="Arial" w:cs="Arial"/>
                <w:spacing w:val="-2"/>
                <w:sz w:val="20"/>
                <w:szCs w:val="20"/>
              </w:rPr>
              <w:t>0.639</w:t>
            </w:r>
          </w:p>
        </w:tc>
      </w:tr>
    </w:tbl>
    <w:p w14:paraId="7730D69B" w14:textId="77777777" w:rsidR="00C35EC6" w:rsidRPr="00AA631C" w:rsidRDefault="00C35EC6" w:rsidP="00C35EC6">
      <w:pPr>
        <w:spacing w:line="360" w:lineRule="auto"/>
        <w:ind w:firstLine="720"/>
      </w:pPr>
    </w:p>
    <w:p w14:paraId="27A601A8" w14:textId="77777777" w:rsidR="007E0E91" w:rsidRPr="00AA631C" w:rsidRDefault="007E0E91" w:rsidP="007E0E91">
      <w:pPr>
        <w:spacing w:line="360" w:lineRule="auto"/>
      </w:pPr>
      <w:r w:rsidRPr="00AA631C">
        <w:rPr>
          <w:rFonts w:cs="Arial"/>
          <w:b/>
          <w:u w:val="single"/>
        </w:rPr>
        <w:t>4.7.2 Predictive relevance (Q²)</w:t>
      </w:r>
      <w:r w:rsidRPr="00AA631C">
        <w:rPr>
          <w:rFonts w:cs="Arial"/>
        </w:rPr>
        <w:t xml:space="preserve"> </w:t>
      </w:r>
    </w:p>
    <w:p w14:paraId="269A527D" w14:textId="77777777" w:rsidR="00C35EC6" w:rsidRPr="00AA631C" w:rsidRDefault="00C35EC6" w:rsidP="00C35EC6">
      <w:pPr>
        <w:spacing w:line="360" w:lineRule="auto"/>
        <w:rPr>
          <w:i/>
          <w:iCs/>
        </w:rPr>
      </w:pPr>
    </w:p>
    <w:p w14:paraId="095B51B1" w14:textId="77777777" w:rsidR="00C35EC6" w:rsidRPr="00AA631C" w:rsidRDefault="00C35EC6" w:rsidP="00C35EC6">
      <w:r w:rsidRPr="00AA631C">
        <w:t>The predictive relevance of the structural model was assessed using the Stone–Geisser Q² statistic. As presented in Table 8, the Q² values were 0.384 for Green Supply Chain and 0.363 for Social Performance. Since all Q² values exceeded zero, the structural model demonstrates satisfactory predictive relevance (Hair et al., 2022).</w:t>
      </w:r>
    </w:p>
    <w:p w14:paraId="0F59A355" w14:textId="77777777" w:rsidR="00C35EC6" w:rsidRPr="00AA631C" w:rsidRDefault="00C35EC6" w:rsidP="00C35EC6"/>
    <w:p w14:paraId="7CDBB7E9" w14:textId="77777777" w:rsidR="00C35EC6" w:rsidRPr="00AA631C" w:rsidRDefault="00C35EC6" w:rsidP="007E0E91">
      <w:pPr>
        <w:pStyle w:val="Caption"/>
      </w:pPr>
      <w:r w:rsidRPr="00AA631C">
        <w:t>Table</w:t>
      </w:r>
      <w:r w:rsidRPr="00AA631C">
        <w:rPr>
          <w:spacing w:val="-14"/>
        </w:rPr>
        <w:t xml:space="preserve"> </w:t>
      </w:r>
      <w:r w:rsidRPr="00AA631C">
        <w:t>8.</w:t>
      </w:r>
      <w:r w:rsidRPr="00AA631C">
        <w:rPr>
          <w:spacing w:val="-8"/>
        </w:rPr>
        <w:t xml:space="preserve"> </w:t>
      </w:r>
      <w:r w:rsidRPr="00AA631C">
        <w:t>Hasil</w:t>
      </w:r>
      <w:r w:rsidRPr="00AA631C">
        <w:rPr>
          <w:spacing w:val="-13"/>
        </w:rPr>
        <w:t xml:space="preserve"> </w:t>
      </w:r>
      <w:r w:rsidRPr="00AA631C">
        <w:t>Uji</w:t>
      </w:r>
      <w:r w:rsidRPr="00AA631C">
        <w:rPr>
          <w:spacing w:val="-8"/>
        </w:rPr>
        <w:t xml:space="preserve"> </w:t>
      </w:r>
      <w:r w:rsidRPr="00AA631C">
        <w:t>Q-</w:t>
      </w:r>
      <w:r w:rsidRPr="00AA631C">
        <w:rPr>
          <w:spacing w:val="-2"/>
        </w:rPr>
        <w:t>Square</w:t>
      </w:r>
    </w:p>
    <w:tbl>
      <w:tblPr>
        <w:tblStyle w:val="TableNormal1"/>
        <w:tblW w:w="0" w:type="auto"/>
        <w:tblInd w:w="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50"/>
        <w:gridCol w:w="3378"/>
      </w:tblGrid>
      <w:tr w:rsidR="00C35EC6" w:rsidRPr="00AA631C" w14:paraId="6E1BB50F" w14:textId="77777777" w:rsidTr="007E0E91">
        <w:tc>
          <w:tcPr>
            <w:tcW w:w="3350" w:type="dxa"/>
          </w:tcPr>
          <w:p w14:paraId="142B6327" w14:textId="77777777" w:rsidR="00C35EC6" w:rsidRPr="00AA631C" w:rsidRDefault="00C35EC6" w:rsidP="000E22AD">
            <w:pPr>
              <w:pStyle w:val="TableParagraph"/>
              <w:spacing w:before="1"/>
              <w:ind w:left="30"/>
              <w:rPr>
                <w:rFonts w:ascii="Arial" w:hAnsi="Arial" w:cs="Arial"/>
                <w:bCs/>
                <w:sz w:val="20"/>
                <w:szCs w:val="20"/>
              </w:rPr>
            </w:pPr>
            <w:r w:rsidRPr="00AA631C">
              <w:rPr>
                <w:rFonts w:ascii="Arial" w:hAnsi="Arial" w:cs="Arial"/>
                <w:bCs/>
                <w:spacing w:val="-2"/>
                <w:sz w:val="20"/>
                <w:szCs w:val="20"/>
              </w:rPr>
              <w:t>Variabel</w:t>
            </w:r>
          </w:p>
        </w:tc>
        <w:tc>
          <w:tcPr>
            <w:tcW w:w="3378" w:type="dxa"/>
          </w:tcPr>
          <w:p w14:paraId="5F878C3C" w14:textId="77777777" w:rsidR="00C35EC6" w:rsidRPr="00AA631C" w:rsidRDefault="00C35EC6" w:rsidP="000E22AD">
            <w:pPr>
              <w:pStyle w:val="TableParagraph"/>
              <w:spacing w:before="1"/>
              <w:ind w:left="39"/>
              <w:rPr>
                <w:rFonts w:ascii="Arial" w:hAnsi="Arial" w:cs="Arial"/>
                <w:bCs/>
                <w:sz w:val="20"/>
                <w:szCs w:val="20"/>
              </w:rPr>
            </w:pPr>
            <w:r w:rsidRPr="00AA631C">
              <w:rPr>
                <w:rFonts w:ascii="Arial" w:hAnsi="Arial" w:cs="Arial"/>
                <w:bCs/>
                <w:sz w:val="20"/>
                <w:szCs w:val="20"/>
              </w:rPr>
              <w:t>Q-square</w:t>
            </w:r>
            <w:r w:rsidRPr="00AA631C">
              <w:rPr>
                <w:rFonts w:ascii="Arial" w:hAnsi="Arial" w:cs="Arial"/>
                <w:bCs/>
                <w:spacing w:val="-2"/>
                <w:sz w:val="20"/>
                <w:szCs w:val="20"/>
              </w:rPr>
              <w:t xml:space="preserve"> </w:t>
            </w:r>
            <w:r w:rsidRPr="00AA631C">
              <w:rPr>
                <w:rFonts w:ascii="Arial" w:hAnsi="Arial" w:cs="Arial"/>
                <w:bCs/>
                <w:sz w:val="20"/>
                <w:szCs w:val="20"/>
              </w:rPr>
              <w:t>(q²)</w:t>
            </w:r>
            <w:r w:rsidRPr="00AA631C">
              <w:rPr>
                <w:rFonts w:ascii="Arial" w:hAnsi="Arial" w:cs="Arial"/>
                <w:bCs/>
                <w:spacing w:val="-1"/>
                <w:sz w:val="20"/>
                <w:szCs w:val="20"/>
              </w:rPr>
              <w:t xml:space="preserve"> </w:t>
            </w:r>
            <w:r w:rsidRPr="00AA631C">
              <w:rPr>
                <w:rFonts w:ascii="Arial" w:hAnsi="Arial" w:cs="Arial"/>
                <w:bCs/>
                <w:spacing w:val="-2"/>
                <w:sz w:val="20"/>
                <w:szCs w:val="20"/>
              </w:rPr>
              <w:t>predict</w:t>
            </w:r>
          </w:p>
        </w:tc>
      </w:tr>
      <w:tr w:rsidR="00C35EC6" w:rsidRPr="00AA631C" w14:paraId="1314E983" w14:textId="77777777" w:rsidTr="007E0E91">
        <w:tc>
          <w:tcPr>
            <w:tcW w:w="3350" w:type="dxa"/>
          </w:tcPr>
          <w:p w14:paraId="37FDE36E" w14:textId="77777777" w:rsidR="00C35EC6" w:rsidRPr="00AA631C" w:rsidRDefault="00C35EC6" w:rsidP="000E22AD">
            <w:pPr>
              <w:pStyle w:val="TableParagraph"/>
              <w:spacing w:before="1"/>
              <w:ind w:left="30" w:right="7"/>
              <w:rPr>
                <w:rFonts w:ascii="Arial" w:hAnsi="Arial" w:cs="Arial"/>
                <w:bCs/>
                <w:sz w:val="20"/>
                <w:szCs w:val="20"/>
              </w:rPr>
            </w:pPr>
            <w:r w:rsidRPr="00AA631C">
              <w:rPr>
                <w:rFonts w:ascii="Arial" w:hAnsi="Arial" w:cs="Arial"/>
                <w:bCs/>
                <w:sz w:val="20"/>
                <w:szCs w:val="20"/>
              </w:rPr>
              <w:t>Green</w:t>
            </w:r>
            <w:r w:rsidRPr="00AA631C">
              <w:rPr>
                <w:rFonts w:ascii="Arial" w:hAnsi="Arial" w:cs="Arial"/>
                <w:bCs/>
                <w:spacing w:val="-6"/>
                <w:sz w:val="20"/>
                <w:szCs w:val="20"/>
              </w:rPr>
              <w:t xml:space="preserve"> </w:t>
            </w:r>
            <w:r w:rsidRPr="00AA631C">
              <w:rPr>
                <w:rFonts w:ascii="Arial" w:hAnsi="Arial" w:cs="Arial"/>
                <w:bCs/>
                <w:sz w:val="20"/>
                <w:szCs w:val="20"/>
              </w:rPr>
              <w:t>supply</w:t>
            </w:r>
            <w:r w:rsidRPr="00AA631C">
              <w:rPr>
                <w:rFonts w:ascii="Arial" w:hAnsi="Arial" w:cs="Arial"/>
                <w:bCs/>
                <w:spacing w:val="-2"/>
                <w:sz w:val="20"/>
                <w:szCs w:val="20"/>
              </w:rPr>
              <w:t xml:space="preserve"> </w:t>
            </w:r>
            <w:r w:rsidRPr="00AA631C">
              <w:rPr>
                <w:rFonts w:ascii="Arial" w:hAnsi="Arial" w:cs="Arial"/>
                <w:bCs/>
                <w:spacing w:val="-4"/>
                <w:sz w:val="20"/>
                <w:szCs w:val="20"/>
              </w:rPr>
              <w:t>chain</w:t>
            </w:r>
          </w:p>
        </w:tc>
        <w:tc>
          <w:tcPr>
            <w:tcW w:w="3378" w:type="dxa"/>
          </w:tcPr>
          <w:p w14:paraId="220ACADB" w14:textId="77777777" w:rsidR="00C35EC6" w:rsidRPr="00AA631C" w:rsidRDefault="00C35EC6" w:rsidP="000E22AD">
            <w:pPr>
              <w:pStyle w:val="TableParagraph"/>
              <w:spacing w:before="1"/>
              <w:ind w:left="39" w:right="1"/>
              <w:rPr>
                <w:rFonts w:ascii="Arial" w:hAnsi="Arial" w:cs="Arial"/>
                <w:bCs/>
                <w:sz w:val="20"/>
                <w:szCs w:val="20"/>
              </w:rPr>
            </w:pPr>
            <w:r w:rsidRPr="00AA631C">
              <w:rPr>
                <w:rFonts w:ascii="Arial" w:hAnsi="Arial" w:cs="Arial"/>
                <w:bCs/>
                <w:spacing w:val="-2"/>
                <w:sz w:val="20"/>
                <w:szCs w:val="20"/>
              </w:rPr>
              <w:t>0.384</w:t>
            </w:r>
          </w:p>
        </w:tc>
      </w:tr>
      <w:tr w:rsidR="00C35EC6" w:rsidRPr="00AA631C" w14:paraId="4F561D77" w14:textId="77777777" w:rsidTr="007E0E91">
        <w:tc>
          <w:tcPr>
            <w:tcW w:w="3350" w:type="dxa"/>
          </w:tcPr>
          <w:p w14:paraId="244EF1AD" w14:textId="77777777" w:rsidR="00C35EC6" w:rsidRPr="00AA631C" w:rsidRDefault="00C35EC6" w:rsidP="000E22AD">
            <w:pPr>
              <w:pStyle w:val="TableParagraph"/>
              <w:ind w:left="30" w:right="6"/>
              <w:rPr>
                <w:rFonts w:ascii="Arial" w:hAnsi="Arial" w:cs="Arial"/>
                <w:bCs/>
                <w:sz w:val="20"/>
                <w:szCs w:val="20"/>
              </w:rPr>
            </w:pPr>
            <w:r w:rsidRPr="00AA631C">
              <w:rPr>
                <w:rFonts w:ascii="Arial" w:hAnsi="Arial" w:cs="Arial"/>
                <w:bCs/>
                <w:sz w:val="20"/>
                <w:szCs w:val="20"/>
              </w:rPr>
              <w:t>Social</w:t>
            </w:r>
            <w:r w:rsidRPr="00AA631C">
              <w:rPr>
                <w:rFonts w:ascii="Arial" w:hAnsi="Arial" w:cs="Arial"/>
                <w:bCs/>
                <w:spacing w:val="-10"/>
                <w:sz w:val="20"/>
                <w:szCs w:val="20"/>
              </w:rPr>
              <w:t xml:space="preserve"> </w:t>
            </w:r>
            <w:r w:rsidRPr="00AA631C">
              <w:rPr>
                <w:rFonts w:ascii="Arial" w:hAnsi="Arial" w:cs="Arial"/>
                <w:bCs/>
                <w:spacing w:val="-2"/>
                <w:sz w:val="20"/>
                <w:szCs w:val="20"/>
              </w:rPr>
              <w:t>performance</w:t>
            </w:r>
          </w:p>
        </w:tc>
        <w:tc>
          <w:tcPr>
            <w:tcW w:w="3378" w:type="dxa"/>
          </w:tcPr>
          <w:p w14:paraId="039A3E56" w14:textId="77777777" w:rsidR="00C35EC6" w:rsidRPr="00AA631C" w:rsidRDefault="00C35EC6" w:rsidP="000E22AD">
            <w:pPr>
              <w:pStyle w:val="TableParagraph"/>
              <w:ind w:left="39" w:right="1"/>
              <w:rPr>
                <w:rFonts w:ascii="Arial" w:hAnsi="Arial" w:cs="Arial"/>
                <w:bCs/>
                <w:sz w:val="20"/>
                <w:szCs w:val="20"/>
              </w:rPr>
            </w:pPr>
            <w:r w:rsidRPr="00AA631C">
              <w:rPr>
                <w:rFonts w:ascii="Arial" w:hAnsi="Arial" w:cs="Arial"/>
                <w:bCs/>
                <w:spacing w:val="-2"/>
                <w:sz w:val="20"/>
                <w:szCs w:val="20"/>
              </w:rPr>
              <w:t>0.363</w:t>
            </w:r>
          </w:p>
        </w:tc>
      </w:tr>
    </w:tbl>
    <w:p w14:paraId="35B54F39" w14:textId="77777777" w:rsidR="00C35EC6" w:rsidRPr="00AA631C" w:rsidRDefault="00C35EC6" w:rsidP="00C35EC6">
      <w:pPr>
        <w:spacing w:line="360" w:lineRule="auto"/>
        <w:ind w:firstLine="720"/>
      </w:pPr>
    </w:p>
    <w:p w14:paraId="07AD1441" w14:textId="77777777" w:rsidR="008906DD" w:rsidRPr="00AA631C" w:rsidRDefault="008906DD" w:rsidP="008906DD">
      <w:pPr>
        <w:spacing w:line="360" w:lineRule="auto"/>
      </w:pPr>
      <w:r w:rsidRPr="00AA631C">
        <w:rPr>
          <w:rFonts w:cs="Arial"/>
          <w:b/>
          <w:caps/>
          <w:sz w:val="22"/>
        </w:rPr>
        <w:t>4.8 H</w:t>
      </w:r>
      <w:r w:rsidRPr="00AA631C">
        <w:rPr>
          <w:rFonts w:cs="Arial"/>
          <w:b/>
          <w:sz w:val="22"/>
        </w:rPr>
        <w:t xml:space="preserve">ypothesis testing </w:t>
      </w:r>
      <w:r w:rsidRPr="00AA631C">
        <w:rPr>
          <w:rFonts w:cs="Arial"/>
        </w:rPr>
        <w:t xml:space="preserve">  </w:t>
      </w:r>
    </w:p>
    <w:p w14:paraId="15EEAD39" w14:textId="77777777" w:rsidR="00C35EC6" w:rsidRPr="00AA631C" w:rsidRDefault="00C35EC6" w:rsidP="00C35EC6">
      <w:r w:rsidRPr="00AA631C">
        <w:t>The proposed hypotheses were tested using the bootstrapping procedure in SmartPLS. Figure 3 illustrates the structural model with standardised path coefficients, while the detailed hypothesis-testing results are presented in Table 9.</w:t>
      </w:r>
    </w:p>
    <w:p w14:paraId="0078329C" w14:textId="77777777" w:rsidR="00C35EC6" w:rsidRPr="00AA631C" w:rsidRDefault="00C35EC6" w:rsidP="00C35EC6"/>
    <w:p w14:paraId="1E3A486A" w14:textId="77777777" w:rsidR="00C35EC6" w:rsidRPr="00AA631C" w:rsidRDefault="00C35EC6" w:rsidP="00C35EC6">
      <w:r w:rsidRPr="00AA631C">
        <w:t>The results indicate that Green Innovation Product positively influences Green Supply Chain (β = 0.792, t = 13.165, p &lt; 0.001), supporting H1. In addition, Green Innovation Product has a positive effect on Social Performance (β = 0.401, t = 3.413, p = 0.001), supporting H2. Finally, Green Supply Chain positively influences Social Performance (β = 0.448, t = 3.770, p &lt; 0.001), supporting H3.</w:t>
      </w:r>
    </w:p>
    <w:p w14:paraId="3CF8D7C3" w14:textId="77777777" w:rsidR="00C35EC6" w:rsidRPr="00AA631C" w:rsidRDefault="00C35EC6" w:rsidP="00C35EC6">
      <w:pPr>
        <w:spacing w:line="360" w:lineRule="auto"/>
        <w:ind w:firstLine="720"/>
      </w:pPr>
    </w:p>
    <w:p w14:paraId="317A1D3C" w14:textId="77777777" w:rsidR="00C35EC6" w:rsidRPr="00AA631C" w:rsidRDefault="00C35EC6" w:rsidP="00C35EC6">
      <w:pPr>
        <w:spacing w:line="360" w:lineRule="auto"/>
        <w:ind w:firstLine="720"/>
      </w:pPr>
      <w:r w:rsidRPr="00AA631C">
        <w:rPr>
          <w:noProof/>
          <w:sz w:val="11"/>
        </w:rPr>
        <w:lastRenderedPageBreak/>
        <w:drawing>
          <wp:anchor distT="0" distB="0" distL="0" distR="0" simplePos="0" relativeHeight="251660288" behindDoc="1" locked="0" layoutInCell="1" allowOverlap="1" wp14:anchorId="2308FB15" wp14:editId="14E59534">
            <wp:simplePos x="0" y="0"/>
            <wp:positionH relativeFrom="page">
              <wp:posOffset>1383497</wp:posOffset>
            </wp:positionH>
            <wp:positionV relativeFrom="paragraph">
              <wp:posOffset>328746</wp:posOffset>
            </wp:positionV>
            <wp:extent cx="4983971" cy="2557462"/>
            <wp:effectExtent l="0" t="0" r="0" b="0"/>
            <wp:wrapTopAndBottom/>
            <wp:docPr id="919353855"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6" cstate="print"/>
                    <a:stretch>
                      <a:fillRect/>
                    </a:stretch>
                  </pic:blipFill>
                  <pic:spPr>
                    <a:xfrm>
                      <a:off x="0" y="0"/>
                      <a:ext cx="4983971" cy="2557462"/>
                    </a:xfrm>
                    <a:prstGeom prst="rect">
                      <a:avLst/>
                    </a:prstGeom>
                  </pic:spPr>
                </pic:pic>
              </a:graphicData>
            </a:graphic>
          </wp:anchor>
        </w:drawing>
      </w:r>
    </w:p>
    <w:p w14:paraId="34C04A3C" w14:textId="77777777" w:rsidR="00C35EC6" w:rsidRPr="00AA631C" w:rsidRDefault="00C35EC6" w:rsidP="00C35EC6">
      <w:pPr>
        <w:spacing w:line="360" w:lineRule="auto"/>
        <w:ind w:firstLine="720"/>
      </w:pPr>
    </w:p>
    <w:p w14:paraId="4FECA58E" w14:textId="77777777" w:rsidR="00C35EC6" w:rsidRPr="00AA631C" w:rsidRDefault="00C35EC6" w:rsidP="00C35EC6">
      <w:pPr>
        <w:spacing w:line="360" w:lineRule="auto"/>
        <w:jc w:val="center"/>
      </w:pPr>
      <w:r w:rsidRPr="00AA631C">
        <w:t xml:space="preserve">Figure </w:t>
      </w:r>
      <w:r w:rsidR="007C4D81" w:rsidRPr="00AA631C">
        <w:t>3</w:t>
      </w:r>
      <w:r w:rsidRPr="00AA631C">
        <w:t>. Bootstrapping of structural model test</w:t>
      </w:r>
    </w:p>
    <w:p w14:paraId="4498168C" w14:textId="77777777" w:rsidR="00C35EC6" w:rsidRPr="00AA631C" w:rsidRDefault="00C35EC6" w:rsidP="00C35EC6">
      <w:pPr>
        <w:spacing w:line="360" w:lineRule="auto"/>
        <w:ind w:firstLine="720"/>
      </w:pPr>
    </w:p>
    <w:p w14:paraId="19A5CA29" w14:textId="77777777" w:rsidR="00C35EC6" w:rsidRPr="00AA631C" w:rsidRDefault="00C35EC6" w:rsidP="007E0E91">
      <w:pPr>
        <w:pStyle w:val="Caption"/>
      </w:pPr>
      <w:r w:rsidRPr="00AA631C">
        <w:t>Table</w:t>
      </w:r>
      <w:r w:rsidRPr="00AA631C">
        <w:rPr>
          <w:spacing w:val="-15"/>
        </w:rPr>
        <w:t xml:space="preserve"> </w:t>
      </w:r>
      <w:r w:rsidRPr="00AA631C">
        <w:t>9. Path coefficient results</w:t>
      </w:r>
    </w:p>
    <w:tbl>
      <w:tblPr>
        <w:tblStyle w:val="TableNormal1"/>
        <w:tblW w:w="872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0"/>
        <w:gridCol w:w="1170"/>
        <w:gridCol w:w="1080"/>
        <w:gridCol w:w="1170"/>
        <w:gridCol w:w="1440"/>
        <w:gridCol w:w="985"/>
        <w:gridCol w:w="1157"/>
      </w:tblGrid>
      <w:tr w:rsidR="00C35EC6" w:rsidRPr="00AA631C" w14:paraId="1D85F8FD" w14:textId="77777777" w:rsidTr="007E0E91">
        <w:tc>
          <w:tcPr>
            <w:tcW w:w="1720" w:type="dxa"/>
          </w:tcPr>
          <w:p w14:paraId="08493D72" w14:textId="77777777" w:rsidR="00C35EC6" w:rsidRPr="00AA631C" w:rsidRDefault="00C35EC6" w:rsidP="000E22AD">
            <w:pPr>
              <w:pStyle w:val="TableParagraph"/>
              <w:ind w:left="0"/>
              <w:jc w:val="left"/>
              <w:rPr>
                <w:rFonts w:ascii="Arial" w:hAnsi="Arial" w:cs="Arial"/>
                <w:sz w:val="20"/>
                <w:szCs w:val="20"/>
              </w:rPr>
            </w:pPr>
          </w:p>
        </w:tc>
        <w:tc>
          <w:tcPr>
            <w:tcW w:w="1170" w:type="dxa"/>
            <w:shd w:val="clear" w:color="auto" w:fill="C0C0C0"/>
          </w:tcPr>
          <w:p w14:paraId="7CC6FAE1" w14:textId="77777777" w:rsidR="00C35EC6" w:rsidRPr="00AA631C" w:rsidRDefault="00C35EC6" w:rsidP="000E22AD">
            <w:pPr>
              <w:pStyle w:val="TableParagraph"/>
              <w:ind w:left="169" w:right="155"/>
              <w:rPr>
                <w:rFonts w:ascii="Arial" w:hAnsi="Arial" w:cs="Arial"/>
                <w:iCs/>
                <w:sz w:val="20"/>
                <w:szCs w:val="20"/>
              </w:rPr>
            </w:pPr>
            <w:r w:rsidRPr="00AA631C">
              <w:rPr>
                <w:rFonts w:ascii="Arial" w:hAnsi="Arial" w:cs="Arial"/>
                <w:iCs/>
                <w:spacing w:val="-4"/>
                <w:sz w:val="20"/>
                <w:szCs w:val="20"/>
              </w:rPr>
              <w:t xml:space="preserve">Original </w:t>
            </w:r>
            <w:r w:rsidRPr="00AA631C">
              <w:rPr>
                <w:rFonts w:ascii="Arial" w:hAnsi="Arial" w:cs="Arial"/>
                <w:iCs/>
                <w:spacing w:val="-2"/>
                <w:sz w:val="20"/>
                <w:szCs w:val="20"/>
              </w:rPr>
              <w:t xml:space="preserve">Sample </w:t>
            </w:r>
            <w:r w:rsidRPr="00AA631C">
              <w:rPr>
                <w:rFonts w:ascii="Arial" w:hAnsi="Arial" w:cs="Arial"/>
                <w:iCs/>
                <w:spacing w:val="-4"/>
                <w:sz w:val="20"/>
                <w:szCs w:val="20"/>
              </w:rPr>
              <w:t>(O)</w:t>
            </w:r>
          </w:p>
        </w:tc>
        <w:tc>
          <w:tcPr>
            <w:tcW w:w="1080" w:type="dxa"/>
            <w:shd w:val="clear" w:color="auto" w:fill="C0C0C0"/>
          </w:tcPr>
          <w:p w14:paraId="789379FA" w14:textId="77777777" w:rsidR="00C35EC6" w:rsidRPr="00AA631C" w:rsidRDefault="00C35EC6" w:rsidP="000E22AD">
            <w:pPr>
              <w:pStyle w:val="TableParagraph"/>
              <w:ind w:left="250" w:right="170" w:hanging="80"/>
              <w:jc w:val="left"/>
              <w:rPr>
                <w:rFonts w:ascii="Arial" w:hAnsi="Arial" w:cs="Arial"/>
                <w:iCs/>
                <w:sz w:val="20"/>
                <w:szCs w:val="20"/>
              </w:rPr>
            </w:pPr>
            <w:r w:rsidRPr="00AA631C">
              <w:rPr>
                <w:rFonts w:ascii="Arial" w:hAnsi="Arial" w:cs="Arial"/>
                <w:iCs/>
                <w:spacing w:val="-4"/>
                <w:sz w:val="20"/>
                <w:szCs w:val="20"/>
              </w:rPr>
              <w:t>Sample Mean (M)</w:t>
            </w:r>
          </w:p>
        </w:tc>
        <w:tc>
          <w:tcPr>
            <w:tcW w:w="1170" w:type="dxa"/>
            <w:shd w:val="clear" w:color="auto" w:fill="C0C0C0"/>
          </w:tcPr>
          <w:p w14:paraId="4CBB6FEB" w14:textId="77777777" w:rsidR="00C35EC6" w:rsidRPr="00AA631C" w:rsidRDefault="00C35EC6" w:rsidP="000E22AD">
            <w:pPr>
              <w:pStyle w:val="TableParagraph"/>
              <w:ind w:left="146" w:right="152" w:firstLine="25"/>
              <w:jc w:val="both"/>
              <w:rPr>
                <w:rFonts w:ascii="Arial" w:hAnsi="Arial" w:cs="Arial"/>
                <w:iCs/>
                <w:sz w:val="20"/>
                <w:szCs w:val="20"/>
              </w:rPr>
            </w:pPr>
            <w:r w:rsidRPr="00AA631C">
              <w:rPr>
                <w:rFonts w:ascii="Arial" w:hAnsi="Arial" w:cs="Arial"/>
                <w:iCs/>
                <w:spacing w:val="-2"/>
                <w:sz w:val="20"/>
                <w:szCs w:val="20"/>
              </w:rPr>
              <w:t xml:space="preserve">Standard Deviation </w:t>
            </w:r>
            <w:r w:rsidRPr="00AA631C">
              <w:rPr>
                <w:rFonts w:ascii="Arial" w:hAnsi="Arial" w:cs="Arial"/>
                <w:iCs/>
                <w:spacing w:val="-4"/>
                <w:sz w:val="20"/>
                <w:szCs w:val="20"/>
              </w:rPr>
              <w:t>(STDEV)</w:t>
            </w:r>
          </w:p>
        </w:tc>
        <w:tc>
          <w:tcPr>
            <w:tcW w:w="1440" w:type="dxa"/>
            <w:shd w:val="clear" w:color="auto" w:fill="C0C0C0"/>
          </w:tcPr>
          <w:p w14:paraId="4DC16D33" w14:textId="77777777" w:rsidR="00C35EC6" w:rsidRPr="00AA631C" w:rsidRDefault="00C35EC6" w:rsidP="000E22AD">
            <w:pPr>
              <w:pStyle w:val="TableParagraph"/>
              <w:ind w:left="221"/>
              <w:jc w:val="left"/>
              <w:rPr>
                <w:rFonts w:ascii="Arial" w:hAnsi="Arial" w:cs="Arial"/>
                <w:iCs/>
                <w:sz w:val="20"/>
                <w:szCs w:val="20"/>
              </w:rPr>
            </w:pPr>
            <w:r w:rsidRPr="00AA631C">
              <w:rPr>
                <w:rFonts w:ascii="Arial" w:hAnsi="Arial" w:cs="Arial"/>
                <w:iCs/>
                <w:sz w:val="20"/>
                <w:szCs w:val="20"/>
              </w:rPr>
              <w:t>T</w:t>
            </w:r>
            <w:r w:rsidRPr="00AA631C">
              <w:rPr>
                <w:rFonts w:ascii="Arial" w:hAnsi="Arial" w:cs="Arial"/>
                <w:iCs/>
                <w:spacing w:val="-4"/>
                <w:sz w:val="20"/>
                <w:szCs w:val="20"/>
              </w:rPr>
              <w:t xml:space="preserve"> </w:t>
            </w:r>
            <w:r w:rsidRPr="00AA631C">
              <w:rPr>
                <w:rFonts w:ascii="Arial" w:hAnsi="Arial" w:cs="Arial"/>
                <w:iCs/>
                <w:spacing w:val="-2"/>
                <w:sz w:val="20"/>
                <w:szCs w:val="20"/>
              </w:rPr>
              <w:t>Statistics (|O/STDEV|)</w:t>
            </w:r>
          </w:p>
        </w:tc>
        <w:tc>
          <w:tcPr>
            <w:tcW w:w="985" w:type="dxa"/>
            <w:shd w:val="clear" w:color="auto" w:fill="C0C0C0"/>
          </w:tcPr>
          <w:p w14:paraId="10872DC6" w14:textId="77777777" w:rsidR="00C35EC6" w:rsidRPr="00AA631C" w:rsidRDefault="00C35EC6" w:rsidP="000E22AD">
            <w:pPr>
              <w:pStyle w:val="TableParagraph"/>
              <w:ind w:left="26"/>
              <w:rPr>
                <w:rFonts w:ascii="Arial" w:hAnsi="Arial" w:cs="Arial"/>
                <w:iCs/>
                <w:sz w:val="20"/>
                <w:szCs w:val="20"/>
              </w:rPr>
            </w:pPr>
            <w:r w:rsidRPr="00AA631C">
              <w:rPr>
                <w:rFonts w:ascii="Arial" w:hAnsi="Arial" w:cs="Arial"/>
                <w:iCs/>
                <w:spacing w:val="-10"/>
                <w:sz w:val="20"/>
                <w:szCs w:val="20"/>
              </w:rPr>
              <w:t xml:space="preserve">P </w:t>
            </w:r>
            <w:r w:rsidRPr="00AA631C">
              <w:rPr>
                <w:rFonts w:ascii="Arial" w:hAnsi="Arial" w:cs="Arial"/>
                <w:iCs/>
                <w:spacing w:val="-2"/>
                <w:sz w:val="20"/>
                <w:szCs w:val="20"/>
              </w:rPr>
              <w:t>Values</w:t>
            </w:r>
          </w:p>
        </w:tc>
        <w:tc>
          <w:tcPr>
            <w:tcW w:w="1157" w:type="dxa"/>
            <w:shd w:val="clear" w:color="auto" w:fill="C0C0C0"/>
          </w:tcPr>
          <w:p w14:paraId="2CF3BC27" w14:textId="77777777" w:rsidR="00C35EC6" w:rsidRPr="00AA631C" w:rsidRDefault="00C35EC6" w:rsidP="000E22AD">
            <w:pPr>
              <w:pStyle w:val="TableParagraph"/>
              <w:ind w:left="107"/>
              <w:jc w:val="left"/>
              <w:rPr>
                <w:rFonts w:ascii="Arial" w:hAnsi="Arial" w:cs="Arial"/>
                <w:sz w:val="20"/>
                <w:szCs w:val="20"/>
              </w:rPr>
            </w:pPr>
            <w:r w:rsidRPr="00AA631C">
              <w:rPr>
                <w:rFonts w:ascii="Arial" w:hAnsi="Arial" w:cs="Arial"/>
                <w:spacing w:val="-2"/>
                <w:sz w:val="20"/>
                <w:szCs w:val="20"/>
              </w:rPr>
              <w:t xml:space="preserve">Conclusion </w:t>
            </w:r>
          </w:p>
        </w:tc>
      </w:tr>
      <w:tr w:rsidR="00C35EC6" w:rsidRPr="00AA631C" w14:paraId="3A030F3A" w14:textId="77777777" w:rsidTr="007E0E91">
        <w:tc>
          <w:tcPr>
            <w:tcW w:w="1720" w:type="dxa"/>
            <w:shd w:val="clear" w:color="auto" w:fill="C0C0C0"/>
          </w:tcPr>
          <w:p w14:paraId="37ADCD10" w14:textId="77777777" w:rsidR="00C35EC6" w:rsidRPr="00AA631C" w:rsidRDefault="00C35EC6" w:rsidP="000E22AD">
            <w:pPr>
              <w:pStyle w:val="TableParagraph"/>
              <w:ind w:left="80" w:right="80"/>
              <w:rPr>
                <w:rFonts w:ascii="Arial" w:hAnsi="Arial" w:cs="Arial"/>
                <w:iCs/>
                <w:sz w:val="20"/>
                <w:szCs w:val="20"/>
              </w:rPr>
            </w:pPr>
            <w:r w:rsidRPr="00AA631C">
              <w:rPr>
                <w:rFonts w:ascii="Arial" w:hAnsi="Arial" w:cs="Arial"/>
                <w:iCs/>
                <w:spacing w:val="-2"/>
                <w:sz w:val="20"/>
                <w:szCs w:val="20"/>
              </w:rPr>
              <w:t>Green</w:t>
            </w:r>
            <w:r w:rsidRPr="00AA631C">
              <w:rPr>
                <w:rFonts w:ascii="Arial" w:hAnsi="Arial" w:cs="Arial"/>
                <w:iCs/>
                <w:spacing w:val="-13"/>
                <w:sz w:val="20"/>
                <w:szCs w:val="20"/>
              </w:rPr>
              <w:t xml:space="preserve"> </w:t>
            </w:r>
            <w:r w:rsidRPr="00AA631C">
              <w:rPr>
                <w:rFonts w:ascii="Arial" w:hAnsi="Arial" w:cs="Arial"/>
                <w:iCs/>
                <w:spacing w:val="-2"/>
                <w:sz w:val="20"/>
                <w:szCs w:val="20"/>
              </w:rPr>
              <w:t xml:space="preserve">innovation </w:t>
            </w:r>
            <w:r w:rsidRPr="00AA631C">
              <w:rPr>
                <w:rFonts w:ascii="Arial" w:hAnsi="Arial" w:cs="Arial"/>
                <w:iCs/>
                <w:sz w:val="20"/>
                <w:szCs w:val="20"/>
              </w:rPr>
              <w:t>product</w:t>
            </w:r>
            <w:r w:rsidRPr="00AA631C">
              <w:rPr>
                <w:rFonts w:ascii="Arial" w:hAnsi="Arial" w:cs="Arial"/>
                <w:iCs/>
                <w:spacing w:val="-10"/>
                <w:sz w:val="20"/>
                <w:szCs w:val="20"/>
              </w:rPr>
              <w:t xml:space="preserve"> </w:t>
            </w:r>
            <w:r w:rsidRPr="00AA631C">
              <w:rPr>
                <w:rFonts w:ascii="Arial" w:hAnsi="Arial" w:cs="Arial"/>
                <w:iCs/>
                <w:sz w:val="20"/>
                <w:szCs w:val="20"/>
              </w:rPr>
              <w:t>-&gt;</w:t>
            </w:r>
            <w:r w:rsidRPr="00AA631C">
              <w:rPr>
                <w:rFonts w:ascii="Arial" w:hAnsi="Arial" w:cs="Arial"/>
                <w:iCs/>
                <w:spacing w:val="-11"/>
                <w:sz w:val="20"/>
                <w:szCs w:val="20"/>
              </w:rPr>
              <w:t xml:space="preserve"> </w:t>
            </w:r>
            <w:r w:rsidRPr="00AA631C">
              <w:rPr>
                <w:rFonts w:ascii="Arial" w:hAnsi="Arial" w:cs="Arial"/>
                <w:iCs/>
                <w:sz w:val="20"/>
                <w:szCs w:val="20"/>
              </w:rPr>
              <w:t>green supply chain</w:t>
            </w:r>
          </w:p>
        </w:tc>
        <w:tc>
          <w:tcPr>
            <w:tcW w:w="1170" w:type="dxa"/>
            <w:vAlign w:val="center"/>
          </w:tcPr>
          <w:p w14:paraId="21A0BFC6" w14:textId="77777777" w:rsidR="00C35EC6" w:rsidRPr="00AA631C" w:rsidRDefault="00C35EC6" w:rsidP="000E22AD">
            <w:pPr>
              <w:pStyle w:val="TableParagraph"/>
              <w:ind w:left="169" w:right="164"/>
              <w:rPr>
                <w:rFonts w:ascii="Arial" w:hAnsi="Arial" w:cs="Arial"/>
                <w:iCs/>
                <w:sz w:val="20"/>
                <w:szCs w:val="20"/>
              </w:rPr>
            </w:pPr>
            <w:r w:rsidRPr="00AA631C">
              <w:rPr>
                <w:rFonts w:ascii="Arial" w:hAnsi="Arial" w:cs="Arial"/>
                <w:iCs/>
                <w:spacing w:val="-2"/>
                <w:sz w:val="20"/>
                <w:szCs w:val="20"/>
              </w:rPr>
              <w:t>0.792</w:t>
            </w:r>
          </w:p>
        </w:tc>
        <w:tc>
          <w:tcPr>
            <w:tcW w:w="1080" w:type="dxa"/>
            <w:vAlign w:val="center"/>
          </w:tcPr>
          <w:p w14:paraId="2EE9C40E" w14:textId="77777777" w:rsidR="00C35EC6" w:rsidRPr="00AA631C" w:rsidRDefault="00C35EC6" w:rsidP="000E22AD">
            <w:pPr>
              <w:pStyle w:val="TableParagraph"/>
              <w:ind w:left="5"/>
              <w:rPr>
                <w:rFonts w:ascii="Arial" w:hAnsi="Arial" w:cs="Arial"/>
                <w:iCs/>
                <w:sz w:val="20"/>
                <w:szCs w:val="20"/>
              </w:rPr>
            </w:pPr>
            <w:r w:rsidRPr="00AA631C">
              <w:rPr>
                <w:rFonts w:ascii="Arial" w:hAnsi="Arial" w:cs="Arial"/>
                <w:iCs/>
                <w:spacing w:val="-2"/>
                <w:sz w:val="20"/>
                <w:szCs w:val="20"/>
              </w:rPr>
              <w:t>0.784</w:t>
            </w:r>
          </w:p>
        </w:tc>
        <w:tc>
          <w:tcPr>
            <w:tcW w:w="1170" w:type="dxa"/>
            <w:vAlign w:val="center"/>
          </w:tcPr>
          <w:p w14:paraId="59131E9B" w14:textId="77777777" w:rsidR="00C35EC6" w:rsidRPr="00AA631C" w:rsidRDefault="00C35EC6" w:rsidP="000E22AD">
            <w:pPr>
              <w:pStyle w:val="TableParagraph"/>
              <w:ind w:left="10" w:right="3"/>
              <w:rPr>
                <w:rFonts w:ascii="Arial" w:hAnsi="Arial" w:cs="Arial"/>
                <w:iCs/>
                <w:sz w:val="20"/>
                <w:szCs w:val="20"/>
              </w:rPr>
            </w:pPr>
            <w:r w:rsidRPr="00AA631C">
              <w:rPr>
                <w:rFonts w:ascii="Arial" w:hAnsi="Arial" w:cs="Arial"/>
                <w:iCs/>
                <w:spacing w:val="-2"/>
                <w:sz w:val="20"/>
                <w:szCs w:val="20"/>
              </w:rPr>
              <w:t>0.060</w:t>
            </w:r>
          </w:p>
        </w:tc>
        <w:tc>
          <w:tcPr>
            <w:tcW w:w="1440" w:type="dxa"/>
            <w:vAlign w:val="center"/>
          </w:tcPr>
          <w:p w14:paraId="4D8A1220" w14:textId="77777777" w:rsidR="00C35EC6" w:rsidRPr="00AA631C" w:rsidRDefault="00C35EC6" w:rsidP="000E22AD">
            <w:pPr>
              <w:pStyle w:val="TableParagraph"/>
              <w:ind w:left="14"/>
              <w:rPr>
                <w:rFonts w:ascii="Arial" w:hAnsi="Arial" w:cs="Arial"/>
                <w:iCs/>
                <w:sz w:val="20"/>
                <w:szCs w:val="20"/>
              </w:rPr>
            </w:pPr>
            <w:r w:rsidRPr="00AA631C">
              <w:rPr>
                <w:rFonts w:ascii="Arial" w:hAnsi="Arial" w:cs="Arial"/>
                <w:iCs/>
                <w:spacing w:val="-2"/>
                <w:sz w:val="20"/>
                <w:szCs w:val="20"/>
              </w:rPr>
              <w:t>13.165</w:t>
            </w:r>
          </w:p>
        </w:tc>
        <w:tc>
          <w:tcPr>
            <w:tcW w:w="985" w:type="dxa"/>
            <w:vAlign w:val="center"/>
          </w:tcPr>
          <w:p w14:paraId="44E62C18" w14:textId="77777777" w:rsidR="00C35EC6" w:rsidRPr="00AA631C" w:rsidRDefault="00C35EC6" w:rsidP="000E22AD">
            <w:pPr>
              <w:pStyle w:val="TableParagraph"/>
              <w:ind w:left="26" w:right="12"/>
              <w:rPr>
                <w:rFonts w:ascii="Arial" w:hAnsi="Arial" w:cs="Arial"/>
                <w:iCs/>
                <w:sz w:val="20"/>
                <w:szCs w:val="20"/>
              </w:rPr>
            </w:pPr>
            <w:r w:rsidRPr="00AA631C">
              <w:rPr>
                <w:rFonts w:ascii="Arial" w:hAnsi="Arial" w:cs="Arial"/>
                <w:iCs/>
                <w:spacing w:val="-2"/>
                <w:sz w:val="20"/>
                <w:szCs w:val="20"/>
              </w:rPr>
              <w:t>0.000</w:t>
            </w:r>
          </w:p>
        </w:tc>
        <w:tc>
          <w:tcPr>
            <w:tcW w:w="1157" w:type="dxa"/>
            <w:vAlign w:val="center"/>
          </w:tcPr>
          <w:p w14:paraId="4D365FB9" w14:textId="77777777" w:rsidR="00C35EC6" w:rsidRPr="00AA631C" w:rsidRDefault="00C35EC6" w:rsidP="000E22AD">
            <w:pPr>
              <w:pStyle w:val="TableParagraph"/>
              <w:ind w:left="9" w:right="6"/>
              <w:rPr>
                <w:rFonts w:ascii="Arial" w:hAnsi="Arial" w:cs="Arial"/>
                <w:iCs/>
                <w:sz w:val="20"/>
                <w:szCs w:val="20"/>
              </w:rPr>
            </w:pPr>
            <w:r w:rsidRPr="00AA631C">
              <w:rPr>
                <w:rFonts w:ascii="Arial" w:hAnsi="Arial" w:cs="Arial"/>
                <w:iCs/>
                <w:spacing w:val="-5"/>
                <w:sz w:val="20"/>
                <w:szCs w:val="20"/>
              </w:rPr>
              <w:t xml:space="preserve">H1 </w:t>
            </w:r>
            <w:r w:rsidRPr="00AA631C">
              <w:rPr>
                <w:rFonts w:ascii="Arial" w:hAnsi="Arial" w:cs="Arial"/>
                <w:iCs/>
                <w:spacing w:val="-2"/>
                <w:sz w:val="20"/>
                <w:szCs w:val="20"/>
              </w:rPr>
              <w:t>confirmed</w:t>
            </w:r>
          </w:p>
        </w:tc>
      </w:tr>
      <w:tr w:rsidR="00C35EC6" w:rsidRPr="00AA631C" w14:paraId="79BC125E" w14:textId="77777777" w:rsidTr="007E0E91">
        <w:tc>
          <w:tcPr>
            <w:tcW w:w="1720" w:type="dxa"/>
            <w:shd w:val="clear" w:color="auto" w:fill="C0C0C0"/>
          </w:tcPr>
          <w:p w14:paraId="226C07CD" w14:textId="77777777" w:rsidR="00C35EC6" w:rsidRPr="00AA631C" w:rsidRDefault="00C35EC6" w:rsidP="000E22AD">
            <w:pPr>
              <w:pStyle w:val="TableParagraph"/>
              <w:ind w:left="80" w:right="80"/>
              <w:rPr>
                <w:rFonts w:ascii="Arial" w:hAnsi="Arial" w:cs="Arial"/>
                <w:iCs/>
                <w:sz w:val="20"/>
                <w:szCs w:val="20"/>
              </w:rPr>
            </w:pPr>
            <w:r w:rsidRPr="00AA631C">
              <w:rPr>
                <w:rFonts w:ascii="Arial" w:hAnsi="Arial" w:cs="Arial"/>
                <w:iCs/>
                <w:spacing w:val="-2"/>
                <w:sz w:val="20"/>
                <w:szCs w:val="20"/>
              </w:rPr>
              <w:t>Green</w:t>
            </w:r>
            <w:r w:rsidRPr="00AA631C">
              <w:rPr>
                <w:rFonts w:ascii="Arial" w:hAnsi="Arial" w:cs="Arial"/>
                <w:iCs/>
                <w:spacing w:val="-13"/>
                <w:sz w:val="20"/>
                <w:szCs w:val="20"/>
              </w:rPr>
              <w:t xml:space="preserve"> </w:t>
            </w:r>
            <w:r w:rsidRPr="00AA631C">
              <w:rPr>
                <w:rFonts w:ascii="Arial" w:hAnsi="Arial" w:cs="Arial"/>
                <w:iCs/>
                <w:spacing w:val="-2"/>
                <w:sz w:val="20"/>
                <w:szCs w:val="20"/>
              </w:rPr>
              <w:t xml:space="preserve">innovation </w:t>
            </w:r>
            <w:r w:rsidRPr="00AA631C">
              <w:rPr>
                <w:rFonts w:ascii="Arial" w:hAnsi="Arial" w:cs="Arial"/>
                <w:iCs/>
                <w:sz w:val="20"/>
                <w:szCs w:val="20"/>
              </w:rPr>
              <w:t>product</w:t>
            </w:r>
            <w:r w:rsidRPr="00AA631C">
              <w:rPr>
                <w:rFonts w:ascii="Arial" w:hAnsi="Arial" w:cs="Arial"/>
                <w:iCs/>
                <w:spacing w:val="-10"/>
                <w:sz w:val="20"/>
                <w:szCs w:val="20"/>
              </w:rPr>
              <w:t xml:space="preserve"> </w:t>
            </w:r>
            <w:r w:rsidRPr="00AA631C">
              <w:rPr>
                <w:rFonts w:ascii="Arial" w:hAnsi="Arial" w:cs="Arial"/>
                <w:iCs/>
                <w:sz w:val="20"/>
                <w:szCs w:val="20"/>
              </w:rPr>
              <w:t>-&gt;</w:t>
            </w:r>
            <w:r w:rsidRPr="00AA631C">
              <w:rPr>
                <w:rFonts w:ascii="Arial" w:hAnsi="Arial" w:cs="Arial"/>
                <w:iCs/>
                <w:spacing w:val="-11"/>
                <w:sz w:val="20"/>
                <w:szCs w:val="20"/>
              </w:rPr>
              <w:t xml:space="preserve"> </w:t>
            </w:r>
            <w:r w:rsidRPr="00AA631C">
              <w:rPr>
                <w:rFonts w:ascii="Arial" w:hAnsi="Arial" w:cs="Arial"/>
                <w:iCs/>
                <w:sz w:val="20"/>
                <w:szCs w:val="20"/>
              </w:rPr>
              <w:t xml:space="preserve">social </w:t>
            </w:r>
            <w:r w:rsidRPr="00AA631C">
              <w:rPr>
                <w:rFonts w:ascii="Arial" w:hAnsi="Arial" w:cs="Arial"/>
                <w:iCs/>
                <w:spacing w:val="-2"/>
                <w:sz w:val="20"/>
                <w:szCs w:val="20"/>
              </w:rPr>
              <w:t>performance</w:t>
            </w:r>
          </w:p>
        </w:tc>
        <w:tc>
          <w:tcPr>
            <w:tcW w:w="1170" w:type="dxa"/>
            <w:vAlign w:val="center"/>
          </w:tcPr>
          <w:p w14:paraId="2574143F" w14:textId="77777777" w:rsidR="00C35EC6" w:rsidRPr="00AA631C" w:rsidRDefault="00C35EC6" w:rsidP="000E22AD">
            <w:pPr>
              <w:pStyle w:val="TableParagraph"/>
              <w:ind w:left="169" w:right="164"/>
              <w:rPr>
                <w:rFonts w:ascii="Arial" w:hAnsi="Arial" w:cs="Arial"/>
                <w:iCs/>
                <w:sz w:val="20"/>
                <w:szCs w:val="20"/>
              </w:rPr>
            </w:pPr>
            <w:r w:rsidRPr="00AA631C">
              <w:rPr>
                <w:rFonts w:ascii="Arial" w:hAnsi="Arial" w:cs="Arial"/>
                <w:iCs/>
                <w:spacing w:val="-2"/>
                <w:sz w:val="20"/>
                <w:szCs w:val="20"/>
              </w:rPr>
              <w:t>0.401</w:t>
            </w:r>
          </w:p>
        </w:tc>
        <w:tc>
          <w:tcPr>
            <w:tcW w:w="1080" w:type="dxa"/>
            <w:vAlign w:val="center"/>
          </w:tcPr>
          <w:p w14:paraId="71398761" w14:textId="77777777" w:rsidR="00C35EC6" w:rsidRPr="00AA631C" w:rsidRDefault="00C35EC6" w:rsidP="000E22AD">
            <w:pPr>
              <w:pStyle w:val="TableParagraph"/>
              <w:ind w:left="5"/>
              <w:rPr>
                <w:rFonts w:ascii="Arial" w:hAnsi="Arial" w:cs="Arial"/>
                <w:iCs/>
                <w:sz w:val="20"/>
                <w:szCs w:val="20"/>
              </w:rPr>
            </w:pPr>
            <w:r w:rsidRPr="00AA631C">
              <w:rPr>
                <w:rFonts w:ascii="Arial" w:hAnsi="Arial" w:cs="Arial"/>
                <w:iCs/>
                <w:spacing w:val="-2"/>
                <w:sz w:val="20"/>
                <w:szCs w:val="20"/>
              </w:rPr>
              <w:t>0.400</w:t>
            </w:r>
          </w:p>
        </w:tc>
        <w:tc>
          <w:tcPr>
            <w:tcW w:w="1170" w:type="dxa"/>
            <w:vAlign w:val="center"/>
          </w:tcPr>
          <w:p w14:paraId="470B93EA" w14:textId="77777777" w:rsidR="00C35EC6" w:rsidRPr="00AA631C" w:rsidRDefault="00C35EC6" w:rsidP="000E22AD">
            <w:pPr>
              <w:pStyle w:val="TableParagraph"/>
              <w:ind w:left="10" w:right="3"/>
              <w:rPr>
                <w:rFonts w:ascii="Arial" w:hAnsi="Arial" w:cs="Arial"/>
                <w:iCs/>
                <w:sz w:val="20"/>
                <w:szCs w:val="20"/>
              </w:rPr>
            </w:pPr>
            <w:r w:rsidRPr="00AA631C">
              <w:rPr>
                <w:rFonts w:ascii="Arial" w:hAnsi="Arial" w:cs="Arial"/>
                <w:iCs/>
                <w:spacing w:val="-2"/>
                <w:sz w:val="20"/>
                <w:szCs w:val="20"/>
              </w:rPr>
              <w:t>0.118</w:t>
            </w:r>
          </w:p>
        </w:tc>
        <w:tc>
          <w:tcPr>
            <w:tcW w:w="1440" w:type="dxa"/>
            <w:vAlign w:val="center"/>
          </w:tcPr>
          <w:p w14:paraId="223665A1" w14:textId="77777777" w:rsidR="00C35EC6" w:rsidRPr="00AA631C" w:rsidRDefault="00C35EC6" w:rsidP="000E22AD">
            <w:pPr>
              <w:pStyle w:val="TableParagraph"/>
              <w:ind w:left="14" w:right="1"/>
              <w:rPr>
                <w:rFonts w:ascii="Arial" w:hAnsi="Arial" w:cs="Arial"/>
                <w:iCs/>
                <w:sz w:val="20"/>
                <w:szCs w:val="20"/>
              </w:rPr>
            </w:pPr>
            <w:r w:rsidRPr="00AA631C">
              <w:rPr>
                <w:rFonts w:ascii="Arial" w:hAnsi="Arial" w:cs="Arial"/>
                <w:iCs/>
                <w:spacing w:val="-2"/>
                <w:sz w:val="20"/>
                <w:szCs w:val="20"/>
              </w:rPr>
              <w:t>3.413</w:t>
            </w:r>
          </w:p>
        </w:tc>
        <w:tc>
          <w:tcPr>
            <w:tcW w:w="985" w:type="dxa"/>
            <w:vAlign w:val="center"/>
          </w:tcPr>
          <w:p w14:paraId="1BE5A15D" w14:textId="77777777" w:rsidR="00C35EC6" w:rsidRPr="00AA631C" w:rsidRDefault="00C35EC6" w:rsidP="000E22AD">
            <w:pPr>
              <w:pStyle w:val="TableParagraph"/>
              <w:ind w:left="26" w:right="12"/>
              <w:rPr>
                <w:rFonts w:ascii="Arial" w:hAnsi="Arial" w:cs="Arial"/>
                <w:iCs/>
                <w:sz w:val="20"/>
                <w:szCs w:val="20"/>
              </w:rPr>
            </w:pPr>
            <w:r w:rsidRPr="00AA631C">
              <w:rPr>
                <w:rFonts w:ascii="Arial" w:hAnsi="Arial" w:cs="Arial"/>
                <w:iCs/>
                <w:spacing w:val="-2"/>
                <w:sz w:val="20"/>
                <w:szCs w:val="20"/>
              </w:rPr>
              <w:t>0.001</w:t>
            </w:r>
          </w:p>
        </w:tc>
        <w:tc>
          <w:tcPr>
            <w:tcW w:w="1157" w:type="dxa"/>
            <w:vAlign w:val="center"/>
          </w:tcPr>
          <w:p w14:paraId="536C3863" w14:textId="77777777" w:rsidR="00C35EC6" w:rsidRPr="00AA631C" w:rsidRDefault="00C35EC6" w:rsidP="000E22AD">
            <w:pPr>
              <w:pStyle w:val="TableParagraph"/>
              <w:ind w:left="9" w:right="6"/>
              <w:rPr>
                <w:rFonts w:ascii="Arial" w:hAnsi="Arial" w:cs="Arial"/>
                <w:iCs/>
                <w:sz w:val="20"/>
                <w:szCs w:val="20"/>
              </w:rPr>
            </w:pPr>
            <w:r w:rsidRPr="00AA631C">
              <w:rPr>
                <w:rFonts w:ascii="Arial" w:hAnsi="Arial" w:cs="Arial"/>
                <w:iCs/>
                <w:spacing w:val="-5"/>
                <w:sz w:val="20"/>
                <w:szCs w:val="20"/>
              </w:rPr>
              <w:t xml:space="preserve">H2 </w:t>
            </w:r>
            <w:r w:rsidRPr="00AA631C">
              <w:rPr>
                <w:rFonts w:ascii="Arial" w:hAnsi="Arial" w:cs="Arial"/>
                <w:iCs/>
                <w:spacing w:val="-2"/>
                <w:sz w:val="20"/>
                <w:szCs w:val="20"/>
              </w:rPr>
              <w:t>confirmed</w:t>
            </w:r>
          </w:p>
        </w:tc>
      </w:tr>
      <w:tr w:rsidR="00C35EC6" w:rsidRPr="00AA631C" w14:paraId="32BECEA1" w14:textId="77777777" w:rsidTr="007E0E91">
        <w:tc>
          <w:tcPr>
            <w:tcW w:w="1720" w:type="dxa"/>
            <w:shd w:val="clear" w:color="auto" w:fill="C0C0C0"/>
          </w:tcPr>
          <w:p w14:paraId="3F198946" w14:textId="77777777" w:rsidR="00C35EC6" w:rsidRPr="00AA631C" w:rsidRDefault="00C35EC6" w:rsidP="000E22AD">
            <w:pPr>
              <w:pStyle w:val="TableParagraph"/>
              <w:ind w:left="280" w:right="129" w:hanging="170"/>
              <w:jc w:val="left"/>
              <w:rPr>
                <w:rFonts w:ascii="Arial" w:hAnsi="Arial" w:cs="Arial"/>
                <w:iCs/>
                <w:sz w:val="20"/>
                <w:szCs w:val="20"/>
              </w:rPr>
            </w:pPr>
            <w:r w:rsidRPr="00AA631C">
              <w:rPr>
                <w:rFonts w:ascii="Arial" w:hAnsi="Arial" w:cs="Arial"/>
                <w:iCs/>
                <w:sz w:val="20"/>
                <w:szCs w:val="20"/>
              </w:rPr>
              <w:t>Green</w:t>
            </w:r>
            <w:r w:rsidRPr="00AA631C">
              <w:rPr>
                <w:rFonts w:ascii="Arial" w:hAnsi="Arial" w:cs="Arial"/>
                <w:iCs/>
                <w:spacing w:val="-15"/>
                <w:sz w:val="20"/>
                <w:szCs w:val="20"/>
              </w:rPr>
              <w:t xml:space="preserve"> </w:t>
            </w:r>
            <w:r w:rsidRPr="00AA631C">
              <w:rPr>
                <w:rFonts w:ascii="Arial" w:hAnsi="Arial" w:cs="Arial"/>
                <w:iCs/>
                <w:sz w:val="20"/>
                <w:szCs w:val="20"/>
              </w:rPr>
              <w:t>supply</w:t>
            </w:r>
            <w:r w:rsidRPr="00AA631C">
              <w:rPr>
                <w:rFonts w:ascii="Arial" w:hAnsi="Arial" w:cs="Arial"/>
                <w:iCs/>
                <w:spacing w:val="-17"/>
                <w:sz w:val="20"/>
                <w:szCs w:val="20"/>
              </w:rPr>
              <w:t xml:space="preserve"> </w:t>
            </w:r>
            <w:r w:rsidRPr="00AA631C">
              <w:rPr>
                <w:rFonts w:ascii="Arial" w:hAnsi="Arial" w:cs="Arial"/>
                <w:iCs/>
                <w:sz w:val="20"/>
                <w:szCs w:val="20"/>
              </w:rPr>
              <w:t>chain</w:t>
            </w:r>
            <w:r w:rsidRPr="00AA631C">
              <w:rPr>
                <w:rFonts w:ascii="Arial" w:hAnsi="Arial" w:cs="Arial"/>
                <w:iCs/>
                <w:spacing w:val="-15"/>
                <w:sz w:val="20"/>
                <w:szCs w:val="20"/>
              </w:rPr>
              <w:t xml:space="preserve"> </w:t>
            </w:r>
            <w:r w:rsidRPr="00AA631C">
              <w:rPr>
                <w:rFonts w:ascii="Arial" w:hAnsi="Arial" w:cs="Arial"/>
                <w:iCs/>
                <w:sz w:val="20"/>
                <w:szCs w:val="20"/>
              </w:rPr>
              <w:t>-&gt; social performance</w:t>
            </w:r>
          </w:p>
        </w:tc>
        <w:tc>
          <w:tcPr>
            <w:tcW w:w="1170" w:type="dxa"/>
            <w:vAlign w:val="center"/>
          </w:tcPr>
          <w:p w14:paraId="51B41646" w14:textId="77777777" w:rsidR="00C35EC6" w:rsidRPr="00AA631C" w:rsidRDefault="00C35EC6" w:rsidP="000E22AD">
            <w:pPr>
              <w:pStyle w:val="TableParagraph"/>
              <w:ind w:left="169" w:right="164"/>
              <w:rPr>
                <w:rFonts w:ascii="Arial" w:hAnsi="Arial" w:cs="Arial"/>
                <w:iCs/>
                <w:sz w:val="20"/>
                <w:szCs w:val="20"/>
              </w:rPr>
            </w:pPr>
            <w:r w:rsidRPr="00AA631C">
              <w:rPr>
                <w:rFonts w:ascii="Arial" w:hAnsi="Arial" w:cs="Arial"/>
                <w:iCs/>
                <w:spacing w:val="-2"/>
                <w:sz w:val="20"/>
                <w:szCs w:val="20"/>
              </w:rPr>
              <w:t>0.448</w:t>
            </w:r>
          </w:p>
        </w:tc>
        <w:tc>
          <w:tcPr>
            <w:tcW w:w="1080" w:type="dxa"/>
            <w:vAlign w:val="center"/>
          </w:tcPr>
          <w:p w14:paraId="04C75F17" w14:textId="77777777" w:rsidR="00C35EC6" w:rsidRPr="00AA631C" w:rsidRDefault="00C35EC6" w:rsidP="000E22AD">
            <w:pPr>
              <w:pStyle w:val="TableParagraph"/>
              <w:ind w:left="5"/>
              <w:rPr>
                <w:rFonts w:ascii="Arial" w:hAnsi="Arial" w:cs="Arial"/>
                <w:iCs/>
                <w:sz w:val="20"/>
                <w:szCs w:val="20"/>
              </w:rPr>
            </w:pPr>
            <w:r w:rsidRPr="00AA631C">
              <w:rPr>
                <w:rFonts w:ascii="Arial" w:hAnsi="Arial" w:cs="Arial"/>
                <w:iCs/>
                <w:spacing w:val="-2"/>
                <w:sz w:val="20"/>
                <w:szCs w:val="20"/>
              </w:rPr>
              <w:t>0.447</w:t>
            </w:r>
          </w:p>
        </w:tc>
        <w:tc>
          <w:tcPr>
            <w:tcW w:w="1170" w:type="dxa"/>
            <w:vAlign w:val="center"/>
          </w:tcPr>
          <w:p w14:paraId="6F9798CB" w14:textId="77777777" w:rsidR="00C35EC6" w:rsidRPr="00AA631C" w:rsidRDefault="00C35EC6" w:rsidP="000E22AD">
            <w:pPr>
              <w:pStyle w:val="TableParagraph"/>
              <w:ind w:left="10" w:right="3"/>
              <w:rPr>
                <w:rFonts w:ascii="Arial" w:hAnsi="Arial" w:cs="Arial"/>
                <w:iCs/>
                <w:sz w:val="20"/>
                <w:szCs w:val="20"/>
              </w:rPr>
            </w:pPr>
            <w:r w:rsidRPr="00AA631C">
              <w:rPr>
                <w:rFonts w:ascii="Arial" w:hAnsi="Arial" w:cs="Arial"/>
                <w:iCs/>
                <w:spacing w:val="-2"/>
                <w:sz w:val="20"/>
                <w:szCs w:val="20"/>
              </w:rPr>
              <w:t>0.119</w:t>
            </w:r>
          </w:p>
        </w:tc>
        <w:tc>
          <w:tcPr>
            <w:tcW w:w="1440" w:type="dxa"/>
            <w:vAlign w:val="center"/>
          </w:tcPr>
          <w:p w14:paraId="25CDA0BA" w14:textId="77777777" w:rsidR="00C35EC6" w:rsidRPr="00AA631C" w:rsidRDefault="00C35EC6" w:rsidP="000E22AD">
            <w:pPr>
              <w:pStyle w:val="TableParagraph"/>
              <w:ind w:left="14" w:right="1"/>
              <w:rPr>
                <w:rFonts w:ascii="Arial" w:hAnsi="Arial" w:cs="Arial"/>
                <w:iCs/>
                <w:sz w:val="20"/>
                <w:szCs w:val="20"/>
              </w:rPr>
            </w:pPr>
            <w:r w:rsidRPr="00AA631C">
              <w:rPr>
                <w:rFonts w:ascii="Arial" w:hAnsi="Arial" w:cs="Arial"/>
                <w:iCs/>
                <w:spacing w:val="-2"/>
                <w:sz w:val="20"/>
                <w:szCs w:val="20"/>
              </w:rPr>
              <w:t>3.770</w:t>
            </w:r>
          </w:p>
        </w:tc>
        <w:tc>
          <w:tcPr>
            <w:tcW w:w="985" w:type="dxa"/>
            <w:vAlign w:val="center"/>
          </w:tcPr>
          <w:p w14:paraId="5C9BD882" w14:textId="77777777" w:rsidR="00C35EC6" w:rsidRPr="00AA631C" w:rsidRDefault="00C35EC6" w:rsidP="000E22AD">
            <w:pPr>
              <w:pStyle w:val="TableParagraph"/>
              <w:ind w:left="26" w:right="12"/>
              <w:rPr>
                <w:rFonts w:ascii="Arial" w:hAnsi="Arial" w:cs="Arial"/>
                <w:iCs/>
                <w:sz w:val="20"/>
                <w:szCs w:val="20"/>
              </w:rPr>
            </w:pPr>
            <w:r w:rsidRPr="00AA631C">
              <w:rPr>
                <w:rFonts w:ascii="Arial" w:hAnsi="Arial" w:cs="Arial"/>
                <w:iCs/>
                <w:spacing w:val="-2"/>
                <w:sz w:val="20"/>
                <w:szCs w:val="20"/>
              </w:rPr>
              <w:t>0.000</w:t>
            </w:r>
          </w:p>
        </w:tc>
        <w:tc>
          <w:tcPr>
            <w:tcW w:w="1157" w:type="dxa"/>
            <w:vAlign w:val="center"/>
          </w:tcPr>
          <w:p w14:paraId="61CDE45E" w14:textId="77777777" w:rsidR="00C35EC6" w:rsidRPr="00AA631C" w:rsidRDefault="00C35EC6" w:rsidP="000E22AD">
            <w:pPr>
              <w:pStyle w:val="TableParagraph"/>
              <w:ind w:left="9" w:right="6"/>
              <w:rPr>
                <w:rFonts w:ascii="Arial" w:hAnsi="Arial" w:cs="Arial"/>
                <w:iCs/>
                <w:sz w:val="20"/>
                <w:szCs w:val="20"/>
              </w:rPr>
            </w:pPr>
            <w:r w:rsidRPr="00AA631C">
              <w:rPr>
                <w:rFonts w:ascii="Arial" w:hAnsi="Arial" w:cs="Arial"/>
                <w:iCs/>
                <w:spacing w:val="-5"/>
                <w:sz w:val="20"/>
                <w:szCs w:val="20"/>
              </w:rPr>
              <w:t xml:space="preserve">H3 </w:t>
            </w:r>
            <w:r w:rsidRPr="00AA631C">
              <w:rPr>
                <w:rFonts w:ascii="Arial" w:hAnsi="Arial" w:cs="Arial"/>
                <w:iCs/>
                <w:spacing w:val="-2"/>
                <w:sz w:val="20"/>
                <w:szCs w:val="20"/>
              </w:rPr>
              <w:t>confirmed</w:t>
            </w:r>
          </w:p>
        </w:tc>
      </w:tr>
    </w:tbl>
    <w:p w14:paraId="5D09C037" w14:textId="77777777" w:rsidR="00C35EC6" w:rsidRPr="00AA631C" w:rsidRDefault="00C35EC6" w:rsidP="00C35EC6"/>
    <w:p w14:paraId="5A1FF3FE" w14:textId="77777777" w:rsidR="008906DD" w:rsidRPr="00AA631C" w:rsidRDefault="008906DD" w:rsidP="008906DD">
      <w:pPr>
        <w:pStyle w:val="Head1"/>
        <w:spacing w:after="0"/>
        <w:rPr>
          <w:rFonts w:cs="Arial"/>
        </w:rPr>
      </w:pPr>
      <w:r w:rsidRPr="00AA631C">
        <w:rPr>
          <w:rFonts w:cs="Arial"/>
        </w:rPr>
        <w:t>5. DISCUSSION: ENFOLDING THE FINDINGS INTO THE LITERATURE</w:t>
      </w:r>
    </w:p>
    <w:p w14:paraId="16E03456" w14:textId="77777777" w:rsidR="00B32775" w:rsidRPr="00AA631C" w:rsidRDefault="00B32775" w:rsidP="00B32775">
      <w:pPr>
        <w:spacing w:line="360" w:lineRule="auto"/>
        <w:rPr>
          <w:b/>
          <w:bCs/>
        </w:rPr>
      </w:pPr>
    </w:p>
    <w:p w14:paraId="324491A6" w14:textId="77777777" w:rsidR="008906DD" w:rsidRPr="00AA631C" w:rsidRDefault="008906DD" w:rsidP="008906DD">
      <w:pPr>
        <w:pStyle w:val="Body"/>
        <w:spacing w:after="0"/>
        <w:rPr>
          <w:rFonts w:cs="Arial"/>
        </w:rPr>
      </w:pPr>
      <w:r w:rsidRPr="00AA631C">
        <w:rPr>
          <w:rFonts w:cs="Arial"/>
          <w:b/>
          <w:caps/>
          <w:sz w:val="22"/>
        </w:rPr>
        <w:t xml:space="preserve">5.1 </w:t>
      </w:r>
      <w:r w:rsidRPr="00AA631C">
        <w:rPr>
          <w:rFonts w:cs="Arial"/>
          <w:b/>
          <w:sz w:val="22"/>
        </w:rPr>
        <w:t>Green innovation product and social performance</w:t>
      </w:r>
      <w:r w:rsidRPr="00AA631C">
        <w:rPr>
          <w:rFonts w:cs="Arial"/>
        </w:rPr>
        <w:t xml:space="preserve">  </w:t>
      </w:r>
    </w:p>
    <w:p w14:paraId="0B944EF2" w14:textId="77777777" w:rsidR="008906DD" w:rsidRPr="00AA631C" w:rsidRDefault="008906DD" w:rsidP="008906DD">
      <w:pPr>
        <w:pStyle w:val="Body"/>
        <w:spacing w:after="0"/>
        <w:rPr>
          <w:rFonts w:cs="Arial"/>
        </w:rPr>
      </w:pPr>
    </w:p>
    <w:p w14:paraId="53A551E2" w14:textId="77777777" w:rsidR="00B32775" w:rsidRPr="00AA631C" w:rsidRDefault="00B32775" w:rsidP="00B32775">
      <w:r w:rsidRPr="00AA631C">
        <w:t>The findings indicate that Green Innovation Product has a positive effect on Social Performance, thereby supporting H2. This result suggests that environmentally oriented product innovation not only reduces environmental impacts but also creates social value by enhancing corporate reputation, strengthening stakeholder trust, and reinforcing corporate social responsibility.</w:t>
      </w:r>
    </w:p>
    <w:p w14:paraId="08433F3E" w14:textId="77777777" w:rsidR="00B32775" w:rsidRPr="00AA631C" w:rsidRDefault="00B32775" w:rsidP="00B32775"/>
    <w:p w14:paraId="16DDF5D5" w14:textId="77777777" w:rsidR="00B32775" w:rsidRPr="00AA631C" w:rsidRDefault="00B32775" w:rsidP="00B32775">
      <w:r w:rsidRPr="00AA631C">
        <w:t>From the perspective of the SRBV, green innovation product represents a strategic organisational capability that enables firms to create shared value for multiple stakeholders through the effective utilisation of internal resources and sustainability-oriented practices (Sodhi, 2015; Freeman et al., 2021). The adoption of environmentally friendly materials, waste reduction initiatives, and sustainable product development demonstrates a firm's commitment to responsible business practices, thereby contributing to improved Social Performance.</w:t>
      </w:r>
    </w:p>
    <w:p w14:paraId="5C2CAAB8" w14:textId="77777777" w:rsidR="00B32775" w:rsidRPr="00AA631C" w:rsidRDefault="00B32775" w:rsidP="00B32775"/>
    <w:p w14:paraId="389E337B" w14:textId="77777777" w:rsidR="00B32775" w:rsidRPr="00AA631C" w:rsidRDefault="00B32775" w:rsidP="00B32775">
      <w:r w:rsidRPr="00AA631C">
        <w:t xml:space="preserve">These findings are consistent with those of Levi-Bliech and Dahan (2026), who reported that green innovation products and green supply chain management are positively associated with organisational social performance. Likewise, Fosu et al. (2024) found that green innovation enhances corporate reputation and strengthens stakeholder support for sustainable </w:t>
      </w:r>
      <w:r w:rsidRPr="00AA631C">
        <w:lastRenderedPageBreak/>
        <w:t>business practices. Collectively, these findings suggest that environmentally oriented product innovation extends beyond environmental benefits by generating positive social outcomes for firms and their stakeholders.</w:t>
      </w:r>
    </w:p>
    <w:p w14:paraId="2829B8F9" w14:textId="77777777" w:rsidR="00B32775" w:rsidRPr="00AA631C" w:rsidRDefault="00B32775" w:rsidP="00B32775"/>
    <w:p w14:paraId="63A9E047" w14:textId="77777777" w:rsidR="00B32775" w:rsidRPr="00AA631C" w:rsidRDefault="00B32775" w:rsidP="00B32775">
      <w:r w:rsidRPr="00AA631C">
        <w:t>From a managerial perspective, the findings highlight the importance of incorporating green innovation product into corporate sustainability strategies. Firms in the food and beverage industry should continuously invest in environmentally friendly product development to strengthen stakeholder relationships, enhance corporate legitimacy, and improve long-term social performance.</w:t>
      </w:r>
    </w:p>
    <w:p w14:paraId="070DEA00" w14:textId="77777777" w:rsidR="00B32775" w:rsidRPr="00AA631C" w:rsidRDefault="00B32775" w:rsidP="008906DD">
      <w:pPr>
        <w:spacing w:line="360" w:lineRule="auto"/>
      </w:pPr>
    </w:p>
    <w:p w14:paraId="3BD6AC2F" w14:textId="77777777" w:rsidR="008906DD" w:rsidRPr="00AA631C" w:rsidRDefault="008906DD" w:rsidP="008906DD">
      <w:pPr>
        <w:spacing w:line="360" w:lineRule="auto"/>
      </w:pPr>
      <w:r w:rsidRPr="00AA631C">
        <w:rPr>
          <w:rFonts w:cs="Arial"/>
          <w:b/>
          <w:caps/>
          <w:sz w:val="22"/>
        </w:rPr>
        <w:t xml:space="preserve">5.2 </w:t>
      </w:r>
      <w:r w:rsidRPr="00AA631C">
        <w:rPr>
          <w:rFonts w:cs="Arial"/>
          <w:b/>
          <w:sz w:val="22"/>
        </w:rPr>
        <w:t>Green innovation product and green supply chain</w:t>
      </w:r>
      <w:r w:rsidRPr="00AA631C">
        <w:rPr>
          <w:rFonts w:cs="Arial"/>
        </w:rPr>
        <w:t xml:space="preserve"> </w:t>
      </w:r>
    </w:p>
    <w:p w14:paraId="35986B08" w14:textId="77777777" w:rsidR="00B32775" w:rsidRPr="00AA631C" w:rsidRDefault="00B32775" w:rsidP="00B32775">
      <w:pPr>
        <w:spacing w:line="360" w:lineRule="auto"/>
        <w:rPr>
          <w:b/>
          <w:bCs/>
        </w:rPr>
      </w:pPr>
    </w:p>
    <w:p w14:paraId="334ED139" w14:textId="77777777" w:rsidR="00B32775" w:rsidRPr="00AA631C" w:rsidRDefault="00B32775" w:rsidP="00B32775">
      <w:r w:rsidRPr="00AA631C">
        <w:t>The results demonstrate that green innovation product positively influences green supply chain, thereby supporting H1. This finding indicates that firms developing environmentally friendly products are more likely to adopt sustainable supply chain practices to ensure consistency between product innovation and operational sustainability.</w:t>
      </w:r>
    </w:p>
    <w:p w14:paraId="71BD3DD6" w14:textId="77777777" w:rsidR="008906DD" w:rsidRPr="00AA631C" w:rsidRDefault="008906DD" w:rsidP="00B32775"/>
    <w:p w14:paraId="03FA3B8C" w14:textId="77777777" w:rsidR="00B32775" w:rsidRPr="00AA631C" w:rsidRDefault="00B32775" w:rsidP="00B32775">
      <w:r w:rsidRPr="00AA631C">
        <w:t>According to the SRBV, green product innovation requires firms to effectively coordinate internal resources while collaborating with external stakeholders, particularly suppliers, to achieve sustainability objectives (Freeman et al., 2021; Sodhi, 2015). Consequently, firms pursuing green product innovation tend to adopt sustainable sourcing practices, improve production efficiency, and reduce waste throughout the supply chain.</w:t>
      </w:r>
    </w:p>
    <w:p w14:paraId="31CB26A1" w14:textId="77777777" w:rsidR="008906DD" w:rsidRPr="00AA631C" w:rsidRDefault="008906DD" w:rsidP="00B32775"/>
    <w:p w14:paraId="5995ADE0" w14:textId="77777777" w:rsidR="00B32775" w:rsidRPr="00AA631C" w:rsidRDefault="00B32775" w:rsidP="00B32775">
      <w:r w:rsidRPr="00AA631C">
        <w:t>The present findings are consistent with those of Levi-Bliech and Dahan (2026), who demonstrated that green innovation product serves as a catalyst for the transformation towards sustainable supply chain practices. Similarly, Burki (2018) and Zhu et al. (2011) argued that increasing market demand for environmentally friendly products encourages firms to integrate product innovation with green supply chain management. These findings reinforce the view that product innovation and sustainable supply chain management are complementary organisational capabilities rather than independent sustainability initiatives.</w:t>
      </w:r>
    </w:p>
    <w:p w14:paraId="5E3C5DD7" w14:textId="77777777" w:rsidR="008906DD" w:rsidRPr="00AA631C" w:rsidRDefault="008906DD" w:rsidP="00B32775"/>
    <w:p w14:paraId="4CE8D76C" w14:textId="77777777" w:rsidR="00B32775" w:rsidRPr="00AA631C" w:rsidRDefault="00B32775" w:rsidP="00B32775">
      <w:r w:rsidRPr="00AA631C">
        <w:t>From a practical perspective, firms should integrate green product innovation with sustainable supply chain management by establishing long-term partnerships with environmentally responsible suppliers, adopting sustainable sourcing practices, and improving resource efficiency throughout the production process.</w:t>
      </w:r>
    </w:p>
    <w:p w14:paraId="1B9D2DAB" w14:textId="77777777" w:rsidR="008906DD" w:rsidRPr="00AA631C" w:rsidRDefault="008906DD" w:rsidP="00B32775"/>
    <w:p w14:paraId="77EDAE04" w14:textId="77777777" w:rsidR="008906DD" w:rsidRPr="00AA631C" w:rsidRDefault="008906DD" w:rsidP="008906DD">
      <w:pPr>
        <w:spacing w:line="360" w:lineRule="auto"/>
      </w:pPr>
      <w:r w:rsidRPr="00AA631C">
        <w:rPr>
          <w:b/>
        </w:rPr>
        <w:t>5.3 Green supply chain and social performance</w:t>
      </w:r>
    </w:p>
    <w:p w14:paraId="7439D8CB" w14:textId="77777777" w:rsidR="00B32775" w:rsidRPr="00AA631C" w:rsidRDefault="00B32775" w:rsidP="00B32775">
      <w:pPr>
        <w:spacing w:line="360" w:lineRule="auto"/>
        <w:rPr>
          <w:b/>
          <w:bCs/>
        </w:rPr>
      </w:pPr>
    </w:p>
    <w:p w14:paraId="6A3EE1FF" w14:textId="77777777" w:rsidR="00B32775" w:rsidRPr="00AA631C" w:rsidRDefault="00B32775" w:rsidP="008906DD">
      <w:r w:rsidRPr="00AA631C">
        <w:t>The findings reveal that green supply chain has a positive and significant effect on Social Performance, thereby supporting H3. This result suggests that the implementation of environmentally responsible supply chain practices contributes to improved social performance by promoting responsible operational activities and strengthening relationships with stakeholders.</w:t>
      </w:r>
    </w:p>
    <w:p w14:paraId="0970F664" w14:textId="77777777" w:rsidR="008906DD" w:rsidRPr="00AA631C" w:rsidRDefault="008906DD" w:rsidP="008906DD"/>
    <w:p w14:paraId="4DA90C61" w14:textId="77777777" w:rsidR="00B32775" w:rsidRPr="00AA631C" w:rsidRDefault="00B32775" w:rsidP="008906DD">
      <w:r w:rsidRPr="00AA631C">
        <w:t>Consistent with the SRBV, sustainable collaboration with suppliers, customers, and other stakeholders constitutes a strategic organisational capability that enables firms to generate both economic and social value (Sodhi, 2015; Freeman et al., 2021). The implementation of green supply chain allows firms to minimize environmental impacts, improve operational transparency, strengthen supplier relationships, and enhance stakeholder trust, all of which contribute to superior social performance.</w:t>
      </w:r>
    </w:p>
    <w:p w14:paraId="694CCBF6" w14:textId="77777777" w:rsidR="008906DD" w:rsidRPr="00AA631C" w:rsidRDefault="008906DD" w:rsidP="008906DD"/>
    <w:p w14:paraId="42399DB2" w14:textId="005F1ED6" w:rsidR="00B32775" w:rsidRPr="00AA631C" w:rsidRDefault="00B32775" w:rsidP="008906DD">
      <w:r w:rsidRPr="00AA631C">
        <w:t xml:space="preserve">These findings are consistent with </w:t>
      </w:r>
      <w:r w:rsidR="006C10C4" w:rsidRPr="006C10C4">
        <w:t>Mohammad,</w:t>
      </w:r>
      <w:r w:rsidRPr="00AA631C">
        <w:t xml:space="preserve"> et al. (2024), who reported that green supply chain management enhances social performance by reducing the negative social impacts of business operations. Likewise, Yang et al. (2020) found that green supply chain practices improve workplace safety, public trust, and community relationships. Furthermore, Alsuraihi et al. (2022) argued that collaboration with environmentally responsible suppliers and customers enhances stakeholder well-being through joint environmental problem-solving and sustainable business practices.</w:t>
      </w:r>
    </w:p>
    <w:p w14:paraId="37637CC6" w14:textId="77777777" w:rsidR="008906DD" w:rsidRPr="00AA631C" w:rsidRDefault="008906DD" w:rsidP="008906DD"/>
    <w:p w14:paraId="7EB679DD" w14:textId="77777777" w:rsidR="00B32775" w:rsidRPr="00AA631C" w:rsidRDefault="00B32775" w:rsidP="008906DD">
      <w:r w:rsidRPr="00AA631C">
        <w:t>Theoretically, this study extends the application of the SRBV by demonstrating that green supply chain functions as a strategic organisational capability that generates social value in addition to environmental benefits. From a managerial perspective, firms should strengthen collaboration with environmentally responsible suppliers, integrate sustainability principles throughout supply chain activities, and continuously improve environmental management practices to enhance Social Performance and reinforce long-term corporate legitimacy.</w:t>
      </w:r>
    </w:p>
    <w:p w14:paraId="396E0D7E" w14:textId="77777777" w:rsidR="00B32775" w:rsidRPr="00AA631C" w:rsidRDefault="00B32775" w:rsidP="00B32775">
      <w:pPr>
        <w:spacing w:line="360" w:lineRule="auto"/>
      </w:pPr>
    </w:p>
    <w:p w14:paraId="4E087E81" w14:textId="77777777" w:rsidR="00555E5C" w:rsidRPr="00AA631C" w:rsidRDefault="008906DD" w:rsidP="00555E5C">
      <w:pPr>
        <w:spacing w:before="100" w:beforeAutospacing="1" w:after="100" w:afterAutospacing="1"/>
        <w:outlineLvl w:val="1"/>
        <w:rPr>
          <w:rFonts w:ascii="Times New Roman" w:hAnsi="Times New Roman"/>
          <w:b/>
          <w:bCs/>
          <w:sz w:val="36"/>
          <w:szCs w:val="36"/>
        </w:rPr>
      </w:pPr>
      <w:r w:rsidRPr="00AA631C">
        <w:rPr>
          <w:rFonts w:cs="Arial"/>
        </w:rPr>
        <w:lastRenderedPageBreak/>
        <w:t xml:space="preserve">5. </w:t>
      </w:r>
      <w:r w:rsidR="00555E5C" w:rsidRPr="00AA631C">
        <w:rPr>
          <w:rFonts w:ascii="Times New Roman" w:hAnsi="Times New Roman"/>
          <w:b/>
          <w:bCs/>
          <w:sz w:val="36"/>
          <w:szCs w:val="36"/>
        </w:rPr>
        <w:t>Conclusions</w:t>
      </w:r>
    </w:p>
    <w:p w14:paraId="05E9B367" w14:textId="77777777" w:rsidR="00AA631C" w:rsidRPr="00AA631C" w:rsidRDefault="00AA631C" w:rsidP="00AA631C">
      <w:pPr>
        <w:spacing w:before="100" w:beforeAutospacing="1" w:after="100" w:afterAutospacing="1"/>
        <w:outlineLvl w:val="1"/>
        <w:rPr>
          <w:rFonts w:ascii="Times New Roman" w:hAnsi="Times New Roman"/>
          <w:b/>
          <w:bCs/>
          <w:sz w:val="36"/>
          <w:szCs w:val="36"/>
        </w:rPr>
      </w:pPr>
      <w:r w:rsidRPr="00AA631C">
        <w:t xml:space="preserve">This study found that green product innovation was positively associated with green supply chain management and social performance among the surveyed food and beverage businesses. Green supply chain management was also positively related to social performance, indicating that sustainability-oriented product development and supply-chain practices may operate as complementary </w:t>
      </w:r>
      <w:proofErr w:type="spellStart"/>
      <w:r w:rsidRPr="00AA631C">
        <w:t>organisational</w:t>
      </w:r>
      <w:proofErr w:type="spellEnd"/>
      <w:r w:rsidRPr="00AA631C">
        <w:t xml:space="preserve"> capabilities. The findings suggest that managers can strengthen these capabilities by adopting environmentally responsible product design, sustainable sourcing, resource-efficient production, waste-reduction practices and collaboration with responsible suppliers. Such coordinated practices may support stakeholder trust, corporate legitimacy and reported social performance. However, the cross-sectional design permits interpretation only in terms of association and does not establish causal relationships. In addition, the reported direct paths do not independently demonstrate that green supply chain management mediates the relationship between green product innovation and social performance. A formal bootstrapped indirect-effect analysis is therefore necessary before mediation can be concluded. The findings should consequently be interpreted within the characteristics of the purposively selected sample and the study’s self-reported measures.</w:t>
      </w:r>
      <w:r w:rsidRPr="00AA631C">
        <w:rPr>
          <w:rFonts w:ascii="Times New Roman" w:hAnsi="Times New Roman"/>
          <w:b/>
          <w:bCs/>
          <w:sz w:val="36"/>
          <w:szCs w:val="36"/>
        </w:rPr>
        <w:t xml:space="preserve"> </w:t>
      </w:r>
    </w:p>
    <w:p w14:paraId="47019EB6" w14:textId="07E8B80E" w:rsidR="00555E5C" w:rsidRPr="00AA631C" w:rsidRDefault="00555E5C" w:rsidP="00555E5C">
      <w:pPr>
        <w:spacing w:before="100" w:beforeAutospacing="1" w:after="100" w:afterAutospacing="1"/>
        <w:jc w:val="left"/>
        <w:outlineLvl w:val="1"/>
        <w:rPr>
          <w:rFonts w:ascii="Times New Roman" w:hAnsi="Times New Roman"/>
          <w:b/>
          <w:bCs/>
          <w:sz w:val="36"/>
          <w:szCs w:val="36"/>
        </w:rPr>
      </w:pPr>
      <w:r w:rsidRPr="00AA631C">
        <w:rPr>
          <w:rFonts w:ascii="Times New Roman" w:hAnsi="Times New Roman"/>
          <w:b/>
          <w:bCs/>
          <w:sz w:val="36"/>
          <w:szCs w:val="36"/>
        </w:rPr>
        <w:t>Limitations</w:t>
      </w:r>
    </w:p>
    <w:p w14:paraId="4135BA95" w14:textId="0FD2CE64" w:rsidR="00555E5C" w:rsidRPr="00AA631C" w:rsidRDefault="00AA631C" w:rsidP="00AA631C">
      <w:pPr>
        <w:spacing w:after="200" w:line="276" w:lineRule="auto"/>
        <w:rPr>
          <w:rFonts w:ascii="Calibri" w:eastAsia="Calibri" w:hAnsi="Calibri"/>
          <w:sz w:val="22"/>
          <w:szCs w:val="22"/>
          <w:lang w:val="en-GB"/>
        </w:rPr>
      </w:pPr>
      <w:r w:rsidRPr="00AA631C">
        <w:t xml:space="preserve">The study used a purposive sample of 100 owners and managers who reported implementing environmentally friendly procedures, which limits </w:t>
      </w:r>
      <w:proofErr w:type="spellStart"/>
      <w:r w:rsidRPr="00AA631C">
        <w:t>generalisability</w:t>
      </w:r>
      <w:proofErr w:type="spellEnd"/>
      <w:r w:rsidRPr="00AA631C">
        <w:t xml:space="preserve"> to businesses without such practices. Its cross-sectional, single-respondent design may be affected by common-method and social-desirability bias. Environmental practices and social performance were self-reported rather than independently verified. The study did not report firm size, business age, subsector or detailed geographical distribution, and it included no control variables or longitudinal observations. Mediation also cannot be established without a formal bootstrapped indirect-effect test.</w:t>
      </w:r>
    </w:p>
    <w:p w14:paraId="4543B601" w14:textId="77777777" w:rsidR="00555E5C" w:rsidRPr="00AA631C" w:rsidRDefault="00555E5C" w:rsidP="00555E5C">
      <w:pPr>
        <w:jc w:val="left"/>
        <w:rPr>
          <w:rFonts w:ascii="Times New Roman" w:eastAsia="Calibri" w:hAnsi="Times New Roman"/>
          <w:b/>
          <w:sz w:val="22"/>
          <w:szCs w:val="22"/>
        </w:rPr>
      </w:pPr>
      <w:r w:rsidRPr="00AA631C">
        <w:rPr>
          <w:rFonts w:ascii="Times New Roman" w:eastAsia="Calibri" w:hAnsi="Times New Roman"/>
          <w:b/>
          <w:sz w:val="22"/>
          <w:szCs w:val="22"/>
        </w:rPr>
        <w:t>Declaration of AI Use</w:t>
      </w:r>
    </w:p>
    <w:p w14:paraId="51AA0FF7" w14:textId="77777777" w:rsidR="00555E5C" w:rsidRPr="00AA631C" w:rsidRDefault="00555E5C" w:rsidP="00555E5C">
      <w:pPr>
        <w:jc w:val="left"/>
        <w:rPr>
          <w:rFonts w:ascii="Times New Roman" w:eastAsia="Calibri" w:hAnsi="Times New Roman"/>
          <w:sz w:val="22"/>
          <w:szCs w:val="22"/>
        </w:rPr>
      </w:pPr>
    </w:p>
    <w:p w14:paraId="04335B23" w14:textId="77777777" w:rsidR="00555E5C" w:rsidRPr="00AA631C" w:rsidRDefault="00555E5C" w:rsidP="00555E5C">
      <w:pPr>
        <w:rPr>
          <w:rFonts w:ascii="Times New Roman" w:eastAsia="Calibri" w:hAnsi="Times New Roman"/>
          <w:sz w:val="22"/>
          <w:szCs w:val="22"/>
        </w:rPr>
      </w:pPr>
      <w:r w:rsidRPr="00AA631C">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13C107A" w14:textId="77777777" w:rsidR="00C35EC6" w:rsidRPr="00AA631C" w:rsidRDefault="00C35EC6" w:rsidP="00555E5C">
      <w:pPr>
        <w:pStyle w:val="Head1"/>
        <w:spacing w:after="0"/>
      </w:pPr>
    </w:p>
    <w:p w14:paraId="3850EC17" w14:textId="77777777" w:rsidR="00555E5C" w:rsidRPr="00AA631C" w:rsidRDefault="00555E5C" w:rsidP="00555E5C">
      <w:pPr>
        <w:pStyle w:val="Head1"/>
        <w:spacing w:after="0"/>
      </w:pPr>
    </w:p>
    <w:p w14:paraId="137E0B0B" w14:textId="77777777" w:rsidR="00371FB6" w:rsidRPr="00AA631C" w:rsidRDefault="00371FB6" w:rsidP="007821B7"/>
    <w:p w14:paraId="657A72EB" w14:textId="77777777" w:rsidR="00B01FCD" w:rsidRDefault="00B01FCD" w:rsidP="00441B6F">
      <w:pPr>
        <w:pStyle w:val="ReferHead"/>
        <w:spacing w:after="0"/>
        <w:rPr>
          <w:rFonts w:cs="Arial"/>
        </w:rPr>
      </w:pPr>
      <w:r w:rsidRPr="00AA631C">
        <w:rPr>
          <w:rFonts w:cs="Arial"/>
        </w:rPr>
        <w:t>References</w:t>
      </w:r>
    </w:p>
    <w:p w14:paraId="44CD0045"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Adomako, S., &amp; Tran, M. D. (2024). Scaling up sustainable innovation: Stakeholder ties, eco-product innovation, and new product performance. </w:t>
      </w:r>
      <w:r w:rsidRPr="006C10C4">
        <w:rPr>
          <w:rFonts w:ascii="Times New Roman" w:hAnsi="Times New Roman"/>
          <w:i/>
          <w:iCs/>
          <w:sz w:val="24"/>
          <w:szCs w:val="24"/>
        </w:rPr>
        <w:t>Sustainable Development, 32</w:t>
      </w:r>
      <w:r w:rsidRPr="006C10C4">
        <w:rPr>
          <w:rFonts w:ascii="Times New Roman" w:hAnsi="Times New Roman"/>
          <w:sz w:val="24"/>
          <w:szCs w:val="24"/>
        </w:rPr>
        <w:t xml:space="preserve">(1), 624–634. </w:t>
      </w:r>
      <w:hyperlink r:id="rId17" w:history="1">
        <w:r w:rsidRPr="006C10C4">
          <w:rPr>
            <w:rFonts w:ascii="Times New Roman" w:hAnsi="Times New Roman"/>
            <w:color w:val="0000FF"/>
            <w:sz w:val="24"/>
            <w:szCs w:val="24"/>
            <w:u w:val="single"/>
          </w:rPr>
          <w:t>https://doi.org/10.1002/sd.2700</w:t>
        </w:r>
      </w:hyperlink>
    </w:p>
    <w:p w14:paraId="07901D94" w14:textId="77777777" w:rsidR="006C10C4" w:rsidRPr="006C10C4" w:rsidRDefault="006C10C4" w:rsidP="006C10C4">
      <w:pPr>
        <w:spacing w:before="100" w:beforeAutospacing="1" w:after="100" w:afterAutospacing="1"/>
        <w:jc w:val="left"/>
        <w:rPr>
          <w:rFonts w:ascii="Times New Roman" w:hAnsi="Times New Roman"/>
          <w:sz w:val="24"/>
          <w:szCs w:val="24"/>
        </w:rPr>
      </w:pPr>
      <w:proofErr w:type="spellStart"/>
      <w:r w:rsidRPr="006C10C4">
        <w:rPr>
          <w:rFonts w:ascii="Times New Roman" w:hAnsi="Times New Roman"/>
          <w:sz w:val="24"/>
          <w:szCs w:val="24"/>
        </w:rPr>
        <w:t>Alsuraihi</w:t>
      </w:r>
      <w:proofErr w:type="spellEnd"/>
      <w:r w:rsidRPr="006C10C4">
        <w:rPr>
          <w:rFonts w:ascii="Times New Roman" w:hAnsi="Times New Roman"/>
          <w:sz w:val="24"/>
          <w:szCs w:val="24"/>
        </w:rPr>
        <w:t xml:space="preserve">, A., Wahab, N. A., </w:t>
      </w:r>
      <w:proofErr w:type="spellStart"/>
      <w:r w:rsidRPr="006C10C4">
        <w:rPr>
          <w:rFonts w:ascii="Times New Roman" w:hAnsi="Times New Roman"/>
          <w:sz w:val="24"/>
          <w:szCs w:val="24"/>
        </w:rPr>
        <w:t>Noorizam</w:t>
      </w:r>
      <w:proofErr w:type="spellEnd"/>
      <w:r w:rsidRPr="006C10C4">
        <w:rPr>
          <w:rFonts w:ascii="Times New Roman" w:hAnsi="Times New Roman"/>
          <w:sz w:val="24"/>
          <w:szCs w:val="24"/>
        </w:rPr>
        <w:t xml:space="preserve">, K. A. M., </w:t>
      </w:r>
      <w:proofErr w:type="spellStart"/>
      <w:r w:rsidRPr="006C10C4">
        <w:rPr>
          <w:rFonts w:ascii="Times New Roman" w:hAnsi="Times New Roman"/>
          <w:sz w:val="24"/>
          <w:szCs w:val="24"/>
        </w:rPr>
        <w:t>Masruki</w:t>
      </w:r>
      <w:proofErr w:type="spellEnd"/>
      <w:r w:rsidRPr="006C10C4">
        <w:rPr>
          <w:rFonts w:ascii="Times New Roman" w:hAnsi="Times New Roman"/>
          <w:sz w:val="24"/>
          <w:szCs w:val="24"/>
        </w:rPr>
        <w:t xml:space="preserve">, R., &amp; Ab Rahman, Z. (2022). The mediating role of technological innovation on the relationship between green supply chain management and social performance. </w:t>
      </w:r>
      <w:r w:rsidRPr="006C10C4">
        <w:rPr>
          <w:rFonts w:ascii="Times New Roman" w:hAnsi="Times New Roman"/>
          <w:i/>
          <w:iCs/>
          <w:sz w:val="24"/>
          <w:szCs w:val="24"/>
        </w:rPr>
        <w:t>International Journal of Health Sciences, 6</w:t>
      </w:r>
      <w:r w:rsidRPr="006C10C4">
        <w:rPr>
          <w:rFonts w:ascii="Times New Roman" w:hAnsi="Times New Roman"/>
          <w:sz w:val="24"/>
          <w:szCs w:val="24"/>
        </w:rPr>
        <w:t xml:space="preserve">(S6), 6358–6379. </w:t>
      </w:r>
      <w:hyperlink r:id="rId18" w:history="1">
        <w:r w:rsidRPr="006C10C4">
          <w:rPr>
            <w:rFonts w:ascii="Times New Roman" w:hAnsi="Times New Roman"/>
            <w:color w:val="0000FF"/>
            <w:sz w:val="24"/>
            <w:szCs w:val="24"/>
            <w:u w:val="single"/>
          </w:rPr>
          <w:t>https://doi.org/10.53730/ijhs.v6nS6.11331</w:t>
        </w:r>
      </w:hyperlink>
    </w:p>
    <w:p w14:paraId="3ECB6752"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Appiah, L. O., &amp; </w:t>
      </w:r>
      <w:proofErr w:type="spellStart"/>
      <w:r w:rsidRPr="006C10C4">
        <w:rPr>
          <w:rFonts w:ascii="Times New Roman" w:hAnsi="Times New Roman"/>
          <w:sz w:val="24"/>
          <w:szCs w:val="24"/>
        </w:rPr>
        <w:t>Essuman</w:t>
      </w:r>
      <w:proofErr w:type="spellEnd"/>
      <w:r w:rsidRPr="006C10C4">
        <w:rPr>
          <w:rFonts w:ascii="Times New Roman" w:hAnsi="Times New Roman"/>
          <w:sz w:val="24"/>
          <w:szCs w:val="24"/>
        </w:rPr>
        <w:t xml:space="preserve">, D. (2024). How do firms develop and financially benefit from green product innovation in a developing country? Roles of innovation orientation and green marketing innovation. </w:t>
      </w:r>
      <w:r w:rsidRPr="006C10C4">
        <w:rPr>
          <w:rFonts w:ascii="Times New Roman" w:hAnsi="Times New Roman"/>
          <w:i/>
          <w:iCs/>
          <w:sz w:val="24"/>
          <w:szCs w:val="24"/>
        </w:rPr>
        <w:t>Business Strategy and the Environment, 33</w:t>
      </w:r>
      <w:r w:rsidRPr="006C10C4">
        <w:rPr>
          <w:rFonts w:ascii="Times New Roman" w:hAnsi="Times New Roman"/>
          <w:sz w:val="24"/>
          <w:szCs w:val="24"/>
        </w:rPr>
        <w:t xml:space="preserve">(7), 7241–7252. </w:t>
      </w:r>
      <w:hyperlink r:id="rId19" w:history="1">
        <w:r w:rsidRPr="006C10C4">
          <w:rPr>
            <w:rFonts w:ascii="Times New Roman" w:hAnsi="Times New Roman"/>
            <w:color w:val="0000FF"/>
            <w:sz w:val="24"/>
            <w:szCs w:val="24"/>
            <w:u w:val="single"/>
          </w:rPr>
          <w:t>https://doi.org/10.1002/bse.3864</w:t>
        </w:r>
      </w:hyperlink>
    </w:p>
    <w:p w14:paraId="1C47833E"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Ariffin, S., Mohd Yusof, J., </w:t>
      </w:r>
      <w:proofErr w:type="spellStart"/>
      <w:r w:rsidRPr="006C10C4">
        <w:rPr>
          <w:rFonts w:ascii="Times New Roman" w:hAnsi="Times New Roman"/>
          <w:sz w:val="24"/>
          <w:szCs w:val="24"/>
        </w:rPr>
        <w:t>Putit</w:t>
      </w:r>
      <w:proofErr w:type="spellEnd"/>
      <w:r w:rsidRPr="006C10C4">
        <w:rPr>
          <w:rFonts w:ascii="Times New Roman" w:hAnsi="Times New Roman"/>
          <w:sz w:val="24"/>
          <w:szCs w:val="24"/>
        </w:rPr>
        <w:t xml:space="preserve">, L., &amp; </w:t>
      </w:r>
      <w:proofErr w:type="spellStart"/>
      <w:r w:rsidRPr="006C10C4">
        <w:rPr>
          <w:rFonts w:ascii="Times New Roman" w:hAnsi="Times New Roman"/>
          <w:sz w:val="24"/>
          <w:szCs w:val="24"/>
        </w:rPr>
        <w:t>Azalan</w:t>
      </w:r>
      <w:proofErr w:type="spellEnd"/>
      <w:r w:rsidRPr="006C10C4">
        <w:rPr>
          <w:rFonts w:ascii="Times New Roman" w:hAnsi="Times New Roman"/>
          <w:sz w:val="24"/>
          <w:szCs w:val="24"/>
        </w:rPr>
        <w:t xml:space="preserve"> Shah, M. I. (2016). Factors influencing perceived quality and repurchase intention towards green products. </w:t>
      </w:r>
      <w:r w:rsidRPr="006C10C4">
        <w:rPr>
          <w:rFonts w:ascii="Times New Roman" w:hAnsi="Times New Roman"/>
          <w:i/>
          <w:iCs/>
          <w:sz w:val="24"/>
          <w:szCs w:val="24"/>
        </w:rPr>
        <w:t>Procedia Economics and Finance, 37</w:t>
      </w:r>
      <w:r w:rsidRPr="006C10C4">
        <w:rPr>
          <w:rFonts w:ascii="Times New Roman" w:hAnsi="Times New Roman"/>
          <w:sz w:val="24"/>
          <w:szCs w:val="24"/>
        </w:rPr>
        <w:t xml:space="preserve">, 391–396. </w:t>
      </w:r>
      <w:hyperlink r:id="rId20" w:history="1">
        <w:r w:rsidRPr="006C10C4">
          <w:rPr>
            <w:rFonts w:ascii="Times New Roman" w:hAnsi="Times New Roman"/>
            <w:color w:val="0000FF"/>
            <w:sz w:val="24"/>
            <w:szCs w:val="24"/>
            <w:u w:val="single"/>
          </w:rPr>
          <w:t>https://doi.org/10.1016/S2212-5671(16)30142-3</w:t>
        </w:r>
      </w:hyperlink>
    </w:p>
    <w:p w14:paraId="7E829BD0"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lastRenderedPageBreak/>
        <w:t xml:space="preserve">Burki, U. (2018). Green supply chain management, green innovations, and green practices. In H. Qudrat-Ullah (Ed.), </w:t>
      </w:r>
      <w:r w:rsidRPr="006C10C4">
        <w:rPr>
          <w:rFonts w:ascii="Times New Roman" w:hAnsi="Times New Roman"/>
          <w:i/>
          <w:iCs/>
          <w:sz w:val="24"/>
          <w:szCs w:val="24"/>
        </w:rPr>
        <w:t>Innovative solutions for sustainable supply chains</w:t>
      </w:r>
      <w:r w:rsidRPr="006C10C4">
        <w:rPr>
          <w:rFonts w:ascii="Times New Roman" w:hAnsi="Times New Roman"/>
          <w:sz w:val="24"/>
          <w:szCs w:val="24"/>
        </w:rPr>
        <w:t xml:space="preserve"> (pp. 81–109). Springer. </w:t>
      </w:r>
      <w:hyperlink r:id="rId21" w:history="1">
        <w:r w:rsidRPr="006C10C4">
          <w:rPr>
            <w:rFonts w:ascii="Times New Roman" w:hAnsi="Times New Roman"/>
            <w:color w:val="0000FF"/>
            <w:sz w:val="24"/>
            <w:szCs w:val="24"/>
            <w:u w:val="single"/>
          </w:rPr>
          <w:t>https://doi.org/10.1007/978-3-319-94322-0_4</w:t>
        </w:r>
      </w:hyperlink>
    </w:p>
    <w:p w14:paraId="73A086E6"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Carolina, A., </w:t>
      </w:r>
      <w:proofErr w:type="spellStart"/>
      <w:r w:rsidRPr="006C10C4">
        <w:rPr>
          <w:rFonts w:ascii="Times New Roman" w:hAnsi="Times New Roman"/>
          <w:sz w:val="24"/>
          <w:szCs w:val="24"/>
        </w:rPr>
        <w:t>Anggelina</w:t>
      </w:r>
      <w:proofErr w:type="spellEnd"/>
      <w:r w:rsidRPr="006C10C4">
        <w:rPr>
          <w:rFonts w:ascii="Times New Roman" w:hAnsi="Times New Roman"/>
          <w:sz w:val="24"/>
          <w:szCs w:val="24"/>
        </w:rPr>
        <w:t xml:space="preserve">, J., </w:t>
      </w:r>
      <w:proofErr w:type="spellStart"/>
      <w:r w:rsidRPr="006C10C4">
        <w:rPr>
          <w:rFonts w:ascii="Times New Roman" w:hAnsi="Times New Roman"/>
          <w:sz w:val="24"/>
          <w:szCs w:val="24"/>
        </w:rPr>
        <w:t>Kendek</w:t>
      </w:r>
      <w:proofErr w:type="spellEnd"/>
      <w:r w:rsidRPr="006C10C4">
        <w:rPr>
          <w:rFonts w:ascii="Times New Roman" w:hAnsi="Times New Roman"/>
          <w:sz w:val="24"/>
          <w:szCs w:val="24"/>
        </w:rPr>
        <w:t xml:space="preserve">, J. P., Putra, R. A., &amp; Natalia, K. C. (2024, January 31). </w:t>
      </w:r>
      <w:proofErr w:type="spellStart"/>
      <w:r w:rsidRPr="006C10C4">
        <w:rPr>
          <w:rFonts w:ascii="Times New Roman" w:hAnsi="Times New Roman"/>
          <w:i/>
          <w:iCs/>
          <w:sz w:val="24"/>
          <w:szCs w:val="24"/>
        </w:rPr>
        <w:t>Dampak</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perkembangan</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industri</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terhadap</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lingkungan</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bagi</w:t>
      </w:r>
      <w:proofErr w:type="spellEnd"/>
      <w:r w:rsidRPr="006C10C4">
        <w:rPr>
          <w:rFonts w:ascii="Times New Roman" w:hAnsi="Times New Roman"/>
          <w:i/>
          <w:iCs/>
          <w:sz w:val="24"/>
          <w:szCs w:val="24"/>
        </w:rPr>
        <w:t xml:space="preserve"> </w:t>
      </w:r>
      <w:proofErr w:type="spellStart"/>
      <w:r w:rsidRPr="006C10C4">
        <w:rPr>
          <w:rFonts w:ascii="Times New Roman" w:hAnsi="Times New Roman"/>
          <w:i/>
          <w:iCs/>
          <w:sz w:val="24"/>
          <w:szCs w:val="24"/>
        </w:rPr>
        <w:t>kesehatan</w:t>
      </w:r>
      <w:proofErr w:type="spellEnd"/>
      <w:r w:rsidRPr="006C10C4">
        <w:rPr>
          <w:rFonts w:ascii="Times New Roman" w:hAnsi="Times New Roman"/>
          <w:sz w:val="24"/>
          <w:szCs w:val="24"/>
        </w:rPr>
        <w:t xml:space="preserve">. Teach for Indonesia, BINUS University. </w:t>
      </w:r>
      <w:hyperlink r:id="rId22" w:history="1">
        <w:r w:rsidRPr="006C10C4">
          <w:rPr>
            <w:rFonts w:ascii="Times New Roman" w:hAnsi="Times New Roman"/>
            <w:color w:val="0000FF"/>
            <w:sz w:val="24"/>
            <w:szCs w:val="24"/>
            <w:u w:val="single"/>
          </w:rPr>
          <w:t>https://student-activity.binus.ac.id/tfi/2024/01/dampak-perkembangan-industri-terhadap-lingkungan-bagi-kesehatan/</w:t>
        </w:r>
      </w:hyperlink>
    </w:p>
    <w:p w14:paraId="4E4586FF" w14:textId="0FC84EAE"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Dagher, G. K., &amp; Itani, O. S. (2012). The influence of environmental attitude, environmental concern and social influence on green purchasing behavior. </w:t>
      </w:r>
      <w:r w:rsidRPr="006C10C4">
        <w:rPr>
          <w:rFonts w:ascii="Times New Roman" w:hAnsi="Times New Roman"/>
          <w:i/>
          <w:iCs/>
          <w:sz w:val="24"/>
          <w:szCs w:val="24"/>
        </w:rPr>
        <w:t>Review of Business Research, 12</w:t>
      </w:r>
      <w:r w:rsidRPr="006C10C4">
        <w:rPr>
          <w:rFonts w:ascii="Times New Roman" w:hAnsi="Times New Roman"/>
          <w:sz w:val="24"/>
          <w:szCs w:val="24"/>
        </w:rPr>
        <w:t xml:space="preserve">(2), 104–111. </w:t>
      </w:r>
    </w:p>
    <w:p w14:paraId="5C58CC1C"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de Oliveira, U. R., Espindola, L. S., da Silva, I. R., da Silva, I. N., &amp; Rocha, H. M. (2018). A systematic literature review on green supply chain management: Research implications and future perspectives. </w:t>
      </w:r>
      <w:r w:rsidRPr="006C10C4">
        <w:rPr>
          <w:rFonts w:ascii="Times New Roman" w:hAnsi="Times New Roman"/>
          <w:i/>
          <w:iCs/>
          <w:sz w:val="24"/>
          <w:szCs w:val="24"/>
        </w:rPr>
        <w:t>Journal of Cleaner Production, 187</w:t>
      </w:r>
      <w:r w:rsidRPr="006C10C4">
        <w:rPr>
          <w:rFonts w:ascii="Times New Roman" w:hAnsi="Times New Roman"/>
          <w:sz w:val="24"/>
          <w:szCs w:val="24"/>
        </w:rPr>
        <w:t xml:space="preserve">, 537–561. </w:t>
      </w:r>
      <w:hyperlink r:id="rId23" w:history="1">
        <w:r w:rsidRPr="006C10C4">
          <w:rPr>
            <w:rFonts w:ascii="Times New Roman" w:hAnsi="Times New Roman"/>
            <w:color w:val="0000FF"/>
            <w:sz w:val="24"/>
            <w:szCs w:val="24"/>
            <w:u w:val="single"/>
          </w:rPr>
          <w:t>https://doi.org/10.1016/j.jclepro.2018.03.083</w:t>
        </w:r>
      </w:hyperlink>
    </w:p>
    <w:p w14:paraId="559B4874"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Fornell, C., &amp; Larcker, D. F. (1981). Evaluating structural equation models with unobservable variables and measurement error. </w:t>
      </w:r>
      <w:r w:rsidRPr="006C10C4">
        <w:rPr>
          <w:rFonts w:ascii="Times New Roman" w:hAnsi="Times New Roman"/>
          <w:i/>
          <w:iCs/>
          <w:sz w:val="24"/>
          <w:szCs w:val="24"/>
        </w:rPr>
        <w:t>Journal of Marketing Research, 18</w:t>
      </w:r>
      <w:r w:rsidRPr="006C10C4">
        <w:rPr>
          <w:rFonts w:ascii="Times New Roman" w:hAnsi="Times New Roman"/>
          <w:sz w:val="24"/>
          <w:szCs w:val="24"/>
        </w:rPr>
        <w:t xml:space="preserve">(1), 39–50. </w:t>
      </w:r>
      <w:hyperlink r:id="rId24" w:history="1">
        <w:r w:rsidRPr="006C10C4">
          <w:rPr>
            <w:rFonts w:ascii="Times New Roman" w:hAnsi="Times New Roman"/>
            <w:color w:val="0000FF"/>
            <w:sz w:val="24"/>
            <w:szCs w:val="24"/>
            <w:u w:val="single"/>
          </w:rPr>
          <w:t>https://doi.org/10.1177/002224378101800104</w:t>
        </w:r>
      </w:hyperlink>
    </w:p>
    <w:p w14:paraId="413774C4"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Fosu, E., Fosu, F., </w:t>
      </w:r>
      <w:proofErr w:type="spellStart"/>
      <w:r w:rsidRPr="006C10C4">
        <w:rPr>
          <w:rFonts w:ascii="Times New Roman" w:hAnsi="Times New Roman"/>
          <w:sz w:val="24"/>
          <w:szCs w:val="24"/>
        </w:rPr>
        <w:t>Akyina</w:t>
      </w:r>
      <w:proofErr w:type="spellEnd"/>
      <w:r w:rsidRPr="006C10C4">
        <w:rPr>
          <w:rFonts w:ascii="Times New Roman" w:hAnsi="Times New Roman"/>
          <w:sz w:val="24"/>
          <w:szCs w:val="24"/>
        </w:rPr>
        <w:t xml:space="preserve">, N., &amp; Asiedu, D. (2024). Do environmental CSR practices promote corporate social performance? The mediating role of green innovation and corporate image. </w:t>
      </w:r>
      <w:r w:rsidRPr="006C10C4">
        <w:rPr>
          <w:rFonts w:ascii="Times New Roman" w:hAnsi="Times New Roman"/>
          <w:i/>
          <w:iCs/>
          <w:sz w:val="24"/>
          <w:szCs w:val="24"/>
        </w:rPr>
        <w:t>Cleaner and Responsible Consumption, 12</w:t>
      </w:r>
      <w:r w:rsidRPr="006C10C4">
        <w:rPr>
          <w:rFonts w:ascii="Times New Roman" w:hAnsi="Times New Roman"/>
          <w:sz w:val="24"/>
          <w:szCs w:val="24"/>
        </w:rPr>
        <w:t xml:space="preserve">, 100155. </w:t>
      </w:r>
      <w:hyperlink r:id="rId25" w:history="1">
        <w:r w:rsidRPr="006C10C4">
          <w:rPr>
            <w:rFonts w:ascii="Times New Roman" w:hAnsi="Times New Roman"/>
            <w:color w:val="0000FF"/>
            <w:sz w:val="24"/>
            <w:szCs w:val="24"/>
            <w:u w:val="single"/>
          </w:rPr>
          <w:t>https://doi.org/10.1016/j.clrc.2023.100155</w:t>
        </w:r>
      </w:hyperlink>
    </w:p>
    <w:p w14:paraId="078748E4"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Freeman, R. E., Dmytriyev, S. D., &amp; Phillips, R. A. (2021). Stakeholder theory and the resource-based view of the firm. </w:t>
      </w:r>
      <w:r w:rsidRPr="006C10C4">
        <w:rPr>
          <w:rFonts w:ascii="Times New Roman" w:hAnsi="Times New Roman"/>
          <w:i/>
          <w:iCs/>
          <w:sz w:val="24"/>
          <w:szCs w:val="24"/>
        </w:rPr>
        <w:t>Journal of Management, 47</w:t>
      </w:r>
      <w:r w:rsidRPr="006C10C4">
        <w:rPr>
          <w:rFonts w:ascii="Times New Roman" w:hAnsi="Times New Roman"/>
          <w:sz w:val="24"/>
          <w:szCs w:val="24"/>
        </w:rPr>
        <w:t xml:space="preserve">(7), 1757–1770. </w:t>
      </w:r>
      <w:hyperlink r:id="rId26" w:history="1">
        <w:r w:rsidRPr="006C10C4">
          <w:rPr>
            <w:rFonts w:ascii="Times New Roman" w:hAnsi="Times New Roman"/>
            <w:color w:val="0000FF"/>
            <w:sz w:val="24"/>
            <w:szCs w:val="24"/>
            <w:u w:val="single"/>
          </w:rPr>
          <w:t>https://doi.org/10.1177/0149206321993576</w:t>
        </w:r>
      </w:hyperlink>
    </w:p>
    <w:p w14:paraId="6C040374"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Gallego-Álvarez, I., Amor-Esteban, V., &amp; Martín-Gallego, E. (2025). Environmental issues in the food and beverage sector: A multivariate regional analysis. </w:t>
      </w:r>
      <w:r w:rsidRPr="006C10C4">
        <w:rPr>
          <w:rFonts w:ascii="Times New Roman" w:hAnsi="Times New Roman"/>
          <w:i/>
          <w:iCs/>
          <w:sz w:val="24"/>
          <w:szCs w:val="24"/>
        </w:rPr>
        <w:t>Applied Geography, 177</w:t>
      </w:r>
      <w:r w:rsidRPr="006C10C4">
        <w:rPr>
          <w:rFonts w:ascii="Times New Roman" w:hAnsi="Times New Roman"/>
          <w:sz w:val="24"/>
          <w:szCs w:val="24"/>
        </w:rPr>
        <w:t xml:space="preserve">, 103566. </w:t>
      </w:r>
      <w:hyperlink r:id="rId27" w:history="1">
        <w:r w:rsidRPr="006C10C4">
          <w:rPr>
            <w:rFonts w:ascii="Times New Roman" w:hAnsi="Times New Roman"/>
            <w:color w:val="0000FF"/>
            <w:sz w:val="24"/>
            <w:szCs w:val="24"/>
            <w:u w:val="single"/>
          </w:rPr>
          <w:t>https://doi.org/10.1016/j.apgeog.2025.103566</w:t>
        </w:r>
      </w:hyperlink>
    </w:p>
    <w:p w14:paraId="710574EB"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Gazzola, P., </w:t>
      </w:r>
      <w:proofErr w:type="spellStart"/>
      <w:r w:rsidRPr="006C10C4">
        <w:rPr>
          <w:rFonts w:ascii="Times New Roman" w:hAnsi="Times New Roman"/>
          <w:sz w:val="24"/>
          <w:szCs w:val="24"/>
        </w:rPr>
        <w:t>Pavione</w:t>
      </w:r>
      <w:proofErr w:type="spellEnd"/>
      <w:r w:rsidRPr="006C10C4">
        <w:rPr>
          <w:rFonts w:ascii="Times New Roman" w:hAnsi="Times New Roman"/>
          <w:sz w:val="24"/>
          <w:szCs w:val="24"/>
        </w:rPr>
        <w:t xml:space="preserve">, E., Amelio, S., &amp; Mauri, M. (2024). Sustainable strategies and value creation in the food and beverage sector: The case of large listed European companies. </w:t>
      </w:r>
      <w:r w:rsidRPr="006C10C4">
        <w:rPr>
          <w:rFonts w:ascii="Times New Roman" w:hAnsi="Times New Roman"/>
          <w:i/>
          <w:iCs/>
          <w:sz w:val="24"/>
          <w:szCs w:val="24"/>
        </w:rPr>
        <w:t>Sustainability, 16</w:t>
      </w:r>
      <w:r w:rsidRPr="006C10C4">
        <w:rPr>
          <w:rFonts w:ascii="Times New Roman" w:hAnsi="Times New Roman"/>
          <w:sz w:val="24"/>
          <w:szCs w:val="24"/>
        </w:rPr>
        <w:t xml:space="preserve">(22), 9798. </w:t>
      </w:r>
      <w:hyperlink r:id="rId28" w:history="1">
        <w:r w:rsidRPr="006C10C4">
          <w:rPr>
            <w:rFonts w:ascii="Times New Roman" w:hAnsi="Times New Roman"/>
            <w:color w:val="0000FF"/>
            <w:sz w:val="24"/>
            <w:szCs w:val="24"/>
            <w:u w:val="single"/>
          </w:rPr>
          <w:t>https://doi.org/10.3390/su16229798</w:t>
        </w:r>
      </w:hyperlink>
    </w:p>
    <w:p w14:paraId="79635E45"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Hair, J. F., Jr., Hult, G. T. M., Ringle, C. M., &amp; Sarstedt, M. (2022). </w:t>
      </w:r>
      <w:r w:rsidRPr="006C10C4">
        <w:rPr>
          <w:rFonts w:ascii="Times New Roman" w:hAnsi="Times New Roman"/>
          <w:i/>
          <w:iCs/>
          <w:sz w:val="24"/>
          <w:szCs w:val="24"/>
        </w:rPr>
        <w:t>A primer on partial least squares structural equation modeling (PLS-SEM)</w:t>
      </w:r>
      <w:r w:rsidRPr="006C10C4">
        <w:rPr>
          <w:rFonts w:ascii="Times New Roman" w:hAnsi="Times New Roman"/>
          <w:sz w:val="24"/>
          <w:szCs w:val="24"/>
        </w:rPr>
        <w:t xml:space="preserve"> (3rd ed.). SAGE. </w:t>
      </w:r>
      <w:hyperlink r:id="rId29" w:history="1">
        <w:r w:rsidRPr="006C10C4">
          <w:rPr>
            <w:rFonts w:ascii="Times New Roman" w:hAnsi="Times New Roman"/>
            <w:color w:val="0000FF"/>
            <w:sz w:val="24"/>
            <w:szCs w:val="24"/>
            <w:u w:val="single"/>
          </w:rPr>
          <w:t>https://us2.sagepub.com/en-us/nam/a-primer-on-partial-least-squares-structural-equation-modeling-pls-sem/book270548</w:t>
        </w:r>
      </w:hyperlink>
    </w:p>
    <w:p w14:paraId="7424637E"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Kara, K., &amp; </w:t>
      </w:r>
      <w:proofErr w:type="spellStart"/>
      <w:r w:rsidRPr="006C10C4">
        <w:rPr>
          <w:rFonts w:ascii="Times New Roman" w:hAnsi="Times New Roman"/>
          <w:sz w:val="24"/>
          <w:szCs w:val="24"/>
        </w:rPr>
        <w:t>Edinsel</w:t>
      </w:r>
      <w:proofErr w:type="spellEnd"/>
      <w:r w:rsidRPr="006C10C4">
        <w:rPr>
          <w:rFonts w:ascii="Times New Roman" w:hAnsi="Times New Roman"/>
          <w:sz w:val="24"/>
          <w:szCs w:val="24"/>
        </w:rPr>
        <w:t xml:space="preserve">, S. (2023). The mediating role of green product innovation (GPI) between green human resources management (GHRM) and green supply chain management (GSCM): Evidence from automotive industry companies in Turkey. </w:t>
      </w:r>
      <w:r w:rsidRPr="006C10C4">
        <w:rPr>
          <w:rFonts w:ascii="Times New Roman" w:hAnsi="Times New Roman"/>
          <w:i/>
          <w:iCs/>
          <w:sz w:val="24"/>
          <w:szCs w:val="24"/>
        </w:rPr>
        <w:t>Supply Chain Forum: An International Journal, 24</w:t>
      </w:r>
      <w:r w:rsidRPr="006C10C4">
        <w:rPr>
          <w:rFonts w:ascii="Times New Roman" w:hAnsi="Times New Roman"/>
          <w:sz w:val="24"/>
          <w:szCs w:val="24"/>
        </w:rPr>
        <w:t xml:space="preserve">(4), 488–509. </w:t>
      </w:r>
      <w:hyperlink r:id="rId30" w:history="1">
        <w:r w:rsidRPr="006C10C4">
          <w:rPr>
            <w:rFonts w:ascii="Times New Roman" w:hAnsi="Times New Roman"/>
            <w:color w:val="0000FF"/>
            <w:sz w:val="24"/>
            <w:szCs w:val="24"/>
            <w:u w:val="single"/>
          </w:rPr>
          <w:t>https://doi.org/10.1080/16258312.2022.2045873</w:t>
        </w:r>
      </w:hyperlink>
    </w:p>
    <w:p w14:paraId="3309BE4D"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Khan, S. A. R., &amp; Qianli, D. (2017). Impact of green supply chain management practices on firms’ performance: An empirical study from the perspective of Pakistan. </w:t>
      </w:r>
      <w:r w:rsidRPr="006C10C4">
        <w:rPr>
          <w:rFonts w:ascii="Times New Roman" w:hAnsi="Times New Roman"/>
          <w:i/>
          <w:iCs/>
          <w:sz w:val="24"/>
          <w:szCs w:val="24"/>
        </w:rPr>
        <w:t>Environmental Science and Pollution Research, 24</w:t>
      </w:r>
      <w:r w:rsidRPr="006C10C4">
        <w:rPr>
          <w:rFonts w:ascii="Times New Roman" w:hAnsi="Times New Roman"/>
          <w:sz w:val="24"/>
          <w:szCs w:val="24"/>
        </w:rPr>
        <w:t xml:space="preserve">(20), 16829–16844. </w:t>
      </w:r>
      <w:hyperlink r:id="rId31" w:history="1">
        <w:r w:rsidRPr="006C10C4">
          <w:rPr>
            <w:rFonts w:ascii="Times New Roman" w:hAnsi="Times New Roman"/>
            <w:color w:val="0000FF"/>
            <w:sz w:val="24"/>
            <w:szCs w:val="24"/>
            <w:u w:val="single"/>
          </w:rPr>
          <w:t>https://doi.org/10.1007/s11356-017-9172-5</w:t>
        </w:r>
      </w:hyperlink>
    </w:p>
    <w:p w14:paraId="17D66E9C"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lastRenderedPageBreak/>
        <w:t xml:space="preserve">Kiet, H. V. T. T., Sang, M. V., Truc, T. B., Lan, T. K. N., Dinh, H. Q., &amp; Dao, P. T. B. (2024). Impact of green supply chain management on social performance through economic undergraduate’s view. </w:t>
      </w:r>
      <w:r w:rsidRPr="006C10C4">
        <w:rPr>
          <w:rFonts w:ascii="Times New Roman" w:hAnsi="Times New Roman"/>
          <w:i/>
          <w:iCs/>
          <w:sz w:val="24"/>
          <w:szCs w:val="24"/>
        </w:rPr>
        <w:t>Journal of Infrastructure, Policy and Development, 8</w:t>
      </w:r>
      <w:r w:rsidRPr="006C10C4">
        <w:rPr>
          <w:rFonts w:ascii="Times New Roman" w:hAnsi="Times New Roman"/>
          <w:sz w:val="24"/>
          <w:szCs w:val="24"/>
        </w:rPr>
        <w:t xml:space="preserve">(3), 3075. </w:t>
      </w:r>
      <w:hyperlink r:id="rId32" w:history="1">
        <w:r w:rsidRPr="006C10C4">
          <w:rPr>
            <w:rFonts w:ascii="Times New Roman" w:hAnsi="Times New Roman"/>
            <w:color w:val="0000FF"/>
            <w:sz w:val="24"/>
            <w:szCs w:val="24"/>
            <w:u w:val="single"/>
          </w:rPr>
          <w:t>https://doi.org/10.24294/jipd.v8i3.3075</w:t>
        </w:r>
      </w:hyperlink>
    </w:p>
    <w:p w14:paraId="185E19F6"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Levi-</w:t>
      </w:r>
      <w:proofErr w:type="spellStart"/>
      <w:r w:rsidRPr="006C10C4">
        <w:rPr>
          <w:rFonts w:ascii="Times New Roman" w:hAnsi="Times New Roman"/>
          <w:sz w:val="24"/>
          <w:szCs w:val="24"/>
        </w:rPr>
        <w:t>Bliech</w:t>
      </w:r>
      <w:proofErr w:type="spellEnd"/>
      <w:r w:rsidRPr="006C10C4">
        <w:rPr>
          <w:rFonts w:ascii="Times New Roman" w:hAnsi="Times New Roman"/>
          <w:sz w:val="24"/>
          <w:szCs w:val="24"/>
        </w:rPr>
        <w:t xml:space="preserve">, M., &amp; Dahan, G. (2026). The impact of green innovation products on an organization’s social performance via green supply chain management. </w:t>
      </w:r>
      <w:r w:rsidRPr="006C10C4">
        <w:rPr>
          <w:rFonts w:ascii="Times New Roman" w:hAnsi="Times New Roman"/>
          <w:i/>
          <w:iCs/>
          <w:sz w:val="24"/>
          <w:szCs w:val="24"/>
        </w:rPr>
        <w:t>Green Technologies and Sustainability, 4</w:t>
      </w:r>
      <w:r w:rsidRPr="006C10C4">
        <w:rPr>
          <w:rFonts w:ascii="Times New Roman" w:hAnsi="Times New Roman"/>
          <w:sz w:val="24"/>
          <w:szCs w:val="24"/>
        </w:rPr>
        <w:t xml:space="preserve">(2), 100273. </w:t>
      </w:r>
      <w:hyperlink r:id="rId33" w:history="1">
        <w:r w:rsidRPr="006C10C4">
          <w:rPr>
            <w:rFonts w:ascii="Times New Roman" w:hAnsi="Times New Roman"/>
            <w:color w:val="0000FF"/>
            <w:sz w:val="24"/>
            <w:szCs w:val="24"/>
            <w:u w:val="single"/>
          </w:rPr>
          <w:t>https://doi.org/10.1016/j.grets.2025.100273</w:t>
        </w:r>
      </w:hyperlink>
    </w:p>
    <w:p w14:paraId="6D16AA30"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Martínez-Falcó, J., Sánchez-García, E., Marco-Lajara, B., &amp; Lee, K. (2024). Green supply chain management and sustainable performance: Exploring the role of green ambidexterity innovation and top management environmental awareness. </w:t>
      </w:r>
      <w:r w:rsidRPr="006C10C4">
        <w:rPr>
          <w:rFonts w:ascii="Times New Roman" w:hAnsi="Times New Roman"/>
          <w:i/>
          <w:iCs/>
          <w:sz w:val="24"/>
          <w:szCs w:val="24"/>
        </w:rPr>
        <w:t>Business Process Management Journal, 30</w:t>
      </w:r>
      <w:r w:rsidRPr="006C10C4">
        <w:rPr>
          <w:rFonts w:ascii="Times New Roman" w:hAnsi="Times New Roman"/>
          <w:sz w:val="24"/>
          <w:szCs w:val="24"/>
        </w:rPr>
        <w:t xml:space="preserve">(6), 1824–1847. </w:t>
      </w:r>
      <w:hyperlink r:id="rId34" w:history="1">
        <w:r w:rsidRPr="006C10C4">
          <w:rPr>
            <w:rFonts w:ascii="Times New Roman" w:hAnsi="Times New Roman"/>
            <w:color w:val="0000FF"/>
            <w:sz w:val="24"/>
            <w:szCs w:val="24"/>
            <w:u w:val="single"/>
          </w:rPr>
          <w:t>https://doi.org/10.1108/BPMJ-12-2023-0981</w:t>
        </w:r>
      </w:hyperlink>
    </w:p>
    <w:p w14:paraId="198BD9A4"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Meng, Q., Li, M., Liu, W., Li, Z., &amp; Zhang, J. (2021). Pricing policies of dual-channel green supply chain: Considering government subsidies and consumers’ dual preferences. </w:t>
      </w:r>
      <w:r w:rsidRPr="006C10C4">
        <w:rPr>
          <w:rFonts w:ascii="Times New Roman" w:hAnsi="Times New Roman"/>
          <w:i/>
          <w:iCs/>
          <w:sz w:val="24"/>
          <w:szCs w:val="24"/>
        </w:rPr>
        <w:t>Sustainable Production and Consumption, 26</w:t>
      </w:r>
      <w:r w:rsidRPr="006C10C4">
        <w:rPr>
          <w:rFonts w:ascii="Times New Roman" w:hAnsi="Times New Roman"/>
          <w:sz w:val="24"/>
          <w:szCs w:val="24"/>
        </w:rPr>
        <w:t xml:space="preserve">, 1021–1030. </w:t>
      </w:r>
      <w:hyperlink r:id="rId35" w:history="1">
        <w:r w:rsidRPr="006C10C4">
          <w:rPr>
            <w:rFonts w:ascii="Times New Roman" w:hAnsi="Times New Roman"/>
            <w:color w:val="0000FF"/>
            <w:sz w:val="24"/>
            <w:szCs w:val="24"/>
            <w:u w:val="single"/>
          </w:rPr>
          <w:t>https://doi.org/10.1016/j.spc.2021.01.012</w:t>
        </w:r>
      </w:hyperlink>
    </w:p>
    <w:p w14:paraId="25293921"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Mohammad, A. A. S., </w:t>
      </w:r>
      <w:proofErr w:type="spellStart"/>
      <w:r w:rsidRPr="006C10C4">
        <w:rPr>
          <w:rFonts w:ascii="Times New Roman" w:hAnsi="Times New Roman"/>
          <w:sz w:val="24"/>
          <w:szCs w:val="24"/>
        </w:rPr>
        <w:t>Masadeh</w:t>
      </w:r>
      <w:proofErr w:type="spellEnd"/>
      <w:r w:rsidRPr="006C10C4">
        <w:rPr>
          <w:rFonts w:ascii="Times New Roman" w:hAnsi="Times New Roman"/>
          <w:sz w:val="24"/>
          <w:szCs w:val="24"/>
        </w:rPr>
        <w:t xml:space="preserve">, M., Al Sarayreh, A., Vasudevan, A., </w:t>
      </w:r>
      <w:proofErr w:type="spellStart"/>
      <w:r w:rsidRPr="006C10C4">
        <w:rPr>
          <w:rFonts w:ascii="Times New Roman" w:hAnsi="Times New Roman"/>
          <w:sz w:val="24"/>
          <w:szCs w:val="24"/>
        </w:rPr>
        <w:t>Barhoom</w:t>
      </w:r>
      <w:proofErr w:type="spellEnd"/>
      <w:r w:rsidRPr="006C10C4">
        <w:rPr>
          <w:rFonts w:ascii="Times New Roman" w:hAnsi="Times New Roman"/>
          <w:sz w:val="24"/>
          <w:szCs w:val="24"/>
        </w:rPr>
        <w:t xml:space="preserve">, F. N. I., Mohammad, S. I., </w:t>
      </w:r>
      <w:proofErr w:type="spellStart"/>
      <w:r w:rsidRPr="006C10C4">
        <w:rPr>
          <w:rFonts w:ascii="Times New Roman" w:hAnsi="Times New Roman"/>
          <w:sz w:val="24"/>
          <w:szCs w:val="24"/>
        </w:rPr>
        <w:t>Abusalma</w:t>
      </w:r>
      <w:proofErr w:type="spellEnd"/>
      <w:r w:rsidRPr="006C10C4">
        <w:rPr>
          <w:rFonts w:ascii="Times New Roman" w:hAnsi="Times New Roman"/>
          <w:sz w:val="24"/>
          <w:szCs w:val="24"/>
        </w:rPr>
        <w:t xml:space="preserve">, A., Mohammad, D. I., &amp; </w:t>
      </w:r>
      <w:proofErr w:type="spellStart"/>
      <w:r w:rsidRPr="006C10C4">
        <w:rPr>
          <w:rFonts w:ascii="Times New Roman" w:hAnsi="Times New Roman"/>
          <w:sz w:val="24"/>
          <w:szCs w:val="24"/>
        </w:rPr>
        <w:t>Alrfai</w:t>
      </w:r>
      <w:proofErr w:type="spellEnd"/>
      <w:r w:rsidRPr="006C10C4">
        <w:rPr>
          <w:rFonts w:ascii="Times New Roman" w:hAnsi="Times New Roman"/>
          <w:sz w:val="24"/>
          <w:szCs w:val="24"/>
        </w:rPr>
        <w:t xml:space="preserve">, M. M. (2024). The impact of green supply chain management practices on the social performance of pharmaceutical industries. In A. </w:t>
      </w:r>
      <w:proofErr w:type="spellStart"/>
      <w:r w:rsidRPr="006C10C4">
        <w:rPr>
          <w:rFonts w:ascii="Times New Roman" w:hAnsi="Times New Roman"/>
          <w:sz w:val="24"/>
          <w:szCs w:val="24"/>
        </w:rPr>
        <w:t>Hannoon</w:t>
      </w:r>
      <w:proofErr w:type="spellEnd"/>
      <w:r w:rsidRPr="006C10C4">
        <w:rPr>
          <w:rFonts w:ascii="Times New Roman" w:hAnsi="Times New Roman"/>
          <w:sz w:val="24"/>
          <w:szCs w:val="24"/>
        </w:rPr>
        <w:t xml:space="preserve"> (Ed.), </w:t>
      </w:r>
      <w:r w:rsidRPr="006C10C4">
        <w:rPr>
          <w:rFonts w:ascii="Times New Roman" w:hAnsi="Times New Roman"/>
          <w:i/>
          <w:iCs/>
          <w:sz w:val="24"/>
          <w:szCs w:val="24"/>
        </w:rPr>
        <w:t>Frontiers of human centricity in the artificial intelligence-driven Society 5.0</w:t>
      </w:r>
      <w:r w:rsidRPr="006C10C4">
        <w:rPr>
          <w:rFonts w:ascii="Times New Roman" w:hAnsi="Times New Roman"/>
          <w:sz w:val="24"/>
          <w:szCs w:val="24"/>
        </w:rPr>
        <w:t xml:space="preserve"> (pp. 325–339). Springer. </w:t>
      </w:r>
      <w:hyperlink r:id="rId36" w:history="1">
        <w:r w:rsidRPr="006C10C4">
          <w:rPr>
            <w:rFonts w:ascii="Times New Roman" w:hAnsi="Times New Roman"/>
            <w:color w:val="0000FF"/>
            <w:sz w:val="24"/>
            <w:szCs w:val="24"/>
            <w:u w:val="single"/>
          </w:rPr>
          <w:t>https://doi.org/10.1007/978-3-031-73545-5_28</w:t>
        </w:r>
      </w:hyperlink>
    </w:p>
    <w:p w14:paraId="33FC6772"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Nafisah, K. H., &amp; </w:t>
      </w:r>
      <w:proofErr w:type="spellStart"/>
      <w:r w:rsidRPr="006C10C4">
        <w:rPr>
          <w:rFonts w:ascii="Times New Roman" w:hAnsi="Times New Roman"/>
          <w:sz w:val="24"/>
          <w:szCs w:val="24"/>
        </w:rPr>
        <w:t>Ratnamurni</w:t>
      </w:r>
      <w:proofErr w:type="spellEnd"/>
      <w:r w:rsidRPr="006C10C4">
        <w:rPr>
          <w:rFonts w:ascii="Times New Roman" w:hAnsi="Times New Roman"/>
          <w:sz w:val="24"/>
          <w:szCs w:val="24"/>
        </w:rPr>
        <w:t xml:space="preserve">, E. D. (2025). Green supply chain management and sustainability performance: The mediating role of competitive advantage in Bandung SMEs. </w:t>
      </w:r>
      <w:r w:rsidRPr="006C10C4">
        <w:rPr>
          <w:rFonts w:ascii="Times New Roman" w:hAnsi="Times New Roman"/>
          <w:i/>
          <w:iCs/>
          <w:sz w:val="24"/>
          <w:szCs w:val="24"/>
        </w:rPr>
        <w:t>Asian Journal of Economics, Business and Accounting, 25</w:t>
      </w:r>
      <w:r w:rsidRPr="006C10C4">
        <w:rPr>
          <w:rFonts w:ascii="Times New Roman" w:hAnsi="Times New Roman"/>
          <w:sz w:val="24"/>
          <w:szCs w:val="24"/>
        </w:rPr>
        <w:t xml:space="preserve">(2), 131–144. </w:t>
      </w:r>
      <w:hyperlink r:id="rId37" w:history="1">
        <w:r w:rsidRPr="006C10C4">
          <w:rPr>
            <w:rFonts w:ascii="Times New Roman" w:hAnsi="Times New Roman"/>
            <w:color w:val="0000FF"/>
            <w:sz w:val="24"/>
            <w:szCs w:val="24"/>
            <w:u w:val="single"/>
          </w:rPr>
          <w:t>https://doi.org/10.9734/ajeba/2025/v25i21669</w:t>
        </w:r>
      </w:hyperlink>
    </w:p>
    <w:p w14:paraId="7519468B"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Na’imah, N., &amp; </w:t>
      </w:r>
      <w:proofErr w:type="spellStart"/>
      <w:r w:rsidRPr="006C10C4">
        <w:rPr>
          <w:rFonts w:ascii="Times New Roman" w:hAnsi="Times New Roman"/>
          <w:sz w:val="24"/>
          <w:szCs w:val="24"/>
        </w:rPr>
        <w:t>Priyono</w:t>
      </w:r>
      <w:proofErr w:type="spellEnd"/>
      <w:r w:rsidRPr="006C10C4">
        <w:rPr>
          <w:rFonts w:ascii="Times New Roman" w:hAnsi="Times New Roman"/>
          <w:sz w:val="24"/>
          <w:szCs w:val="24"/>
        </w:rPr>
        <w:t xml:space="preserve">, A. (2026). Enhancing SMEs’ sustainability through digital adoption and green orientation: The mediating role of green product innovation. </w:t>
      </w:r>
      <w:r w:rsidRPr="006C10C4">
        <w:rPr>
          <w:rFonts w:ascii="Times New Roman" w:hAnsi="Times New Roman"/>
          <w:i/>
          <w:iCs/>
          <w:sz w:val="24"/>
          <w:szCs w:val="24"/>
        </w:rPr>
        <w:t>Journal of Economics and Trade, 11</w:t>
      </w:r>
      <w:r w:rsidRPr="006C10C4">
        <w:rPr>
          <w:rFonts w:ascii="Times New Roman" w:hAnsi="Times New Roman"/>
          <w:sz w:val="24"/>
          <w:szCs w:val="24"/>
        </w:rPr>
        <w:t xml:space="preserve">(1), 136–149. </w:t>
      </w:r>
      <w:hyperlink r:id="rId38" w:history="1">
        <w:r w:rsidRPr="006C10C4">
          <w:rPr>
            <w:rFonts w:ascii="Times New Roman" w:hAnsi="Times New Roman"/>
            <w:color w:val="0000FF"/>
            <w:sz w:val="24"/>
            <w:szCs w:val="24"/>
            <w:u w:val="single"/>
          </w:rPr>
          <w:t>https://doi.org/10.56557/jet/2026/v11i110199</w:t>
        </w:r>
      </w:hyperlink>
    </w:p>
    <w:p w14:paraId="65B4434C" w14:textId="77777777" w:rsidR="006C10C4" w:rsidRPr="006C10C4" w:rsidRDefault="006C10C4" w:rsidP="006C10C4">
      <w:pPr>
        <w:spacing w:before="100" w:beforeAutospacing="1" w:after="100" w:afterAutospacing="1"/>
        <w:jc w:val="left"/>
        <w:rPr>
          <w:rFonts w:ascii="Times New Roman" w:hAnsi="Times New Roman"/>
          <w:sz w:val="24"/>
          <w:szCs w:val="24"/>
        </w:rPr>
      </w:pPr>
      <w:proofErr w:type="spellStart"/>
      <w:r w:rsidRPr="006C10C4">
        <w:rPr>
          <w:rFonts w:ascii="Times New Roman" w:hAnsi="Times New Roman"/>
          <w:sz w:val="24"/>
          <w:szCs w:val="24"/>
        </w:rPr>
        <w:t>Nozari</w:t>
      </w:r>
      <w:proofErr w:type="spellEnd"/>
      <w:r w:rsidRPr="006C10C4">
        <w:rPr>
          <w:rFonts w:ascii="Times New Roman" w:hAnsi="Times New Roman"/>
          <w:sz w:val="24"/>
          <w:szCs w:val="24"/>
        </w:rPr>
        <w:t xml:space="preserve">, H. (2024). Green supply chain management based on artificial intelligence of everything. </w:t>
      </w:r>
      <w:r w:rsidRPr="006C10C4">
        <w:rPr>
          <w:rFonts w:ascii="Times New Roman" w:hAnsi="Times New Roman"/>
          <w:i/>
          <w:iCs/>
          <w:sz w:val="24"/>
          <w:szCs w:val="24"/>
        </w:rPr>
        <w:t>Journal of Economics and Management, 46</w:t>
      </w:r>
      <w:r w:rsidRPr="006C10C4">
        <w:rPr>
          <w:rFonts w:ascii="Times New Roman" w:hAnsi="Times New Roman"/>
          <w:sz w:val="24"/>
          <w:szCs w:val="24"/>
        </w:rPr>
        <w:t xml:space="preserve">(1), 171–188. </w:t>
      </w:r>
      <w:hyperlink r:id="rId39" w:history="1">
        <w:r w:rsidRPr="006C10C4">
          <w:rPr>
            <w:rFonts w:ascii="Times New Roman" w:hAnsi="Times New Roman"/>
            <w:color w:val="0000FF"/>
            <w:sz w:val="24"/>
            <w:szCs w:val="24"/>
            <w:u w:val="single"/>
          </w:rPr>
          <w:t>https://doi.org/10.22367/jem.2024.46.07</w:t>
        </w:r>
      </w:hyperlink>
    </w:p>
    <w:p w14:paraId="4F869DBD"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Sarfraz, M., Ivascu, L., Abdullah, M. I., Ozturk, I., &amp; Tariq, J. (2022). Exploring a pathway to sustainable performance in manufacturing firms: The interplay between innovation capabilities, green process, product innovations and digital leadership. </w:t>
      </w:r>
      <w:r w:rsidRPr="006C10C4">
        <w:rPr>
          <w:rFonts w:ascii="Times New Roman" w:hAnsi="Times New Roman"/>
          <w:i/>
          <w:iCs/>
          <w:sz w:val="24"/>
          <w:szCs w:val="24"/>
        </w:rPr>
        <w:t>Sustainability, 14</w:t>
      </w:r>
      <w:r w:rsidRPr="006C10C4">
        <w:rPr>
          <w:rFonts w:ascii="Times New Roman" w:hAnsi="Times New Roman"/>
          <w:sz w:val="24"/>
          <w:szCs w:val="24"/>
        </w:rPr>
        <w:t xml:space="preserve">(10), 5945. </w:t>
      </w:r>
      <w:hyperlink r:id="rId40" w:history="1">
        <w:r w:rsidRPr="006C10C4">
          <w:rPr>
            <w:rFonts w:ascii="Times New Roman" w:hAnsi="Times New Roman"/>
            <w:color w:val="0000FF"/>
            <w:sz w:val="24"/>
            <w:szCs w:val="24"/>
            <w:u w:val="single"/>
          </w:rPr>
          <w:t>https://doi.org/10.3390/su14105945</w:t>
        </w:r>
      </w:hyperlink>
    </w:p>
    <w:p w14:paraId="7A5E4169"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Sekaran, U., &amp; Bougie, R. (2016). </w:t>
      </w:r>
      <w:r w:rsidRPr="006C10C4">
        <w:rPr>
          <w:rFonts w:ascii="Times New Roman" w:hAnsi="Times New Roman"/>
          <w:i/>
          <w:iCs/>
          <w:sz w:val="24"/>
          <w:szCs w:val="24"/>
        </w:rPr>
        <w:t>Research methods for business: A skill-building approach</w:t>
      </w:r>
      <w:r w:rsidRPr="006C10C4">
        <w:rPr>
          <w:rFonts w:ascii="Times New Roman" w:hAnsi="Times New Roman"/>
          <w:sz w:val="24"/>
          <w:szCs w:val="24"/>
        </w:rPr>
        <w:t xml:space="preserve"> (7th ed.). Wiley. </w:t>
      </w:r>
      <w:hyperlink r:id="rId41" w:history="1">
        <w:r w:rsidRPr="006C10C4">
          <w:rPr>
            <w:rFonts w:ascii="Times New Roman" w:hAnsi="Times New Roman"/>
            <w:color w:val="0000FF"/>
            <w:sz w:val="24"/>
            <w:szCs w:val="24"/>
            <w:u w:val="single"/>
          </w:rPr>
          <w:t>https://bcs.wiley.com/he-bcs/Books?action=index&amp;bcsId=10380&amp;itemId=1119165555</w:t>
        </w:r>
      </w:hyperlink>
    </w:p>
    <w:p w14:paraId="0D004C9D"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Sodhi, M. S. (2015). Conceptualizing social responsibility in operations via stakeholder resource-based view. </w:t>
      </w:r>
      <w:r w:rsidRPr="006C10C4">
        <w:rPr>
          <w:rFonts w:ascii="Times New Roman" w:hAnsi="Times New Roman"/>
          <w:i/>
          <w:iCs/>
          <w:sz w:val="24"/>
          <w:szCs w:val="24"/>
        </w:rPr>
        <w:t>Production and Operations Management, 24</w:t>
      </w:r>
      <w:r w:rsidRPr="006C10C4">
        <w:rPr>
          <w:rFonts w:ascii="Times New Roman" w:hAnsi="Times New Roman"/>
          <w:sz w:val="24"/>
          <w:szCs w:val="24"/>
        </w:rPr>
        <w:t xml:space="preserve">(9), 1375–1389. </w:t>
      </w:r>
      <w:hyperlink r:id="rId42" w:history="1">
        <w:r w:rsidRPr="006C10C4">
          <w:rPr>
            <w:rFonts w:ascii="Times New Roman" w:hAnsi="Times New Roman"/>
            <w:color w:val="0000FF"/>
            <w:sz w:val="24"/>
            <w:szCs w:val="24"/>
            <w:u w:val="single"/>
          </w:rPr>
          <w:t>https://doi.org/10.1111/poms.12393</w:t>
        </w:r>
      </w:hyperlink>
    </w:p>
    <w:p w14:paraId="5F87D310"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Takwa, M., Sikki, N., </w:t>
      </w:r>
      <w:proofErr w:type="spellStart"/>
      <w:r w:rsidRPr="006C10C4">
        <w:rPr>
          <w:rFonts w:ascii="Times New Roman" w:hAnsi="Times New Roman"/>
          <w:sz w:val="24"/>
          <w:szCs w:val="24"/>
        </w:rPr>
        <w:t>Mubarok</w:t>
      </w:r>
      <w:proofErr w:type="spellEnd"/>
      <w:r w:rsidRPr="006C10C4">
        <w:rPr>
          <w:rFonts w:ascii="Times New Roman" w:hAnsi="Times New Roman"/>
          <w:sz w:val="24"/>
          <w:szCs w:val="24"/>
        </w:rPr>
        <w:t xml:space="preserve">, R., Bakri, A. H., &amp; Majid, M. I. (2025). Integrasi </w:t>
      </w:r>
      <w:proofErr w:type="spellStart"/>
      <w:r w:rsidRPr="006C10C4">
        <w:rPr>
          <w:rFonts w:ascii="Times New Roman" w:hAnsi="Times New Roman"/>
          <w:sz w:val="24"/>
          <w:szCs w:val="24"/>
        </w:rPr>
        <w:t>etika</w:t>
      </w:r>
      <w:proofErr w:type="spellEnd"/>
      <w:r w:rsidRPr="006C10C4">
        <w:rPr>
          <w:rFonts w:ascii="Times New Roman" w:hAnsi="Times New Roman"/>
          <w:sz w:val="24"/>
          <w:szCs w:val="24"/>
        </w:rPr>
        <w:t xml:space="preserve"> dan </w:t>
      </w:r>
      <w:proofErr w:type="spellStart"/>
      <w:r w:rsidRPr="006C10C4">
        <w:rPr>
          <w:rFonts w:ascii="Times New Roman" w:hAnsi="Times New Roman"/>
          <w:sz w:val="24"/>
          <w:szCs w:val="24"/>
        </w:rPr>
        <w:t>keberlanjutan</w:t>
      </w:r>
      <w:proofErr w:type="spellEnd"/>
      <w:r w:rsidRPr="006C10C4">
        <w:rPr>
          <w:rFonts w:ascii="Times New Roman" w:hAnsi="Times New Roman"/>
          <w:sz w:val="24"/>
          <w:szCs w:val="24"/>
        </w:rPr>
        <w:t xml:space="preserve"> </w:t>
      </w:r>
      <w:proofErr w:type="spellStart"/>
      <w:r w:rsidRPr="006C10C4">
        <w:rPr>
          <w:rFonts w:ascii="Times New Roman" w:hAnsi="Times New Roman"/>
          <w:sz w:val="24"/>
          <w:szCs w:val="24"/>
        </w:rPr>
        <w:t>dalam</w:t>
      </w:r>
      <w:proofErr w:type="spellEnd"/>
      <w:r w:rsidRPr="006C10C4">
        <w:rPr>
          <w:rFonts w:ascii="Times New Roman" w:hAnsi="Times New Roman"/>
          <w:sz w:val="24"/>
          <w:szCs w:val="24"/>
        </w:rPr>
        <w:t xml:space="preserve"> strategi </w:t>
      </w:r>
      <w:proofErr w:type="spellStart"/>
      <w:r w:rsidRPr="006C10C4">
        <w:rPr>
          <w:rFonts w:ascii="Times New Roman" w:hAnsi="Times New Roman"/>
          <w:sz w:val="24"/>
          <w:szCs w:val="24"/>
        </w:rPr>
        <w:t>bisnis</w:t>
      </w:r>
      <w:proofErr w:type="spellEnd"/>
      <w:r w:rsidRPr="006C10C4">
        <w:rPr>
          <w:rFonts w:ascii="Times New Roman" w:hAnsi="Times New Roman"/>
          <w:sz w:val="24"/>
          <w:szCs w:val="24"/>
        </w:rPr>
        <w:t xml:space="preserve"> modern. </w:t>
      </w:r>
      <w:r w:rsidRPr="006C10C4">
        <w:rPr>
          <w:rFonts w:ascii="Times New Roman" w:hAnsi="Times New Roman"/>
          <w:i/>
          <w:iCs/>
          <w:sz w:val="24"/>
          <w:szCs w:val="24"/>
        </w:rPr>
        <w:t>RIGGS: Journal of Artificial Intelligence and Digital Business, 4</w:t>
      </w:r>
      <w:r w:rsidRPr="006C10C4">
        <w:rPr>
          <w:rFonts w:ascii="Times New Roman" w:hAnsi="Times New Roman"/>
          <w:sz w:val="24"/>
          <w:szCs w:val="24"/>
        </w:rPr>
        <w:t xml:space="preserve">(4), 1469–1475. </w:t>
      </w:r>
      <w:hyperlink r:id="rId43" w:history="1">
        <w:r w:rsidRPr="006C10C4">
          <w:rPr>
            <w:rFonts w:ascii="Times New Roman" w:hAnsi="Times New Roman"/>
            <w:color w:val="0000FF"/>
            <w:sz w:val="24"/>
            <w:szCs w:val="24"/>
            <w:u w:val="single"/>
          </w:rPr>
          <w:t>https://doi.org/10.31004/riggs.v4i4.2242</w:t>
        </w:r>
      </w:hyperlink>
    </w:p>
    <w:p w14:paraId="6AF0A9C2" w14:textId="2CCF17D6"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lastRenderedPageBreak/>
        <w:t xml:space="preserve">Sarfraz, M., Ivascu, L., Abdullah, M. I., Ozturk, I., &amp; Tariq, J. (2022). Exploring a pathway to sustainable performance in manufacturing firms: The interplay between innovation capabilities, green process, product innovations and digital leadership. Sustainability, 14(10), 5945. </w:t>
      </w:r>
      <w:hyperlink r:id="rId44" w:history="1">
        <w:r w:rsidRPr="006C10C4">
          <w:rPr>
            <w:rFonts w:ascii="Times New Roman" w:hAnsi="Times New Roman"/>
            <w:color w:val="0000FF"/>
            <w:sz w:val="24"/>
            <w:szCs w:val="24"/>
            <w:u w:val="single"/>
          </w:rPr>
          <w:t>https://doi.org/10.3390/su14105945</w:t>
        </w:r>
      </w:hyperlink>
    </w:p>
    <w:p w14:paraId="2DAD5AE8"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Xiao, H., Al Mamun, A., Reza, M. N. H., Lin, X., &amp; Yang, Q. (2024). Modeling the significance of corporate social responsibility on green capabilities and sustainability performance. </w:t>
      </w:r>
      <w:proofErr w:type="spellStart"/>
      <w:r w:rsidRPr="006C10C4">
        <w:rPr>
          <w:rFonts w:ascii="Times New Roman" w:hAnsi="Times New Roman"/>
          <w:i/>
          <w:iCs/>
          <w:sz w:val="24"/>
          <w:szCs w:val="24"/>
        </w:rPr>
        <w:t>Heliyon</w:t>
      </w:r>
      <w:proofErr w:type="spellEnd"/>
      <w:r w:rsidRPr="006C10C4">
        <w:rPr>
          <w:rFonts w:ascii="Times New Roman" w:hAnsi="Times New Roman"/>
          <w:i/>
          <w:iCs/>
          <w:sz w:val="24"/>
          <w:szCs w:val="24"/>
        </w:rPr>
        <w:t>, 10</w:t>
      </w:r>
      <w:r w:rsidRPr="006C10C4">
        <w:rPr>
          <w:rFonts w:ascii="Times New Roman" w:hAnsi="Times New Roman"/>
          <w:sz w:val="24"/>
          <w:szCs w:val="24"/>
        </w:rPr>
        <w:t xml:space="preserve">(19), e38991. </w:t>
      </w:r>
      <w:hyperlink r:id="rId45" w:history="1">
        <w:r w:rsidRPr="006C10C4">
          <w:rPr>
            <w:rFonts w:ascii="Times New Roman" w:hAnsi="Times New Roman"/>
            <w:color w:val="0000FF"/>
            <w:sz w:val="24"/>
            <w:szCs w:val="24"/>
            <w:u w:val="single"/>
          </w:rPr>
          <w:t>https://doi.org/10.1016/j.heliyon.2024.e38991</w:t>
        </w:r>
      </w:hyperlink>
    </w:p>
    <w:p w14:paraId="6E85519E"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Yang, Z., Sun, J., Zhang, Y., &amp; Wang, Y. (2020). Synergy between green supply chain management and green information systems on corporate sustainability: An informal alignment perspective. </w:t>
      </w:r>
      <w:r w:rsidRPr="006C10C4">
        <w:rPr>
          <w:rFonts w:ascii="Times New Roman" w:hAnsi="Times New Roman"/>
          <w:i/>
          <w:iCs/>
          <w:sz w:val="24"/>
          <w:szCs w:val="24"/>
        </w:rPr>
        <w:t>Environment, Development and Sustainability, 22</w:t>
      </w:r>
      <w:r w:rsidRPr="006C10C4">
        <w:rPr>
          <w:rFonts w:ascii="Times New Roman" w:hAnsi="Times New Roman"/>
          <w:sz w:val="24"/>
          <w:szCs w:val="24"/>
        </w:rPr>
        <w:t xml:space="preserve">(2), 1165–1186. </w:t>
      </w:r>
      <w:hyperlink r:id="rId46" w:history="1">
        <w:r w:rsidRPr="006C10C4">
          <w:rPr>
            <w:rFonts w:ascii="Times New Roman" w:hAnsi="Times New Roman"/>
            <w:color w:val="0000FF"/>
            <w:sz w:val="24"/>
            <w:szCs w:val="24"/>
            <w:u w:val="single"/>
          </w:rPr>
          <w:t>https://doi.org/10.1007/s10668-018-0241-9</w:t>
        </w:r>
      </w:hyperlink>
    </w:p>
    <w:p w14:paraId="0B99045A" w14:textId="77777777" w:rsidR="006C10C4" w:rsidRPr="006C10C4" w:rsidRDefault="006C10C4" w:rsidP="006C10C4">
      <w:pPr>
        <w:spacing w:before="100" w:beforeAutospacing="1" w:after="100" w:afterAutospacing="1"/>
        <w:jc w:val="left"/>
        <w:rPr>
          <w:rFonts w:ascii="Times New Roman" w:hAnsi="Times New Roman"/>
          <w:sz w:val="24"/>
          <w:szCs w:val="24"/>
        </w:rPr>
      </w:pPr>
      <w:r w:rsidRPr="006C10C4">
        <w:rPr>
          <w:rFonts w:ascii="Times New Roman" w:hAnsi="Times New Roman"/>
          <w:sz w:val="24"/>
          <w:szCs w:val="24"/>
        </w:rPr>
        <w:t xml:space="preserve">Zhu, Q., Geng, Y., Sarkis, J., &amp; Lai, K. (2011). Evaluating green supply chain management among Chinese manufacturers from the ecological </w:t>
      </w:r>
      <w:proofErr w:type="spellStart"/>
      <w:r w:rsidRPr="006C10C4">
        <w:rPr>
          <w:rFonts w:ascii="Times New Roman" w:hAnsi="Times New Roman"/>
          <w:sz w:val="24"/>
          <w:szCs w:val="24"/>
        </w:rPr>
        <w:t>modernisation</w:t>
      </w:r>
      <w:proofErr w:type="spellEnd"/>
      <w:r w:rsidRPr="006C10C4">
        <w:rPr>
          <w:rFonts w:ascii="Times New Roman" w:hAnsi="Times New Roman"/>
          <w:sz w:val="24"/>
          <w:szCs w:val="24"/>
        </w:rPr>
        <w:t xml:space="preserve"> perspective. </w:t>
      </w:r>
      <w:r w:rsidRPr="006C10C4">
        <w:rPr>
          <w:rFonts w:ascii="Times New Roman" w:hAnsi="Times New Roman"/>
          <w:i/>
          <w:iCs/>
          <w:sz w:val="24"/>
          <w:szCs w:val="24"/>
        </w:rPr>
        <w:t>Transportation Research Part E: Logistics and Transportation Review, 47</w:t>
      </w:r>
      <w:r w:rsidRPr="006C10C4">
        <w:rPr>
          <w:rFonts w:ascii="Times New Roman" w:hAnsi="Times New Roman"/>
          <w:sz w:val="24"/>
          <w:szCs w:val="24"/>
        </w:rPr>
        <w:t xml:space="preserve">(6), 808–821. </w:t>
      </w:r>
      <w:hyperlink r:id="rId47" w:history="1">
        <w:r w:rsidRPr="006C10C4">
          <w:rPr>
            <w:rFonts w:ascii="Times New Roman" w:hAnsi="Times New Roman"/>
            <w:color w:val="0000FF"/>
            <w:sz w:val="24"/>
            <w:szCs w:val="24"/>
            <w:u w:val="single"/>
          </w:rPr>
          <w:t>https://doi.org/10.1016/j.tre.2010.09.013</w:t>
        </w:r>
      </w:hyperlink>
    </w:p>
    <w:p w14:paraId="75AC7135" w14:textId="77777777" w:rsidR="006C10C4" w:rsidRPr="00AA631C" w:rsidRDefault="006C10C4" w:rsidP="00441B6F">
      <w:pPr>
        <w:pStyle w:val="ReferHead"/>
        <w:spacing w:after="0"/>
        <w:rPr>
          <w:rFonts w:cs="Arial"/>
        </w:rPr>
      </w:pPr>
    </w:p>
    <w:sectPr w:rsidR="006C10C4" w:rsidRPr="00AA631C" w:rsidSect="000B1628">
      <w:headerReference w:type="even" r:id="rId48"/>
      <w:headerReference w:type="default" r:id="rId49"/>
      <w:footerReference w:type="default" r:id="rId50"/>
      <w:headerReference w:type="first" r:id="rId5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D14C" w14:textId="77777777" w:rsidR="00735248" w:rsidRDefault="00735248" w:rsidP="00C37E61">
      <w:r>
        <w:separator/>
      </w:r>
    </w:p>
  </w:endnote>
  <w:endnote w:type="continuationSeparator" w:id="0">
    <w:p w14:paraId="1189D516" w14:textId="77777777" w:rsidR="00735248" w:rsidRDefault="00735248"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47FE" w14:textId="77777777" w:rsidR="00820308" w:rsidRDefault="008203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DDC1" w14:textId="77777777" w:rsidR="00820308" w:rsidRDefault="008203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006E" w14:textId="77777777" w:rsidR="00754C9A" w:rsidRPr="00820308" w:rsidRDefault="00754C9A" w:rsidP="008203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0A1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DC78A" w14:textId="77777777" w:rsidR="00735248" w:rsidRDefault="00735248" w:rsidP="00C37E61">
      <w:r>
        <w:separator/>
      </w:r>
    </w:p>
  </w:footnote>
  <w:footnote w:type="continuationSeparator" w:id="0">
    <w:p w14:paraId="4C87C03C" w14:textId="77777777" w:rsidR="00735248" w:rsidRDefault="00735248"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5471" w14:textId="77777777" w:rsidR="00820308" w:rsidRDefault="00000000">
    <w:pPr>
      <w:pStyle w:val="Header"/>
    </w:pPr>
    <w:r>
      <w:rPr>
        <w:noProof/>
      </w:rPr>
      <w:pict w14:anchorId="4BFF7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19" o:spid="_x0000_s1026" type="#_x0000_t136" style="position:absolute;left:0;text-align:left;margin-left:0;margin-top:0;width:685.25pt;height:76.1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058D" w14:textId="77777777" w:rsidR="00820308" w:rsidRDefault="00000000">
    <w:pPr>
      <w:pStyle w:val="Header"/>
    </w:pPr>
    <w:r>
      <w:rPr>
        <w:noProof/>
      </w:rPr>
      <w:pict w14:anchorId="3B8AD2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0" o:spid="_x0000_s1027" type="#_x0000_t136" style="position:absolute;left:0;text-align:left;margin-left:0;margin-top:0;width:685.25pt;height:76.1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0255" w14:textId="77777777" w:rsidR="00296529" w:rsidRPr="00296529" w:rsidRDefault="00000000" w:rsidP="00296529">
    <w:pPr>
      <w:ind w:left="2160"/>
      <w:jc w:val="center"/>
      <w:rPr>
        <w:rFonts w:ascii="Times New Roman" w:eastAsia="Calibri" w:hAnsi="Times New Roman"/>
        <w:i/>
        <w:sz w:val="18"/>
        <w:szCs w:val="22"/>
      </w:rPr>
    </w:pPr>
    <w:r>
      <w:rPr>
        <w:noProof/>
      </w:rPr>
      <w:pict w14:anchorId="68243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18"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p w14:paraId="310B349F"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5EE8504"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A71A857"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5541327"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56FC19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B63AD62"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9285" w14:textId="77777777" w:rsidR="00820308" w:rsidRDefault="00000000">
    <w:pPr>
      <w:pStyle w:val="Header"/>
    </w:pPr>
    <w:r>
      <w:rPr>
        <w:noProof/>
      </w:rPr>
      <w:pict w14:anchorId="71122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2" o:spid="_x0000_s1031" type="#_x0000_t136" style="position:absolute;left:0;text-align:left;margin-left:0;margin-top:0;width:685.25pt;height:76.1pt;rotation:315;z-index:-25164492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r>
      <w:rPr>
        <w:noProof/>
      </w:rPr>
      <w:pict w14:anchorId="3215C106">
        <v:shape id="_x0000_s1030" type="#_x0000_t136" style="position:absolute;left:0;text-align:left;margin-left:0;margin-top:0;width:685.25pt;height:76.1pt;rotation:315;z-index:-25164697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350B" w14:textId="77777777" w:rsidR="00820308" w:rsidRDefault="00000000">
    <w:pPr>
      <w:pStyle w:val="Header"/>
    </w:pPr>
    <w:r>
      <w:rPr>
        <w:noProof/>
      </w:rPr>
      <w:pict w14:anchorId="0B0E2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3" o:spid="_x0000_s1033" type="#_x0000_t136" style="position:absolute;left:0;text-align:left;margin-left:0;margin-top:0;width:685.25pt;height:76.1pt;rotation:315;z-index:-251640832;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r>
      <w:rPr>
        <w:noProof/>
      </w:rPr>
      <w:pict w14:anchorId="08F5DFB6">
        <v:shape id="_x0000_s1032" type="#_x0000_t136" style="position:absolute;left:0;text-align:left;margin-left:0;margin-top:0;width:685.25pt;height:76.1pt;rotation:315;z-index:-25164288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109B" w14:textId="77777777" w:rsidR="00820308" w:rsidRPr="00296529" w:rsidRDefault="00000000" w:rsidP="00296529">
    <w:pPr>
      <w:ind w:left="2160"/>
      <w:jc w:val="center"/>
      <w:rPr>
        <w:rFonts w:ascii="Times New Roman" w:eastAsia="Calibri" w:hAnsi="Times New Roman"/>
        <w:i/>
        <w:sz w:val="18"/>
        <w:szCs w:val="22"/>
      </w:rPr>
    </w:pPr>
    <w:r>
      <w:rPr>
        <w:noProof/>
      </w:rPr>
      <w:pict w14:anchorId="4CE9DC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721"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r>
      <w:rPr>
        <w:noProof/>
      </w:rPr>
      <w:pict w14:anchorId="53FB960D">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p w14:paraId="6542002B" w14:textId="77777777" w:rsidR="00820308" w:rsidRPr="00296529" w:rsidRDefault="0082030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00D672F" w14:textId="77777777" w:rsidR="00820308" w:rsidRPr="00296529" w:rsidRDefault="0082030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D3C4FB1" w14:textId="77777777" w:rsidR="00820308" w:rsidRPr="00296529" w:rsidRDefault="0082030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DC9F611" w14:textId="77777777" w:rsidR="00820308" w:rsidRDefault="0082030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7F1CFEE" w14:textId="77777777" w:rsidR="00820308" w:rsidRDefault="0082030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2C2AA91" w14:textId="77777777" w:rsidR="00820308" w:rsidRDefault="0082030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36605977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18804591">
    <w:abstractNumId w:val="15"/>
  </w:num>
  <w:num w:numId="3" w16cid:durableId="331184607">
    <w:abstractNumId w:val="23"/>
  </w:num>
  <w:num w:numId="4" w16cid:durableId="205148726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93126315">
    <w:abstractNumId w:val="7"/>
  </w:num>
  <w:num w:numId="6" w16cid:durableId="1475484889">
    <w:abstractNumId w:val="6"/>
  </w:num>
  <w:num w:numId="7" w16cid:durableId="1639070347">
    <w:abstractNumId w:val="1"/>
  </w:num>
  <w:num w:numId="8" w16cid:durableId="617612189">
    <w:abstractNumId w:val="12"/>
  </w:num>
  <w:num w:numId="9" w16cid:durableId="790828370">
    <w:abstractNumId w:val="25"/>
  </w:num>
  <w:num w:numId="10" w16cid:durableId="1609658037">
    <w:abstractNumId w:val="2"/>
  </w:num>
  <w:num w:numId="11" w16cid:durableId="1407654497">
    <w:abstractNumId w:val="18"/>
  </w:num>
  <w:num w:numId="12" w16cid:durableId="314921842">
    <w:abstractNumId w:val="3"/>
  </w:num>
  <w:num w:numId="13" w16cid:durableId="1438795484">
    <w:abstractNumId w:val="17"/>
  </w:num>
  <w:num w:numId="14" w16cid:durableId="563495003">
    <w:abstractNumId w:val="8"/>
  </w:num>
  <w:num w:numId="15" w16cid:durableId="1247423888">
    <w:abstractNumId w:val="21"/>
  </w:num>
  <w:num w:numId="16" w16cid:durableId="897864441">
    <w:abstractNumId w:val="5"/>
  </w:num>
  <w:num w:numId="17" w16cid:durableId="1848782983">
    <w:abstractNumId w:val="22"/>
  </w:num>
  <w:num w:numId="18" w16cid:durableId="1809278120">
    <w:abstractNumId w:val="14"/>
  </w:num>
  <w:num w:numId="19" w16cid:durableId="1825513671">
    <w:abstractNumId w:val="28"/>
  </w:num>
  <w:num w:numId="20" w16cid:durableId="1838764897">
    <w:abstractNumId w:val="11"/>
  </w:num>
  <w:num w:numId="21" w16cid:durableId="476846462">
    <w:abstractNumId w:val="9"/>
  </w:num>
  <w:num w:numId="22" w16cid:durableId="44182536">
    <w:abstractNumId w:val="13"/>
  </w:num>
  <w:num w:numId="23" w16cid:durableId="1433933315">
    <w:abstractNumId w:val="19"/>
  </w:num>
  <w:num w:numId="24" w16cid:durableId="326789082">
    <w:abstractNumId w:val="26"/>
  </w:num>
  <w:num w:numId="25" w16cid:durableId="1800756871">
    <w:abstractNumId w:val="4"/>
  </w:num>
  <w:num w:numId="26" w16cid:durableId="1916552960">
    <w:abstractNumId w:val="16"/>
  </w:num>
  <w:num w:numId="27" w16cid:durableId="373894749">
    <w:abstractNumId w:val="20"/>
  </w:num>
  <w:num w:numId="28" w16cid:durableId="2075884784">
    <w:abstractNumId w:val="27"/>
  </w:num>
  <w:num w:numId="29" w16cid:durableId="456022252">
    <w:abstractNumId w:val="24"/>
  </w:num>
  <w:num w:numId="30" w16cid:durableId="1928883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SwNDA1MjAxNDYwNDFQ0lEKTi0uzszPAykwrAUA5REAeiwAAAA="/>
  </w:docVars>
  <w:rsids>
    <w:rsidRoot w:val="00AA6219"/>
    <w:rsid w:val="00000F8F"/>
    <w:rsid w:val="00030174"/>
    <w:rsid w:val="0004579C"/>
    <w:rsid w:val="0004776C"/>
    <w:rsid w:val="000A47FA"/>
    <w:rsid w:val="000A65D3"/>
    <w:rsid w:val="000B1628"/>
    <w:rsid w:val="000B1E33"/>
    <w:rsid w:val="000D689F"/>
    <w:rsid w:val="000E7B7B"/>
    <w:rsid w:val="000E7D62"/>
    <w:rsid w:val="00103357"/>
    <w:rsid w:val="00123C9F"/>
    <w:rsid w:val="00126190"/>
    <w:rsid w:val="00130F17"/>
    <w:rsid w:val="001320BF"/>
    <w:rsid w:val="00163BC4"/>
    <w:rsid w:val="0018413C"/>
    <w:rsid w:val="00191062"/>
    <w:rsid w:val="00192B72"/>
    <w:rsid w:val="001A29D8"/>
    <w:rsid w:val="001A33F8"/>
    <w:rsid w:val="001A5CAA"/>
    <w:rsid w:val="001B0427"/>
    <w:rsid w:val="001D3A51"/>
    <w:rsid w:val="001E10D2"/>
    <w:rsid w:val="001E25B4"/>
    <w:rsid w:val="001E26C8"/>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54E81"/>
    <w:rsid w:val="00371FB6"/>
    <w:rsid w:val="003763C1"/>
    <w:rsid w:val="00376BBE"/>
    <w:rsid w:val="00384DF8"/>
    <w:rsid w:val="0039224F"/>
    <w:rsid w:val="003A43A4"/>
    <w:rsid w:val="003A7E18"/>
    <w:rsid w:val="003C4C86"/>
    <w:rsid w:val="003C6258"/>
    <w:rsid w:val="003D41B5"/>
    <w:rsid w:val="003E2904"/>
    <w:rsid w:val="00401927"/>
    <w:rsid w:val="0041027F"/>
    <w:rsid w:val="00412475"/>
    <w:rsid w:val="00423789"/>
    <w:rsid w:val="00440F43"/>
    <w:rsid w:val="00441B6F"/>
    <w:rsid w:val="00446221"/>
    <w:rsid w:val="00450E62"/>
    <w:rsid w:val="004539DB"/>
    <w:rsid w:val="00464F10"/>
    <w:rsid w:val="0047150B"/>
    <w:rsid w:val="00471A80"/>
    <w:rsid w:val="004A6416"/>
    <w:rsid w:val="004D305E"/>
    <w:rsid w:val="004D4277"/>
    <w:rsid w:val="00502516"/>
    <w:rsid w:val="00505F06"/>
    <w:rsid w:val="00506828"/>
    <w:rsid w:val="0053056E"/>
    <w:rsid w:val="00554FDA"/>
    <w:rsid w:val="00555E5C"/>
    <w:rsid w:val="005C784C"/>
    <w:rsid w:val="005D17F6"/>
    <w:rsid w:val="005E5539"/>
    <w:rsid w:val="00602BF5"/>
    <w:rsid w:val="00617FDD"/>
    <w:rsid w:val="00633614"/>
    <w:rsid w:val="00633F68"/>
    <w:rsid w:val="00636EB2"/>
    <w:rsid w:val="006375B8"/>
    <w:rsid w:val="006377A2"/>
    <w:rsid w:val="0066510A"/>
    <w:rsid w:val="00673F9F"/>
    <w:rsid w:val="00686953"/>
    <w:rsid w:val="00687DEA"/>
    <w:rsid w:val="00687E67"/>
    <w:rsid w:val="00691DA6"/>
    <w:rsid w:val="006967F7"/>
    <w:rsid w:val="006979C5"/>
    <w:rsid w:val="006A250C"/>
    <w:rsid w:val="006B21D3"/>
    <w:rsid w:val="006B57D0"/>
    <w:rsid w:val="006C10C4"/>
    <w:rsid w:val="006D30FF"/>
    <w:rsid w:val="006D6940"/>
    <w:rsid w:val="006F11EC"/>
    <w:rsid w:val="0070082C"/>
    <w:rsid w:val="00735248"/>
    <w:rsid w:val="007369E6"/>
    <w:rsid w:val="00746E59"/>
    <w:rsid w:val="00754C9A"/>
    <w:rsid w:val="0075599A"/>
    <w:rsid w:val="00761D52"/>
    <w:rsid w:val="0077749E"/>
    <w:rsid w:val="007821B7"/>
    <w:rsid w:val="00790ADA"/>
    <w:rsid w:val="007C4D81"/>
    <w:rsid w:val="007D2288"/>
    <w:rsid w:val="007E088F"/>
    <w:rsid w:val="007E0E91"/>
    <w:rsid w:val="007F7B32"/>
    <w:rsid w:val="008036E6"/>
    <w:rsid w:val="00804BC2"/>
    <w:rsid w:val="0081431A"/>
    <w:rsid w:val="00820308"/>
    <w:rsid w:val="0083216F"/>
    <w:rsid w:val="00860000"/>
    <w:rsid w:val="0086057E"/>
    <w:rsid w:val="00863BD3"/>
    <w:rsid w:val="008641ED"/>
    <w:rsid w:val="00866D66"/>
    <w:rsid w:val="008671C6"/>
    <w:rsid w:val="00875803"/>
    <w:rsid w:val="008906DD"/>
    <w:rsid w:val="00897A64"/>
    <w:rsid w:val="008B459E"/>
    <w:rsid w:val="008E13AE"/>
    <w:rsid w:val="008E1506"/>
    <w:rsid w:val="008E710C"/>
    <w:rsid w:val="008F69D6"/>
    <w:rsid w:val="00902823"/>
    <w:rsid w:val="00915CA6"/>
    <w:rsid w:val="00927834"/>
    <w:rsid w:val="009500A6"/>
    <w:rsid w:val="00957C18"/>
    <w:rsid w:val="009659BA"/>
    <w:rsid w:val="00983040"/>
    <w:rsid w:val="009B3FB9"/>
    <w:rsid w:val="009C2465"/>
    <w:rsid w:val="009D16A3"/>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9558C"/>
    <w:rsid w:val="00AA6219"/>
    <w:rsid w:val="00AA631C"/>
    <w:rsid w:val="00AA74E0"/>
    <w:rsid w:val="00AB703F"/>
    <w:rsid w:val="00AC6BB8"/>
    <w:rsid w:val="00AE008F"/>
    <w:rsid w:val="00B01FCD"/>
    <w:rsid w:val="00B1776C"/>
    <w:rsid w:val="00B32775"/>
    <w:rsid w:val="00B51442"/>
    <w:rsid w:val="00B52583"/>
    <w:rsid w:val="00B52896"/>
    <w:rsid w:val="00B654EF"/>
    <w:rsid w:val="00B95236"/>
    <w:rsid w:val="00B96BD9"/>
    <w:rsid w:val="00BA1B01"/>
    <w:rsid w:val="00BA2641"/>
    <w:rsid w:val="00BB37AA"/>
    <w:rsid w:val="00BC53A0"/>
    <w:rsid w:val="00BE62AD"/>
    <w:rsid w:val="00BF121F"/>
    <w:rsid w:val="00BF1F80"/>
    <w:rsid w:val="00BF2186"/>
    <w:rsid w:val="00C166EF"/>
    <w:rsid w:val="00C17EB0"/>
    <w:rsid w:val="00C27F5F"/>
    <w:rsid w:val="00C30A0F"/>
    <w:rsid w:val="00C35EC6"/>
    <w:rsid w:val="00C37E61"/>
    <w:rsid w:val="00C70F1B"/>
    <w:rsid w:val="00C71A47"/>
    <w:rsid w:val="00C7464C"/>
    <w:rsid w:val="00C75D6F"/>
    <w:rsid w:val="00C85588"/>
    <w:rsid w:val="00CB664D"/>
    <w:rsid w:val="00CD1AC4"/>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2DBA"/>
    <w:rsid w:val="00E769F6"/>
    <w:rsid w:val="00E8407C"/>
    <w:rsid w:val="00E84F3C"/>
    <w:rsid w:val="00EA012C"/>
    <w:rsid w:val="00EC6A55"/>
    <w:rsid w:val="00ED0288"/>
    <w:rsid w:val="00EE52CB"/>
    <w:rsid w:val="00EF581D"/>
    <w:rsid w:val="00EF7FD8"/>
    <w:rsid w:val="00F04CD2"/>
    <w:rsid w:val="00F06F59"/>
    <w:rsid w:val="00F17988"/>
    <w:rsid w:val="00F469F0"/>
    <w:rsid w:val="00F53273"/>
    <w:rsid w:val="00F661E2"/>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DCF29A9"/>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A64"/>
    <w:pPr>
      <w:jc w:val="both"/>
    </w:pPr>
    <w:rPr>
      <w:rFonts w:ascii="Arial" w:hAnsi="Arial"/>
    </w:rPr>
  </w:style>
  <w:style w:type="paragraph" w:styleId="Heading1">
    <w:name w:val="heading 1"/>
    <w:basedOn w:val="Normal"/>
    <w:next w:val="Normal"/>
    <w:qFormat/>
    <w:rsid w:val="00423789"/>
    <w:pPr>
      <w:keepNext/>
      <w:spacing w:before="240" w:after="6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Subtitle">
    <w:name w:val="Subtitle"/>
    <w:basedOn w:val="Normal"/>
    <w:next w:val="Normal"/>
    <w:link w:val="SubtitleChar"/>
    <w:rsid w:val="001A33F8"/>
    <w:pPr>
      <w:keepNext/>
      <w:keepLines/>
      <w:spacing w:before="360" w:after="80"/>
    </w:pPr>
    <w:rPr>
      <w:rFonts w:ascii="Georgia" w:eastAsia="Georgia" w:hAnsi="Georgia" w:cs="Georgia"/>
      <w:i/>
      <w:iCs/>
      <w:color w:val="666666"/>
      <w:sz w:val="48"/>
      <w:szCs w:val="48"/>
      <w:lang w:val="en"/>
    </w:rPr>
  </w:style>
  <w:style w:type="character" w:customStyle="1" w:styleId="SubtitleChar">
    <w:name w:val="Subtitle Char"/>
    <w:basedOn w:val="DefaultParagraphFont"/>
    <w:link w:val="Subtitle"/>
    <w:rsid w:val="001A33F8"/>
    <w:rPr>
      <w:rFonts w:ascii="Georgia" w:eastAsia="Georgia" w:hAnsi="Georgia" w:cs="Georgia"/>
      <w:i/>
      <w:iCs/>
      <w:color w:val="666666"/>
      <w:sz w:val="48"/>
      <w:szCs w:val="48"/>
      <w:lang w:val="en"/>
    </w:rPr>
  </w:style>
  <w:style w:type="paragraph" w:styleId="BodyText">
    <w:name w:val="Body Text"/>
    <w:basedOn w:val="Normal"/>
    <w:link w:val="BodyTextChar"/>
    <w:semiHidden/>
    <w:unhideWhenUsed/>
    <w:rsid w:val="00C35EC6"/>
    <w:pPr>
      <w:spacing w:after="120"/>
    </w:pPr>
  </w:style>
  <w:style w:type="character" w:customStyle="1" w:styleId="BodyTextChar">
    <w:name w:val="Body Text Char"/>
    <w:basedOn w:val="DefaultParagraphFont"/>
    <w:link w:val="BodyText"/>
    <w:semiHidden/>
    <w:rsid w:val="00C35EC6"/>
    <w:rPr>
      <w:rFonts w:ascii="Arial" w:hAnsi="Arial"/>
    </w:rPr>
  </w:style>
  <w:style w:type="paragraph" w:styleId="Caption">
    <w:name w:val="caption"/>
    <w:basedOn w:val="Normal"/>
    <w:next w:val="Normal"/>
    <w:autoRedefine/>
    <w:unhideWhenUsed/>
    <w:qFormat/>
    <w:rsid w:val="007E0E91"/>
    <w:pPr>
      <w:spacing w:after="200" w:line="264" w:lineRule="auto"/>
      <w:jc w:val="center"/>
    </w:pPr>
    <w:rPr>
      <w:rFonts w:eastAsiaTheme="minorHAnsi" w:cs="Arial"/>
      <w:iCs/>
      <w:kern w:val="2"/>
      <w:lang w:val="en-ID"/>
    </w:rPr>
  </w:style>
  <w:style w:type="table" w:customStyle="1" w:styleId="TableNormal1">
    <w:name w:val="Table Normal1"/>
    <w:uiPriority w:val="2"/>
    <w:semiHidden/>
    <w:unhideWhenUsed/>
    <w:qFormat/>
    <w:rsid w:val="00C35EC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35EC6"/>
    <w:pPr>
      <w:widowControl w:val="0"/>
      <w:autoSpaceDE w:val="0"/>
      <w:autoSpaceDN w:val="0"/>
      <w:spacing w:after="120"/>
      <w:ind w:left="46"/>
      <w:jc w:val="center"/>
    </w:pPr>
    <w:rPr>
      <w:rFonts w:ascii="Times New Roman" w:hAnsi="Times New Roman"/>
      <w:sz w:val="22"/>
      <w:szCs w:val="22"/>
      <w:lang w:val="id"/>
    </w:rPr>
  </w:style>
  <w:style w:type="character" w:styleId="Strong">
    <w:name w:val="Strong"/>
    <w:basedOn w:val="DefaultParagraphFont"/>
    <w:uiPriority w:val="22"/>
    <w:qFormat/>
    <w:rsid w:val="00471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53730/ijhs.v6nS6.11331" TargetMode="External"/><Relationship Id="rId26" Type="http://schemas.openxmlformats.org/officeDocument/2006/relationships/hyperlink" Target="https://doi.org/10.1177/0149206321993576" TargetMode="External"/><Relationship Id="rId39" Type="http://schemas.openxmlformats.org/officeDocument/2006/relationships/hyperlink" Target="https://doi.org/10.22367/jem.2024.46.07" TargetMode="External"/><Relationship Id="rId21" Type="http://schemas.openxmlformats.org/officeDocument/2006/relationships/hyperlink" Target="https://doi.org/10.1007/978-3-319-94322-0_4" TargetMode="External"/><Relationship Id="rId34" Type="http://schemas.openxmlformats.org/officeDocument/2006/relationships/hyperlink" Target="https://doi.org/10.1108/BPMJ-12-2023-0981" TargetMode="External"/><Relationship Id="rId42" Type="http://schemas.openxmlformats.org/officeDocument/2006/relationships/hyperlink" Target="https://doi.org/10.1111/poms.12393" TargetMode="External"/><Relationship Id="rId47" Type="http://schemas.openxmlformats.org/officeDocument/2006/relationships/hyperlink" Target="https://doi.org/10.1016/j.tre.2010.09.013" TargetMode="External"/><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us2.sagepub.com/en-us/nam/a-primer-on-partial-least-squares-structural-equation-modeling-pls-sem/book270548" TargetMode="External"/><Relationship Id="rId11" Type="http://schemas.openxmlformats.org/officeDocument/2006/relationships/footer" Target="footer2.xml"/><Relationship Id="rId24" Type="http://schemas.openxmlformats.org/officeDocument/2006/relationships/hyperlink" Target="https://doi.org/10.1177/002224378101800104" TargetMode="External"/><Relationship Id="rId32" Type="http://schemas.openxmlformats.org/officeDocument/2006/relationships/hyperlink" Target="https://doi.org/10.24294/jipd.v8i3.3075" TargetMode="External"/><Relationship Id="rId37" Type="http://schemas.openxmlformats.org/officeDocument/2006/relationships/hyperlink" Target="https://doi.org/10.9734/ajeba/2025/v25i21669" TargetMode="External"/><Relationship Id="rId40" Type="http://schemas.openxmlformats.org/officeDocument/2006/relationships/hyperlink" Target="https://doi.org/10.3390/su14105945" TargetMode="External"/><Relationship Id="rId45" Type="http://schemas.openxmlformats.org/officeDocument/2006/relationships/hyperlink" Target="https://doi.org/10.1016/j.heliyon.2024.e3899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doi.org/10.1002/bse.3864" TargetMode="External"/><Relationship Id="rId31" Type="http://schemas.openxmlformats.org/officeDocument/2006/relationships/hyperlink" Target="https://doi.org/10.1007/s11356-017-9172-5" TargetMode="External"/><Relationship Id="rId44" Type="http://schemas.openxmlformats.org/officeDocument/2006/relationships/hyperlink" Target="https://doi.org/10.3390/su1410594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student-activity.binus.ac.id/tfi/2024/01/dampak-perkembangan-industri-terhadap-lingkungan-bagi-kesehatan/" TargetMode="External"/><Relationship Id="rId27" Type="http://schemas.openxmlformats.org/officeDocument/2006/relationships/hyperlink" Target="https://doi.org/10.1016/j.apgeog.2025.103566" TargetMode="External"/><Relationship Id="rId30" Type="http://schemas.openxmlformats.org/officeDocument/2006/relationships/hyperlink" Target="https://doi.org/10.1080/16258312.2022.2045873" TargetMode="External"/><Relationship Id="rId35" Type="http://schemas.openxmlformats.org/officeDocument/2006/relationships/hyperlink" Target="https://doi.org/10.1016/j.spc.2021.01.012" TargetMode="External"/><Relationship Id="rId43" Type="http://schemas.openxmlformats.org/officeDocument/2006/relationships/hyperlink" Target="https://doi.org/10.31004/riggs.v4i4.2242" TargetMode="External"/><Relationship Id="rId48" Type="http://schemas.openxmlformats.org/officeDocument/2006/relationships/header" Target="header4.xml"/><Relationship Id="rId8" Type="http://schemas.openxmlformats.org/officeDocument/2006/relationships/header" Target="header1.xml"/><Relationship Id="rId51" Type="http://schemas.openxmlformats.org/officeDocument/2006/relationships/header" Target="header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02/sd.2700" TargetMode="External"/><Relationship Id="rId25" Type="http://schemas.openxmlformats.org/officeDocument/2006/relationships/hyperlink" Target="https://doi.org/10.1016/j.clrc.2023.100155" TargetMode="External"/><Relationship Id="rId33" Type="http://schemas.openxmlformats.org/officeDocument/2006/relationships/hyperlink" Target="https://doi.org/10.1016/j.grets.2025.100273" TargetMode="External"/><Relationship Id="rId38" Type="http://schemas.openxmlformats.org/officeDocument/2006/relationships/hyperlink" Target="https://doi.org/10.56557/jet/2026/v11i110199" TargetMode="External"/><Relationship Id="rId46" Type="http://schemas.openxmlformats.org/officeDocument/2006/relationships/hyperlink" Target="https://doi.org/10.1007/s10668-018-0241-9" TargetMode="External"/><Relationship Id="rId20" Type="http://schemas.openxmlformats.org/officeDocument/2006/relationships/hyperlink" Target="https://doi.org/10.1016/S2212-5671(16)30142-3" TargetMode="External"/><Relationship Id="rId41" Type="http://schemas.openxmlformats.org/officeDocument/2006/relationships/hyperlink" Target="https://bcs.wiley.com/he-bcs/Books?action=index&amp;bcsId=10380&amp;itemId=111916555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s://doi.org/10.1016/j.jclepro.2018.03.083" TargetMode="External"/><Relationship Id="rId28" Type="http://schemas.openxmlformats.org/officeDocument/2006/relationships/hyperlink" Target="https://doi.org/10.3390/su16229798" TargetMode="External"/><Relationship Id="rId36" Type="http://schemas.openxmlformats.org/officeDocument/2006/relationships/hyperlink" Target="https://doi.org/10.1007/978-3-031-73545-5_28" TargetMode="External"/><Relationship Id="rId49"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1050</TotalTime>
  <Pages>15</Pages>
  <Words>7123</Words>
  <Characters>40603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47631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24</cp:revision>
  <cp:lastPrinted>1999-07-06T11:00:00Z</cp:lastPrinted>
  <dcterms:created xsi:type="dcterms:W3CDTF">2014-10-25T14:34:00Z</dcterms:created>
  <dcterms:modified xsi:type="dcterms:W3CDTF">2026-07-22T11:55:00Z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e6e28084-1195-4d4d-8ec7-a8b458865bb1</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