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4788D" w14:textId="77777777" w:rsidR="00C17286" w:rsidRPr="0057287D" w:rsidRDefault="00C17286" w:rsidP="0057287D">
      <w:pPr>
        <w:rPr>
          <w:rFonts w:ascii="Times New Roman" w:hAnsi="Times New Roman" w:cs="Times New Roman"/>
          <w:b/>
          <w:sz w:val="24"/>
          <w:szCs w:val="24"/>
        </w:rPr>
      </w:pPr>
      <w:r w:rsidRPr="0057287D">
        <w:rPr>
          <w:rFonts w:ascii="Times New Roman" w:hAnsi="Times New Roman" w:cs="Times New Roman"/>
          <w:b/>
          <w:sz w:val="24"/>
          <w:szCs w:val="24"/>
        </w:rPr>
        <w:t xml:space="preserve">CORPORATE TAX OPTIMIZATION </w:t>
      </w:r>
      <w:r w:rsidR="00A92111" w:rsidRPr="0057287D">
        <w:rPr>
          <w:rFonts w:ascii="Times New Roman" w:hAnsi="Times New Roman" w:cs="Times New Roman"/>
          <w:b/>
          <w:sz w:val="24"/>
          <w:szCs w:val="24"/>
        </w:rPr>
        <w:t xml:space="preserve">STRATEGIES </w:t>
      </w:r>
      <w:r w:rsidRPr="0057287D">
        <w:rPr>
          <w:rFonts w:ascii="Times New Roman" w:hAnsi="Times New Roman" w:cs="Times New Roman"/>
          <w:b/>
          <w:sz w:val="24"/>
          <w:szCs w:val="24"/>
        </w:rPr>
        <w:t>AND FINANCIAL DISTRESS OF LISTED HEALTHCARE FIRMS IN NIGERIA</w:t>
      </w:r>
    </w:p>
    <w:p w14:paraId="3E617F22" w14:textId="77777777" w:rsidR="00C17286" w:rsidRPr="001D0DDC" w:rsidRDefault="00C17286" w:rsidP="00C17286">
      <w:pPr>
        <w:pStyle w:val="isselectedend"/>
        <w:rPr>
          <w:b/>
        </w:rPr>
      </w:pPr>
      <w:r w:rsidRPr="001D0DDC">
        <w:rPr>
          <w:b/>
        </w:rPr>
        <w:t>ABSTRACT</w:t>
      </w:r>
    </w:p>
    <w:p w14:paraId="3D5700E3" w14:textId="77777777" w:rsidR="0099698C" w:rsidRPr="0099698C" w:rsidRDefault="0099698C" w:rsidP="0099698C">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study examined the effect of corporate </w:t>
      </w:r>
      <w:r>
        <w:rPr>
          <w:rFonts w:ascii="Times New Roman" w:eastAsia="Times New Roman" w:hAnsi="Times New Roman" w:cs="Times New Roman"/>
          <w:sz w:val="24"/>
          <w:szCs w:val="24"/>
          <w:highlight w:val="yellow"/>
        </w:rPr>
        <w:t xml:space="preserve">tax </w:t>
      </w:r>
      <w:proofErr w:type="spellStart"/>
      <w:r>
        <w:rPr>
          <w:rFonts w:ascii="Times New Roman" w:eastAsia="Times New Roman" w:hAnsi="Times New Roman" w:cs="Times New Roman"/>
          <w:sz w:val="24"/>
          <w:szCs w:val="24"/>
          <w:highlight w:val="yellow"/>
        </w:rPr>
        <w:t>optimisation</w:t>
      </w:r>
      <w:proofErr w:type="spellEnd"/>
      <w:r>
        <w:rPr>
          <w:rFonts w:ascii="Times New Roman" w:eastAsia="Times New Roman" w:hAnsi="Times New Roman" w:cs="Times New Roman"/>
          <w:sz w:val="24"/>
          <w:szCs w:val="24"/>
        </w:rPr>
        <w:t xml:space="preserve"> strategies on the financial health of listed healthcare firms in Nigeria using financial distress measured by the Altman Z-score. The study employed an ex-post facto research design based on balanced panel data comprising 75 firm-year observations drawn from five healthcare firms listed on the Nigerian Exchange Group over the period 2010–2024. Secondary data were obtained from audited annual reports and relevant financial publications. Panel regression analysis was conducted and the fixed-effects model was selected based on the Hausman specification test. Driscoll–Kraay standard errors were applied to improve robustness against heteroskedasticity and cross-sectional dependence. The findings indicate that the effective tax rate exerts a positive but statistically insignificant effect on the Altman Z-score, suggesting that tax burden does not significantly influence firms' financial health. Thin capitalization exhibits a significant negative effect on the Altman Z-score, implying that excessive reliance on debt financing increases financial distress. Similarly, capital intensity has a significant negative effect on the Altman Z-score, indicating that excessive investment in fixed assets without commensurate returns weakens firms' financial health. Tax shields and depreciation tax shields display negative but statistically insignificant effects on financial distress. Firm size positively and significantly influences the Altman Z-score, suggesting that larger healthcare firms are more financially resilient and less vulnerable to financial distress than smaller firms. The study contributes to the literature by providing sector-specific evidence that financing and asset structure decisions exert greater influence on financial distress than conventional tax-planning measures within the Nigerian healthcare industry. The study concludes that sustainable capital structure and efficient asset </w:t>
      </w:r>
      <w:proofErr w:type="spellStart"/>
      <w:r>
        <w:rPr>
          <w:rFonts w:ascii="Times New Roman" w:eastAsia="Times New Roman" w:hAnsi="Times New Roman" w:cs="Times New Roman"/>
          <w:sz w:val="24"/>
          <w:szCs w:val="24"/>
          <w:highlight w:val="yellow"/>
        </w:rPr>
        <w:t>utilisation</w:t>
      </w:r>
      <w:proofErr w:type="spellEnd"/>
      <w:r>
        <w:rPr>
          <w:rFonts w:ascii="Times New Roman" w:eastAsia="Times New Roman" w:hAnsi="Times New Roman" w:cs="Times New Roman"/>
          <w:sz w:val="24"/>
          <w:szCs w:val="24"/>
        </w:rPr>
        <w:t xml:space="preserve"> are more critical for maintaining corporate financial stability than aggressive </w:t>
      </w:r>
      <w:r>
        <w:rPr>
          <w:rFonts w:ascii="Times New Roman" w:eastAsia="Times New Roman" w:hAnsi="Times New Roman" w:cs="Times New Roman"/>
          <w:sz w:val="24"/>
          <w:szCs w:val="24"/>
          <w:highlight w:val="yellow"/>
        </w:rPr>
        <w:t xml:space="preserve">tax </w:t>
      </w:r>
      <w:proofErr w:type="spellStart"/>
      <w:r>
        <w:rPr>
          <w:rFonts w:ascii="Times New Roman" w:eastAsia="Times New Roman" w:hAnsi="Times New Roman" w:cs="Times New Roman"/>
          <w:sz w:val="24"/>
          <w:szCs w:val="24"/>
          <w:highlight w:val="yellow"/>
        </w:rPr>
        <w:t>optimisation</w:t>
      </w:r>
      <w:proofErr w:type="spellEnd"/>
      <w:r>
        <w:rPr>
          <w:rFonts w:ascii="Times New Roman" w:eastAsia="Times New Roman" w:hAnsi="Times New Roman" w:cs="Times New Roman"/>
          <w:sz w:val="24"/>
          <w:szCs w:val="24"/>
        </w:rPr>
        <w:t xml:space="preserve"> strategies. Accordingly, managers should maintain prudent leverage levels, improve asset </w:t>
      </w:r>
      <w:proofErr w:type="spellStart"/>
      <w:r>
        <w:rPr>
          <w:rFonts w:ascii="Times New Roman" w:eastAsia="Times New Roman" w:hAnsi="Times New Roman" w:cs="Times New Roman"/>
          <w:sz w:val="24"/>
          <w:szCs w:val="24"/>
          <w:highlight w:val="yellow"/>
        </w:rPr>
        <w:t>utilisation</w:t>
      </w:r>
      <w:proofErr w:type="spellEnd"/>
      <w:r>
        <w:rPr>
          <w:rFonts w:ascii="Times New Roman" w:eastAsia="Times New Roman" w:hAnsi="Times New Roman" w:cs="Times New Roman"/>
          <w:sz w:val="24"/>
          <w:szCs w:val="24"/>
        </w:rPr>
        <w:t xml:space="preserve"> efficiency, and adopt balanced tax planning strategies that support long-term financial sustainability.</w:t>
      </w:r>
    </w:p>
    <w:p w14:paraId="4DC9CD85" w14:textId="77777777" w:rsidR="0099698C" w:rsidRPr="0099698C" w:rsidRDefault="0099698C" w:rsidP="0099698C">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Keywords:</w:t>
      </w:r>
      <w:r>
        <w:rPr>
          <w:rFonts w:ascii="Times New Roman" w:eastAsia="Times New Roman" w:hAnsi="Times New Roman" w:cs="Times New Roman"/>
          <w:sz w:val="24"/>
          <w:szCs w:val="24"/>
        </w:rPr>
        <w:t xml:space="preserve"> Corporate </w:t>
      </w:r>
      <w:r>
        <w:rPr>
          <w:rFonts w:ascii="Times New Roman" w:eastAsia="Times New Roman" w:hAnsi="Times New Roman" w:cs="Times New Roman"/>
          <w:sz w:val="24"/>
          <w:szCs w:val="24"/>
          <w:highlight w:val="yellow"/>
        </w:rPr>
        <w:t xml:space="preserve">Tax </w:t>
      </w:r>
      <w:proofErr w:type="spellStart"/>
      <w:r>
        <w:rPr>
          <w:rFonts w:ascii="Times New Roman" w:eastAsia="Times New Roman" w:hAnsi="Times New Roman" w:cs="Times New Roman"/>
          <w:sz w:val="24"/>
          <w:szCs w:val="24"/>
          <w:highlight w:val="yellow"/>
        </w:rPr>
        <w:t>Optimisation</w:t>
      </w:r>
      <w:proofErr w:type="spellEnd"/>
      <w:r>
        <w:rPr>
          <w:rFonts w:ascii="Times New Roman" w:eastAsia="Times New Roman" w:hAnsi="Times New Roman" w:cs="Times New Roman"/>
          <w:sz w:val="24"/>
          <w:szCs w:val="24"/>
        </w:rPr>
        <w:t>, Financial Distress, Altman Z-score, Effective Tax Rate, Thin Capitalization, Tax Shield, Capital Intensity.</w:t>
      </w:r>
    </w:p>
    <w:p w14:paraId="51DE44FA" w14:textId="77777777" w:rsidR="0064287D" w:rsidRDefault="0064287D" w:rsidP="0064287D">
      <w:pPr>
        <w:pStyle w:val="NormalWeb"/>
        <w:jc w:val="both"/>
      </w:pPr>
    </w:p>
    <w:p w14:paraId="5709069B" w14:textId="77777777" w:rsidR="00554458" w:rsidRDefault="00554458" w:rsidP="0064287D">
      <w:pPr>
        <w:pStyle w:val="NormalWeb"/>
        <w:jc w:val="both"/>
      </w:pPr>
    </w:p>
    <w:p w14:paraId="104F55B5" w14:textId="77777777" w:rsidR="00BF52B8" w:rsidRDefault="00BF52B8" w:rsidP="0064287D">
      <w:pPr>
        <w:pStyle w:val="NormalWeb"/>
        <w:jc w:val="both"/>
      </w:pPr>
    </w:p>
    <w:p w14:paraId="4E97BBB9" w14:textId="77777777" w:rsidR="00C17286" w:rsidRPr="00C17286" w:rsidRDefault="00C17286" w:rsidP="00ED6D51">
      <w:pPr>
        <w:numPr>
          <w:ilvl w:val="0"/>
          <w:numId w:val="1"/>
        </w:numPr>
        <w:tabs>
          <w:tab w:val="clear" w:pos="720"/>
        </w:tabs>
        <w:spacing w:before="100" w:beforeAutospacing="1" w:after="100" w:afterAutospacing="1" w:line="240" w:lineRule="auto"/>
        <w:ind w:left="360"/>
        <w:rPr>
          <w:rFonts w:ascii="Times New Roman" w:eastAsia="Times New Roman" w:hAnsi="Times New Roman" w:cs="Times New Roman"/>
          <w:b/>
          <w:sz w:val="24"/>
          <w:szCs w:val="24"/>
        </w:rPr>
      </w:pPr>
      <w:r w:rsidRPr="00C17286">
        <w:rPr>
          <w:rFonts w:ascii="Times New Roman" w:eastAsia="Times New Roman" w:hAnsi="Times New Roman" w:cs="Times New Roman"/>
          <w:b/>
          <w:sz w:val="24"/>
          <w:szCs w:val="24"/>
        </w:rPr>
        <w:t>INTRODUCTION</w:t>
      </w:r>
    </w:p>
    <w:p w14:paraId="2E09802D" w14:textId="77777777" w:rsidR="008850C8" w:rsidRPr="008850C8" w:rsidRDefault="008850C8" w:rsidP="009D7A03">
      <w:pPr>
        <w:spacing w:before="100" w:beforeAutospacing="1" w:after="100" w:afterAutospacing="1"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Corporate </w:t>
      </w:r>
      <w:r>
        <w:rPr>
          <w:rFonts w:ascii="Times New Roman" w:eastAsia="Times New Roman" w:hAnsi="Times New Roman" w:cs="Times New Roman"/>
          <w:sz w:val="24"/>
          <w:szCs w:val="24"/>
          <w:highlight w:val="yellow"/>
        </w:rPr>
        <w:t xml:space="preserve">tax </w:t>
      </w:r>
      <w:proofErr w:type="spellStart"/>
      <w:r>
        <w:rPr>
          <w:rFonts w:ascii="Times New Roman" w:eastAsia="Times New Roman" w:hAnsi="Times New Roman" w:cs="Times New Roman"/>
          <w:sz w:val="24"/>
          <w:szCs w:val="24"/>
          <w:highlight w:val="yellow"/>
        </w:rPr>
        <w:t>optimisation</w:t>
      </w:r>
      <w:proofErr w:type="spellEnd"/>
      <w:r>
        <w:rPr>
          <w:rFonts w:ascii="Times New Roman" w:eastAsia="Times New Roman" w:hAnsi="Times New Roman" w:cs="Times New Roman"/>
          <w:sz w:val="24"/>
          <w:szCs w:val="24"/>
        </w:rPr>
        <w:t xml:space="preserve"> represents a critical component of corporate financial management, particularly in emerging markets like Nigeria, where fiscal policies and tax regulations continually evolve. Through lawful tax planning strategies, firms seek to </w:t>
      </w:r>
      <w:proofErr w:type="spellStart"/>
      <w:r>
        <w:rPr>
          <w:rFonts w:ascii="Times New Roman" w:eastAsia="Times New Roman" w:hAnsi="Times New Roman" w:cs="Times New Roman"/>
          <w:sz w:val="24"/>
          <w:szCs w:val="24"/>
          <w:highlight w:val="yellow"/>
        </w:rPr>
        <w:t>minimise</w:t>
      </w:r>
      <w:proofErr w:type="spellEnd"/>
      <w:r>
        <w:rPr>
          <w:rFonts w:ascii="Times New Roman" w:eastAsia="Times New Roman" w:hAnsi="Times New Roman" w:cs="Times New Roman"/>
          <w:sz w:val="24"/>
          <w:szCs w:val="24"/>
        </w:rPr>
        <w:t xml:space="preserve"> tax liabilities, improve after-tax cash flows, and </w:t>
      </w:r>
      <w:proofErr w:type="spellStart"/>
      <w:r>
        <w:rPr>
          <w:rFonts w:ascii="Times New Roman" w:eastAsia="Times New Roman" w:hAnsi="Times New Roman" w:cs="Times New Roman"/>
          <w:sz w:val="24"/>
          <w:szCs w:val="24"/>
          <w:highlight w:val="yellow"/>
        </w:rPr>
        <w:t>maximise</w:t>
      </w:r>
      <w:proofErr w:type="spellEnd"/>
      <w:r>
        <w:rPr>
          <w:rFonts w:ascii="Times New Roman" w:eastAsia="Times New Roman" w:hAnsi="Times New Roman" w:cs="Times New Roman"/>
          <w:sz w:val="24"/>
          <w:szCs w:val="24"/>
        </w:rPr>
        <w:t xml:space="preserve"> shareholder wealth (Desai &amp; Dharmapala, 2009; Jensen &amp; Meckling, 1976). Common corporate </w:t>
      </w:r>
      <w:r>
        <w:rPr>
          <w:rFonts w:ascii="Times New Roman" w:eastAsia="Times New Roman" w:hAnsi="Times New Roman" w:cs="Times New Roman"/>
          <w:sz w:val="24"/>
          <w:szCs w:val="24"/>
          <w:highlight w:val="yellow"/>
        </w:rPr>
        <w:t xml:space="preserve">tax </w:t>
      </w:r>
      <w:proofErr w:type="spellStart"/>
      <w:r>
        <w:rPr>
          <w:rFonts w:ascii="Times New Roman" w:eastAsia="Times New Roman" w:hAnsi="Times New Roman" w:cs="Times New Roman"/>
          <w:sz w:val="24"/>
          <w:szCs w:val="24"/>
          <w:highlight w:val="yellow"/>
        </w:rPr>
        <w:t>optimisation</w:t>
      </w:r>
      <w:proofErr w:type="spellEnd"/>
      <w:r>
        <w:rPr>
          <w:rFonts w:ascii="Times New Roman" w:eastAsia="Times New Roman" w:hAnsi="Times New Roman" w:cs="Times New Roman"/>
          <w:sz w:val="24"/>
          <w:szCs w:val="24"/>
        </w:rPr>
        <w:t xml:space="preserve"> strategies </w:t>
      </w:r>
      <w:r>
        <w:rPr>
          <w:rFonts w:ascii="Times New Roman" w:eastAsia="Times New Roman" w:hAnsi="Times New Roman" w:cs="Times New Roman"/>
          <w:sz w:val="24"/>
          <w:szCs w:val="24"/>
        </w:rPr>
        <w:lastRenderedPageBreak/>
        <w:t>include effective tax rate (ETR) management, thin capitalization (TCAP), tax shields (TS), depreciation tax shields (DETS), and capital investment decisions reflected in the capital intensity ratio (CAPINT). These mechanisms are intended to improve firms' financial flexibility and reduce the cost of capital while maintaining compliance with statutory tax regulations (Shackelford &amp; Shevlin, 2001).</w:t>
      </w:r>
    </w:p>
    <w:p w14:paraId="3D86FB44" w14:textId="77777777" w:rsidR="008850C8" w:rsidRPr="008850C8" w:rsidRDefault="008850C8" w:rsidP="009D7A03">
      <w:pPr>
        <w:spacing w:before="100" w:beforeAutospacing="1" w:after="100" w:afterAutospacing="1" w:line="240" w:lineRule="auto"/>
        <w:ind w:left="360"/>
        <w:jc w:val="both"/>
        <w:rPr>
          <w:rFonts w:ascii="Times New Roman" w:eastAsia="Times New Roman" w:hAnsi="Times New Roman" w:cs="Times New Roman"/>
          <w:sz w:val="24"/>
          <w:szCs w:val="24"/>
        </w:rPr>
      </w:pPr>
      <w:r w:rsidRPr="008850C8">
        <w:rPr>
          <w:rFonts w:ascii="Times New Roman" w:eastAsia="Times New Roman" w:hAnsi="Times New Roman" w:cs="Times New Roman"/>
          <w:sz w:val="24"/>
          <w:szCs w:val="24"/>
        </w:rPr>
        <w:t>In Nigeria, the healthcare sector occupies a strategic position in national economic development through pharmaceutical manufacturing, medical supply chains, and healthcare service delivery. However, listed healthcare firms operate in a challenging business environment characterized by persistent inflation, exchange-rate volatility, dependence on imported pharmaceutical inputs, rising financing costs, and evolving fiscal regulations (</w:t>
      </w:r>
      <w:proofErr w:type="spellStart"/>
      <w:r w:rsidRPr="008850C8">
        <w:rPr>
          <w:rFonts w:ascii="Times New Roman" w:eastAsia="Times New Roman" w:hAnsi="Times New Roman" w:cs="Times New Roman"/>
          <w:sz w:val="24"/>
          <w:szCs w:val="24"/>
        </w:rPr>
        <w:t>Adigwe</w:t>
      </w:r>
      <w:proofErr w:type="spellEnd"/>
      <w:r w:rsidRPr="008850C8">
        <w:rPr>
          <w:rFonts w:ascii="Times New Roman" w:eastAsia="Times New Roman" w:hAnsi="Times New Roman" w:cs="Times New Roman"/>
          <w:sz w:val="24"/>
          <w:szCs w:val="24"/>
        </w:rPr>
        <w:t>, 2023; International Monetary Fund [IMF], 2024). Although fiscal reforms, including the Finance Act 2022, introduced several tax incentives such as value-added tax exemptions on essential pharmaceutical products and investment-related tax reliefs, many healthcare firms continue to experience liquidity constraints, declining profitability, increasing debt burdens, and heightened financial distress.</w:t>
      </w:r>
    </w:p>
    <w:p w14:paraId="7E622D07" w14:textId="77777777" w:rsidR="000A77CD" w:rsidRPr="000A77CD" w:rsidRDefault="000A77CD" w:rsidP="009D7A03">
      <w:pPr>
        <w:spacing w:before="100" w:beforeAutospacing="1" w:after="100" w:afterAutospacing="1"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Corporate </w:t>
      </w:r>
      <w:r>
        <w:rPr>
          <w:rFonts w:ascii="Times New Roman" w:hAnsi="Times New Roman" w:cs="Times New Roman"/>
          <w:sz w:val="24"/>
          <w:szCs w:val="24"/>
          <w:highlight w:val="yellow"/>
        </w:rPr>
        <w:t xml:space="preserve">tax </w:t>
      </w:r>
      <w:proofErr w:type="spellStart"/>
      <w:r>
        <w:rPr>
          <w:rFonts w:ascii="Times New Roman" w:hAnsi="Times New Roman" w:cs="Times New Roman"/>
          <w:sz w:val="24"/>
          <w:szCs w:val="24"/>
          <w:highlight w:val="yellow"/>
        </w:rPr>
        <w:t>optimisation</w:t>
      </w:r>
      <w:proofErr w:type="spellEnd"/>
      <w:r>
        <w:rPr>
          <w:rFonts w:ascii="Times New Roman" w:hAnsi="Times New Roman" w:cs="Times New Roman"/>
          <w:sz w:val="24"/>
          <w:szCs w:val="24"/>
        </w:rPr>
        <w:t xml:space="preserve"> has therefore become an important strategic tool for preserving liquidity and supporting long-term financial sustainability. Nevertheless, while moderate tax planning is expected to improve firms' financial performance by increasing internal cash flows, excessive reliance on debt-related tax strategies may increase leverage, financial rigidity, and bankruptcy risk (Kraus &amp; Litzenberger, 1973; Myers, 1984). Consequently, firms should employ alternative tax strategies that emphasize cash flow generation and long-term financial stability rather than relying solely on profit-based tax metrics (George &amp; Okolie, 2025). Whether corporate </w:t>
      </w:r>
      <w:r>
        <w:rPr>
          <w:rFonts w:ascii="Times New Roman" w:hAnsi="Times New Roman" w:cs="Times New Roman"/>
          <w:sz w:val="24"/>
          <w:szCs w:val="24"/>
          <w:highlight w:val="yellow"/>
        </w:rPr>
        <w:t xml:space="preserve">tax </w:t>
      </w:r>
      <w:proofErr w:type="spellStart"/>
      <w:r>
        <w:rPr>
          <w:rFonts w:ascii="Times New Roman" w:hAnsi="Times New Roman" w:cs="Times New Roman"/>
          <w:sz w:val="24"/>
          <w:szCs w:val="24"/>
          <w:highlight w:val="yellow"/>
        </w:rPr>
        <w:t>optimisation</w:t>
      </w:r>
      <w:proofErr w:type="spellEnd"/>
      <w:r>
        <w:rPr>
          <w:rFonts w:ascii="Times New Roman" w:hAnsi="Times New Roman" w:cs="Times New Roman"/>
          <w:sz w:val="24"/>
          <w:szCs w:val="24"/>
        </w:rPr>
        <w:t xml:space="preserve"> strengthens corporate financial resilience or contributes to financial distress therefore remains an unresolved empirical issue.</w:t>
      </w:r>
    </w:p>
    <w:p w14:paraId="176650C5" w14:textId="77777777" w:rsidR="008850C8" w:rsidRPr="008850C8" w:rsidRDefault="008850C8" w:rsidP="009D7A03">
      <w:pPr>
        <w:spacing w:before="100" w:beforeAutospacing="1" w:after="100" w:afterAutospacing="1" w:line="240" w:lineRule="auto"/>
        <w:ind w:left="360"/>
        <w:jc w:val="both"/>
        <w:rPr>
          <w:rFonts w:ascii="Times New Roman" w:eastAsia="Times New Roman" w:hAnsi="Times New Roman" w:cs="Times New Roman"/>
          <w:sz w:val="24"/>
          <w:szCs w:val="24"/>
        </w:rPr>
      </w:pPr>
      <w:r w:rsidRPr="008850C8">
        <w:rPr>
          <w:rFonts w:ascii="Times New Roman" w:eastAsia="Times New Roman" w:hAnsi="Times New Roman" w:cs="Times New Roman"/>
          <w:sz w:val="24"/>
          <w:szCs w:val="24"/>
        </w:rPr>
        <w:t xml:space="preserve">Although previous studies have examined the relationship between tax planning and corporate performance, existing evidence remains inconclusive. Some studies report that effective tax planning enhances liquidity, investment capacity, and firm value (Drake et al., 2020), whereas others argue that aggressive tax planning increases regulatory risk, agency conflicts, and financial instability (Atwood &amp; Lewellen, 2019; </w:t>
      </w:r>
      <w:proofErr w:type="spellStart"/>
      <w:r w:rsidRPr="008850C8">
        <w:rPr>
          <w:rFonts w:ascii="Times New Roman" w:eastAsia="Times New Roman" w:hAnsi="Times New Roman" w:cs="Times New Roman"/>
          <w:sz w:val="24"/>
          <w:szCs w:val="24"/>
        </w:rPr>
        <w:t>Kovermann</w:t>
      </w:r>
      <w:proofErr w:type="spellEnd"/>
      <w:r w:rsidRPr="008850C8">
        <w:rPr>
          <w:rFonts w:ascii="Times New Roman" w:eastAsia="Times New Roman" w:hAnsi="Times New Roman" w:cs="Times New Roman"/>
          <w:sz w:val="24"/>
          <w:szCs w:val="24"/>
        </w:rPr>
        <w:t xml:space="preserve"> &amp; Velte, 2021). Furthermore, Nigerian studies have primarily focused on the relationship between tax planning and profitability or firm value, with relatively little attention devoted to financial distress, particularly within the listed healthcare sector. Existing studies have also rarely examined the combined effects of effective tax rate, thin capitalization, tax shields, depreciation tax shields, and capital intensity on financial distress using panel-data techniques.</w:t>
      </w:r>
    </w:p>
    <w:p w14:paraId="4B354658" w14:textId="77777777" w:rsidR="000F6A6E" w:rsidRPr="00114F8F" w:rsidRDefault="00000000">
      <w:pPr>
        <w:spacing w:before="100" w:beforeAutospacing="1" w:after="100" w:afterAutospacing="1" w:line="240" w:lineRule="auto"/>
        <w:ind w:left="360"/>
        <w:jc w:val="both"/>
        <w:rPr>
          <w:rFonts w:ascii="Times New Roman" w:eastAsia="Times New Roman" w:hAnsi="Times New Roman" w:cs="Times New Roman"/>
          <w:bCs/>
          <w:sz w:val="24"/>
          <w:szCs w:val="24"/>
        </w:rPr>
      </w:pPr>
      <w:r w:rsidRPr="00114F8F">
        <w:rPr>
          <w:rFonts w:ascii="Times New Roman" w:eastAsia="Times New Roman" w:hAnsi="Times New Roman"/>
          <w:bCs/>
          <w:sz w:val="24"/>
          <w:highlight w:val="yellow"/>
        </w:rPr>
        <w:t xml:space="preserve">Recent cross-country and firm-level evidence reinforces the view that the interaction between tax </w:t>
      </w:r>
      <w:proofErr w:type="spellStart"/>
      <w:r w:rsidRPr="00114F8F">
        <w:rPr>
          <w:rFonts w:ascii="Times New Roman" w:eastAsia="Times New Roman" w:hAnsi="Times New Roman"/>
          <w:bCs/>
          <w:sz w:val="24"/>
          <w:highlight w:val="yellow"/>
        </w:rPr>
        <w:t>behaviour</w:t>
      </w:r>
      <w:proofErr w:type="spellEnd"/>
      <w:r w:rsidRPr="00114F8F">
        <w:rPr>
          <w:rFonts w:ascii="Times New Roman" w:eastAsia="Times New Roman" w:hAnsi="Times New Roman"/>
          <w:bCs/>
          <w:sz w:val="24"/>
          <w:highlight w:val="yellow"/>
        </w:rPr>
        <w:t xml:space="preserve"> and financial vulnerability is context-dependent. Liu et al. (2026) reported that financial risk can increase firms’ propensity for tax avoidance through weakened internal controls and reduced disclosure quality, while Ariff et al. (2023) found that the relationship between financial distress and tax avoidance varied under the economic disruption associated with the COVID-19 pandemic. In addition, Xu et al. (2022) showed that mandatory deleveraging may shift firms from debt-based tax shields towards non-debt tax shields rather than eliminating tax-</w:t>
      </w:r>
      <w:proofErr w:type="spellStart"/>
      <w:r w:rsidRPr="00114F8F">
        <w:rPr>
          <w:rFonts w:ascii="Times New Roman" w:eastAsia="Times New Roman" w:hAnsi="Times New Roman"/>
          <w:bCs/>
          <w:sz w:val="24"/>
          <w:highlight w:val="yellow"/>
        </w:rPr>
        <w:t>minimisation</w:t>
      </w:r>
      <w:proofErr w:type="spellEnd"/>
      <w:r w:rsidRPr="00114F8F">
        <w:rPr>
          <w:rFonts w:ascii="Times New Roman" w:eastAsia="Times New Roman" w:hAnsi="Times New Roman"/>
          <w:bCs/>
          <w:sz w:val="24"/>
          <w:highlight w:val="yellow"/>
        </w:rPr>
        <w:t xml:space="preserve"> </w:t>
      </w:r>
      <w:proofErr w:type="spellStart"/>
      <w:r w:rsidRPr="00114F8F">
        <w:rPr>
          <w:rFonts w:ascii="Times New Roman" w:eastAsia="Times New Roman" w:hAnsi="Times New Roman"/>
          <w:bCs/>
          <w:sz w:val="24"/>
          <w:highlight w:val="yellow"/>
        </w:rPr>
        <w:t>behaviour</w:t>
      </w:r>
      <w:proofErr w:type="spellEnd"/>
      <w:r w:rsidRPr="00114F8F">
        <w:rPr>
          <w:rFonts w:ascii="Times New Roman" w:eastAsia="Times New Roman" w:hAnsi="Times New Roman"/>
          <w:bCs/>
          <w:sz w:val="24"/>
          <w:highlight w:val="yellow"/>
        </w:rPr>
        <w:t>.</w:t>
      </w:r>
    </w:p>
    <w:p w14:paraId="55D88153" w14:textId="77777777" w:rsidR="000F6A6E" w:rsidRPr="00114F8F" w:rsidRDefault="00000000">
      <w:pPr>
        <w:spacing w:before="100" w:beforeAutospacing="1" w:after="100" w:afterAutospacing="1" w:line="240" w:lineRule="auto"/>
        <w:ind w:left="360"/>
        <w:jc w:val="both"/>
        <w:rPr>
          <w:rFonts w:ascii="Times New Roman" w:eastAsia="Times New Roman" w:hAnsi="Times New Roman" w:cs="Times New Roman"/>
          <w:bCs/>
          <w:sz w:val="24"/>
          <w:szCs w:val="24"/>
        </w:rPr>
      </w:pPr>
      <w:r w:rsidRPr="00114F8F">
        <w:rPr>
          <w:rFonts w:ascii="Times New Roman" w:eastAsia="Times New Roman" w:hAnsi="Times New Roman"/>
          <w:bCs/>
          <w:sz w:val="24"/>
          <w:highlight w:val="yellow"/>
        </w:rPr>
        <w:lastRenderedPageBreak/>
        <w:t xml:space="preserve">Evidence from developing-economy settings also remains mixed. </w:t>
      </w:r>
      <w:proofErr w:type="spellStart"/>
      <w:r w:rsidRPr="00114F8F">
        <w:rPr>
          <w:rFonts w:ascii="Times New Roman" w:eastAsia="Times New Roman" w:hAnsi="Times New Roman"/>
          <w:bCs/>
          <w:sz w:val="24"/>
          <w:highlight w:val="yellow"/>
        </w:rPr>
        <w:t>Olanisebe</w:t>
      </w:r>
      <w:proofErr w:type="spellEnd"/>
      <w:r w:rsidRPr="00114F8F">
        <w:rPr>
          <w:rFonts w:ascii="Times New Roman" w:eastAsia="Times New Roman" w:hAnsi="Times New Roman"/>
          <w:bCs/>
          <w:sz w:val="24"/>
          <w:highlight w:val="yellow"/>
        </w:rPr>
        <w:t xml:space="preserve"> et al. (2026) found that capital structure had an insignificant direct effect on tax planning among listed consumer-goods firms in Nigeria, although institutional ownership moderated the relationship. Similarly, Onyango and Warui (2025) reported that corporate income tax rates, tax incentives, value-added tax, and customs and excise duties had differing associations with financial performance among manufacturing firms in Kenya. These findings indicate that the financial consequences of corporate tax strategies may depend on the specific tax instrument, financing structure, and governance context.</w:t>
      </w:r>
    </w:p>
    <w:p w14:paraId="6DE62172" w14:textId="77777777" w:rsidR="008850C8" w:rsidRPr="00114F8F" w:rsidRDefault="008850C8" w:rsidP="009D7A03">
      <w:pPr>
        <w:spacing w:before="100" w:beforeAutospacing="1" w:after="100" w:afterAutospacing="1" w:line="240" w:lineRule="auto"/>
        <w:ind w:left="360"/>
        <w:jc w:val="both"/>
        <w:rPr>
          <w:rFonts w:ascii="Times New Roman" w:eastAsia="Times New Roman" w:hAnsi="Times New Roman" w:cs="Times New Roman"/>
          <w:bCs/>
          <w:sz w:val="24"/>
          <w:szCs w:val="24"/>
        </w:rPr>
      </w:pPr>
      <w:r w:rsidRPr="00114F8F">
        <w:rPr>
          <w:rFonts w:ascii="Times New Roman" w:eastAsia="Times New Roman" w:hAnsi="Times New Roman" w:cs="Times New Roman"/>
          <w:bCs/>
          <w:sz w:val="24"/>
          <w:szCs w:val="24"/>
        </w:rPr>
        <w:t xml:space="preserve">The persistence of financial distress among listed healthcare firms, despite the availability of legitimate </w:t>
      </w:r>
      <w:r w:rsidRPr="00114F8F">
        <w:rPr>
          <w:rFonts w:ascii="Times New Roman" w:eastAsia="Times New Roman" w:hAnsi="Times New Roman" w:cs="Times New Roman"/>
          <w:bCs/>
          <w:sz w:val="24"/>
          <w:szCs w:val="24"/>
          <w:highlight w:val="yellow"/>
        </w:rPr>
        <w:t xml:space="preserve">tax </w:t>
      </w:r>
      <w:proofErr w:type="spellStart"/>
      <w:r w:rsidRPr="00114F8F">
        <w:rPr>
          <w:rFonts w:ascii="Times New Roman" w:eastAsia="Times New Roman" w:hAnsi="Times New Roman" w:cs="Times New Roman"/>
          <w:bCs/>
          <w:sz w:val="24"/>
          <w:szCs w:val="24"/>
          <w:highlight w:val="yellow"/>
        </w:rPr>
        <w:t>optimisation</w:t>
      </w:r>
      <w:proofErr w:type="spellEnd"/>
      <w:r w:rsidRPr="00114F8F">
        <w:rPr>
          <w:rFonts w:ascii="Times New Roman" w:eastAsia="Times New Roman" w:hAnsi="Times New Roman" w:cs="Times New Roman"/>
          <w:bCs/>
          <w:sz w:val="24"/>
          <w:szCs w:val="24"/>
        </w:rPr>
        <w:t xml:space="preserve"> strategies, suggests that important empirical questions remain unanswered. Specifically, there is limited evidence on whether these </w:t>
      </w:r>
      <w:r w:rsidRPr="00114F8F">
        <w:rPr>
          <w:rFonts w:ascii="Times New Roman" w:eastAsia="Times New Roman" w:hAnsi="Times New Roman" w:cs="Times New Roman"/>
          <w:bCs/>
          <w:sz w:val="24"/>
          <w:szCs w:val="24"/>
          <w:highlight w:val="yellow"/>
        </w:rPr>
        <w:t xml:space="preserve">tax </w:t>
      </w:r>
      <w:proofErr w:type="spellStart"/>
      <w:r w:rsidRPr="00114F8F">
        <w:rPr>
          <w:rFonts w:ascii="Times New Roman" w:eastAsia="Times New Roman" w:hAnsi="Times New Roman" w:cs="Times New Roman"/>
          <w:bCs/>
          <w:sz w:val="24"/>
          <w:szCs w:val="24"/>
          <w:highlight w:val="yellow"/>
        </w:rPr>
        <w:t>optimisation</w:t>
      </w:r>
      <w:proofErr w:type="spellEnd"/>
      <w:r w:rsidRPr="00114F8F">
        <w:rPr>
          <w:rFonts w:ascii="Times New Roman" w:eastAsia="Times New Roman" w:hAnsi="Times New Roman" w:cs="Times New Roman"/>
          <w:bCs/>
          <w:sz w:val="24"/>
          <w:szCs w:val="24"/>
        </w:rPr>
        <w:t xml:space="preserve"> strategies improve financial resilience or inadvertently increase firms' exposure to financial distress under Nigeria's prevailing macroeconomic conditions. This lack of evidence creates uncertainty for corporate managers, investors, regulators, and policymakers seeking to design tax strategies that balance fiscal efficiency with long-term corporate sustainability.</w:t>
      </w:r>
    </w:p>
    <w:p w14:paraId="309DF984" w14:textId="77777777" w:rsidR="008850C8" w:rsidRPr="00114F8F" w:rsidRDefault="008850C8" w:rsidP="009D7A03">
      <w:pPr>
        <w:spacing w:before="100" w:beforeAutospacing="1" w:after="100" w:afterAutospacing="1" w:line="240" w:lineRule="auto"/>
        <w:ind w:left="360"/>
        <w:jc w:val="both"/>
        <w:rPr>
          <w:rFonts w:ascii="Times New Roman" w:eastAsia="Times New Roman" w:hAnsi="Times New Roman" w:cs="Times New Roman"/>
          <w:bCs/>
          <w:sz w:val="24"/>
          <w:szCs w:val="24"/>
        </w:rPr>
      </w:pPr>
      <w:r w:rsidRPr="00114F8F">
        <w:rPr>
          <w:rFonts w:ascii="Times New Roman" w:eastAsia="Times New Roman" w:hAnsi="Times New Roman" w:cs="Times New Roman"/>
          <w:bCs/>
          <w:sz w:val="24"/>
          <w:szCs w:val="24"/>
        </w:rPr>
        <w:t xml:space="preserve">Accordingly, this study examines the effect of corporate </w:t>
      </w:r>
      <w:r w:rsidRPr="00114F8F">
        <w:rPr>
          <w:rFonts w:ascii="Times New Roman" w:eastAsia="Times New Roman" w:hAnsi="Times New Roman" w:cs="Times New Roman"/>
          <w:bCs/>
          <w:sz w:val="24"/>
          <w:szCs w:val="24"/>
          <w:highlight w:val="yellow"/>
        </w:rPr>
        <w:t xml:space="preserve">tax </w:t>
      </w:r>
      <w:proofErr w:type="spellStart"/>
      <w:r w:rsidRPr="00114F8F">
        <w:rPr>
          <w:rFonts w:ascii="Times New Roman" w:eastAsia="Times New Roman" w:hAnsi="Times New Roman" w:cs="Times New Roman"/>
          <w:bCs/>
          <w:sz w:val="24"/>
          <w:szCs w:val="24"/>
          <w:highlight w:val="yellow"/>
        </w:rPr>
        <w:t>optimisation</w:t>
      </w:r>
      <w:proofErr w:type="spellEnd"/>
      <w:r w:rsidRPr="00114F8F">
        <w:rPr>
          <w:rFonts w:ascii="Times New Roman" w:eastAsia="Times New Roman" w:hAnsi="Times New Roman" w:cs="Times New Roman"/>
          <w:bCs/>
          <w:sz w:val="24"/>
          <w:szCs w:val="24"/>
        </w:rPr>
        <w:t xml:space="preserve"> strategies on the financial distress of listed healthcare firms in Nigeria. Specifically, the study evaluates the influence of effective tax rate, thin capitalization, tax shields, depreciation tax shields, and capital intensity on firms' financial distress, measured using the Altman Z-score. The findings are expected to contribute to the literature on corporate taxation and financial distress while providing evidence-based recommendations for corporate managers, investors, and policymakers on designing tax strategies that promote financial resilience without compromising long-term solvency.</w:t>
      </w:r>
    </w:p>
    <w:p w14:paraId="377A1465" w14:textId="77777777" w:rsidR="008850C8" w:rsidRPr="00114F8F" w:rsidRDefault="008850C8" w:rsidP="009D7A03">
      <w:pPr>
        <w:spacing w:before="100" w:beforeAutospacing="1" w:after="100" w:afterAutospacing="1" w:line="240" w:lineRule="auto"/>
        <w:ind w:left="360"/>
        <w:rPr>
          <w:rFonts w:ascii="Times New Roman" w:eastAsia="Times New Roman" w:hAnsi="Times New Roman" w:cs="Times New Roman"/>
          <w:bCs/>
          <w:sz w:val="24"/>
          <w:szCs w:val="24"/>
        </w:rPr>
      </w:pPr>
      <w:r w:rsidRPr="00114F8F">
        <w:rPr>
          <w:rFonts w:ascii="Times New Roman" w:eastAsia="Times New Roman" w:hAnsi="Times New Roman" w:cs="Times New Roman"/>
          <w:bCs/>
          <w:sz w:val="24"/>
          <w:szCs w:val="24"/>
        </w:rPr>
        <w:t>The study seeks to answer the following research questions:</w:t>
      </w:r>
    </w:p>
    <w:p w14:paraId="616D3F8E" w14:textId="77777777" w:rsidR="008850C8" w:rsidRPr="008850C8" w:rsidRDefault="008850C8" w:rsidP="009D7A03">
      <w:pPr>
        <w:numPr>
          <w:ilvl w:val="0"/>
          <w:numId w:val="11"/>
        </w:numPr>
        <w:tabs>
          <w:tab w:val="clear" w:pos="720"/>
        </w:tabs>
        <w:spacing w:before="100" w:beforeAutospacing="1" w:after="100" w:afterAutospacing="1" w:line="240" w:lineRule="auto"/>
        <w:jc w:val="both"/>
        <w:rPr>
          <w:rFonts w:ascii="Times New Roman" w:eastAsia="Times New Roman" w:hAnsi="Times New Roman" w:cs="Times New Roman"/>
          <w:sz w:val="24"/>
          <w:szCs w:val="24"/>
        </w:rPr>
      </w:pPr>
      <w:r w:rsidRPr="008850C8">
        <w:rPr>
          <w:rFonts w:ascii="Times New Roman" w:eastAsia="Times New Roman" w:hAnsi="Times New Roman" w:cs="Times New Roman"/>
          <w:sz w:val="24"/>
          <w:szCs w:val="24"/>
        </w:rPr>
        <w:t xml:space="preserve">What effect does the effective tax rate have on the financial distress of listed healthcare firms in Nigeria? </w:t>
      </w:r>
    </w:p>
    <w:p w14:paraId="372C14C3" w14:textId="77777777" w:rsidR="008850C8" w:rsidRPr="008850C8" w:rsidRDefault="008850C8" w:rsidP="009D7A03">
      <w:pPr>
        <w:numPr>
          <w:ilvl w:val="0"/>
          <w:numId w:val="11"/>
        </w:numPr>
        <w:tabs>
          <w:tab w:val="clear" w:pos="720"/>
        </w:tabs>
        <w:spacing w:before="100" w:beforeAutospacing="1" w:after="100" w:afterAutospacing="1" w:line="240" w:lineRule="auto"/>
        <w:jc w:val="both"/>
        <w:rPr>
          <w:rFonts w:ascii="Times New Roman" w:eastAsia="Times New Roman" w:hAnsi="Times New Roman" w:cs="Times New Roman"/>
          <w:sz w:val="24"/>
          <w:szCs w:val="24"/>
        </w:rPr>
      </w:pPr>
      <w:r w:rsidRPr="008850C8">
        <w:rPr>
          <w:rFonts w:ascii="Times New Roman" w:eastAsia="Times New Roman" w:hAnsi="Times New Roman" w:cs="Times New Roman"/>
          <w:sz w:val="24"/>
          <w:szCs w:val="24"/>
        </w:rPr>
        <w:t xml:space="preserve">To what extent does thin capitalization influence the financial distress of listed healthcare firms in Nigeria? </w:t>
      </w:r>
    </w:p>
    <w:p w14:paraId="31253F14" w14:textId="77777777" w:rsidR="008850C8" w:rsidRPr="008850C8" w:rsidRDefault="008850C8" w:rsidP="009D7A03">
      <w:pPr>
        <w:numPr>
          <w:ilvl w:val="0"/>
          <w:numId w:val="11"/>
        </w:numPr>
        <w:tabs>
          <w:tab w:val="clear" w:pos="720"/>
        </w:tabs>
        <w:spacing w:before="100" w:beforeAutospacing="1" w:after="100" w:afterAutospacing="1" w:line="240" w:lineRule="auto"/>
        <w:jc w:val="both"/>
        <w:rPr>
          <w:rFonts w:ascii="Times New Roman" w:eastAsia="Times New Roman" w:hAnsi="Times New Roman" w:cs="Times New Roman"/>
          <w:sz w:val="24"/>
          <w:szCs w:val="24"/>
        </w:rPr>
      </w:pPr>
      <w:r w:rsidRPr="008850C8">
        <w:rPr>
          <w:rFonts w:ascii="Times New Roman" w:eastAsia="Times New Roman" w:hAnsi="Times New Roman" w:cs="Times New Roman"/>
          <w:sz w:val="24"/>
          <w:szCs w:val="24"/>
        </w:rPr>
        <w:t xml:space="preserve">What is the effect of tax shields on the financial distress of listed healthcare firms in Nigeria? </w:t>
      </w:r>
    </w:p>
    <w:p w14:paraId="7CF1AB9E" w14:textId="77777777" w:rsidR="008850C8" w:rsidRPr="008850C8" w:rsidRDefault="008850C8" w:rsidP="009D7A03">
      <w:pPr>
        <w:numPr>
          <w:ilvl w:val="0"/>
          <w:numId w:val="11"/>
        </w:numPr>
        <w:tabs>
          <w:tab w:val="clear" w:pos="720"/>
        </w:tabs>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what extent</w:t>
      </w:r>
      <w:r w:rsidRPr="008850C8">
        <w:rPr>
          <w:rFonts w:ascii="Times New Roman" w:eastAsia="Times New Roman" w:hAnsi="Times New Roman" w:cs="Times New Roman"/>
          <w:sz w:val="24"/>
          <w:szCs w:val="24"/>
        </w:rPr>
        <w:t xml:space="preserve"> do depreciation tax shields affect the financial distress of listed healthcare firms in Nigeria? </w:t>
      </w:r>
    </w:p>
    <w:p w14:paraId="5E51C5EE" w14:textId="77777777" w:rsidR="008850C8" w:rsidRDefault="008850C8" w:rsidP="009D7A03">
      <w:pPr>
        <w:numPr>
          <w:ilvl w:val="0"/>
          <w:numId w:val="11"/>
        </w:numPr>
        <w:tabs>
          <w:tab w:val="clear" w:pos="720"/>
        </w:tabs>
        <w:spacing w:before="100" w:beforeAutospacing="1" w:after="100" w:afterAutospacing="1" w:line="240" w:lineRule="auto"/>
        <w:jc w:val="both"/>
        <w:rPr>
          <w:rFonts w:ascii="Times New Roman" w:eastAsia="Times New Roman" w:hAnsi="Times New Roman" w:cs="Times New Roman"/>
          <w:sz w:val="24"/>
          <w:szCs w:val="24"/>
        </w:rPr>
      </w:pPr>
      <w:r w:rsidRPr="008850C8">
        <w:rPr>
          <w:rFonts w:ascii="Times New Roman" w:eastAsia="Times New Roman" w:hAnsi="Times New Roman" w:cs="Times New Roman"/>
          <w:sz w:val="24"/>
          <w:szCs w:val="24"/>
        </w:rPr>
        <w:t>What effect does capital intensity have on the financial distress of listed healthcare firms in Nigeria?</w:t>
      </w:r>
    </w:p>
    <w:p w14:paraId="02232D48" w14:textId="77777777" w:rsidR="008850C8" w:rsidRPr="00BE275C" w:rsidRDefault="00BE275C" w:rsidP="00BE275C">
      <w:pPr>
        <w:spacing w:before="100" w:beforeAutospacing="1" w:after="100" w:afterAutospacing="1" w:line="240" w:lineRule="auto"/>
        <w:ind w:left="360" w:hanging="36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1.2</w:t>
      </w:r>
      <w:r>
        <w:rPr>
          <w:rFonts w:ascii="Times New Roman" w:eastAsia="Times New Roman" w:hAnsi="Times New Roman" w:cs="Times New Roman"/>
          <w:b/>
          <w:bCs/>
          <w:sz w:val="24"/>
          <w:szCs w:val="24"/>
        </w:rPr>
        <w:tab/>
      </w:r>
      <w:r w:rsidRPr="00BE275C">
        <w:rPr>
          <w:rFonts w:ascii="Times New Roman" w:eastAsia="Times New Roman" w:hAnsi="Times New Roman" w:cs="Times New Roman"/>
          <w:b/>
          <w:bCs/>
          <w:sz w:val="24"/>
          <w:szCs w:val="24"/>
        </w:rPr>
        <w:t>LIMITATION OF THE STUDY</w:t>
      </w:r>
    </w:p>
    <w:p w14:paraId="1A8CD343" w14:textId="77777777" w:rsidR="00BF52B8" w:rsidRDefault="00BF52B8" w:rsidP="009D7A03">
      <w:pPr>
        <w:spacing w:before="100" w:beforeAutospacing="1" w:after="100" w:afterAutospacing="1"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study is limited by the small number of listed healthcare firms included in the panel, which restricts </w:t>
      </w:r>
      <w:proofErr w:type="spellStart"/>
      <w:r>
        <w:rPr>
          <w:rFonts w:ascii="Times New Roman" w:eastAsia="Times New Roman" w:hAnsi="Times New Roman" w:cs="Times New Roman"/>
          <w:sz w:val="24"/>
          <w:szCs w:val="24"/>
          <w:highlight w:val="yellow"/>
        </w:rPr>
        <w:t>generalisation</w:t>
      </w:r>
      <w:proofErr w:type="spellEnd"/>
      <w:r>
        <w:rPr>
          <w:rFonts w:ascii="Times New Roman" w:eastAsia="Times New Roman" w:hAnsi="Times New Roman" w:cs="Times New Roman"/>
          <w:sz w:val="24"/>
          <w:szCs w:val="24"/>
        </w:rPr>
        <w:t xml:space="preserve"> to the entire Nigerian healthcare sector.  The analysis covers </w:t>
      </w:r>
      <w:r>
        <w:rPr>
          <w:rFonts w:ascii="Times New Roman" w:eastAsia="Times New Roman" w:hAnsi="Times New Roman" w:cs="Times New Roman"/>
          <w:sz w:val="24"/>
          <w:szCs w:val="24"/>
          <w:highlight w:val="yellow"/>
        </w:rPr>
        <w:t>2010–2024</w:t>
      </w:r>
      <w:r>
        <w:rPr>
          <w:rFonts w:ascii="Times New Roman" w:eastAsia="Times New Roman" w:hAnsi="Times New Roman" w:cs="Times New Roman"/>
          <w:sz w:val="24"/>
          <w:szCs w:val="24"/>
        </w:rPr>
        <w:t xml:space="preserve"> and therefore cannot directly assess the effects of reforms introduced after the study period. </w:t>
      </w:r>
      <w:r>
        <w:rPr>
          <w:rFonts w:ascii="Times New Roman" w:eastAsia="Times New Roman" w:hAnsi="Times New Roman" w:cs="Times New Roman"/>
          <w:sz w:val="24"/>
          <w:szCs w:val="24"/>
          <w:highlight w:val="yellow"/>
        </w:rPr>
        <w:t>The use of the Altman Z-score</w:t>
      </w:r>
      <w:r>
        <w:rPr>
          <w:rFonts w:ascii="Times New Roman" w:eastAsia="Times New Roman" w:hAnsi="Times New Roman" w:cs="Times New Roman"/>
          <w:sz w:val="24"/>
          <w:szCs w:val="24"/>
        </w:rPr>
        <w:t xml:space="preserve"> provides a useful distress proxy but may not fully capture sector-specific financial risk.  Some variables, particularly effective tax rate, show </w:t>
      </w:r>
      <w:r>
        <w:rPr>
          <w:rFonts w:ascii="Times New Roman" w:eastAsia="Times New Roman" w:hAnsi="Times New Roman" w:cs="Times New Roman"/>
          <w:sz w:val="24"/>
          <w:szCs w:val="24"/>
        </w:rPr>
        <w:lastRenderedPageBreak/>
        <w:t xml:space="preserve">extreme values that require careful treatment. The study relies on published financial statements, which may reflect </w:t>
      </w:r>
      <w:r>
        <w:rPr>
          <w:rFonts w:ascii="Times New Roman" w:eastAsia="Times New Roman" w:hAnsi="Times New Roman" w:cs="Times New Roman"/>
          <w:sz w:val="24"/>
          <w:szCs w:val="24"/>
          <w:highlight w:val="yellow"/>
        </w:rPr>
        <w:t>accounting-policy</w:t>
      </w:r>
      <w:r>
        <w:rPr>
          <w:rFonts w:ascii="Times New Roman" w:eastAsia="Times New Roman" w:hAnsi="Times New Roman" w:cs="Times New Roman"/>
          <w:sz w:val="24"/>
          <w:szCs w:val="24"/>
        </w:rPr>
        <w:t xml:space="preserve"> differences across firms.  Future studies should use larger samples, alternative distress measures, and sensitivity tests.</w:t>
      </w:r>
    </w:p>
    <w:p w14:paraId="27917C59" w14:textId="77777777" w:rsidR="001D0DDC" w:rsidRPr="00BE275C" w:rsidRDefault="001D0DDC" w:rsidP="00BE275C">
      <w:pPr>
        <w:pStyle w:val="ListParagraph"/>
        <w:numPr>
          <w:ilvl w:val="1"/>
          <w:numId w:val="12"/>
        </w:num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BE275C">
        <w:rPr>
          <w:rFonts w:ascii="Times New Roman" w:eastAsia="Times New Roman" w:hAnsi="Times New Roman" w:cs="Times New Roman"/>
          <w:b/>
          <w:bCs/>
          <w:kern w:val="36"/>
          <w:sz w:val="24"/>
          <w:szCs w:val="24"/>
        </w:rPr>
        <w:t>RESEARCH HYPOTHESES</w:t>
      </w:r>
    </w:p>
    <w:p w14:paraId="135C25FF" w14:textId="77777777" w:rsidR="00D92B8F" w:rsidRPr="00D92B8F" w:rsidRDefault="00D92B8F" w:rsidP="00770A4A">
      <w:pPr>
        <w:pStyle w:val="NoSpacing"/>
        <w:ind w:left="1440" w:hanging="1080"/>
        <w:jc w:val="both"/>
        <w:rPr>
          <w:rFonts w:ascii="Times New Roman" w:hAnsi="Times New Roman" w:cs="Times New Roman"/>
          <w:sz w:val="24"/>
          <w:szCs w:val="24"/>
        </w:rPr>
      </w:pPr>
      <w:r w:rsidRPr="00D92B8F">
        <w:rPr>
          <w:rStyle w:val="Strong"/>
          <w:rFonts w:ascii="Times New Roman" w:hAnsi="Times New Roman" w:cs="Times New Roman"/>
          <w:sz w:val="24"/>
          <w:szCs w:val="24"/>
        </w:rPr>
        <w:t>H</w:t>
      </w:r>
      <w:r w:rsidRPr="00D92B8F">
        <w:rPr>
          <w:rStyle w:val="Strong"/>
          <w:rFonts w:ascii="Times New Roman" w:hAnsi="Times New Roman" w:cs="Times New Roman"/>
          <w:sz w:val="24"/>
          <w:szCs w:val="24"/>
          <w:vertAlign w:val="subscript"/>
        </w:rPr>
        <w:t>01</w:t>
      </w:r>
      <w:r w:rsidRPr="00D92B8F">
        <w:rPr>
          <w:rStyle w:val="Strong"/>
          <w:rFonts w:ascii="Times New Roman" w:hAnsi="Times New Roman" w:cs="Times New Roman"/>
          <w:sz w:val="24"/>
          <w:szCs w:val="24"/>
        </w:rPr>
        <w:t>:</w:t>
      </w:r>
      <w:r w:rsidRPr="00D92B8F">
        <w:rPr>
          <w:rStyle w:val="Strong"/>
          <w:rFonts w:ascii="Times New Roman" w:hAnsi="Times New Roman" w:cs="Times New Roman"/>
          <w:sz w:val="24"/>
          <w:szCs w:val="24"/>
        </w:rPr>
        <w:tab/>
      </w:r>
      <w:r w:rsidRPr="00D92B8F">
        <w:rPr>
          <w:rFonts w:ascii="Times New Roman" w:hAnsi="Times New Roman" w:cs="Times New Roman"/>
          <w:sz w:val="24"/>
          <w:szCs w:val="24"/>
        </w:rPr>
        <w:t>There is no statistically significant relationship between the Effective Tax Rate (ETR) and financial distress costs among Nigerian listed healthcare firms;</w:t>
      </w:r>
    </w:p>
    <w:p w14:paraId="512A5BF0" w14:textId="77777777" w:rsidR="00D92B8F" w:rsidRPr="00D92B8F" w:rsidRDefault="00D92B8F" w:rsidP="00770A4A">
      <w:pPr>
        <w:pStyle w:val="NoSpacing"/>
        <w:ind w:left="1440" w:hanging="1080"/>
        <w:jc w:val="both"/>
        <w:rPr>
          <w:rFonts w:ascii="Times New Roman" w:hAnsi="Times New Roman" w:cs="Times New Roman"/>
          <w:sz w:val="24"/>
          <w:szCs w:val="24"/>
        </w:rPr>
      </w:pPr>
      <w:r w:rsidRPr="00D92B8F">
        <w:rPr>
          <w:rStyle w:val="Strong"/>
          <w:rFonts w:ascii="Times New Roman" w:hAnsi="Times New Roman" w:cs="Times New Roman"/>
          <w:sz w:val="24"/>
          <w:szCs w:val="24"/>
        </w:rPr>
        <w:t>H</w:t>
      </w:r>
      <w:r w:rsidRPr="00D92B8F">
        <w:rPr>
          <w:rStyle w:val="Strong"/>
          <w:rFonts w:ascii="Times New Roman" w:hAnsi="Times New Roman" w:cs="Times New Roman"/>
          <w:sz w:val="24"/>
          <w:szCs w:val="24"/>
          <w:vertAlign w:val="subscript"/>
        </w:rPr>
        <w:t>02</w:t>
      </w:r>
      <w:r w:rsidRPr="00D92B8F">
        <w:rPr>
          <w:rStyle w:val="Strong"/>
          <w:rFonts w:ascii="Times New Roman" w:hAnsi="Times New Roman" w:cs="Times New Roman"/>
          <w:sz w:val="24"/>
          <w:szCs w:val="24"/>
        </w:rPr>
        <w:t>:</w:t>
      </w:r>
      <w:r w:rsidRPr="00D92B8F">
        <w:rPr>
          <w:rStyle w:val="Strong"/>
          <w:rFonts w:ascii="Times New Roman" w:hAnsi="Times New Roman" w:cs="Times New Roman"/>
          <w:sz w:val="24"/>
          <w:szCs w:val="24"/>
        </w:rPr>
        <w:tab/>
      </w:r>
      <w:r w:rsidRPr="00D92B8F">
        <w:rPr>
          <w:rFonts w:ascii="Times New Roman" w:hAnsi="Times New Roman" w:cs="Times New Roman"/>
          <w:sz w:val="24"/>
          <w:szCs w:val="24"/>
        </w:rPr>
        <w:t>Thin Capitalization (TCAP) has no statistically significant effect on the financial distress levels of Nigerian listed healthcare firms;</w:t>
      </w:r>
    </w:p>
    <w:p w14:paraId="6115D7C8" w14:textId="77777777" w:rsidR="00D92B8F" w:rsidRPr="00D92B8F" w:rsidRDefault="00D92B8F" w:rsidP="00770A4A">
      <w:pPr>
        <w:pStyle w:val="NoSpacing"/>
        <w:ind w:left="1440" w:hanging="1080"/>
        <w:jc w:val="both"/>
        <w:rPr>
          <w:rFonts w:ascii="Times New Roman" w:hAnsi="Times New Roman" w:cs="Times New Roman"/>
          <w:sz w:val="24"/>
          <w:szCs w:val="24"/>
        </w:rPr>
      </w:pPr>
      <w:r w:rsidRPr="00D92B8F">
        <w:rPr>
          <w:rStyle w:val="Strong"/>
          <w:rFonts w:ascii="Times New Roman" w:hAnsi="Times New Roman" w:cs="Times New Roman"/>
          <w:sz w:val="24"/>
          <w:szCs w:val="24"/>
        </w:rPr>
        <w:t>H</w:t>
      </w:r>
      <w:r w:rsidRPr="00D92B8F">
        <w:rPr>
          <w:rStyle w:val="Strong"/>
          <w:rFonts w:ascii="Times New Roman" w:hAnsi="Times New Roman" w:cs="Times New Roman"/>
          <w:sz w:val="24"/>
          <w:szCs w:val="24"/>
          <w:vertAlign w:val="subscript"/>
        </w:rPr>
        <w:t>03</w:t>
      </w:r>
      <w:r w:rsidRPr="00D92B8F">
        <w:rPr>
          <w:rStyle w:val="Strong"/>
          <w:rFonts w:ascii="Times New Roman" w:hAnsi="Times New Roman" w:cs="Times New Roman"/>
          <w:sz w:val="24"/>
          <w:szCs w:val="24"/>
        </w:rPr>
        <w:t>:</w:t>
      </w:r>
      <w:r w:rsidRPr="00D92B8F">
        <w:rPr>
          <w:rStyle w:val="Strong"/>
          <w:rFonts w:ascii="Times New Roman" w:hAnsi="Times New Roman" w:cs="Times New Roman"/>
          <w:sz w:val="24"/>
          <w:szCs w:val="24"/>
        </w:rPr>
        <w:tab/>
      </w:r>
      <w:r w:rsidRPr="00D92B8F">
        <w:rPr>
          <w:rFonts w:ascii="Times New Roman" w:hAnsi="Times New Roman" w:cs="Times New Roman"/>
          <w:sz w:val="24"/>
          <w:szCs w:val="24"/>
        </w:rPr>
        <w:t>Tax Shield (TS) has no statistically significant effect on financial distress among Nigerian healthcare firms;</w:t>
      </w:r>
    </w:p>
    <w:p w14:paraId="1E040C71" w14:textId="77777777" w:rsidR="00D92B8F" w:rsidRPr="00D92B8F" w:rsidRDefault="00D92B8F" w:rsidP="00770A4A">
      <w:pPr>
        <w:pStyle w:val="NoSpacing"/>
        <w:ind w:left="1440" w:hanging="1080"/>
        <w:jc w:val="both"/>
        <w:rPr>
          <w:rFonts w:ascii="Times New Roman" w:hAnsi="Times New Roman" w:cs="Times New Roman"/>
          <w:sz w:val="24"/>
          <w:szCs w:val="24"/>
        </w:rPr>
      </w:pPr>
      <w:r w:rsidRPr="00D92B8F">
        <w:rPr>
          <w:rStyle w:val="Strong"/>
          <w:rFonts w:ascii="Times New Roman" w:hAnsi="Times New Roman" w:cs="Times New Roman"/>
          <w:sz w:val="24"/>
          <w:szCs w:val="24"/>
        </w:rPr>
        <w:t>H</w:t>
      </w:r>
      <w:r w:rsidRPr="00D92B8F">
        <w:rPr>
          <w:rStyle w:val="Strong"/>
          <w:rFonts w:ascii="Times New Roman" w:hAnsi="Times New Roman" w:cs="Times New Roman"/>
          <w:sz w:val="24"/>
          <w:szCs w:val="24"/>
          <w:vertAlign w:val="subscript"/>
        </w:rPr>
        <w:t>04</w:t>
      </w:r>
      <w:r w:rsidRPr="00D92B8F">
        <w:rPr>
          <w:rStyle w:val="Strong"/>
          <w:rFonts w:ascii="Times New Roman" w:hAnsi="Times New Roman" w:cs="Times New Roman"/>
          <w:sz w:val="24"/>
          <w:szCs w:val="24"/>
        </w:rPr>
        <w:t>:</w:t>
      </w:r>
      <w:r w:rsidRPr="00D92B8F">
        <w:rPr>
          <w:rStyle w:val="Strong"/>
          <w:rFonts w:ascii="Times New Roman" w:hAnsi="Times New Roman" w:cs="Times New Roman"/>
          <w:sz w:val="24"/>
          <w:szCs w:val="24"/>
        </w:rPr>
        <w:tab/>
      </w:r>
      <w:r w:rsidRPr="00D92B8F">
        <w:rPr>
          <w:rFonts w:ascii="Times New Roman" w:hAnsi="Times New Roman" w:cs="Times New Roman"/>
          <w:sz w:val="24"/>
          <w:szCs w:val="24"/>
        </w:rPr>
        <w:t>Depreciation Tax Shield (DETS) does not significantly influence the financial stability and bankruptcy risk of Nigerian listed healthcare firms;</w:t>
      </w:r>
    </w:p>
    <w:p w14:paraId="1C5E1D66" w14:textId="77777777" w:rsidR="0057287D" w:rsidRDefault="00D92B8F" w:rsidP="00E478BE">
      <w:pPr>
        <w:pStyle w:val="NoSpacing"/>
        <w:ind w:left="1440" w:hanging="1080"/>
        <w:jc w:val="both"/>
        <w:rPr>
          <w:rFonts w:ascii="Times New Roman" w:hAnsi="Times New Roman" w:cs="Times New Roman"/>
          <w:sz w:val="24"/>
          <w:szCs w:val="24"/>
        </w:rPr>
      </w:pPr>
      <w:r>
        <w:rPr>
          <w:rStyle w:val="Strong"/>
          <w:rFonts w:ascii="Times New Roman" w:hAnsi="Times New Roman" w:cs="Times New Roman"/>
          <w:sz w:val="24"/>
          <w:szCs w:val="24"/>
        </w:rPr>
        <w:t>H</w:t>
      </w:r>
      <w:r>
        <w:rPr>
          <w:rStyle w:val="Strong"/>
          <w:rFonts w:ascii="Times New Roman" w:hAnsi="Times New Roman" w:cs="Times New Roman"/>
          <w:sz w:val="24"/>
          <w:szCs w:val="24"/>
          <w:vertAlign w:val="subscript"/>
        </w:rPr>
        <w:t>05</w:t>
      </w:r>
      <w:r>
        <w:rPr>
          <w:rStyle w:val="Strong"/>
          <w:rFonts w:ascii="Times New Roman" w:hAnsi="Times New Roman" w:cs="Times New Roman"/>
          <w:sz w:val="24"/>
          <w:szCs w:val="24"/>
        </w:rPr>
        <w:t>:</w:t>
      </w:r>
      <w:r>
        <w:rPr>
          <w:rStyle w:val="Strong"/>
          <w:rFonts w:ascii="Times New Roman" w:hAnsi="Times New Roman" w:cs="Times New Roman"/>
          <w:sz w:val="24"/>
          <w:szCs w:val="24"/>
        </w:rPr>
        <w:tab/>
      </w:r>
      <w:r>
        <w:rPr>
          <w:rFonts w:ascii="Times New Roman" w:hAnsi="Times New Roman" w:cs="Times New Roman"/>
          <w:sz w:val="24"/>
          <w:szCs w:val="24"/>
        </w:rPr>
        <w:t xml:space="preserve">Capital Intensity Ratio (CAPINT) does not significantly affect the relationship between corporate </w:t>
      </w:r>
      <w:r>
        <w:rPr>
          <w:rFonts w:ascii="Times New Roman" w:hAnsi="Times New Roman" w:cs="Times New Roman"/>
          <w:sz w:val="24"/>
          <w:szCs w:val="24"/>
          <w:highlight w:val="yellow"/>
        </w:rPr>
        <w:t xml:space="preserve">tax </w:t>
      </w:r>
      <w:proofErr w:type="spellStart"/>
      <w:r>
        <w:rPr>
          <w:rFonts w:ascii="Times New Roman" w:hAnsi="Times New Roman" w:cs="Times New Roman"/>
          <w:sz w:val="24"/>
          <w:szCs w:val="24"/>
          <w:highlight w:val="yellow"/>
        </w:rPr>
        <w:t>optimisation</w:t>
      </w:r>
      <w:proofErr w:type="spellEnd"/>
      <w:r>
        <w:rPr>
          <w:rFonts w:ascii="Times New Roman" w:hAnsi="Times New Roman" w:cs="Times New Roman"/>
          <w:sz w:val="24"/>
          <w:szCs w:val="24"/>
        </w:rPr>
        <w:t xml:space="preserve"> strategies and financial distress of Nigerian listed healthcare firms.</w:t>
      </w:r>
      <w:r>
        <w:rPr>
          <w:rFonts w:ascii="Times New Roman" w:hAnsi="Times New Roman" w:cs="Times New Roman"/>
          <w:sz w:val="24"/>
          <w:szCs w:val="24"/>
        </w:rPr>
        <w:tab/>
      </w:r>
      <w:r>
        <w:rPr>
          <w:rFonts w:ascii="Times New Roman" w:hAnsi="Times New Roman" w:cs="Times New Roman"/>
          <w:sz w:val="24"/>
          <w:szCs w:val="24"/>
        </w:rPr>
        <w:tab/>
      </w:r>
    </w:p>
    <w:p w14:paraId="619A9D6E" w14:textId="77777777" w:rsidR="00C17286" w:rsidRPr="00DD36F5" w:rsidRDefault="00C17286" w:rsidP="00DD36F5">
      <w:pPr>
        <w:pStyle w:val="ListParagraph"/>
        <w:numPr>
          <w:ilvl w:val="0"/>
          <w:numId w:val="15"/>
        </w:numPr>
        <w:spacing w:before="100" w:beforeAutospacing="1" w:after="100" w:afterAutospacing="1" w:line="240" w:lineRule="auto"/>
        <w:ind w:left="360"/>
        <w:outlineLvl w:val="0"/>
        <w:rPr>
          <w:rFonts w:ascii="Times New Roman" w:eastAsia="Times New Roman" w:hAnsi="Times New Roman" w:cs="Times New Roman"/>
          <w:b/>
          <w:bCs/>
          <w:kern w:val="36"/>
          <w:sz w:val="24"/>
          <w:szCs w:val="24"/>
        </w:rPr>
      </w:pPr>
      <w:r w:rsidRPr="00DD36F5">
        <w:rPr>
          <w:rFonts w:ascii="Times New Roman" w:eastAsia="Times New Roman" w:hAnsi="Times New Roman" w:cs="Times New Roman"/>
          <w:b/>
          <w:bCs/>
          <w:kern w:val="36"/>
          <w:sz w:val="24"/>
          <w:szCs w:val="24"/>
        </w:rPr>
        <w:t xml:space="preserve">REVIEW OF RELATED LITERATURE </w:t>
      </w:r>
    </w:p>
    <w:p w14:paraId="03967AD4" w14:textId="77777777" w:rsidR="00C17286" w:rsidRPr="00C17286" w:rsidRDefault="001D0DDC" w:rsidP="00DD65E4">
      <w:pPr>
        <w:spacing w:before="100" w:beforeAutospacing="1" w:after="100" w:afterAutospacing="1" w:line="240" w:lineRule="auto"/>
        <w:ind w:left="360" w:hanging="360"/>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2.1</w:t>
      </w:r>
      <w:r>
        <w:rPr>
          <w:rFonts w:ascii="Times New Roman" w:eastAsia="Times New Roman" w:hAnsi="Times New Roman" w:cs="Times New Roman"/>
          <w:b/>
          <w:bCs/>
          <w:sz w:val="24"/>
          <w:szCs w:val="24"/>
        </w:rPr>
        <w:tab/>
        <w:t xml:space="preserve">Corporate </w:t>
      </w:r>
      <w:r>
        <w:rPr>
          <w:rFonts w:ascii="Times New Roman" w:eastAsia="Times New Roman" w:hAnsi="Times New Roman" w:cs="Times New Roman"/>
          <w:b/>
          <w:bCs/>
          <w:sz w:val="24"/>
          <w:szCs w:val="24"/>
          <w:highlight w:val="yellow"/>
        </w:rPr>
        <w:t xml:space="preserve">Tax </w:t>
      </w:r>
      <w:proofErr w:type="spellStart"/>
      <w:r>
        <w:rPr>
          <w:rFonts w:ascii="Times New Roman" w:eastAsia="Times New Roman" w:hAnsi="Times New Roman" w:cs="Times New Roman"/>
          <w:b/>
          <w:bCs/>
          <w:sz w:val="24"/>
          <w:szCs w:val="24"/>
          <w:highlight w:val="yellow"/>
        </w:rPr>
        <w:t>Optimisation</w:t>
      </w:r>
      <w:proofErr w:type="spellEnd"/>
      <w:r>
        <w:rPr>
          <w:rFonts w:ascii="Times New Roman" w:eastAsia="Times New Roman" w:hAnsi="Times New Roman" w:cs="Times New Roman"/>
          <w:b/>
          <w:bCs/>
          <w:sz w:val="24"/>
          <w:szCs w:val="24"/>
        </w:rPr>
        <w:t xml:space="preserve"> Strategies</w:t>
      </w:r>
    </w:p>
    <w:p w14:paraId="3EF2BFC7" w14:textId="77777777" w:rsidR="00AE10EA" w:rsidRPr="006A37B1" w:rsidRDefault="00AE10EA" w:rsidP="009D7A03">
      <w:pPr>
        <w:spacing w:before="100" w:beforeAutospacing="1" w:after="100" w:afterAutospacing="1"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Corporate </w:t>
      </w:r>
      <w:r>
        <w:rPr>
          <w:rFonts w:ascii="Times New Roman" w:eastAsia="Times New Roman" w:hAnsi="Times New Roman" w:cs="Times New Roman"/>
          <w:sz w:val="24"/>
          <w:szCs w:val="24"/>
          <w:highlight w:val="yellow"/>
        </w:rPr>
        <w:t xml:space="preserve">tax </w:t>
      </w:r>
      <w:proofErr w:type="spellStart"/>
      <w:r>
        <w:rPr>
          <w:rFonts w:ascii="Times New Roman" w:eastAsia="Times New Roman" w:hAnsi="Times New Roman" w:cs="Times New Roman"/>
          <w:sz w:val="24"/>
          <w:szCs w:val="24"/>
          <w:highlight w:val="yellow"/>
        </w:rPr>
        <w:t>optimisation</w:t>
      </w:r>
      <w:proofErr w:type="spellEnd"/>
      <w:r>
        <w:rPr>
          <w:rFonts w:ascii="Times New Roman" w:eastAsia="Times New Roman" w:hAnsi="Times New Roman" w:cs="Times New Roman"/>
          <w:sz w:val="24"/>
          <w:szCs w:val="24"/>
        </w:rPr>
        <w:t xml:space="preserve"> encompasses the lawful use of tax legislation, incentives, deductions, capital structure decisions, and accounting choices to </w:t>
      </w:r>
      <w:proofErr w:type="spellStart"/>
      <w:r>
        <w:rPr>
          <w:rFonts w:ascii="Times New Roman" w:eastAsia="Times New Roman" w:hAnsi="Times New Roman" w:cs="Times New Roman"/>
          <w:sz w:val="24"/>
          <w:szCs w:val="24"/>
          <w:highlight w:val="yellow"/>
        </w:rPr>
        <w:t>minimise</w:t>
      </w:r>
      <w:proofErr w:type="spellEnd"/>
      <w:r>
        <w:rPr>
          <w:rFonts w:ascii="Times New Roman" w:eastAsia="Times New Roman" w:hAnsi="Times New Roman" w:cs="Times New Roman"/>
          <w:sz w:val="24"/>
          <w:szCs w:val="24"/>
        </w:rPr>
        <w:t xml:space="preserve"> tax liabilities while maximizing shareholders' after-tax returns (Shackelford &amp; Shevlin, 2001; </w:t>
      </w:r>
      <w:proofErr w:type="spellStart"/>
      <w:r>
        <w:rPr>
          <w:rFonts w:ascii="Times New Roman" w:eastAsia="Times New Roman" w:hAnsi="Times New Roman" w:cs="Times New Roman"/>
          <w:sz w:val="24"/>
          <w:szCs w:val="24"/>
        </w:rPr>
        <w:t>Slemrod</w:t>
      </w:r>
      <w:proofErr w:type="spellEnd"/>
      <w:r>
        <w:rPr>
          <w:rFonts w:ascii="Times New Roman" w:eastAsia="Times New Roman" w:hAnsi="Times New Roman" w:cs="Times New Roman"/>
          <w:sz w:val="24"/>
          <w:szCs w:val="24"/>
        </w:rPr>
        <w:t xml:space="preserve">, 2004). Unlike tax evasion, </w:t>
      </w:r>
      <w:r>
        <w:rPr>
          <w:rFonts w:ascii="Times New Roman" w:eastAsia="Times New Roman" w:hAnsi="Times New Roman" w:cs="Times New Roman"/>
          <w:sz w:val="24"/>
          <w:szCs w:val="24"/>
          <w:highlight w:val="yellow"/>
        </w:rPr>
        <w:t xml:space="preserve">tax </w:t>
      </w:r>
      <w:proofErr w:type="spellStart"/>
      <w:r>
        <w:rPr>
          <w:rFonts w:ascii="Times New Roman" w:eastAsia="Times New Roman" w:hAnsi="Times New Roman" w:cs="Times New Roman"/>
          <w:sz w:val="24"/>
          <w:szCs w:val="24"/>
          <w:highlight w:val="yellow"/>
        </w:rPr>
        <w:t>optimisation</w:t>
      </w:r>
      <w:proofErr w:type="spellEnd"/>
      <w:r>
        <w:rPr>
          <w:rFonts w:ascii="Times New Roman" w:eastAsia="Times New Roman" w:hAnsi="Times New Roman" w:cs="Times New Roman"/>
          <w:sz w:val="24"/>
          <w:szCs w:val="24"/>
        </w:rPr>
        <w:t xml:space="preserve"> operates within statutory provisions and seeks to improve corporate cash flows without violating tax regulations (Desai &amp; Dharmapala, 2009).</w:t>
      </w:r>
    </w:p>
    <w:p w14:paraId="01B407F1" w14:textId="77777777" w:rsidR="00AE10EA" w:rsidRPr="006A37B1" w:rsidRDefault="00AE10EA" w:rsidP="009D7A03">
      <w:pPr>
        <w:spacing w:before="100" w:beforeAutospacing="1" w:after="100" w:afterAutospacing="1"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Recent literature indicates that </w:t>
      </w:r>
      <w:r>
        <w:rPr>
          <w:rFonts w:ascii="Times New Roman" w:eastAsia="Times New Roman" w:hAnsi="Times New Roman" w:cs="Times New Roman"/>
          <w:sz w:val="24"/>
          <w:szCs w:val="24"/>
          <w:highlight w:val="yellow"/>
        </w:rPr>
        <w:t xml:space="preserve">tax </w:t>
      </w:r>
      <w:proofErr w:type="spellStart"/>
      <w:r>
        <w:rPr>
          <w:rFonts w:ascii="Times New Roman" w:eastAsia="Times New Roman" w:hAnsi="Times New Roman" w:cs="Times New Roman"/>
          <w:sz w:val="24"/>
          <w:szCs w:val="24"/>
          <w:highlight w:val="yellow"/>
        </w:rPr>
        <w:t>optimisation</w:t>
      </w:r>
      <w:proofErr w:type="spellEnd"/>
      <w:r>
        <w:rPr>
          <w:rFonts w:ascii="Times New Roman" w:eastAsia="Times New Roman" w:hAnsi="Times New Roman" w:cs="Times New Roman"/>
          <w:sz w:val="24"/>
          <w:szCs w:val="24"/>
        </w:rPr>
        <w:t xml:space="preserve"> has become increasingly sophisticated following the implementation of the OECD Base Erosion and Profit Shifting (BEPS) initiatives and the introduction of global minimum tax rules. Firms now employ combinations of financing strategies, capital investment incentives, depreciation allowances, and effective tax rate management to achieve sustainable tax efficiency while minimizing regulatory exposure (OECD, 2021; Hanlon &amp; Heitzman, 2022).</w:t>
      </w:r>
    </w:p>
    <w:p w14:paraId="72A16970" w14:textId="77777777" w:rsidR="00AE10EA" w:rsidRPr="006A37B1" w:rsidRDefault="00AE10EA" w:rsidP="009D7A03">
      <w:pPr>
        <w:spacing w:before="100" w:beforeAutospacing="1" w:after="100" w:afterAutospacing="1"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Empirical evidence suggests that effective tax planning contributes positively to corporate liquidity and investment capacity. </w:t>
      </w:r>
      <w:r>
        <w:rPr>
          <w:rStyle w:val="Strong"/>
          <w:rFonts w:ascii="Times New Roman" w:hAnsi="Times New Roman" w:cs="Times New Roman"/>
          <w:b w:val="0"/>
          <w:sz w:val="24"/>
          <w:szCs w:val="24"/>
        </w:rPr>
        <w:t xml:space="preserve">For instance, </w:t>
      </w:r>
      <w:r>
        <w:rPr>
          <w:rStyle w:val="Strong"/>
          <w:rFonts w:ascii="Times New Roman" w:hAnsi="Times New Roman" w:cs="Times New Roman"/>
          <w:b w:val="0"/>
          <w:sz w:val="24"/>
          <w:szCs w:val="24"/>
          <w:highlight w:val="yellow"/>
        </w:rPr>
        <w:t>Sun et al. (2023)</w:t>
      </w:r>
      <w:r>
        <w:rPr>
          <w:rStyle w:val="Strong"/>
          <w:rFonts w:ascii="Times New Roman" w:hAnsi="Times New Roman" w:cs="Times New Roman"/>
          <w:b w:val="0"/>
          <w:sz w:val="24"/>
          <w:szCs w:val="24"/>
        </w:rPr>
        <w:t xml:space="preserve"> found that effective corporate tax planning generates cash tax savings that alleviate financial constraints, improve firms' financial flexibility, and reduce reliance on costly external financing in the short run.</w:t>
      </w:r>
      <w:r>
        <w:t xml:space="preserve"> </w:t>
      </w:r>
      <w:r>
        <w:rPr>
          <w:rFonts w:ascii="Times New Roman" w:eastAsia="Times New Roman" w:hAnsi="Times New Roman" w:cs="Times New Roman"/>
          <w:sz w:val="24"/>
          <w:szCs w:val="24"/>
        </w:rPr>
        <w:t xml:space="preserve">Similarly, </w:t>
      </w:r>
      <w:r>
        <w:rPr>
          <w:rFonts w:ascii="Times New Roman" w:eastAsia="Times New Roman" w:hAnsi="Times New Roman" w:cs="Times New Roman"/>
          <w:bCs/>
          <w:sz w:val="24"/>
          <w:szCs w:val="24"/>
        </w:rPr>
        <w:t>Drake, Hamilton, and Lusch (2020)</w:t>
      </w:r>
      <w:r>
        <w:rPr>
          <w:rFonts w:ascii="Times New Roman" w:eastAsia="Times New Roman" w:hAnsi="Times New Roman" w:cs="Times New Roman"/>
          <w:sz w:val="24"/>
          <w:szCs w:val="24"/>
        </w:rPr>
        <w:t xml:space="preserve"> reported that moderate tax planning improves firm value by lowering financing costs without significantly increasing regulatory risks.</w:t>
      </w:r>
    </w:p>
    <w:p w14:paraId="3556D312" w14:textId="77777777" w:rsidR="00AE10EA" w:rsidRPr="006A37B1" w:rsidRDefault="00AE10EA" w:rsidP="009D7A03">
      <w:pPr>
        <w:spacing w:before="100" w:beforeAutospacing="1" w:after="100" w:afterAutospacing="1" w:line="240" w:lineRule="auto"/>
        <w:ind w:left="360"/>
        <w:jc w:val="both"/>
        <w:rPr>
          <w:rFonts w:ascii="Times New Roman" w:eastAsia="Times New Roman" w:hAnsi="Times New Roman" w:cs="Times New Roman"/>
          <w:sz w:val="24"/>
          <w:szCs w:val="24"/>
        </w:rPr>
      </w:pPr>
      <w:r w:rsidRPr="006A37B1">
        <w:rPr>
          <w:rFonts w:ascii="Times New Roman" w:eastAsia="Times New Roman" w:hAnsi="Times New Roman" w:cs="Times New Roman"/>
          <w:sz w:val="24"/>
          <w:szCs w:val="24"/>
        </w:rPr>
        <w:t xml:space="preserve">However, recent studies caution against excessive tax aggressiveness. </w:t>
      </w:r>
      <w:r w:rsidRPr="009D7A03">
        <w:rPr>
          <w:rFonts w:ascii="Times New Roman" w:eastAsia="Times New Roman" w:hAnsi="Times New Roman" w:cs="Times New Roman"/>
          <w:bCs/>
          <w:sz w:val="24"/>
          <w:szCs w:val="24"/>
        </w:rPr>
        <w:t>Atwood and Lewellen (2019)</w:t>
      </w:r>
      <w:r w:rsidRPr="006A37B1">
        <w:rPr>
          <w:rFonts w:ascii="Times New Roman" w:eastAsia="Times New Roman" w:hAnsi="Times New Roman" w:cs="Times New Roman"/>
          <w:sz w:val="24"/>
          <w:szCs w:val="24"/>
        </w:rPr>
        <w:t xml:space="preserve"> argued that while lower effective tax rates improve cash availability, aggressive tax avoidance exposes firms to tax audits, penalties, reputational damage, and increased information asymmetry. Likewise, </w:t>
      </w:r>
      <w:proofErr w:type="spellStart"/>
      <w:r w:rsidRPr="009D7A03">
        <w:rPr>
          <w:rFonts w:ascii="Times New Roman" w:eastAsia="Times New Roman" w:hAnsi="Times New Roman" w:cs="Times New Roman"/>
          <w:bCs/>
          <w:sz w:val="24"/>
          <w:szCs w:val="24"/>
        </w:rPr>
        <w:t>Kovermann</w:t>
      </w:r>
      <w:proofErr w:type="spellEnd"/>
      <w:r w:rsidRPr="009D7A03">
        <w:rPr>
          <w:rFonts w:ascii="Times New Roman" w:eastAsia="Times New Roman" w:hAnsi="Times New Roman" w:cs="Times New Roman"/>
          <w:bCs/>
          <w:sz w:val="24"/>
          <w:szCs w:val="24"/>
        </w:rPr>
        <w:t xml:space="preserve"> and Velte (2021)</w:t>
      </w:r>
      <w:r w:rsidRPr="006A37B1">
        <w:rPr>
          <w:rFonts w:ascii="Times New Roman" w:eastAsia="Times New Roman" w:hAnsi="Times New Roman" w:cs="Times New Roman"/>
          <w:sz w:val="24"/>
          <w:szCs w:val="24"/>
        </w:rPr>
        <w:t xml:space="preserve"> demonstrated that aggressive </w:t>
      </w:r>
      <w:r w:rsidRPr="006A37B1">
        <w:rPr>
          <w:rFonts w:ascii="Times New Roman" w:eastAsia="Times New Roman" w:hAnsi="Times New Roman" w:cs="Times New Roman"/>
          <w:sz w:val="24"/>
          <w:szCs w:val="24"/>
        </w:rPr>
        <w:lastRenderedPageBreak/>
        <w:t>tax strategies often reduce corporate transparency and increase agency conflicts, ultimately diminishing long-term firm value.</w:t>
      </w:r>
    </w:p>
    <w:p w14:paraId="5EEC1ACD" w14:textId="77777777" w:rsidR="00AE10EA" w:rsidRPr="006A37B1" w:rsidRDefault="00AE10EA" w:rsidP="009D7A03">
      <w:pPr>
        <w:spacing w:before="100" w:beforeAutospacing="1" w:after="100" w:afterAutospacing="1"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Capital structure remains a central component of corporate </w:t>
      </w:r>
      <w:r>
        <w:rPr>
          <w:rFonts w:ascii="Times New Roman" w:eastAsia="Times New Roman" w:hAnsi="Times New Roman" w:cs="Times New Roman"/>
          <w:sz w:val="24"/>
          <w:szCs w:val="24"/>
          <w:highlight w:val="yellow"/>
        </w:rPr>
        <w:t xml:space="preserve">tax </w:t>
      </w:r>
      <w:proofErr w:type="spellStart"/>
      <w:r>
        <w:rPr>
          <w:rFonts w:ascii="Times New Roman" w:eastAsia="Times New Roman" w:hAnsi="Times New Roman" w:cs="Times New Roman"/>
          <w:sz w:val="24"/>
          <w:szCs w:val="24"/>
          <w:highlight w:val="yellow"/>
        </w:rPr>
        <w:t>optimisation</w:t>
      </w:r>
      <w:proofErr w:type="spellEnd"/>
      <w:r>
        <w:rPr>
          <w:rFonts w:ascii="Times New Roman" w:eastAsia="Times New Roman" w:hAnsi="Times New Roman" w:cs="Times New Roman"/>
          <w:sz w:val="24"/>
          <w:szCs w:val="24"/>
        </w:rPr>
        <w:t xml:space="preserve">. Firms frequently utilize thin capitalization by increasing debt financing to benefit from interest tax deductibility. According to the Trade-off Theory (Kraus &amp; Litzenberger, 1973), debt financing creates tax advantages but simultaneously increases expected bankruptcy costs. </w:t>
      </w:r>
      <w:r>
        <w:rPr>
          <w:rFonts w:ascii="Times New Roman" w:hAnsi="Times New Roman" w:cs="Times New Roman"/>
          <w:sz w:val="24"/>
          <w:szCs w:val="24"/>
        </w:rPr>
        <w:t>Recent evidence suggests that firms seek to balance the tax advantages of debt with the costs of financial distress by adjusting their capital structures toward sustainable leverage levels, although the strength of tax incentives varies across institutional settings (Hanlon &amp; Heitzman, 2022).</w:t>
      </w:r>
    </w:p>
    <w:p w14:paraId="22CD0C55" w14:textId="77777777" w:rsidR="00C17286" w:rsidRDefault="00AE10EA" w:rsidP="009D7A03">
      <w:pPr>
        <w:spacing w:before="100" w:beforeAutospacing="1" w:after="100" w:afterAutospacing="1"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Depreciation tax shields also remain important non-debt </w:t>
      </w:r>
      <w:r>
        <w:rPr>
          <w:rFonts w:ascii="Times New Roman" w:eastAsia="Times New Roman" w:hAnsi="Times New Roman" w:cs="Times New Roman"/>
          <w:sz w:val="24"/>
          <w:szCs w:val="24"/>
          <w:highlight w:val="yellow"/>
        </w:rPr>
        <w:t xml:space="preserve">tax </w:t>
      </w:r>
      <w:proofErr w:type="spellStart"/>
      <w:r>
        <w:rPr>
          <w:rFonts w:ascii="Times New Roman" w:eastAsia="Times New Roman" w:hAnsi="Times New Roman" w:cs="Times New Roman"/>
          <w:sz w:val="24"/>
          <w:szCs w:val="24"/>
          <w:highlight w:val="yellow"/>
        </w:rPr>
        <w:t>optimisation</w:t>
      </w:r>
      <w:proofErr w:type="spellEnd"/>
      <w:r>
        <w:rPr>
          <w:rFonts w:ascii="Times New Roman" w:eastAsia="Times New Roman" w:hAnsi="Times New Roman" w:cs="Times New Roman"/>
          <w:sz w:val="24"/>
          <w:szCs w:val="24"/>
        </w:rPr>
        <w:t xml:space="preserve"> mechanisms. DeAngelo and </w:t>
      </w:r>
      <w:proofErr w:type="spellStart"/>
      <w:r>
        <w:rPr>
          <w:rFonts w:ascii="Times New Roman" w:eastAsia="Times New Roman" w:hAnsi="Times New Roman" w:cs="Times New Roman"/>
          <w:sz w:val="24"/>
          <w:szCs w:val="24"/>
        </w:rPr>
        <w:t>Masulis</w:t>
      </w:r>
      <w:proofErr w:type="spellEnd"/>
      <w:r>
        <w:rPr>
          <w:rFonts w:ascii="Times New Roman" w:eastAsia="Times New Roman" w:hAnsi="Times New Roman" w:cs="Times New Roman"/>
          <w:sz w:val="24"/>
          <w:szCs w:val="24"/>
        </w:rPr>
        <w:t xml:space="preserve"> (1980) argued that depreciation allowances substitute for debt tax shields in determining optimal financing decisions. </w:t>
      </w:r>
      <w:r>
        <w:rPr>
          <w:rFonts w:ascii="Times New Roman" w:hAnsi="Times New Roman" w:cs="Times New Roman"/>
          <w:sz w:val="24"/>
          <w:szCs w:val="24"/>
        </w:rPr>
        <w:t xml:space="preserve">Recent evidence by </w:t>
      </w:r>
      <w:r>
        <w:rPr>
          <w:rFonts w:ascii="Times New Roman" w:hAnsi="Times New Roman" w:cs="Times New Roman"/>
          <w:sz w:val="24"/>
          <w:szCs w:val="24"/>
          <w:highlight w:val="yellow"/>
        </w:rPr>
        <w:t>De Vito and Jacob (2023)</w:t>
      </w:r>
      <w:r>
        <w:rPr>
          <w:rFonts w:ascii="Times New Roman" w:hAnsi="Times New Roman" w:cs="Times New Roman"/>
          <w:sz w:val="24"/>
          <w:szCs w:val="24"/>
        </w:rPr>
        <w:t xml:space="preserve"> indicates that non-debt tax shields, including depreciation allowances, can substitute for debt tax shields, thereby reducing firms' reliance on debt financing while preserving tax benefits.</w:t>
      </w:r>
      <w:r>
        <w:t xml:space="preserve"> </w:t>
      </w:r>
      <w:r>
        <w:rPr>
          <w:rFonts w:ascii="Times New Roman" w:eastAsia="Times New Roman" w:hAnsi="Times New Roman" w:cs="Times New Roman"/>
          <w:sz w:val="24"/>
          <w:szCs w:val="24"/>
        </w:rPr>
        <w:t xml:space="preserve">Overall, contemporary literature suggests that effective </w:t>
      </w:r>
      <w:r>
        <w:rPr>
          <w:rFonts w:ascii="Times New Roman" w:eastAsia="Times New Roman" w:hAnsi="Times New Roman" w:cs="Times New Roman"/>
          <w:sz w:val="24"/>
          <w:szCs w:val="24"/>
          <w:highlight w:val="yellow"/>
        </w:rPr>
        <w:t xml:space="preserve">tax </w:t>
      </w:r>
      <w:proofErr w:type="spellStart"/>
      <w:r>
        <w:rPr>
          <w:rFonts w:ascii="Times New Roman" w:eastAsia="Times New Roman" w:hAnsi="Times New Roman" w:cs="Times New Roman"/>
          <w:sz w:val="24"/>
          <w:szCs w:val="24"/>
          <w:highlight w:val="yellow"/>
        </w:rPr>
        <w:t>optimisation</w:t>
      </w:r>
      <w:proofErr w:type="spellEnd"/>
      <w:r>
        <w:rPr>
          <w:rFonts w:ascii="Times New Roman" w:eastAsia="Times New Roman" w:hAnsi="Times New Roman" w:cs="Times New Roman"/>
          <w:sz w:val="24"/>
          <w:szCs w:val="24"/>
        </w:rPr>
        <w:t xml:space="preserve"> should balance tax savings with regulatory compliance, corporate transparency, and financial stability rather than focusing solely on minimizing tax liabilities.</w:t>
      </w:r>
    </w:p>
    <w:p w14:paraId="2F5ED4E6" w14:textId="77777777" w:rsidR="00C17286" w:rsidRPr="00C17286" w:rsidRDefault="001D0DDC" w:rsidP="00DD65E4">
      <w:pPr>
        <w:spacing w:before="100" w:beforeAutospacing="1" w:after="100" w:afterAutospacing="1" w:line="240" w:lineRule="auto"/>
        <w:ind w:left="360" w:hanging="360"/>
        <w:jc w:val="both"/>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2.2</w:t>
      </w:r>
      <w:r>
        <w:rPr>
          <w:rFonts w:ascii="Times New Roman" w:eastAsia="Times New Roman" w:hAnsi="Times New Roman" w:cs="Times New Roman"/>
          <w:b/>
          <w:bCs/>
          <w:sz w:val="24"/>
          <w:szCs w:val="24"/>
        </w:rPr>
        <w:tab/>
      </w:r>
      <w:r w:rsidR="00C17286" w:rsidRPr="00C17286">
        <w:rPr>
          <w:rFonts w:ascii="Times New Roman" w:eastAsia="Times New Roman" w:hAnsi="Times New Roman" w:cs="Times New Roman"/>
          <w:b/>
          <w:bCs/>
          <w:sz w:val="24"/>
          <w:szCs w:val="24"/>
        </w:rPr>
        <w:t>Financial Distress</w:t>
      </w:r>
    </w:p>
    <w:p w14:paraId="641A41FC" w14:textId="77777777" w:rsidR="00C815FB" w:rsidRPr="006A37B1" w:rsidRDefault="00C815FB" w:rsidP="009D7A03">
      <w:pPr>
        <w:spacing w:before="100" w:beforeAutospacing="1" w:after="100" w:afterAutospacing="1" w:line="240" w:lineRule="auto"/>
        <w:ind w:left="360"/>
        <w:jc w:val="both"/>
        <w:rPr>
          <w:rFonts w:ascii="Times New Roman" w:eastAsia="Times New Roman" w:hAnsi="Times New Roman" w:cs="Times New Roman"/>
          <w:sz w:val="24"/>
          <w:szCs w:val="24"/>
        </w:rPr>
      </w:pPr>
      <w:r w:rsidRPr="006A37B1">
        <w:rPr>
          <w:rFonts w:ascii="Times New Roman" w:eastAsia="Times New Roman" w:hAnsi="Times New Roman" w:cs="Times New Roman"/>
          <w:sz w:val="24"/>
          <w:szCs w:val="24"/>
        </w:rPr>
        <w:t>Financial distress refers to a condition in which firms experience persistent difficulty meeting contractual financial obligations due to declining profitability, deteriorating liquidity, excessive leverage, or operational inefficiency (Altman, 1968; Ohlson, 1980). It represents an intermediate stage preceding insolvency and bankruptcy, during which firms face increasing financing constraints and reduced stakeholder confidence.</w:t>
      </w:r>
    </w:p>
    <w:p w14:paraId="5E6256DB" w14:textId="77777777" w:rsidR="00C815FB" w:rsidRPr="006A37B1" w:rsidRDefault="00C815FB" w:rsidP="009D7A03">
      <w:pPr>
        <w:spacing w:before="100" w:beforeAutospacing="1" w:after="100" w:afterAutospacing="1" w:line="240" w:lineRule="auto"/>
        <w:ind w:left="360"/>
        <w:jc w:val="both"/>
        <w:rPr>
          <w:rFonts w:ascii="Times New Roman" w:eastAsia="Times New Roman" w:hAnsi="Times New Roman" w:cs="Times New Roman"/>
          <w:sz w:val="24"/>
          <w:szCs w:val="24"/>
        </w:rPr>
      </w:pPr>
      <w:r w:rsidRPr="006A37B1">
        <w:rPr>
          <w:rFonts w:ascii="Times New Roman" w:eastAsia="Times New Roman" w:hAnsi="Times New Roman" w:cs="Times New Roman"/>
          <w:sz w:val="24"/>
          <w:szCs w:val="24"/>
        </w:rPr>
        <w:t>The Altman Z-score continues to be the most widely accepted predictor of corporate financial distress because of its strong predictive accuracy across industries and countries (Altman, 2013). Recent developments have expanded its application to emerging markets by incorporating macroeconomic factors and industry-specific conditions.</w:t>
      </w:r>
    </w:p>
    <w:p w14:paraId="7DAB087D" w14:textId="77777777" w:rsidR="00C815FB" w:rsidRPr="00F078F9" w:rsidRDefault="00F078F9" w:rsidP="009D7A03">
      <w:pPr>
        <w:spacing w:before="100" w:beforeAutospacing="1" w:after="100" w:afterAutospacing="1" w:line="240" w:lineRule="auto"/>
        <w:ind w:left="360"/>
        <w:jc w:val="both"/>
        <w:rPr>
          <w:rFonts w:ascii="Times New Roman" w:eastAsia="Times New Roman" w:hAnsi="Times New Roman" w:cs="Times New Roman"/>
          <w:sz w:val="24"/>
          <w:szCs w:val="24"/>
        </w:rPr>
      </w:pPr>
      <w:r>
        <w:rPr>
          <w:rFonts w:ascii="Times New Roman" w:hAnsi="Times New Roman" w:cs="Times New Roman"/>
          <w:sz w:val="24"/>
          <w:szCs w:val="24"/>
        </w:rPr>
        <w:t xml:space="preserve">Recent empirical studies suggest that financial distress has become more complex following the COVID-19 pandemic and global inflationary pressures. In the Nigerian context, </w:t>
      </w:r>
      <w:proofErr w:type="spellStart"/>
      <w:r>
        <w:rPr>
          <w:rFonts w:ascii="Times New Roman" w:hAnsi="Times New Roman" w:cs="Times New Roman"/>
          <w:sz w:val="24"/>
          <w:szCs w:val="24"/>
          <w:highlight w:val="yellow"/>
        </w:rPr>
        <w:t>Ajijola</w:t>
      </w:r>
      <w:proofErr w:type="spellEnd"/>
      <w:r>
        <w:rPr>
          <w:rFonts w:ascii="Times New Roman" w:hAnsi="Times New Roman" w:cs="Times New Roman"/>
          <w:sz w:val="24"/>
          <w:szCs w:val="24"/>
          <w:highlight w:val="yellow"/>
        </w:rPr>
        <w:t xml:space="preserve"> et al. (2024)</w:t>
      </w:r>
      <w:r>
        <w:rPr>
          <w:rFonts w:ascii="Times New Roman" w:hAnsi="Times New Roman" w:cs="Times New Roman"/>
          <w:sz w:val="24"/>
          <w:szCs w:val="24"/>
        </w:rPr>
        <w:t xml:space="preserve"> observed that although the Altman Z-score remains a reliable tool for predicting financial distress, its predictive accuracy is enhanced when firm-specific financial indicators are interpreted alongside prevailing macroeconomic and regulatory conditions.</w:t>
      </w:r>
    </w:p>
    <w:p w14:paraId="2571AA0F" w14:textId="77777777" w:rsidR="00C17286" w:rsidRPr="00C17286" w:rsidRDefault="00F078F9" w:rsidP="009D7A03">
      <w:pPr>
        <w:spacing w:before="100" w:beforeAutospacing="1" w:after="100" w:afterAutospacing="1" w:line="240" w:lineRule="auto"/>
        <w:ind w:left="360"/>
        <w:jc w:val="both"/>
        <w:rPr>
          <w:rFonts w:ascii="Times New Roman" w:eastAsia="Times New Roman" w:hAnsi="Times New Roman" w:cs="Times New Roman"/>
          <w:sz w:val="24"/>
          <w:szCs w:val="24"/>
        </w:rPr>
      </w:pPr>
      <w:r w:rsidRPr="00AC7886">
        <w:rPr>
          <w:rFonts w:ascii="Times New Roman" w:hAnsi="Times New Roman" w:cs="Times New Roman"/>
          <w:sz w:val="24"/>
          <w:szCs w:val="24"/>
        </w:rPr>
        <w:t>Similarly, Habib et al. (2020) argued that financial distress is driven by a combination of firm-specific characteristics, macroeconomic conditions, and corporate governance factors, implying that no single financial ratio can adequately explain corporate financial distress.</w:t>
      </w:r>
      <w:r w:rsidR="00AC7886" w:rsidRPr="00AC7886">
        <w:rPr>
          <w:rFonts w:ascii="Times New Roman" w:hAnsi="Times New Roman" w:cs="Times New Roman"/>
          <w:sz w:val="24"/>
          <w:szCs w:val="24"/>
        </w:rPr>
        <w:t xml:space="preserve"> </w:t>
      </w:r>
      <w:r w:rsidR="00C815FB" w:rsidRPr="00AC7886">
        <w:rPr>
          <w:rFonts w:ascii="Times New Roman" w:eastAsia="Times New Roman" w:hAnsi="Times New Roman" w:cs="Times New Roman"/>
          <w:sz w:val="24"/>
          <w:szCs w:val="24"/>
        </w:rPr>
        <w:t>Th</w:t>
      </w:r>
      <w:r w:rsidR="00C815FB" w:rsidRPr="006A37B1">
        <w:rPr>
          <w:rFonts w:ascii="Times New Roman" w:eastAsia="Times New Roman" w:hAnsi="Times New Roman" w:cs="Times New Roman"/>
          <w:sz w:val="24"/>
          <w:szCs w:val="24"/>
        </w:rPr>
        <w:t>eir findings emphasize that financial distress is multidimensional rather than purely balance-sheet driven.</w:t>
      </w:r>
    </w:p>
    <w:p w14:paraId="1495C4AA" w14:textId="77777777" w:rsidR="00C17286" w:rsidRDefault="00C17286" w:rsidP="009D7A03">
      <w:pPr>
        <w:spacing w:before="100" w:beforeAutospacing="1" w:after="100" w:afterAutospacing="1" w:line="240" w:lineRule="auto"/>
        <w:ind w:left="360"/>
        <w:jc w:val="both"/>
        <w:rPr>
          <w:rFonts w:ascii="Times New Roman" w:eastAsia="Times New Roman" w:hAnsi="Times New Roman" w:cs="Times New Roman"/>
          <w:sz w:val="24"/>
          <w:szCs w:val="24"/>
        </w:rPr>
      </w:pPr>
      <w:r w:rsidRPr="00C17286">
        <w:rPr>
          <w:rFonts w:ascii="Times New Roman" w:eastAsia="Times New Roman" w:hAnsi="Times New Roman" w:cs="Times New Roman"/>
          <w:sz w:val="24"/>
          <w:szCs w:val="24"/>
        </w:rPr>
        <w:lastRenderedPageBreak/>
        <w:t xml:space="preserve">In the Nigerian setting, these structural constraints are compounded by systemic shocks, inflationary pressures, and currency devaluations, which further increase default probability and weaken corporate liquidity positions. Financial distress typically manifests in reduced operational capacity, higher borrowing costs, loss of investor confidence, and eventual insolvency (Myers, 1984; </w:t>
      </w:r>
      <w:r w:rsidR="00C815FB" w:rsidRPr="006A37B1">
        <w:rPr>
          <w:rFonts w:ascii="Times New Roman" w:eastAsia="Times New Roman" w:hAnsi="Times New Roman" w:cs="Times New Roman"/>
          <w:sz w:val="24"/>
          <w:szCs w:val="24"/>
        </w:rPr>
        <w:t>Central Bank of Nigeria, 2024</w:t>
      </w:r>
      <w:r w:rsidRPr="00C17286">
        <w:rPr>
          <w:rFonts w:ascii="Times New Roman" w:eastAsia="Times New Roman" w:hAnsi="Times New Roman" w:cs="Times New Roman"/>
          <w:sz w:val="24"/>
          <w:szCs w:val="24"/>
        </w:rPr>
        <w:t>).</w:t>
      </w:r>
    </w:p>
    <w:p w14:paraId="50A65E9C" w14:textId="77777777" w:rsidR="00C815FB" w:rsidRPr="00C17286" w:rsidRDefault="00C815FB" w:rsidP="009D7A03">
      <w:pPr>
        <w:spacing w:before="100" w:beforeAutospacing="1" w:after="100" w:afterAutospacing="1" w:line="240" w:lineRule="auto"/>
        <w:ind w:left="360"/>
        <w:jc w:val="both"/>
        <w:rPr>
          <w:rFonts w:ascii="Times New Roman" w:eastAsia="Times New Roman" w:hAnsi="Times New Roman" w:cs="Times New Roman"/>
          <w:sz w:val="24"/>
          <w:szCs w:val="24"/>
        </w:rPr>
      </w:pPr>
      <w:r w:rsidRPr="006A37B1">
        <w:rPr>
          <w:rFonts w:ascii="Times New Roman" w:eastAsia="Times New Roman" w:hAnsi="Times New Roman" w:cs="Times New Roman"/>
          <w:sz w:val="24"/>
          <w:szCs w:val="24"/>
        </w:rPr>
        <w:t>Consequently, financial distress should be viewed as the cumulative outcome of firm-level financial decisions and external macroeconomic conditions rather than merely poor financial performance.</w:t>
      </w:r>
    </w:p>
    <w:p w14:paraId="198870FF" w14:textId="77777777" w:rsidR="00C17286" w:rsidRPr="00C17286" w:rsidRDefault="001D0DDC" w:rsidP="00DD65E4">
      <w:pPr>
        <w:spacing w:before="100" w:beforeAutospacing="1" w:after="100" w:afterAutospacing="1" w:line="240" w:lineRule="auto"/>
        <w:ind w:left="360" w:hanging="360"/>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2.3</w:t>
      </w:r>
      <w:r>
        <w:rPr>
          <w:rFonts w:ascii="Times New Roman" w:eastAsia="Times New Roman" w:hAnsi="Times New Roman" w:cs="Times New Roman"/>
          <w:b/>
          <w:bCs/>
          <w:sz w:val="24"/>
          <w:szCs w:val="24"/>
        </w:rPr>
        <w:tab/>
      </w:r>
      <w:r w:rsidR="00C17286" w:rsidRPr="00C17286">
        <w:rPr>
          <w:rFonts w:ascii="Times New Roman" w:eastAsia="Times New Roman" w:hAnsi="Times New Roman" w:cs="Times New Roman"/>
          <w:b/>
          <w:bCs/>
          <w:sz w:val="24"/>
          <w:szCs w:val="24"/>
        </w:rPr>
        <w:t>Nigerian Healthcare Sector Context</w:t>
      </w:r>
    </w:p>
    <w:p w14:paraId="2263B6D0" w14:textId="1119C798" w:rsidR="004741C9" w:rsidRPr="006A37B1" w:rsidRDefault="004741C9" w:rsidP="009D7A03">
      <w:pPr>
        <w:spacing w:before="100" w:beforeAutospacing="1" w:after="100" w:afterAutospacing="1" w:line="240" w:lineRule="auto"/>
        <w:ind w:left="360"/>
        <w:jc w:val="both"/>
        <w:rPr>
          <w:rFonts w:ascii="Times New Roman" w:eastAsia="Times New Roman" w:hAnsi="Times New Roman" w:cs="Times New Roman"/>
          <w:sz w:val="24"/>
          <w:szCs w:val="24"/>
        </w:rPr>
      </w:pPr>
      <w:r w:rsidRPr="00D074BB">
        <w:rPr>
          <w:rFonts w:ascii="Times New Roman" w:hAnsi="Times New Roman" w:cs="Times New Roman"/>
          <w:sz w:val="24"/>
          <w:szCs w:val="24"/>
        </w:rPr>
        <w:t>Nigeria's healthcare industry occupies a strategic position in national economic development because it contributes to pharmaceutical manufacturing, medical supply chains, and healthcare service delivery. However, listed healthcare firms continue to face significant financial constraints arising from exchange-rate volatility, persistent inflation, heavy dependence on imported pharmaceutical inputs, and an evolving fiscal and regulatory environment (</w:t>
      </w:r>
      <w:proofErr w:type="spellStart"/>
      <w:r w:rsidRPr="00D074BB">
        <w:rPr>
          <w:rFonts w:ascii="Times New Roman" w:hAnsi="Times New Roman" w:cs="Times New Roman"/>
          <w:sz w:val="24"/>
          <w:szCs w:val="24"/>
        </w:rPr>
        <w:t>Adigwe</w:t>
      </w:r>
      <w:proofErr w:type="spellEnd"/>
      <w:r w:rsidRPr="00D074BB">
        <w:rPr>
          <w:rFonts w:ascii="Times New Roman" w:hAnsi="Times New Roman" w:cs="Times New Roman"/>
          <w:sz w:val="24"/>
          <w:szCs w:val="24"/>
        </w:rPr>
        <w:t>, 2023; Chukwuma, 202</w:t>
      </w:r>
      <w:r w:rsidR="006B70AA">
        <w:rPr>
          <w:rFonts w:ascii="Times New Roman" w:hAnsi="Times New Roman" w:cs="Times New Roman"/>
          <w:sz w:val="24"/>
          <w:szCs w:val="24"/>
        </w:rPr>
        <w:t>3</w:t>
      </w:r>
      <w:r w:rsidRPr="00D074BB">
        <w:rPr>
          <w:rFonts w:ascii="Times New Roman" w:hAnsi="Times New Roman" w:cs="Times New Roman"/>
          <w:sz w:val="24"/>
          <w:szCs w:val="24"/>
        </w:rPr>
        <w:t>; IMF, 2024).</w:t>
      </w:r>
    </w:p>
    <w:p w14:paraId="66690AAC" w14:textId="77777777" w:rsidR="004741C9" w:rsidRPr="006A37B1" w:rsidRDefault="004741C9" w:rsidP="009D7A03">
      <w:pPr>
        <w:spacing w:before="100" w:beforeAutospacing="1" w:after="100" w:afterAutospacing="1" w:line="240" w:lineRule="auto"/>
        <w:ind w:left="360"/>
        <w:jc w:val="both"/>
        <w:rPr>
          <w:rFonts w:ascii="Times New Roman" w:eastAsia="Times New Roman" w:hAnsi="Times New Roman" w:cs="Times New Roman"/>
          <w:sz w:val="24"/>
          <w:szCs w:val="24"/>
        </w:rPr>
      </w:pPr>
      <w:r w:rsidRPr="006A37B1">
        <w:rPr>
          <w:rFonts w:ascii="Times New Roman" w:eastAsia="Times New Roman" w:hAnsi="Times New Roman" w:cs="Times New Roman"/>
          <w:sz w:val="24"/>
          <w:szCs w:val="24"/>
        </w:rPr>
        <w:t xml:space="preserve">The Nigerian pharmaceutical industry remains heavily dependent on imported active pharmaceutical ingredients (APIs), exposing firms to foreign exchange risks and increasing production costs. According to the </w:t>
      </w:r>
      <w:r w:rsidRPr="009D7A03">
        <w:rPr>
          <w:rFonts w:ascii="Times New Roman" w:eastAsia="Times New Roman" w:hAnsi="Times New Roman" w:cs="Times New Roman"/>
          <w:bCs/>
          <w:sz w:val="24"/>
          <w:szCs w:val="24"/>
        </w:rPr>
        <w:t>World Bank (2023)</w:t>
      </w:r>
      <w:r w:rsidRPr="006A37B1">
        <w:rPr>
          <w:rFonts w:ascii="Times New Roman" w:eastAsia="Times New Roman" w:hAnsi="Times New Roman" w:cs="Times New Roman"/>
          <w:sz w:val="24"/>
          <w:szCs w:val="24"/>
        </w:rPr>
        <w:t>, exchange-rate depreciation has significantly increased manufacturing costs among pharmaceutical firms across Sub-Saharan Africa.</w:t>
      </w:r>
    </w:p>
    <w:p w14:paraId="66CB62C4" w14:textId="77777777" w:rsidR="004741C9" w:rsidRPr="006A37B1" w:rsidRDefault="004741C9" w:rsidP="009D7A03">
      <w:pPr>
        <w:spacing w:before="100" w:beforeAutospacing="1" w:after="100" w:afterAutospacing="1" w:line="240" w:lineRule="auto"/>
        <w:ind w:left="360"/>
        <w:jc w:val="both"/>
        <w:rPr>
          <w:rFonts w:ascii="Times New Roman" w:eastAsia="Times New Roman" w:hAnsi="Times New Roman" w:cs="Times New Roman"/>
          <w:sz w:val="24"/>
          <w:szCs w:val="24"/>
        </w:rPr>
      </w:pPr>
      <w:r w:rsidRPr="006A37B1">
        <w:rPr>
          <w:rFonts w:ascii="Times New Roman" w:eastAsia="Times New Roman" w:hAnsi="Times New Roman" w:cs="Times New Roman"/>
          <w:sz w:val="24"/>
          <w:szCs w:val="24"/>
        </w:rPr>
        <w:t xml:space="preserve">Recent evidence suggests that Nigerian healthcare firms continue to face declining profit margins despite government tax incentives. </w:t>
      </w:r>
      <w:r w:rsidRPr="009D7A03">
        <w:rPr>
          <w:rFonts w:ascii="Times New Roman" w:eastAsia="Times New Roman" w:hAnsi="Times New Roman" w:cs="Times New Roman"/>
          <w:bCs/>
          <w:sz w:val="24"/>
          <w:szCs w:val="24"/>
        </w:rPr>
        <w:t>PwC Nigeria (2023)</w:t>
      </w:r>
      <w:r w:rsidRPr="006A37B1">
        <w:rPr>
          <w:rFonts w:ascii="Times New Roman" w:eastAsia="Times New Roman" w:hAnsi="Times New Roman" w:cs="Times New Roman"/>
          <w:sz w:val="24"/>
          <w:szCs w:val="24"/>
        </w:rPr>
        <w:t xml:space="preserve"> reported that VAT exemptions and customs duty waivers have improved cash flows for pharmaceutical manufacturers but have not fully offset the adverse effects of inflation and currency depreciation.</w:t>
      </w:r>
    </w:p>
    <w:p w14:paraId="2398E3D4" w14:textId="77777777" w:rsidR="004741C9" w:rsidRPr="006A37B1" w:rsidRDefault="004741C9" w:rsidP="009D7A03">
      <w:pPr>
        <w:spacing w:before="100" w:beforeAutospacing="1" w:after="100" w:afterAutospacing="1" w:line="240" w:lineRule="auto"/>
        <w:ind w:left="360"/>
        <w:jc w:val="both"/>
        <w:rPr>
          <w:rFonts w:ascii="Times New Roman" w:eastAsia="Times New Roman" w:hAnsi="Times New Roman" w:cs="Times New Roman"/>
          <w:sz w:val="24"/>
          <w:szCs w:val="24"/>
        </w:rPr>
      </w:pPr>
      <w:r w:rsidRPr="006A37B1">
        <w:rPr>
          <w:rFonts w:ascii="Times New Roman" w:eastAsia="Times New Roman" w:hAnsi="Times New Roman" w:cs="Times New Roman"/>
          <w:sz w:val="24"/>
          <w:szCs w:val="24"/>
        </w:rPr>
        <w:t xml:space="preserve">Similarly, </w:t>
      </w:r>
      <w:r w:rsidRPr="009D7A03">
        <w:rPr>
          <w:rFonts w:ascii="Times New Roman" w:eastAsia="Times New Roman" w:hAnsi="Times New Roman" w:cs="Times New Roman"/>
          <w:bCs/>
          <w:sz w:val="24"/>
          <w:szCs w:val="24"/>
        </w:rPr>
        <w:t>KPMG Nigeria (2024)</w:t>
      </w:r>
      <w:r w:rsidRPr="006A37B1">
        <w:rPr>
          <w:rFonts w:ascii="Times New Roman" w:eastAsia="Times New Roman" w:hAnsi="Times New Roman" w:cs="Times New Roman"/>
          <w:sz w:val="24"/>
          <w:szCs w:val="24"/>
        </w:rPr>
        <w:t xml:space="preserve"> observed that healthcare firms increasingly rely on tax planning strategies to preserve liquidity because conventional financing has become more expensive following monetary policy tightening.</w:t>
      </w:r>
    </w:p>
    <w:p w14:paraId="3B6901B3" w14:textId="77777777" w:rsidR="004741C9" w:rsidRPr="005D3057" w:rsidRDefault="005D3057" w:rsidP="009D7A03">
      <w:pPr>
        <w:spacing w:before="100" w:beforeAutospacing="1" w:after="100" w:afterAutospacing="1" w:line="240" w:lineRule="auto"/>
        <w:ind w:left="360"/>
        <w:jc w:val="both"/>
        <w:rPr>
          <w:rFonts w:ascii="Times New Roman" w:eastAsia="Times New Roman" w:hAnsi="Times New Roman" w:cs="Times New Roman"/>
          <w:sz w:val="24"/>
          <w:szCs w:val="24"/>
        </w:rPr>
      </w:pPr>
      <w:r>
        <w:rPr>
          <w:rFonts w:ascii="Times New Roman" w:hAnsi="Times New Roman" w:cs="Times New Roman"/>
          <w:sz w:val="24"/>
          <w:szCs w:val="24"/>
        </w:rPr>
        <w:t xml:space="preserve">Recent Nigerian studies also indicate that fiscal incentives play an important role in promoting investment and improving firms' financial performance. For instance, </w:t>
      </w:r>
      <w:proofErr w:type="spellStart"/>
      <w:r>
        <w:rPr>
          <w:rFonts w:ascii="Times New Roman" w:hAnsi="Times New Roman" w:cs="Times New Roman"/>
          <w:sz w:val="24"/>
          <w:szCs w:val="24"/>
          <w:highlight w:val="yellow"/>
        </w:rPr>
        <w:t>Nwokoye</w:t>
      </w:r>
      <w:proofErr w:type="spellEnd"/>
      <w:r>
        <w:rPr>
          <w:rFonts w:ascii="Times New Roman" w:hAnsi="Times New Roman" w:cs="Times New Roman"/>
          <w:sz w:val="24"/>
          <w:szCs w:val="24"/>
          <w:highlight w:val="yellow"/>
        </w:rPr>
        <w:t xml:space="preserve"> et al. (2023)</w:t>
      </w:r>
      <w:r>
        <w:rPr>
          <w:rFonts w:ascii="Times New Roman" w:hAnsi="Times New Roman" w:cs="Times New Roman"/>
          <w:sz w:val="24"/>
          <w:szCs w:val="24"/>
        </w:rPr>
        <w:t xml:space="preserve"> found that tax incentives, including capital allowances and investment-related tax reliefs, positively influence business investment decisions and enhance firms' operational performance, although the magnitude of these benefits depends on firm-specific characteristics and the </w:t>
      </w:r>
      <w:r>
        <w:rPr>
          <w:rFonts w:ascii="Times New Roman" w:hAnsi="Times New Roman" w:cs="Times New Roman"/>
          <w:sz w:val="24"/>
          <w:szCs w:val="24"/>
          <w:highlight w:val="yellow"/>
        </w:rPr>
        <w:t>prevailing business environment (</w:t>
      </w:r>
      <w:proofErr w:type="spellStart"/>
      <w:r>
        <w:rPr>
          <w:rFonts w:ascii="Times New Roman" w:hAnsi="Times New Roman" w:cs="Times New Roman"/>
          <w:sz w:val="24"/>
          <w:szCs w:val="24"/>
          <w:highlight w:val="yellow"/>
        </w:rPr>
        <w:t>Omesi</w:t>
      </w:r>
      <w:proofErr w:type="spellEnd"/>
      <w:r>
        <w:rPr>
          <w:rFonts w:ascii="Times New Roman" w:hAnsi="Times New Roman" w:cs="Times New Roman"/>
          <w:sz w:val="24"/>
          <w:szCs w:val="24"/>
          <w:highlight w:val="yellow"/>
        </w:rPr>
        <w:t xml:space="preserve"> &amp; </w:t>
      </w:r>
      <w:proofErr w:type="spellStart"/>
      <w:r>
        <w:rPr>
          <w:rFonts w:ascii="Times New Roman" w:hAnsi="Times New Roman" w:cs="Times New Roman"/>
          <w:sz w:val="24"/>
          <w:szCs w:val="24"/>
          <w:highlight w:val="yellow"/>
        </w:rPr>
        <w:t>Maccarthy</w:t>
      </w:r>
      <w:proofErr w:type="spellEnd"/>
      <w:r>
        <w:rPr>
          <w:rFonts w:ascii="Times New Roman" w:hAnsi="Times New Roman" w:cs="Times New Roman"/>
          <w:sz w:val="24"/>
          <w:szCs w:val="24"/>
          <w:highlight w:val="yellow"/>
        </w:rPr>
        <w:t>, 2022).</w:t>
      </w:r>
    </w:p>
    <w:p w14:paraId="46730705" w14:textId="77777777" w:rsidR="00C17286" w:rsidRDefault="004741C9" w:rsidP="009D7A03">
      <w:pPr>
        <w:spacing w:before="100" w:beforeAutospacing="1" w:after="100" w:afterAutospacing="1"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These findings imply that corporate </w:t>
      </w:r>
      <w:r>
        <w:rPr>
          <w:rFonts w:ascii="Times New Roman" w:eastAsia="Times New Roman" w:hAnsi="Times New Roman" w:cs="Times New Roman"/>
          <w:sz w:val="24"/>
          <w:szCs w:val="24"/>
          <w:highlight w:val="yellow"/>
        </w:rPr>
        <w:t xml:space="preserve">tax </w:t>
      </w:r>
      <w:proofErr w:type="spellStart"/>
      <w:r>
        <w:rPr>
          <w:rFonts w:ascii="Times New Roman" w:eastAsia="Times New Roman" w:hAnsi="Times New Roman" w:cs="Times New Roman"/>
          <w:sz w:val="24"/>
          <w:szCs w:val="24"/>
          <w:highlight w:val="yellow"/>
        </w:rPr>
        <w:t>optimisation</w:t>
      </w:r>
      <w:proofErr w:type="spellEnd"/>
      <w:r>
        <w:rPr>
          <w:rFonts w:ascii="Times New Roman" w:eastAsia="Times New Roman" w:hAnsi="Times New Roman" w:cs="Times New Roman"/>
          <w:sz w:val="24"/>
          <w:szCs w:val="24"/>
        </w:rPr>
        <w:t xml:space="preserve"> represents an important financial survival strategy for Nigerian healthcare firms operating under severe macroeconomic uncertainty. These conditions make effective tax planning and internal tax shielding mechanisms critical for survival and liquidity preservation.</w:t>
      </w:r>
    </w:p>
    <w:p w14:paraId="45E1203C" w14:textId="77777777" w:rsidR="00C17286" w:rsidRPr="00C17286" w:rsidRDefault="001D0DDC" w:rsidP="00DD65E4">
      <w:pPr>
        <w:spacing w:before="100" w:beforeAutospacing="1" w:after="100" w:afterAutospacing="1" w:line="240" w:lineRule="auto"/>
        <w:ind w:left="360" w:hanging="360"/>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2.4</w:t>
      </w:r>
      <w:r>
        <w:rPr>
          <w:rFonts w:ascii="Times New Roman" w:eastAsia="Times New Roman" w:hAnsi="Times New Roman" w:cs="Times New Roman"/>
          <w:b/>
          <w:bCs/>
          <w:sz w:val="24"/>
          <w:szCs w:val="24"/>
        </w:rPr>
        <w:tab/>
      </w:r>
      <w:r w:rsidR="00C17286" w:rsidRPr="00C17286">
        <w:rPr>
          <w:rFonts w:ascii="Times New Roman" w:eastAsia="Times New Roman" w:hAnsi="Times New Roman" w:cs="Times New Roman"/>
          <w:b/>
          <w:bCs/>
          <w:sz w:val="24"/>
          <w:szCs w:val="24"/>
        </w:rPr>
        <w:t>Conceptual Relationships among the Variables</w:t>
      </w:r>
    </w:p>
    <w:p w14:paraId="689E7A55" w14:textId="77777777" w:rsidR="00C17286" w:rsidRPr="00C17286" w:rsidRDefault="00D63A4F" w:rsidP="009D7A03">
      <w:pPr>
        <w:spacing w:before="100" w:beforeAutospacing="1" w:after="100" w:afterAutospacing="1" w:line="240" w:lineRule="auto"/>
        <w:ind w:left="360"/>
        <w:jc w:val="both"/>
        <w:rPr>
          <w:rFonts w:ascii="Times New Roman" w:eastAsia="Times New Roman" w:hAnsi="Times New Roman" w:cs="Times New Roman"/>
          <w:sz w:val="24"/>
          <w:szCs w:val="24"/>
        </w:rPr>
      </w:pPr>
      <w:r w:rsidRPr="006A37B1">
        <w:rPr>
          <w:rFonts w:ascii="Times New Roman" w:eastAsia="Times New Roman" w:hAnsi="Times New Roman" w:cs="Times New Roman"/>
          <w:sz w:val="24"/>
          <w:szCs w:val="24"/>
        </w:rPr>
        <w:t>The Effective Tax Rate (ETR) measures the proportion of accounting income paid as corporate income tax and serves as one of the most frequently used proxies for tax planning intensity (Shackelford &amp; Shevlin, 2001).</w:t>
      </w:r>
      <w:r w:rsidR="00C17286" w:rsidRPr="00C17286">
        <w:rPr>
          <w:rFonts w:ascii="Times New Roman" w:eastAsia="Times New Roman" w:hAnsi="Times New Roman" w:cs="Times New Roman"/>
          <w:sz w:val="24"/>
          <w:szCs w:val="24"/>
        </w:rPr>
        <w:t xml:space="preserve"> High ETR values reduce available cash flows and increase financial strain, while unusually low ETRs may signal aggressive tax avoidance strategies that attract regulatory scrutiny and enforcement risks (Desai &amp; Dharmapala, 2006; Blouin, 2014).</w:t>
      </w:r>
    </w:p>
    <w:p w14:paraId="22C7F53C" w14:textId="77777777" w:rsidR="007543E3" w:rsidRPr="007543E3" w:rsidRDefault="007543E3" w:rsidP="009D7A03">
      <w:pPr>
        <w:spacing w:before="100" w:beforeAutospacing="1" w:after="100" w:afterAutospacing="1" w:line="240" w:lineRule="auto"/>
        <w:ind w:left="360"/>
        <w:jc w:val="both"/>
        <w:rPr>
          <w:rFonts w:ascii="Times New Roman" w:hAnsi="Times New Roman" w:cs="Times New Roman"/>
          <w:sz w:val="24"/>
          <w:szCs w:val="24"/>
        </w:rPr>
      </w:pPr>
      <w:r w:rsidRPr="007543E3">
        <w:rPr>
          <w:rFonts w:ascii="Times New Roman" w:hAnsi="Times New Roman" w:cs="Times New Roman"/>
          <w:sz w:val="24"/>
          <w:szCs w:val="24"/>
        </w:rPr>
        <w:t xml:space="preserve">Recent evidence supports this dual perspective. Pratiwi and </w:t>
      </w:r>
      <w:proofErr w:type="spellStart"/>
      <w:r w:rsidRPr="007543E3">
        <w:rPr>
          <w:rFonts w:ascii="Times New Roman" w:hAnsi="Times New Roman" w:cs="Times New Roman"/>
          <w:sz w:val="24"/>
          <w:szCs w:val="24"/>
        </w:rPr>
        <w:t>Khoirunurrofik</w:t>
      </w:r>
      <w:proofErr w:type="spellEnd"/>
      <w:r w:rsidRPr="007543E3">
        <w:rPr>
          <w:rFonts w:ascii="Times New Roman" w:hAnsi="Times New Roman" w:cs="Times New Roman"/>
          <w:sz w:val="24"/>
          <w:szCs w:val="24"/>
        </w:rPr>
        <w:t xml:space="preserve"> (2023) found that reductions in the effective corporate tax rate stimulate corporate investment by increasing after-tax cash flows and encouraging fixed asset investment, whereas </w:t>
      </w:r>
      <w:proofErr w:type="spellStart"/>
      <w:r w:rsidRPr="007543E3">
        <w:rPr>
          <w:rFonts w:ascii="Times New Roman" w:hAnsi="Times New Roman" w:cs="Times New Roman"/>
          <w:sz w:val="24"/>
          <w:szCs w:val="24"/>
        </w:rPr>
        <w:t>Kovermann</w:t>
      </w:r>
      <w:proofErr w:type="spellEnd"/>
      <w:r w:rsidRPr="007543E3">
        <w:rPr>
          <w:rFonts w:ascii="Times New Roman" w:hAnsi="Times New Roman" w:cs="Times New Roman"/>
          <w:sz w:val="24"/>
          <w:szCs w:val="24"/>
        </w:rPr>
        <w:t xml:space="preserve"> and Velte (2021) reported that highly aggressive tax avoidance increases financial reporting risk and governance concerns.</w:t>
      </w:r>
    </w:p>
    <w:p w14:paraId="6C17B6EA" w14:textId="77777777" w:rsidR="00C17286" w:rsidRPr="00C17286" w:rsidRDefault="007C45B9" w:rsidP="009D7A03">
      <w:pPr>
        <w:spacing w:before="100" w:beforeAutospacing="1" w:after="100" w:afterAutospacing="1"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Thin Capitalization (TCAP) captures firms' reliance on debt financing. The Trade-off Theory predicts that debt financing generates tax savings through deductible interest expenses but simultaneously increases bankruptcy risk (Kraus &amp; Litzenberger, 1973). Recent studies by </w:t>
      </w:r>
      <w:r>
        <w:rPr>
          <w:rFonts w:ascii="Times New Roman" w:eastAsia="Times New Roman" w:hAnsi="Times New Roman" w:cs="Times New Roman"/>
          <w:bCs/>
          <w:sz w:val="24"/>
          <w:szCs w:val="24"/>
          <w:highlight w:val="yellow"/>
        </w:rPr>
        <w:t>Habib et al. (2020)</w:t>
      </w:r>
      <w:r>
        <w:rPr>
          <w:rFonts w:ascii="Times New Roman" w:eastAsia="Times New Roman" w:hAnsi="Times New Roman" w:cs="Times New Roman"/>
          <w:sz w:val="24"/>
          <w:szCs w:val="24"/>
        </w:rPr>
        <w:t xml:space="preserve"> confirm that excessive leverage significantly increases financial distress despite generating tax benefits.</w:t>
      </w:r>
    </w:p>
    <w:p w14:paraId="64D13115" w14:textId="77777777" w:rsidR="00C17286" w:rsidRPr="00C17286" w:rsidRDefault="00C17286" w:rsidP="009D7A03">
      <w:pPr>
        <w:spacing w:before="100" w:beforeAutospacing="1" w:after="100" w:afterAutospacing="1" w:line="240" w:lineRule="auto"/>
        <w:ind w:left="360"/>
        <w:jc w:val="both"/>
        <w:rPr>
          <w:rFonts w:ascii="Times New Roman" w:eastAsia="Times New Roman" w:hAnsi="Times New Roman" w:cs="Times New Roman"/>
          <w:sz w:val="24"/>
          <w:szCs w:val="24"/>
        </w:rPr>
      </w:pPr>
      <w:r w:rsidRPr="00C17286">
        <w:rPr>
          <w:rFonts w:ascii="Times New Roman" w:eastAsia="Times New Roman" w:hAnsi="Times New Roman" w:cs="Times New Roman"/>
          <w:sz w:val="24"/>
          <w:szCs w:val="24"/>
        </w:rPr>
        <w:t xml:space="preserve">Tax Shields (TS) and Depreciation Tax Shields (DETS) serve as internal financing buffers that reduce taxable income and improve cash flow stability. Non-debt tax shields are known to substitute for debt tax shields in determining optimal capital structure decisions (DeAngelo &amp; </w:t>
      </w:r>
      <w:proofErr w:type="spellStart"/>
      <w:r w:rsidRPr="00C17286">
        <w:rPr>
          <w:rFonts w:ascii="Times New Roman" w:eastAsia="Times New Roman" w:hAnsi="Times New Roman" w:cs="Times New Roman"/>
          <w:sz w:val="24"/>
          <w:szCs w:val="24"/>
        </w:rPr>
        <w:t>Masulis</w:t>
      </w:r>
      <w:proofErr w:type="spellEnd"/>
      <w:r w:rsidRPr="00C17286">
        <w:rPr>
          <w:rFonts w:ascii="Times New Roman" w:eastAsia="Times New Roman" w:hAnsi="Times New Roman" w:cs="Times New Roman"/>
          <w:sz w:val="24"/>
          <w:szCs w:val="24"/>
        </w:rPr>
        <w:t>, 1980).</w:t>
      </w:r>
    </w:p>
    <w:p w14:paraId="4854D90E" w14:textId="77777777" w:rsidR="007C45B9" w:rsidRPr="006A37B1" w:rsidRDefault="007C45B9" w:rsidP="009D7A03">
      <w:pPr>
        <w:spacing w:before="100" w:beforeAutospacing="1" w:after="100" w:afterAutospacing="1" w:line="240" w:lineRule="auto"/>
        <w:ind w:left="360"/>
        <w:jc w:val="both"/>
        <w:rPr>
          <w:rFonts w:ascii="Times New Roman" w:eastAsia="Times New Roman" w:hAnsi="Times New Roman" w:cs="Times New Roman"/>
          <w:sz w:val="24"/>
          <w:szCs w:val="24"/>
        </w:rPr>
      </w:pPr>
      <w:r w:rsidRPr="00B03FFA">
        <w:rPr>
          <w:rFonts w:ascii="Times New Roman" w:eastAsia="Times New Roman" w:hAnsi="Times New Roman" w:cs="Times New Roman"/>
          <w:sz w:val="24"/>
          <w:szCs w:val="24"/>
        </w:rPr>
        <w:t>Depreciation Tax</w:t>
      </w:r>
      <w:r w:rsidRPr="006A37B1">
        <w:rPr>
          <w:rFonts w:ascii="Times New Roman" w:eastAsia="Times New Roman" w:hAnsi="Times New Roman" w:cs="Times New Roman"/>
          <w:sz w:val="24"/>
          <w:szCs w:val="24"/>
        </w:rPr>
        <w:t xml:space="preserve"> Shields (DETS) represent non-debt tax benefits generated through capital asset depreciation. According to </w:t>
      </w:r>
      <w:r w:rsidR="00405B41">
        <w:rPr>
          <w:rFonts w:ascii="Times New Roman" w:eastAsia="Times New Roman" w:hAnsi="Times New Roman" w:cs="Times New Roman"/>
          <w:bCs/>
          <w:sz w:val="24"/>
          <w:szCs w:val="24"/>
        </w:rPr>
        <w:t>Hanlon and Heitzman (2022</w:t>
      </w:r>
      <w:r w:rsidRPr="009D7A03">
        <w:rPr>
          <w:rFonts w:ascii="Times New Roman" w:eastAsia="Times New Roman" w:hAnsi="Times New Roman" w:cs="Times New Roman"/>
          <w:bCs/>
          <w:sz w:val="24"/>
          <w:szCs w:val="24"/>
        </w:rPr>
        <w:t>)</w:t>
      </w:r>
      <w:r w:rsidRPr="006A37B1">
        <w:rPr>
          <w:rFonts w:ascii="Times New Roman" w:eastAsia="Times New Roman" w:hAnsi="Times New Roman" w:cs="Times New Roman"/>
          <w:sz w:val="24"/>
          <w:szCs w:val="24"/>
        </w:rPr>
        <w:t>, depreciation tax shields improve internal cash flows without increasing leverage, making them particularly valuable during periods of economic uncertainty.</w:t>
      </w:r>
    </w:p>
    <w:p w14:paraId="7A17D389" w14:textId="77777777" w:rsidR="007C45B9" w:rsidRPr="006A37B1" w:rsidRDefault="007C45B9" w:rsidP="009D7A03">
      <w:pPr>
        <w:spacing w:before="100" w:beforeAutospacing="1" w:after="100" w:afterAutospacing="1" w:line="240" w:lineRule="auto"/>
        <w:ind w:left="360"/>
        <w:jc w:val="both"/>
        <w:rPr>
          <w:rFonts w:ascii="Times New Roman" w:eastAsia="Times New Roman" w:hAnsi="Times New Roman" w:cs="Times New Roman"/>
          <w:sz w:val="24"/>
          <w:szCs w:val="24"/>
        </w:rPr>
      </w:pPr>
      <w:r w:rsidRPr="006A37B1">
        <w:rPr>
          <w:rFonts w:ascii="Times New Roman" w:eastAsia="Times New Roman" w:hAnsi="Times New Roman" w:cs="Times New Roman"/>
          <w:sz w:val="24"/>
          <w:szCs w:val="24"/>
        </w:rPr>
        <w:t xml:space="preserve">Capital Intensity (CAPINT) reflects investment in long-term productive assets. Higher capital intensity increases access to capital allowances and depreciation deductions but also raises fixed operating costs. </w:t>
      </w:r>
      <w:r w:rsidRPr="009D7A03">
        <w:rPr>
          <w:rFonts w:ascii="Times New Roman" w:eastAsia="Times New Roman" w:hAnsi="Times New Roman" w:cs="Times New Roman"/>
          <w:bCs/>
          <w:sz w:val="24"/>
          <w:szCs w:val="24"/>
        </w:rPr>
        <w:t>Habib and Hasan (2021)</w:t>
      </w:r>
      <w:r w:rsidRPr="006A37B1">
        <w:rPr>
          <w:rFonts w:ascii="Times New Roman" w:eastAsia="Times New Roman" w:hAnsi="Times New Roman" w:cs="Times New Roman"/>
          <w:sz w:val="24"/>
          <w:szCs w:val="24"/>
        </w:rPr>
        <w:t xml:space="preserve"> found that highly capital-intensive firms become more vulnerable to financial distress during economic downturns because fixed assets reduce operational flexibility.</w:t>
      </w:r>
    </w:p>
    <w:p w14:paraId="7F1B2CB8" w14:textId="1EAB9075" w:rsidR="007C45B9" w:rsidRPr="006A37B1" w:rsidRDefault="007C45B9" w:rsidP="009D7A03">
      <w:pPr>
        <w:spacing w:before="100" w:beforeAutospacing="1" w:after="100" w:afterAutospacing="1"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Firm Size (FSIZE) serves as an important control variable because larger firms generally possess greater financing capacity, stronger market power, diversified operations, and lower bankruptcy risk. Recent evidence by </w:t>
      </w:r>
      <w:r>
        <w:rPr>
          <w:rFonts w:ascii="Times New Roman" w:eastAsia="Times New Roman" w:hAnsi="Times New Roman" w:cs="Times New Roman"/>
          <w:bCs/>
          <w:sz w:val="24"/>
          <w:szCs w:val="24"/>
          <w:highlight w:val="yellow"/>
        </w:rPr>
        <w:t>Boubaker et al. (202</w:t>
      </w:r>
      <w:r w:rsidR="006B70AA">
        <w:rPr>
          <w:rFonts w:ascii="Times New Roman" w:eastAsia="Times New Roman" w:hAnsi="Times New Roman" w:cs="Times New Roman"/>
          <w:bCs/>
          <w:sz w:val="24"/>
          <w:szCs w:val="24"/>
          <w:highlight w:val="yellow"/>
        </w:rPr>
        <w:t>0</w:t>
      </w:r>
      <w:r>
        <w:rPr>
          <w:rFonts w:ascii="Times New Roman" w:eastAsia="Times New Roman" w:hAnsi="Times New Roman" w:cs="Times New Roman"/>
          <w:bCs/>
          <w:sz w:val="24"/>
          <w:szCs w:val="24"/>
          <w:highlight w:val="yellow"/>
        </w:rPr>
        <w:t>)</w:t>
      </w:r>
      <w:r>
        <w:rPr>
          <w:rFonts w:ascii="Times New Roman" w:eastAsia="Times New Roman" w:hAnsi="Times New Roman" w:cs="Times New Roman"/>
          <w:sz w:val="24"/>
          <w:szCs w:val="24"/>
        </w:rPr>
        <w:t xml:space="preserve"> confirms that larger firms exhibit greater financial resilience during economic crises.</w:t>
      </w:r>
    </w:p>
    <w:p w14:paraId="508F9C15" w14:textId="77777777" w:rsidR="00C17286" w:rsidRDefault="007C45B9" w:rsidP="009D7A03">
      <w:pPr>
        <w:spacing w:before="100" w:beforeAutospacing="1" w:after="100" w:afterAutospacing="1"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Overall, recent literature indicates that corporate </w:t>
      </w:r>
      <w:r>
        <w:rPr>
          <w:rFonts w:ascii="Times New Roman" w:eastAsia="Times New Roman" w:hAnsi="Times New Roman" w:cs="Times New Roman"/>
          <w:sz w:val="24"/>
          <w:szCs w:val="24"/>
          <w:highlight w:val="yellow"/>
        </w:rPr>
        <w:t xml:space="preserve">tax </w:t>
      </w:r>
      <w:proofErr w:type="spellStart"/>
      <w:r>
        <w:rPr>
          <w:rFonts w:ascii="Times New Roman" w:eastAsia="Times New Roman" w:hAnsi="Times New Roman" w:cs="Times New Roman"/>
          <w:sz w:val="24"/>
          <w:szCs w:val="24"/>
          <w:highlight w:val="yellow"/>
        </w:rPr>
        <w:t>optimisation</w:t>
      </w:r>
      <w:proofErr w:type="spellEnd"/>
      <w:r>
        <w:rPr>
          <w:rFonts w:ascii="Times New Roman" w:eastAsia="Times New Roman" w:hAnsi="Times New Roman" w:cs="Times New Roman"/>
          <w:sz w:val="24"/>
          <w:szCs w:val="24"/>
        </w:rPr>
        <w:t xml:space="preserve"> strategies influence financial distress through multiple channels involving liquidity preservation, financing decisions, investment efficiency, and regulatory compliance.</w:t>
      </w:r>
    </w:p>
    <w:p w14:paraId="3063BA9B" w14:textId="77777777" w:rsidR="00E53FF4" w:rsidRDefault="00E53FF4" w:rsidP="00DD65E4">
      <w:pPr>
        <w:spacing w:before="100" w:beforeAutospacing="1" w:after="100" w:afterAutospacing="1" w:line="240" w:lineRule="auto"/>
        <w:ind w:left="360"/>
        <w:jc w:val="both"/>
        <w:rPr>
          <w:rFonts w:ascii="Times New Roman" w:eastAsia="Times New Roman" w:hAnsi="Times New Roman" w:cs="Times New Roman"/>
          <w:sz w:val="24"/>
          <w:szCs w:val="24"/>
        </w:rPr>
      </w:pPr>
    </w:p>
    <w:p w14:paraId="7CFA9223" w14:textId="77777777" w:rsidR="00FD3D99" w:rsidRDefault="00FD3D99" w:rsidP="00DD65E4">
      <w:pPr>
        <w:spacing w:before="100" w:beforeAutospacing="1" w:after="100" w:afterAutospacing="1" w:line="240" w:lineRule="auto"/>
        <w:ind w:left="360"/>
        <w:jc w:val="both"/>
        <w:rPr>
          <w:rFonts w:ascii="Times New Roman" w:eastAsia="Times New Roman" w:hAnsi="Times New Roman" w:cs="Times New Roman"/>
          <w:sz w:val="24"/>
          <w:szCs w:val="24"/>
        </w:rPr>
      </w:pPr>
    </w:p>
    <w:p w14:paraId="33C55402" w14:textId="77777777" w:rsidR="00FD3D99" w:rsidRDefault="00FD3D99" w:rsidP="00DD65E4">
      <w:pPr>
        <w:spacing w:before="100" w:beforeAutospacing="1" w:after="100" w:afterAutospacing="1" w:line="240" w:lineRule="auto"/>
        <w:ind w:left="360"/>
        <w:jc w:val="both"/>
        <w:rPr>
          <w:rFonts w:ascii="Times New Roman" w:eastAsia="Times New Roman" w:hAnsi="Times New Roman" w:cs="Times New Roman"/>
          <w:sz w:val="24"/>
          <w:szCs w:val="24"/>
        </w:rPr>
      </w:pPr>
    </w:p>
    <w:p w14:paraId="34349DFB" w14:textId="77777777" w:rsidR="00FD3D99" w:rsidRDefault="00FD3D99" w:rsidP="00DD65E4">
      <w:pPr>
        <w:spacing w:before="100" w:beforeAutospacing="1" w:after="100" w:afterAutospacing="1" w:line="240" w:lineRule="auto"/>
        <w:ind w:left="360"/>
        <w:jc w:val="both"/>
        <w:rPr>
          <w:rFonts w:ascii="Times New Roman" w:eastAsia="Times New Roman" w:hAnsi="Times New Roman" w:cs="Times New Roman"/>
          <w:sz w:val="24"/>
          <w:szCs w:val="24"/>
        </w:rPr>
      </w:pPr>
    </w:p>
    <w:p w14:paraId="619D6413" w14:textId="77777777" w:rsidR="00FD3D99" w:rsidRDefault="00FD3D99" w:rsidP="00DD65E4">
      <w:pPr>
        <w:spacing w:before="100" w:beforeAutospacing="1" w:after="100" w:afterAutospacing="1" w:line="240" w:lineRule="auto"/>
        <w:ind w:left="360"/>
        <w:jc w:val="both"/>
        <w:rPr>
          <w:rFonts w:ascii="Times New Roman" w:eastAsia="Times New Roman" w:hAnsi="Times New Roman" w:cs="Times New Roman"/>
          <w:sz w:val="24"/>
          <w:szCs w:val="24"/>
        </w:rPr>
      </w:pPr>
    </w:p>
    <w:p w14:paraId="6E150816" w14:textId="77777777" w:rsidR="00C17286" w:rsidRDefault="00C17286" w:rsidP="00302BD8">
      <w:pPr>
        <w:pStyle w:val="ListParagraph"/>
        <w:numPr>
          <w:ilvl w:val="1"/>
          <w:numId w:val="6"/>
        </w:numPr>
        <w:spacing w:before="100" w:beforeAutospacing="1" w:after="100" w:afterAutospacing="1" w:line="360" w:lineRule="auto"/>
        <w:outlineLvl w:val="1"/>
        <w:rPr>
          <w:rFonts w:ascii="Times New Roman" w:eastAsia="Times New Roman" w:hAnsi="Times New Roman" w:cs="Times New Roman"/>
          <w:b/>
          <w:bCs/>
          <w:sz w:val="24"/>
          <w:szCs w:val="24"/>
        </w:rPr>
      </w:pPr>
      <w:r w:rsidRPr="00302BD8">
        <w:rPr>
          <w:rFonts w:ascii="Times New Roman" w:eastAsia="Times New Roman" w:hAnsi="Times New Roman" w:cs="Times New Roman"/>
          <w:b/>
          <w:bCs/>
          <w:sz w:val="24"/>
          <w:szCs w:val="24"/>
        </w:rPr>
        <w:t>Conceptual Framework</w:t>
      </w:r>
    </w:p>
    <w:p w14:paraId="2AA9A63F" w14:textId="77777777" w:rsidR="00BA1D51" w:rsidRPr="00302BD8" w:rsidRDefault="00BA1D51" w:rsidP="00BA1D51">
      <w:pPr>
        <w:pStyle w:val="ListParagraph"/>
        <w:spacing w:before="100" w:beforeAutospacing="1" w:after="100" w:afterAutospacing="1" w:line="360" w:lineRule="auto"/>
        <w:ind w:left="360"/>
        <w:outlineLvl w:val="1"/>
        <w:rPr>
          <w:rFonts w:ascii="Times New Roman" w:eastAsia="Times New Roman" w:hAnsi="Times New Roman" w:cs="Times New Roman"/>
          <w:b/>
          <w:bCs/>
          <w:sz w:val="24"/>
          <w:szCs w:val="24"/>
        </w:rPr>
      </w:pPr>
    </w:p>
    <w:p w14:paraId="3733F46D" w14:textId="10B3CDFE" w:rsidR="00BA1D51" w:rsidRPr="00302BD8" w:rsidRDefault="00302BD8" w:rsidP="00BA1D51">
      <w:pPr>
        <w:pStyle w:val="ListParagraph"/>
        <w:spacing w:before="100" w:beforeAutospacing="1" w:after="100" w:afterAutospacing="1" w:line="360" w:lineRule="auto"/>
        <w:ind w:left="360"/>
        <w:outlineLvl w:val="1"/>
        <w:rPr>
          <w:rFonts w:ascii="Times New Roman" w:eastAsia="Times New Roman" w:hAnsi="Times New Roman" w:cs="Times New Roman"/>
          <w:b/>
          <w:bCs/>
          <w:sz w:val="24"/>
          <w:szCs w:val="24"/>
        </w:rPr>
      </w:pPr>
      <w:r w:rsidRPr="00302BD8">
        <w:rPr>
          <w:rFonts w:ascii="Times New Roman" w:eastAsia="Times New Roman" w:hAnsi="Times New Roman" w:cs="Times New Roman"/>
          <w:bCs/>
          <w:sz w:val="24"/>
          <w:szCs w:val="24"/>
        </w:rPr>
        <w:t>Figure 1</w:t>
      </w:r>
      <w:r w:rsidR="00BA1D51">
        <w:rPr>
          <w:rFonts w:ascii="Times New Roman" w:eastAsia="Times New Roman" w:hAnsi="Times New Roman" w:cs="Times New Roman"/>
          <w:bCs/>
          <w:sz w:val="24"/>
          <w:szCs w:val="24"/>
        </w:rPr>
        <w:t xml:space="preserve">: </w:t>
      </w:r>
      <w:r w:rsidR="00BA1D51" w:rsidRPr="00BA1D51">
        <w:rPr>
          <w:rFonts w:ascii="Times New Roman" w:eastAsia="Times New Roman" w:hAnsi="Times New Roman" w:cs="Times New Roman"/>
          <w:bCs/>
          <w:sz w:val="24"/>
          <w:szCs w:val="24"/>
        </w:rPr>
        <w:t>Conceptual framework of the relationship between tax shield strategies and financial distress, controlling for firm size</w:t>
      </w:r>
    </w:p>
    <w:p w14:paraId="37E4365E" w14:textId="5F34C98B" w:rsidR="00302BD8" w:rsidRPr="00302BD8" w:rsidRDefault="00302BD8" w:rsidP="00302BD8">
      <w:pPr>
        <w:pStyle w:val="ListParagraph"/>
        <w:spacing w:before="100" w:beforeAutospacing="1" w:after="100" w:afterAutospacing="1" w:line="240" w:lineRule="auto"/>
        <w:ind w:left="360"/>
        <w:outlineLvl w:val="1"/>
        <w:rPr>
          <w:rFonts w:ascii="Times New Roman" w:eastAsia="Times New Roman" w:hAnsi="Times New Roman" w:cs="Times New Roman"/>
          <w:bCs/>
          <w:sz w:val="24"/>
          <w:szCs w:val="24"/>
        </w:rPr>
      </w:pPr>
    </w:p>
    <w:p w14:paraId="49069016" w14:textId="77777777" w:rsidR="008F3C03" w:rsidRPr="008F3C03" w:rsidRDefault="001C5155" w:rsidP="008F3C03">
      <w:pPr>
        <w:spacing w:after="0" w:line="360" w:lineRule="auto"/>
        <w:ind w:left="540" w:hanging="540"/>
        <w:jc w:val="both"/>
        <w:rPr>
          <w:rFonts w:ascii="Times New Roman" w:hAnsi="Times New Roman" w:cs="Times New Roman"/>
          <w:sz w:val="24"/>
          <w:szCs w:val="24"/>
          <w:u w:val="single"/>
        </w:rPr>
      </w:pPr>
      <w:r>
        <w:rPr>
          <w:rFonts w:ascii="Times New Roman" w:hAnsi="Times New Roman" w:cs="Times New Roman"/>
          <w:noProof/>
          <w:sz w:val="24"/>
          <w:szCs w:val="24"/>
        </w:rPr>
        <mc:AlternateContent>
          <mc:Choice Requires="wpg">
            <w:drawing>
              <wp:anchor distT="0" distB="0" distL="114300" distR="114300" simplePos="0" relativeHeight="251672576" behindDoc="0" locked="0" layoutInCell="1" allowOverlap="1" wp14:anchorId="55642338" wp14:editId="7DA7F182">
                <wp:simplePos x="0" y="0"/>
                <wp:positionH relativeFrom="column">
                  <wp:posOffset>333375</wp:posOffset>
                </wp:positionH>
                <wp:positionV relativeFrom="paragraph">
                  <wp:posOffset>147955</wp:posOffset>
                </wp:positionV>
                <wp:extent cx="5708015" cy="3876675"/>
                <wp:effectExtent l="0" t="0" r="26035" b="28575"/>
                <wp:wrapNone/>
                <wp:docPr id="31" name="Group 31"/>
                <wp:cNvGraphicFramePr/>
                <a:graphic xmlns:a="http://schemas.openxmlformats.org/drawingml/2006/main">
                  <a:graphicData uri="http://schemas.microsoft.com/office/word/2010/wordprocessingGroup">
                    <wpg:wgp>
                      <wpg:cNvGrpSpPr/>
                      <wpg:grpSpPr>
                        <a:xfrm>
                          <a:off x="0" y="0"/>
                          <a:ext cx="5708015" cy="3876675"/>
                          <a:chOff x="0" y="0"/>
                          <a:chExt cx="5708015" cy="3876675"/>
                        </a:xfrm>
                      </wpg:grpSpPr>
                      <wps:wsp>
                        <wps:cNvPr id="6" name="AutoShape 7"/>
                        <wps:cNvCnPr>
                          <a:cxnSpLocks noChangeShapeType="1"/>
                        </wps:cNvCnPr>
                        <wps:spPr bwMode="auto">
                          <a:xfrm>
                            <a:off x="857250" y="9525"/>
                            <a:ext cx="0" cy="5054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 name="AutoShape 8"/>
                        <wps:cNvCnPr>
                          <a:cxnSpLocks noChangeShapeType="1"/>
                        </wps:cNvCnPr>
                        <wps:spPr bwMode="auto">
                          <a:xfrm>
                            <a:off x="4486275" y="0"/>
                            <a:ext cx="44450" cy="18313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Rectangle 3"/>
                        <wps:cNvSpPr>
                          <a:spLocks noChangeArrowheads="1"/>
                        </wps:cNvSpPr>
                        <wps:spPr bwMode="auto">
                          <a:xfrm>
                            <a:off x="0" y="514350"/>
                            <a:ext cx="1974215" cy="457200"/>
                          </a:xfrm>
                          <a:prstGeom prst="rect">
                            <a:avLst/>
                          </a:prstGeom>
                          <a:solidFill>
                            <a:srgbClr val="FFFFFF"/>
                          </a:solidFill>
                          <a:ln w="9525">
                            <a:solidFill>
                              <a:srgbClr val="000000"/>
                            </a:solidFill>
                            <a:miter lim="800000"/>
                            <a:headEnd/>
                            <a:tailEnd/>
                          </a:ln>
                        </wps:spPr>
                        <wps:txbx>
                          <w:txbxContent>
                            <w:p w14:paraId="29D43127" w14:textId="77777777" w:rsidR="007C2B6A" w:rsidRDefault="007C2B6A" w:rsidP="008F3C03">
                              <w:pPr>
                                <w:pStyle w:val="NoSpacing"/>
                                <w:jc w:val="center"/>
                                <w:rPr>
                                  <w:rFonts w:ascii="Times New Roman" w:hAnsi="Times New Roman" w:cs="Times New Roman"/>
                                  <w:sz w:val="24"/>
                                  <w:szCs w:val="24"/>
                                </w:rPr>
                              </w:pPr>
                              <w:r>
                                <w:rPr>
                                  <w:rFonts w:ascii="Times New Roman" w:hAnsi="Times New Roman" w:cs="Times New Roman"/>
                                  <w:sz w:val="24"/>
                                  <w:szCs w:val="24"/>
                                </w:rPr>
                                <w:t>Tax Shield</w:t>
                              </w:r>
                            </w:p>
                            <w:p w14:paraId="4C6E5FC3" w14:textId="77777777" w:rsidR="007C2B6A" w:rsidRDefault="007C2B6A" w:rsidP="008F3C03">
                              <w:pPr>
                                <w:pStyle w:val="NoSpacing"/>
                                <w:jc w:val="center"/>
                                <w:rPr>
                                  <w:rFonts w:ascii="Times New Roman" w:hAnsi="Times New Roman" w:cs="Times New Roman"/>
                                  <w:sz w:val="24"/>
                                  <w:szCs w:val="24"/>
                                </w:rPr>
                              </w:pPr>
                              <w:r>
                                <w:rPr>
                                  <w:rFonts w:ascii="Times New Roman" w:hAnsi="Times New Roman" w:cs="Times New Roman"/>
                                  <w:sz w:val="24"/>
                                  <w:szCs w:val="24"/>
                                </w:rPr>
                                <w:t xml:space="preserve"> Strategies</w:t>
                              </w:r>
                            </w:p>
                            <w:p w14:paraId="415C9754" w14:textId="77777777" w:rsidR="007C2B6A" w:rsidRDefault="007C2B6A" w:rsidP="008F3C03"/>
                          </w:txbxContent>
                        </wps:txbx>
                        <wps:bodyPr rot="0" vert="horz" wrap="square" lIns="91440" tIns="45720" rIns="91440" bIns="45720" anchor="t" anchorCtr="0" upright="1">
                          <a:noAutofit/>
                        </wps:bodyPr>
                      </wps:wsp>
                      <wps:wsp>
                        <wps:cNvPr id="9" name="Rectangle 4"/>
                        <wps:cNvSpPr>
                          <a:spLocks noChangeArrowheads="1"/>
                        </wps:cNvSpPr>
                        <wps:spPr bwMode="auto">
                          <a:xfrm>
                            <a:off x="0" y="1219200"/>
                            <a:ext cx="1974215" cy="457200"/>
                          </a:xfrm>
                          <a:prstGeom prst="rect">
                            <a:avLst/>
                          </a:prstGeom>
                          <a:solidFill>
                            <a:srgbClr val="FFFFFF"/>
                          </a:solidFill>
                          <a:ln w="9525">
                            <a:solidFill>
                              <a:srgbClr val="000000"/>
                            </a:solidFill>
                            <a:miter lim="800000"/>
                            <a:headEnd/>
                            <a:tailEnd/>
                          </a:ln>
                        </wps:spPr>
                        <wps:txbx>
                          <w:txbxContent>
                            <w:p w14:paraId="0EE6A217" w14:textId="77777777" w:rsidR="007C2B6A" w:rsidRDefault="007C2B6A" w:rsidP="008F3C03">
                              <w:pPr>
                                <w:jc w:val="center"/>
                              </w:pPr>
                              <w:r>
                                <w:rPr>
                                  <w:rFonts w:ascii="Times New Roman" w:eastAsia="Times New Roman" w:hAnsi="Times New Roman" w:cs="Times New Roman"/>
                                  <w:bCs/>
                                  <w:sz w:val="24"/>
                                  <w:szCs w:val="24"/>
                                </w:rPr>
                                <w:t>Thin Capitalization (TCAP)</w:t>
                              </w:r>
                            </w:p>
                          </w:txbxContent>
                        </wps:txbx>
                        <wps:bodyPr rot="0" vert="horz" wrap="square" lIns="91440" tIns="45720" rIns="91440" bIns="45720" anchor="t" anchorCtr="0" upright="1">
                          <a:noAutofit/>
                        </wps:bodyPr>
                      </wps:wsp>
                      <wps:wsp>
                        <wps:cNvPr id="10" name="Rectangle 5"/>
                        <wps:cNvSpPr>
                          <a:spLocks noChangeArrowheads="1"/>
                        </wps:cNvSpPr>
                        <wps:spPr bwMode="auto">
                          <a:xfrm>
                            <a:off x="0" y="1933575"/>
                            <a:ext cx="1974215" cy="457200"/>
                          </a:xfrm>
                          <a:prstGeom prst="rect">
                            <a:avLst/>
                          </a:prstGeom>
                          <a:solidFill>
                            <a:srgbClr val="FFFFFF"/>
                          </a:solidFill>
                          <a:ln w="9525">
                            <a:solidFill>
                              <a:srgbClr val="000000"/>
                            </a:solidFill>
                            <a:miter lim="800000"/>
                            <a:headEnd/>
                            <a:tailEnd/>
                          </a:ln>
                        </wps:spPr>
                        <wps:txbx>
                          <w:txbxContent>
                            <w:p w14:paraId="2BB605DF" w14:textId="77777777" w:rsidR="007C2B6A" w:rsidRDefault="007C2B6A" w:rsidP="008F3C03">
                              <w:pPr>
                                <w:jc w:val="center"/>
                              </w:pPr>
                              <w:r>
                                <w:rPr>
                                  <w:rFonts w:ascii="Times New Roman" w:eastAsia="Times New Roman" w:hAnsi="Times New Roman" w:cs="Times New Roman"/>
                                  <w:bCs/>
                                  <w:sz w:val="24"/>
                                  <w:szCs w:val="24"/>
                                </w:rPr>
                                <w:t>Depreciation Tax Shield (DETS)</w:t>
                              </w:r>
                            </w:p>
                            <w:p w14:paraId="010C0F09" w14:textId="77777777" w:rsidR="007C2B6A" w:rsidRDefault="007C2B6A" w:rsidP="008F3C03"/>
                          </w:txbxContent>
                        </wps:txbx>
                        <wps:bodyPr rot="0" vert="horz" wrap="square" lIns="91440" tIns="45720" rIns="91440" bIns="45720" anchor="t" anchorCtr="0" upright="1">
                          <a:noAutofit/>
                        </wps:bodyPr>
                      </wps:wsp>
                      <wps:wsp>
                        <wps:cNvPr id="5" name="AutoShape 16"/>
                        <wps:cNvCnPr>
                          <a:cxnSpLocks noChangeShapeType="1"/>
                        </wps:cNvCnPr>
                        <wps:spPr bwMode="auto">
                          <a:xfrm flipV="1">
                            <a:off x="3371850" y="2219325"/>
                            <a:ext cx="337820" cy="6584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Rectangle 8"/>
                        <wps:cNvSpPr>
                          <a:spLocks noChangeArrowheads="1"/>
                        </wps:cNvSpPr>
                        <wps:spPr bwMode="auto">
                          <a:xfrm>
                            <a:off x="3733800" y="1828800"/>
                            <a:ext cx="1974215" cy="619125"/>
                          </a:xfrm>
                          <a:prstGeom prst="rect">
                            <a:avLst/>
                          </a:prstGeom>
                          <a:solidFill>
                            <a:srgbClr val="FFFFFF"/>
                          </a:solidFill>
                          <a:ln w="9525">
                            <a:solidFill>
                              <a:srgbClr val="000000"/>
                            </a:solidFill>
                            <a:miter lim="800000"/>
                            <a:headEnd/>
                            <a:tailEnd/>
                          </a:ln>
                        </wps:spPr>
                        <wps:txbx>
                          <w:txbxContent>
                            <w:p w14:paraId="711202FC" w14:textId="77777777" w:rsidR="007C2B6A" w:rsidRDefault="007C2B6A" w:rsidP="008F3C03">
                              <w:pPr>
                                <w:pStyle w:val="NoSpacing"/>
                                <w:jc w:val="center"/>
                                <w:rPr>
                                  <w:rFonts w:ascii="Times New Roman" w:hAnsi="Times New Roman" w:cs="Times New Roman"/>
                                  <w:sz w:val="24"/>
                                  <w:szCs w:val="24"/>
                                </w:rPr>
                              </w:pPr>
                              <w:r>
                                <w:rPr>
                                  <w:rFonts w:ascii="Times New Roman" w:hAnsi="Times New Roman" w:cs="Times New Roman"/>
                                  <w:sz w:val="24"/>
                                  <w:szCs w:val="24"/>
                                </w:rPr>
                                <w:t>Financial Distress</w:t>
                              </w:r>
                            </w:p>
                            <w:p w14:paraId="5B0981DE" w14:textId="77777777" w:rsidR="007C2B6A" w:rsidRDefault="007C2B6A" w:rsidP="008F3C03">
                              <w:pPr>
                                <w:pStyle w:val="NoSpacing"/>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eastAsia="Times New Roman" w:hAnsi="Times New Roman" w:cs="Times New Roman"/>
                                  <w:bCs/>
                                  <w:sz w:val="24"/>
                                  <w:szCs w:val="24"/>
                                </w:rPr>
                                <w:t>Altman’s Z-Score and Bankruptcy)</w:t>
                              </w:r>
                            </w:p>
                          </w:txbxContent>
                        </wps:txbx>
                        <wps:bodyPr rot="0" vert="horz" wrap="square" lIns="91440" tIns="45720" rIns="91440" bIns="45720" anchor="t" anchorCtr="0" upright="1">
                          <a:noAutofit/>
                        </wps:bodyPr>
                      </wps:wsp>
                      <wps:wsp>
                        <wps:cNvPr id="15" name="AutoShape 16"/>
                        <wps:cNvCnPr>
                          <a:cxnSpLocks noChangeShapeType="1"/>
                        </wps:cNvCnPr>
                        <wps:spPr bwMode="auto">
                          <a:xfrm>
                            <a:off x="1971675" y="723900"/>
                            <a:ext cx="1760220" cy="12725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AutoShape 17"/>
                        <wps:cNvCnPr>
                          <a:cxnSpLocks noChangeShapeType="1"/>
                        </wps:cNvCnPr>
                        <wps:spPr bwMode="auto">
                          <a:xfrm>
                            <a:off x="1971675" y="1428750"/>
                            <a:ext cx="1760220" cy="6197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AutoShape 18"/>
                        <wps:cNvCnPr>
                          <a:cxnSpLocks noChangeShapeType="1"/>
                        </wps:cNvCnPr>
                        <wps:spPr bwMode="auto">
                          <a:xfrm flipV="1">
                            <a:off x="1971675" y="2095500"/>
                            <a:ext cx="1760220" cy="73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AutoShape 20"/>
                        <wps:cNvSpPr>
                          <a:spLocks noChangeArrowheads="1"/>
                        </wps:cNvSpPr>
                        <wps:spPr bwMode="auto">
                          <a:xfrm rot="6912989">
                            <a:off x="3238500" y="1647825"/>
                            <a:ext cx="139065" cy="67310"/>
                          </a:xfrm>
                          <a:prstGeom prst="triangle">
                            <a:avLst>
                              <a:gd name="adj" fmla="val 57412"/>
                            </a:avLst>
                          </a:prstGeom>
                          <a:solidFill>
                            <a:sysClr val="windowText" lastClr="000000">
                              <a:lumMod val="100000"/>
                              <a:lumOff val="0"/>
                            </a:sysClr>
                          </a:solidFill>
                          <a:ln w="9525">
                            <a:solidFill>
                              <a:srgbClr val="000000"/>
                            </a:solidFill>
                            <a:miter lim="800000"/>
                            <a:headEnd/>
                            <a:tailEnd/>
                          </a:ln>
                        </wps:spPr>
                        <wps:bodyPr rot="0" vert="horz" wrap="square" lIns="91440" tIns="45720" rIns="91440" bIns="45720" anchor="t" anchorCtr="0" upright="1">
                          <a:noAutofit/>
                        </wps:bodyPr>
                      </wps:wsp>
                      <wps:wsp>
                        <wps:cNvPr id="20" name="AutoShape 21"/>
                        <wps:cNvSpPr>
                          <a:spLocks noChangeArrowheads="1"/>
                        </wps:cNvSpPr>
                        <wps:spPr bwMode="auto">
                          <a:xfrm rot="6912989">
                            <a:off x="3200400" y="1847850"/>
                            <a:ext cx="139065" cy="67310"/>
                          </a:xfrm>
                          <a:prstGeom prst="triangle">
                            <a:avLst>
                              <a:gd name="adj" fmla="val 57412"/>
                            </a:avLst>
                          </a:prstGeom>
                          <a:solidFill>
                            <a:sysClr val="windowText" lastClr="000000">
                              <a:lumMod val="100000"/>
                              <a:lumOff val="0"/>
                            </a:sysClr>
                          </a:solidFill>
                          <a:ln w="9525">
                            <a:solidFill>
                              <a:srgbClr val="000000"/>
                            </a:solidFill>
                            <a:miter lim="800000"/>
                            <a:headEnd/>
                            <a:tailEnd/>
                          </a:ln>
                        </wps:spPr>
                        <wps:bodyPr rot="0" vert="horz" wrap="square" lIns="91440" tIns="45720" rIns="91440" bIns="45720" anchor="t" anchorCtr="0" upright="1">
                          <a:noAutofit/>
                        </wps:bodyPr>
                      </wps:wsp>
                      <wps:wsp>
                        <wps:cNvPr id="18" name="AutoShape 19"/>
                        <wps:cNvCnPr>
                          <a:cxnSpLocks noChangeShapeType="1"/>
                        </wps:cNvCnPr>
                        <wps:spPr bwMode="auto">
                          <a:xfrm flipV="1">
                            <a:off x="1981200" y="2162175"/>
                            <a:ext cx="1757680" cy="7169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AutoShape 22"/>
                        <wps:cNvSpPr>
                          <a:spLocks noChangeArrowheads="1"/>
                        </wps:cNvSpPr>
                        <wps:spPr bwMode="auto">
                          <a:xfrm rot="6912989">
                            <a:off x="3200400" y="2057400"/>
                            <a:ext cx="139065" cy="67310"/>
                          </a:xfrm>
                          <a:prstGeom prst="triangle">
                            <a:avLst>
                              <a:gd name="adj" fmla="val 57412"/>
                            </a:avLst>
                          </a:prstGeom>
                          <a:solidFill>
                            <a:sysClr val="windowText" lastClr="000000">
                              <a:lumMod val="100000"/>
                              <a:lumOff val="0"/>
                            </a:sysClr>
                          </a:solidFill>
                          <a:ln w="9525">
                            <a:solidFill>
                              <a:srgbClr val="000000"/>
                            </a:solidFill>
                            <a:miter lim="800000"/>
                            <a:headEnd/>
                            <a:tailEnd/>
                          </a:ln>
                        </wps:spPr>
                        <wps:bodyPr rot="0" vert="horz" wrap="square" lIns="91440" tIns="45720" rIns="91440" bIns="45720" anchor="t" anchorCtr="0" upright="1">
                          <a:noAutofit/>
                        </wps:bodyPr>
                      </wps:wsp>
                      <wps:wsp>
                        <wps:cNvPr id="22" name="AutoShape 23"/>
                        <wps:cNvSpPr>
                          <a:spLocks noChangeArrowheads="1"/>
                        </wps:cNvSpPr>
                        <wps:spPr bwMode="auto">
                          <a:xfrm rot="3253251">
                            <a:off x="3276600" y="2276475"/>
                            <a:ext cx="149860" cy="100965"/>
                          </a:xfrm>
                          <a:prstGeom prst="triangle">
                            <a:avLst>
                              <a:gd name="adj" fmla="val 57412"/>
                            </a:avLst>
                          </a:prstGeom>
                          <a:solidFill>
                            <a:sysClr val="windowText" lastClr="000000">
                              <a:lumMod val="100000"/>
                              <a:lumOff val="0"/>
                            </a:sysClr>
                          </a:solidFill>
                          <a:ln w="9525">
                            <a:solidFill>
                              <a:srgbClr val="000000"/>
                            </a:solidFill>
                            <a:miter lim="800000"/>
                            <a:headEnd/>
                            <a:tailEnd/>
                          </a:ln>
                        </wps:spPr>
                        <wps:bodyPr rot="0" vert="horz" wrap="square" lIns="91440" tIns="45720" rIns="91440" bIns="45720" anchor="t" anchorCtr="0" upright="1">
                          <a:noAutofit/>
                        </wps:bodyPr>
                      </wps:wsp>
                      <wps:wsp>
                        <wps:cNvPr id="11" name="Rectangle 6"/>
                        <wps:cNvSpPr>
                          <a:spLocks noChangeArrowheads="1"/>
                        </wps:cNvSpPr>
                        <wps:spPr bwMode="auto">
                          <a:xfrm>
                            <a:off x="0" y="2657475"/>
                            <a:ext cx="1974215" cy="457200"/>
                          </a:xfrm>
                          <a:prstGeom prst="rect">
                            <a:avLst/>
                          </a:prstGeom>
                          <a:solidFill>
                            <a:srgbClr val="FFFFFF"/>
                          </a:solidFill>
                          <a:ln w="9525">
                            <a:solidFill>
                              <a:srgbClr val="000000"/>
                            </a:solidFill>
                            <a:miter lim="800000"/>
                            <a:headEnd/>
                            <a:tailEnd/>
                          </a:ln>
                        </wps:spPr>
                        <wps:txbx>
                          <w:txbxContent>
                            <w:p w14:paraId="1585885B" w14:textId="77777777" w:rsidR="007C2B6A" w:rsidRDefault="007C2B6A" w:rsidP="008F3C03">
                              <w:pPr>
                                <w:spacing w:line="240" w:lineRule="auto"/>
                                <w:jc w:val="center"/>
                              </w:pPr>
                              <w:r>
                                <w:rPr>
                                  <w:rFonts w:ascii="Times New Roman" w:eastAsia="Times New Roman" w:hAnsi="Times New Roman" w:cs="Times New Roman"/>
                                  <w:bCs/>
                                  <w:sz w:val="24"/>
                                  <w:szCs w:val="24"/>
                                </w:rPr>
                                <w:t>Effective Tax Rate (ETR)</w:t>
                              </w:r>
                            </w:p>
                            <w:p w14:paraId="3ECCBF49" w14:textId="77777777" w:rsidR="007C2B6A" w:rsidRDefault="007C2B6A" w:rsidP="008F3C03"/>
                          </w:txbxContent>
                        </wps:txbx>
                        <wps:bodyPr rot="0" vert="horz" wrap="square" lIns="91440" tIns="45720" rIns="91440" bIns="45720" anchor="t" anchorCtr="0" upright="1">
                          <a:noAutofit/>
                        </wps:bodyPr>
                      </wps:wsp>
                      <wps:wsp>
                        <wps:cNvPr id="12" name="Rectangle 7"/>
                        <wps:cNvSpPr>
                          <a:spLocks noChangeArrowheads="1"/>
                        </wps:cNvSpPr>
                        <wps:spPr bwMode="auto">
                          <a:xfrm>
                            <a:off x="0" y="3419475"/>
                            <a:ext cx="1974215" cy="457200"/>
                          </a:xfrm>
                          <a:prstGeom prst="rect">
                            <a:avLst/>
                          </a:prstGeom>
                          <a:solidFill>
                            <a:srgbClr val="FFFFFF"/>
                          </a:solidFill>
                          <a:ln w="9525">
                            <a:solidFill>
                              <a:srgbClr val="000000"/>
                            </a:solidFill>
                            <a:miter lim="800000"/>
                            <a:headEnd/>
                            <a:tailEnd/>
                          </a:ln>
                        </wps:spPr>
                        <wps:txbx>
                          <w:txbxContent>
                            <w:p w14:paraId="71386E58" w14:textId="77777777" w:rsidR="007C2B6A" w:rsidRDefault="007C2B6A" w:rsidP="008F3C03">
                              <w:pPr>
                                <w:jc w:val="center"/>
                              </w:pPr>
                              <w:r>
                                <w:rPr>
                                  <w:rFonts w:ascii="Times New Roman" w:eastAsia="Times New Roman" w:hAnsi="Times New Roman" w:cs="Times New Roman"/>
                                  <w:bCs/>
                                  <w:sz w:val="24"/>
                                  <w:szCs w:val="24"/>
                                </w:rPr>
                                <w:t>Capital Intensity (CAPINT)</w:t>
                              </w:r>
                            </w:p>
                            <w:p w14:paraId="1CEE1E4E" w14:textId="77777777" w:rsidR="007C2B6A" w:rsidRDefault="007C2B6A" w:rsidP="008F3C03"/>
                          </w:txbxContent>
                        </wps:txbx>
                        <wps:bodyPr rot="0" vert="horz" wrap="square" lIns="91440" tIns="45720" rIns="91440" bIns="45720" anchor="t" anchorCtr="0" upright="1">
                          <a:noAutofit/>
                        </wps:bodyPr>
                      </wps:wsp>
                      <wps:wsp>
                        <wps:cNvPr id="14" name="Rectangle 14"/>
                        <wps:cNvSpPr>
                          <a:spLocks noChangeArrowheads="1"/>
                        </wps:cNvSpPr>
                        <wps:spPr bwMode="auto">
                          <a:xfrm>
                            <a:off x="3009900" y="2876550"/>
                            <a:ext cx="871220" cy="314325"/>
                          </a:xfrm>
                          <a:prstGeom prst="rect">
                            <a:avLst/>
                          </a:prstGeom>
                          <a:solidFill>
                            <a:srgbClr val="FFFFFF"/>
                          </a:solidFill>
                          <a:ln w="9525">
                            <a:solidFill>
                              <a:srgbClr val="000000"/>
                            </a:solidFill>
                            <a:miter lim="800000"/>
                            <a:headEnd/>
                            <a:tailEnd/>
                          </a:ln>
                        </wps:spPr>
                        <wps:txbx>
                          <w:txbxContent>
                            <w:p w14:paraId="7AF752A4" w14:textId="77777777" w:rsidR="007C2B6A" w:rsidRDefault="007C2B6A" w:rsidP="008F3C03">
                              <w:pPr>
                                <w:jc w:val="center"/>
                              </w:pPr>
                              <w:r>
                                <w:rPr>
                                  <w:rFonts w:ascii="Times New Roman" w:eastAsia="Times New Roman" w:hAnsi="Times New Roman" w:cs="Times New Roman"/>
                                  <w:bCs/>
                                  <w:sz w:val="24"/>
                                  <w:szCs w:val="24"/>
                                </w:rPr>
                                <w:t>Firm Size</w:t>
                              </w:r>
                            </w:p>
                            <w:p w14:paraId="7D2A4919" w14:textId="77777777" w:rsidR="007C2B6A" w:rsidRDefault="007C2B6A" w:rsidP="008F3C03"/>
                          </w:txbxContent>
                        </wps:txbx>
                        <wps:bodyPr rot="0" vert="horz" wrap="square" lIns="91440" tIns="45720" rIns="91440" bIns="45720" anchor="t" anchorCtr="0" upright="1">
                          <a:noAutofit/>
                        </wps:bodyPr>
                      </wps:wsp>
                      <wps:wsp>
                        <wps:cNvPr id="24" name="AutoShape 25"/>
                        <wps:cNvSpPr>
                          <a:spLocks noChangeArrowheads="1"/>
                        </wps:cNvSpPr>
                        <wps:spPr bwMode="auto">
                          <a:xfrm rot="3253251">
                            <a:off x="3324225" y="2486025"/>
                            <a:ext cx="149860" cy="100965"/>
                          </a:xfrm>
                          <a:prstGeom prst="triangle">
                            <a:avLst>
                              <a:gd name="adj" fmla="val 57412"/>
                            </a:avLst>
                          </a:prstGeom>
                          <a:solidFill>
                            <a:sysClr val="windowText" lastClr="000000">
                              <a:lumMod val="100000"/>
                              <a:lumOff val="0"/>
                            </a:sysClr>
                          </a:solidFill>
                          <a:ln w="9525">
                            <a:solidFill>
                              <a:srgbClr val="000000"/>
                            </a:solidFill>
                            <a:miter lim="800000"/>
                            <a:headEnd/>
                            <a:tailEnd/>
                          </a:ln>
                        </wps:spPr>
                        <wps:bodyPr rot="0" vert="horz" wrap="square" lIns="91440" tIns="45720" rIns="91440" bIns="45720" anchor="t" anchorCtr="0" upright="1">
                          <a:noAutofit/>
                        </wps:bodyPr>
                      </wps:wsp>
                      <wps:wsp>
                        <wps:cNvPr id="23" name="AutoShape 24"/>
                        <wps:cNvCnPr>
                          <a:cxnSpLocks noChangeShapeType="1"/>
                        </wps:cNvCnPr>
                        <wps:spPr bwMode="auto">
                          <a:xfrm flipV="1">
                            <a:off x="1962150" y="2362200"/>
                            <a:ext cx="1691640" cy="12623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 name="AutoShape 5"/>
                        <wps:cNvCnPr>
                          <a:cxnSpLocks noChangeShapeType="1"/>
                        </wps:cNvCnPr>
                        <wps:spPr bwMode="auto">
                          <a:xfrm flipV="1">
                            <a:off x="3400425" y="3190875"/>
                            <a:ext cx="0" cy="68135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Text Box 25"/>
                        <wps:cNvSpPr txBox="1"/>
                        <wps:spPr>
                          <a:xfrm rot="178692">
                            <a:off x="2352675" y="981075"/>
                            <a:ext cx="454025" cy="363220"/>
                          </a:xfrm>
                          <a:prstGeom prst="rect">
                            <a:avLst/>
                          </a:prstGeom>
                          <a:solidFill>
                            <a:schemeClr val="bg1"/>
                          </a:solidFill>
                          <a:ln>
                            <a:noFill/>
                          </a:ln>
                        </wps:spPr>
                        <wps:txbx>
                          <w:txbxContent>
                            <w:p w14:paraId="5FA58D07" w14:textId="77777777" w:rsidR="007C2B6A" w:rsidRPr="00FF5BEF" w:rsidRDefault="007C2B6A" w:rsidP="00FF5BEF">
                              <w:pPr>
                                <w:pStyle w:val="ListParagraph"/>
                                <w:spacing w:before="100" w:beforeAutospacing="1" w:after="100" w:afterAutospacing="1" w:line="240" w:lineRule="auto"/>
                                <w:ind w:left="0"/>
                                <w:jc w:val="center"/>
                                <w:outlineLvl w:val="0"/>
                                <w:rPr>
                                  <w:rFonts w:ascii="Times New Roman" w:eastAsia="Times New Roman" w:hAnsi="Times New Roman" w:cs="Times New Roman"/>
                                  <w:bCs/>
                                  <w:color w:val="000000" w:themeColor="text1"/>
                                  <w:kern w:val="36"/>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F5BEF">
                                <w:rPr>
                                  <w:rFonts w:ascii="Times New Roman" w:eastAsia="Times New Roman" w:hAnsi="Times New Roman" w:cs="Times New Roman"/>
                                  <w:bCs/>
                                  <w:color w:val="000000" w:themeColor="text1"/>
                                  <w:kern w:val="36"/>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w:t>
                              </w:r>
                              <w:r w:rsidRPr="00FF5BEF">
                                <w:rPr>
                                  <w:rFonts w:ascii="Times New Roman" w:eastAsia="Times New Roman" w:hAnsi="Times New Roman" w:cs="Times New Roman"/>
                                  <w:bCs/>
                                  <w:color w:val="000000" w:themeColor="text1"/>
                                  <w:kern w:val="36"/>
                                  <w:sz w:val="24"/>
                                  <w:szCs w:val="24"/>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6" name="Text Box 26"/>
                        <wps:cNvSpPr txBox="1"/>
                        <wps:spPr>
                          <a:xfrm>
                            <a:off x="2314575" y="1485900"/>
                            <a:ext cx="454025" cy="363220"/>
                          </a:xfrm>
                          <a:prstGeom prst="rect">
                            <a:avLst/>
                          </a:prstGeom>
                          <a:solidFill>
                            <a:schemeClr val="bg1"/>
                          </a:solidFill>
                          <a:ln>
                            <a:noFill/>
                          </a:ln>
                        </wps:spPr>
                        <wps:txbx>
                          <w:txbxContent>
                            <w:p w14:paraId="04D0DF3C" w14:textId="77777777" w:rsidR="007C2B6A" w:rsidRPr="00FF5BEF" w:rsidRDefault="007C2B6A" w:rsidP="00FF5BEF">
                              <w:pPr>
                                <w:pStyle w:val="isselectedend"/>
                                <w:contextualSpacing/>
                                <w:jc w:val="center"/>
                                <w:outlineLvl w:val="0"/>
                                <w:rPr>
                                  <w:bCs/>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F5BEF">
                                <w:rPr>
                                  <w:bCs/>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w:t>
                              </w:r>
                              <w:r w:rsidRPr="00FF5BEF">
                                <w:rPr>
                                  <w:bCs/>
                                  <w:color w:val="000000" w:themeColor="text1"/>
                                  <w:kern w:val="36"/>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7" name="Text Box 27"/>
                        <wps:cNvSpPr txBox="1"/>
                        <wps:spPr>
                          <a:xfrm>
                            <a:off x="2305050" y="1990725"/>
                            <a:ext cx="454025" cy="363220"/>
                          </a:xfrm>
                          <a:prstGeom prst="rect">
                            <a:avLst/>
                          </a:prstGeom>
                          <a:solidFill>
                            <a:sysClr val="window" lastClr="FFFFFF"/>
                          </a:solidFill>
                          <a:ln>
                            <a:noFill/>
                          </a:ln>
                        </wps:spPr>
                        <wps:txbx>
                          <w:txbxContent>
                            <w:p w14:paraId="06BB804C" w14:textId="77777777" w:rsidR="007C2B6A" w:rsidRPr="00FF5BEF" w:rsidRDefault="007C2B6A" w:rsidP="00FF5BEF">
                              <w:pPr>
                                <w:pStyle w:val="isselectedend"/>
                                <w:contextualSpacing/>
                                <w:jc w:val="center"/>
                                <w:outlineLvl w:val="0"/>
                                <w:rPr>
                                  <w:bCs/>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F5BEF">
                                <w:rPr>
                                  <w:bCs/>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w:t>
                              </w:r>
                              <w:r>
                                <w:rPr>
                                  <w:bCs/>
                                  <w:color w:val="000000" w:themeColor="text1"/>
                                  <w:kern w:val="36"/>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8" name="Text Box 28"/>
                        <wps:cNvSpPr txBox="1"/>
                        <wps:spPr>
                          <a:xfrm>
                            <a:off x="2333625" y="2495550"/>
                            <a:ext cx="454025" cy="363220"/>
                          </a:xfrm>
                          <a:prstGeom prst="rect">
                            <a:avLst/>
                          </a:prstGeom>
                          <a:solidFill>
                            <a:sysClr val="window" lastClr="FFFFFF"/>
                          </a:solidFill>
                          <a:ln>
                            <a:noFill/>
                          </a:ln>
                        </wps:spPr>
                        <wps:txbx>
                          <w:txbxContent>
                            <w:p w14:paraId="3CA17C49" w14:textId="77777777" w:rsidR="007C2B6A" w:rsidRPr="00FF5BEF" w:rsidRDefault="007C2B6A" w:rsidP="001C5155">
                              <w:pPr>
                                <w:pStyle w:val="isselectedend"/>
                                <w:contextualSpacing/>
                                <w:jc w:val="center"/>
                                <w:outlineLvl w:val="0"/>
                                <w:rPr>
                                  <w:bCs/>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F5BEF">
                                <w:rPr>
                                  <w:bCs/>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w:t>
                              </w:r>
                              <w:r>
                                <w:rPr>
                                  <w:bCs/>
                                  <w:color w:val="000000" w:themeColor="text1"/>
                                  <w:kern w:val="36"/>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9" name="Text Box 29"/>
                        <wps:cNvSpPr txBox="1"/>
                        <wps:spPr>
                          <a:xfrm>
                            <a:off x="2343150" y="3038475"/>
                            <a:ext cx="454025" cy="363220"/>
                          </a:xfrm>
                          <a:prstGeom prst="rect">
                            <a:avLst/>
                          </a:prstGeom>
                          <a:solidFill>
                            <a:sysClr val="window" lastClr="FFFFFF"/>
                          </a:solidFill>
                          <a:ln>
                            <a:noFill/>
                          </a:ln>
                        </wps:spPr>
                        <wps:txbx>
                          <w:txbxContent>
                            <w:p w14:paraId="520B995A" w14:textId="77777777" w:rsidR="007C2B6A" w:rsidRPr="00FF5BEF" w:rsidRDefault="007C2B6A" w:rsidP="001C5155">
                              <w:pPr>
                                <w:pStyle w:val="isselectedend"/>
                                <w:contextualSpacing/>
                                <w:jc w:val="center"/>
                                <w:outlineLvl w:val="0"/>
                                <w:rPr>
                                  <w:bCs/>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F5BEF">
                                <w:rPr>
                                  <w:bCs/>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w:t>
                              </w:r>
                              <w:r>
                                <w:rPr>
                                  <w:bCs/>
                                  <w:color w:val="000000" w:themeColor="text1"/>
                                  <w:kern w:val="36"/>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xmlns:w16cei="http://schemas.microsoft.com/office/word/2026/wordml/cei">
            <w:pict>
              <v:group w14:anchorId="55642338" id="Group 31" o:spid="_x0000_s1026" style="position:absolute;left:0;text-align:left;margin-left:26.25pt;margin-top:11.65pt;width:449.45pt;height:305.25pt;z-index:251672576" coordsize="57080,38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">
                <v:shapetype id="_x0000_t32" coordsize="21600,21600" o:spt="32" o:oned="t" path="m,l21600,21600e" filled="f">
                  <v:path arrowok="t" fillok="f" o:connecttype="none"/>
                  <o:lock v:ext="edit" shapetype="t"/>
                </v:shapetype>
                <v:shape id="AutoShape 7" o:spid="_x0000_s1027" type="#_x0000_t32" style="position:absolute;left:8572;top:95;width:0;height:50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">
                  <v:stroke endarrow="block"/>
                </v:shape>
                <v:shape id="AutoShape 8" o:spid="_x0000_s1028" type="#_x0000_t32" style="position:absolute;left:44862;width:445;height:183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">
                  <v:stroke endarrow="block"/>
                </v:shape>
                <v:rect id="Rectangle 3" o:spid="_x0000_s1029" style="position:absolute;top:5143;width:19742;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">
                  <v:textbox>
                    <w:txbxContent>
                      <w:p w14:paraId="29D43127" w14:textId="77777777" w:rsidR="007C2B6A" w:rsidRDefault="007C2B6A" w:rsidP="008F3C03">
                        <w:pPr>
                          <w:pStyle w:val="NoSpacing"/>
                          <w:jc w:val="center"/>
                          <w:rPr>
                            <w:rFonts w:ascii="Times New Roman" w:hAnsi="Times New Roman" w:cs="Times New Roman"/>
                            <w:sz w:val="24"/>
                            <w:szCs w:val="24"/>
                          </w:rPr>
                        </w:pPr>
                        <w:r>
                          <w:rPr>
                            <w:rFonts w:ascii="Times New Roman" w:hAnsi="Times New Roman" w:cs="Times New Roman"/>
                            <w:sz w:val="24"/>
                            <w:szCs w:val="24"/>
                          </w:rPr>
                          <w:t>Tax Shield</w:t>
                        </w:r>
                      </w:p>
                      <w:p w14:paraId="4C6E5FC3" w14:textId="77777777" w:rsidR="007C2B6A" w:rsidRDefault="007C2B6A" w:rsidP="008F3C03">
                        <w:pPr>
                          <w:pStyle w:val="NoSpacing"/>
                          <w:jc w:val="center"/>
                          <w:rPr>
                            <w:rFonts w:ascii="Times New Roman" w:hAnsi="Times New Roman" w:cs="Times New Roman"/>
                            <w:sz w:val="24"/>
                            <w:szCs w:val="24"/>
                          </w:rPr>
                        </w:pPr>
                        <w:r>
                          <w:rPr>
                            <w:rFonts w:ascii="Times New Roman" w:hAnsi="Times New Roman" w:cs="Times New Roman"/>
                            <w:sz w:val="24"/>
                            <w:szCs w:val="24"/>
                          </w:rPr>
                          <w:t xml:space="preserve"> Strategies</w:t>
                        </w:r>
                      </w:p>
                      <w:p w14:paraId="415C9754" w14:textId="77777777" w:rsidR="007C2B6A" w:rsidRDefault="007C2B6A" w:rsidP="008F3C03"/>
                    </w:txbxContent>
                  </v:textbox>
                </v:rect>
                <v:rect id="Rectangle 4" o:spid="_x0000_s1030" style="position:absolute;top:12192;width:19742;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">
                  <v:textbox>
                    <w:txbxContent>
                      <w:p w14:paraId="0EE6A217" w14:textId="77777777" w:rsidR="007C2B6A" w:rsidRDefault="007C2B6A" w:rsidP="008F3C03">
                        <w:pPr>
                          <w:jc w:val="center"/>
                        </w:pPr>
                        <w:r>
                          <w:rPr>
                            <w:rFonts w:ascii="Times New Roman" w:eastAsia="Times New Roman" w:hAnsi="Times New Roman" w:cs="Times New Roman"/>
                            <w:bCs/>
                            <w:sz w:val="24"/>
                            <w:szCs w:val="24"/>
                          </w:rPr>
                          <w:t>Thin Capitalization (TCAP)</w:t>
                        </w:r>
                      </w:p>
                    </w:txbxContent>
                  </v:textbox>
                </v:rect>
                <v:rect id="Rectangle 5" o:spid="_x0000_s1031" style="position:absolute;top:19335;width:19742;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">
                  <v:textbox>
                    <w:txbxContent>
                      <w:p w14:paraId="2BB605DF" w14:textId="77777777" w:rsidR="007C2B6A" w:rsidRDefault="007C2B6A" w:rsidP="008F3C03">
                        <w:pPr>
                          <w:jc w:val="center"/>
                        </w:pPr>
                        <w:r>
                          <w:rPr>
                            <w:rFonts w:ascii="Times New Roman" w:eastAsia="Times New Roman" w:hAnsi="Times New Roman" w:cs="Times New Roman"/>
                            <w:bCs/>
                            <w:sz w:val="24"/>
                            <w:szCs w:val="24"/>
                          </w:rPr>
                          <w:t>Depreciation Tax Shield (DETS)</w:t>
                        </w:r>
                      </w:p>
                      <w:p w14:paraId="010C0F09" w14:textId="77777777" w:rsidR="007C2B6A" w:rsidRDefault="007C2B6A" w:rsidP="008F3C03"/>
                    </w:txbxContent>
                  </v:textbox>
                </v:rect>
                <v:shape id="AutoShape 16" o:spid="_x0000_s1032" type="#_x0000_t32" style="position:absolute;left:33718;top:22193;width:3378;height:658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">
                  <v:stroke endarrow="block"/>
                </v:shape>
                <v:rect id="Rectangle 8" o:spid="_x0000_s1033" style="position:absolute;left:37338;top:18288;width:19742;height:6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">
                  <v:textbox>
                    <w:txbxContent>
                      <w:p w14:paraId="711202FC" w14:textId="77777777" w:rsidR="007C2B6A" w:rsidRDefault="007C2B6A" w:rsidP="008F3C03">
                        <w:pPr>
                          <w:pStyle w:val="NoSpacing"/>
                          <w:jc w:val="center"/>
                          <w:rPr>
                            <w:rFonts w:ascii="Times New Roman" w:hAnsi="Times New Roman" w:cs="Times New Roman"/>
                            <w:sz w:val="24"/>
                            <w:szCs w:val="24"/>
                          </w:rPr>
                        </w:pPr>
                        <w:r>
                          <w:rPr>
                            <w:rFonts w:ascii="Times New Roman" w:hAnsi="Times New Roman" w:cs="Times New Roman"/>
                            <w:sz w:val="24"/>
                            <w:szCs w:val="24"/>
                          </w:rPr>
                          <w:t>Financial Distress</w:t>
                        </w:r>
                      </w:p>
                      <w:p w14:paraId="5B0981DE" w14:textId="77777777" w:rsidR="007C2B6A" w:rsidRDefault="007C2B6A" w:rsidP="008F3C03">
                        <w:pPr>
                          <w:pStyle w:val="NoSpacing"/>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eastAsia="Times New Roman" w:hAnsi="Times New Roman" w:cs="Times New Roman"/>
                            <w:bCs/>
                            <w:sz w:val="24"/>
                            <w:szCs w:val="24"/>
                          </w:rPr>
                          <w:t>Altman’s Z-Score and Bankruptcy)</w:t>
                        </w:r>
                      </w:p>
                    </w:txbxContent>
                  </v:textbox>
                </v:rect>
                <v:shape id="AutoShape 16" o:spid="_x0000_s1034" type="#_x0000_t32" style="position:absolute;left:19716;top:7239;width:17602;height:127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kvhwgAAANsAAAAPAAAAZHJzL2Rvd25yZXYueG1sRE9Ni8Iw&#10;EL0L/ocwgjdNXVD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DPdkvhwgAAANsAAAAPAAAA&#10;AAAAAAAAAAAAAAcCAABkcnMvZG93bnJldi54bWxQSwUGAAAAAAMAAwC3AAAA9gIAAAAA&#10;">
                  <v:stroke endarrow="block"/>
                </v:shape>
                <v:shape id="AutoShape 17" o:spid="_x0000_s1035" type="#_x0000_t32" style="position:absolute;left:19716;top:14287;width:17602;height:619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">
                  <v:stroke endarrow="block"/>
                </v:shape>
                <v:shape id="AutoShape 18" o:spid="_x0000_s1036" type="#_x0000_t32" style="position:absolute;left:19716;top:20955;width:17602;height:73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">
                  <v:stroke endarrow="block"/>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20" o:spid="_x0000_s1037" type="#_x0000_t5" style="position:absolute;left:32384;top:16478;width:1391;height:673;rotation:755082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" adj="12401" fillcolor="black"/>
                <v:shape id="AutoShape 21" o:spid="_x0000_s1038" type="#_x0000_t5" style="position:absolute;left:32003;top:18478;width:1391;height:673;rotation:755082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" adj="12401" fillcolor="black"/>
                <v:shape id="AutoShape 19" o:spid="_x0000_s1039" type="#_x0000_t32" style="position:absolute;left:19812;top:21621;width:17576;height:716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">
                  <v:stroke endarrow="block"/>
                </v:shape>
                <v:shape id="AutoShape 22" o:spid="_x0000_s1040" type="#_x0000_t5" style="position:absolute;left:32004;top:20573;width:1390;height:673;rotation:755082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" adj="12401" fillcolor="black"/>
                <v:shape id="AutoShape 23" o:spid="_x0000_s1041" type="#_x0000_t5" style="position:absolute;left:32766;top:22764;width:1498;height:1010;rotation:355341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" adj="12401" fillcolor="black"/>
                <v:rect id="Rectangle 6" o:spid="_x0000_s1042" style="position:absolute;top:26574;width:19742;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">
                  <v:textbox>
                    <w:txbxContent>
                      <w:p w14:paraId="1585885B" w14:textId="77777777" w:rsidR="007C2B6A" w:rsidRDefault="007C2B6A" w:rsidP="008F3C03">
                        <w:pPr>
                          <w:spacing w:line="240" w:lineRule="auto"/>
                          <w:jc w:val="center"/>
                        </w:pPr>
                        <w:r>
                          <w:rPr>
                            <w:rFonts w:ascii="Times New Roman" w:eastAsia="Times New Roman" w:hAnsi="Times New Roman" w:cs="Times New Roman"/>
                            <w:bCs/>
                            <w:sz w:val="24"/>
                            <w:szCs w:val="24"/>
                          </w:rPr>
                          <w:t>Effective Tax Rate (ETR)</w:t>
                        </w:r>
                      </w:p>
                      <w:p w14:paraId="3ECCBF49" w14:textId="77777777" w:rsidR="007C2B6A" w:rsidRDefault="007C2B6A" w:rsidP="008F3C03"/>
                    </w:txbxContent>
                  </v:textbox>
                </v:rect>
                <v:rect id="Rectangle 7" o:spid="_x0000_s1043" style="position:absolute;top:34194;width:19742;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">
                  <v:textbox>
                    <w:txbxContent>
                      <w:p w14:paraId="71386E58" w14:textId="77777777" w:rsidR="007C2B6A" w:rsidRDefault="007C2B6A" w:rsidP="008F3C03">
                        <w:pPr>
                          <w:jc w:val="center"/>
                        </w:pPr>
                        <w:r>
                          <w:rPr>
                            <w:rFonts w:ascii="Times New Roman" w:eastAsia="Times New Roman" w:hAnsi="Times New Roman" w:cs="Times New Roman"/>
                            <w:bCs/>
                            <w:sz w:val="24"/>
                            <w:szCs w:val="24"/>
                          </w:rPr>
                          <w:t>Capital Intensity (CAPINT)</w:t>
                        </w:r>
                      </w:p>
                      <w:p w14:paraId="1CEE1E4E" w14:textId="77777777" w:rsidR="007C2B6A" w:rsidRDefault="007C2B6A" w:rsidP="008F3C03"/>
                    </w:txbxContent>
                  </v:textbox>
                </v:rect>
                <v:rect id="Rectangle 14" o:spid="_x0000_s1044" style="position:absolute;left:30099;top:28765;width:8712;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">
                  <v:textbox>
                    <w:txbxContent>
                      <w:p w14:paraId="7AF752A4" w14:textId="77777777" w:rsidR="007C2B6A" w:rsidRDefault="007C2B6A" w:rsidP="008F3C03">
                        <w:pPr>
                          <w:jc w:val="center"/>
                        </w:pPr>
                        <w:r>
                          <w:rPr>
                            <w:rFonts w:ascii="Times New Roman" w:eastAsia="Times New Roman" w:hAnsi="Times New Roman" w:cs="Times New Roman"/>
                            <w:bCs/>
                            <w:sz w:val="24"/>
                            <w:szCs w:val="24"/>
                          </w:rPr>
                          <w:t>Firm Size</w:t>
                        </w:r>
                      </w:p>
                      <w:p w14:paraId="7D2A4919" w14:textId="77777777" w:rsidR="007C2B6A" w:rsidRDefault="007C2B6A" w:rsidP="008F3C03"/>
                    </w:txbxContent>
                  </v:textbox>
                </v:rect>
                <v:shape id="AutoShape 25" o:spid="_x0000_s1045" type="#_x0000_t5" style="position:absolute;left:33241;top:24860;width:1499;height:1010;rotation:355341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" adj="12401" fillcolor="black"/>
                <v:shape id="AutoShape 24" o:spid="_x0000_s1046" type="#_x0000_t32" style="position:absolute;left:19621;top:23622;width:16916;height:1262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">
                  <v:stroke endarrow="block"/>
                </v:shape>
                <v:shape id="AutoShape 5" o:spid="_x0000_s1047" type="#_x0000_t32" style="position:absolute;left:34004;top:31908;width:0;height:681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" strokeweight="1pt">
                  <v:stroke endarrow="block"/>
                </v:shape>
                <v:shapetype id="_x0000_t202" coordsize="21600,21600" o:spt="202" path="m,l,21600r21600,l21600,xe">
                  <v:stroke joinstyle="miter"/>
                  <v:path gradientshapeok="t" o:connecttype="rect"/>
                </v:shapetype>
                <v:shape id="Text Box 25" o:spid="_x0000_s1048" type="#_x0000_t202" style="position:absolute;left:23526;top:9810;width:4541;height:3632;rotation:195179fd;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" fillcolor="white [3212]" stroked="f">
                  <v:textbox>
                    <w:txbxContent>
                      <w:p w14:paraId="5FA58D07" w14:textId="77777777" w:rsidR="007C2B6A" w:rsidRPr="00FF5BEF" w:rsidRDefault="007C2B6A" w:rsidP="00FF5BEF">
                        <w:pPr>
                          <w:pStyle w:val="ListParagraph"/>
                          <w:spacing w:before="100" w:beforeAutospacing="1" w:after="100" w:afterAutospacing="1" w:line="240" w:lineRule="auto"/>
                          <w:ind w:left="0"/>
                          <w:jc w:val="center"/>
                          <w:outlineLvl w:val="0"/>
                          <w:rPr>
                            <w:rFonts w:ascii="Times New Roman" w:eastAsia="Times New Roman" w:hAnsi="Times New Roman" w:cs="Times New Roman"/>
                            <w:bCs/>
                            <w:color w:val="000000" w:themeColor="text1"/>
                            <w:kern w:val="36"/>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F5BEF">
                          <w:rPr>
                            <w:rFonts w:ascii="Times New Roman" w:eastAsia="Times New Roman" w:hAnsi="Times New Roman" w:cs="Times New Roman"/>
                            <w:bCs/>
                            <w:color w:val="000000" w:themeColor="text1"/>
                            <w:kern w:val="36"/>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w:t>
                        </w:r>
                        <w:r w:rsidRPr="00FF5BEF">
                          <w:rPr>
                            <w:rFonts w:ascii="Times New Roman" w:eastAsia="Times New Roman" w:hAnsi="Times New Roman" w:cs="Times New Roman"/>
                            <w:bCs/>
                            <w:color w:val="000000" w:themeColor="text1"/>
                            <w:kern w:val="36"/>
                            <w:sz w:val="24"/>
                            <w:szCs w:val="24"/>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xbxContent>
                  </v:textbox>
                </v:shape>
                <v:shape id="Text Box 26" o:spid="_x0000_s1049" type="#_x0000_t202" style="position:absolute;left:23145;top:14859;width:4541;height:36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" fillcolor="white [3212]" stroked="f">
                  <v:textbox>
                    <w:txbxContent>
                      <w:p w14:paraId="04D0DF3C" w14:textId="77777777" w:rsidR="007C2B6A" w:rsidRPr="00FF5BEF" w:rsidRDefault="007C2B6A" w:rsidP="00FF5BEF">
                        <w:pPr>
                          <w:pStyle w:val="isselectedend"/>
                          <w:contextualSpacing/>
                          <w:jc w:val="center"/>
                          <w:outlineLvl w:val="0"/>
                          <w:rPr>
                            <w:bCs/>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F5BEF">
                          <w:rPr>
                            <w:bCs/>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w:t>
                        </w:r>
                        <w:r w:rsidRPr="00FF5BEF">
                          <w:rPr>
                            <w:bCs/>
                            <w:color w:val="000000" w:themeColor="text1"/>
                            <w:kern w:val="36"/>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xbxContent>
                  </v:textbox>
                </v:shape>
                <v:shape id="Text Box 27" o:spid="_x0000_s1050" type="#_x0000_t202" style="position:absolute;left:23050;top:19907;width:4540;height:36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" fillcolor="window" stroked="f">
                  <v:textbox>
                    <w:txbxContent>
                      <w:p w14:paraId="06BB804C" w14:textId="77777777" w:rsidR="007C2B6A" w:rsidRPr="00FF5BEF" w:rsidRDefault="007C2B6A" w:rsidP="00FF5BEF">
                        <w:pPr>
                          <w:pStyle w:val="isselectedend"/>
                          <w:contextualSpacing/>
                          <w:jc w:val="center"/>
                          <w:outlineLvl w:val="0"/>
                          <w:rPr>
                            <w:bCs/>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F5BEF">
                          <w:rPr>
                            <w:bCs/>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w:t>
                        </w:r>
                        <w:r>
                          <w:rPr>
                            <w:bCs/>
                            <w:color w:val="000000" w:themeColor="text1"/>
                            <w:kern w:val="36"/>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xbxContent>
                  </v:textbox>
                </v:shape>
                <v:shape id="Text Box 28" o:spid="_x0000_s1051" type="#_x0000_t202" style="position:absolute;left:23336;top:24955;width:4540;height:36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" fillcolor="window" stroked="f">
                  <v:textbox>
                    <w:txbxContent>
                      <w:p w14:paraId="3CA17C49" w14:textId="77777777" w:rsidR="007C2B6A" w:rsidRPr="00FF5BEF" w:rsidRDefault="007C2B6A" w:rsidP="001C5155">
                        <w:pPr>
                          <w:pStyle w:val="isselectedend"/>
                          <w:contextualSpacing/>
                          <w:jc w:val="center"/>
                          <w:outlineLvl w:val="0"/>
                          <w:rPr>
                            <w:bCs/>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F5BEF">
                          <w:rPr>
                            <w:bCs/>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w:t>
                        </w:r>
                        <w:r>
                          <w:rPr>
                            <w:bCs/>
                            <w:color w:val="000000" w:themeColor="text1"/>
                            <w:kern w:val="36"/>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xbxContent>
                  </v:textbox>
                </v:shape>
                <v:shape id="Text Box 29" o:spid="_x0000_s1052" type="#_x0000_t202" style="position:absolute;left:23431;top:30384;width:4540;height:36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" fillcolor="window" stroked="f">
                  <v:textbox>
                    <w:txbxContent>
                      <w:p w14:paraId="520B995A" w14:textId="77777777" w:rsidR="007C2B6A" w:rsidRPr="00FF5BEF" w:rsidRDefault="007C2B6A" w:rsidP="001C5155">
                        <w:pPr>
                          <w:pStyle w:val="isselectedend"/>
                          <w:contextualSpacing/>
                          <w:jc w:val="center"/>
                          <w:outlineLvl w:val="0"/>
                          <w:rPr>
                            <w:bCs/>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F5BEF">
                          <w:rPr>
                            <w:bCs/>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w:t>
                        </w:r>
                        <w:r>
                          <w:rPr>
                            <w:bCs/>
                            <w:color w:val="000000" w:themeColor="text1"/>
                            <w:kern w:val="36"/>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txbxContent>
                  </v:textbox>
                </v:shape>
              </v:group>
            </w:pict>
          </mc:Fallback>
        </mc:AlternateContent>
      </w:r>
      <w:r w:rsidR="008F3C03" w:rsidRPr="008F3C03">
        <w:rPr>
          <w:rFonts w:ascii="Times New Roman" w:hAnsi="Times New Roman" w:cs="Times New Roman"/>
          <w:sz w:val="24"/>
          <w:szCs w:val="24"/>
        </w:rPr>
        <w:tab/>
      </w:r>
      <w:r w:rsidR="008F3C03" w:rsidRPr="008F3C03">
        <w:rPr>
          <w:rFonts w:ascii="Times New Roman" w:hAnsi="Times New Roman" w:cs="Times New Roman"/>
          <w:sz w:val="24"/>
          <w:szCs w:val="24"/>
          <w:u w:val="single"/>
        </w:rPr>
        <w:t>Independent Variables</w:t>
      </w:r>
      <w:r w:rsidR="008F3C03" w:rsidRPr="008F3C03">
        <w:rPr>
          <w:rFonts w:ascii="Times New Roman" w:hAnsi="Times New Roman" w:cs="Times New Roman"/>
          <w:sz w:val="24"/>
          <w:szCs w:val="24"/>
        </w:rPr>
        <w:tab/>
      </w:r>
      <w:r w:rsidR="008F3C03" w:rsidRPr="008F3C03">
        <w:rPr>
          <w:rFonts w:ascii="Times New Roman" w:hAnsi="Times New Roman" w:cs="Times New Roman"/>
          <w:sz w:val="24"/>
          <w:szCs w:val="24"/>
        </w:rPr>
        <w:tab/>
      </w:r>
      <w:r w:rsidR="008F3C03" w:rsidRPr="008F3C03">
        <w:rPr>
          <w:rFonts w:ascii="Times New Roman" w:hAnsi="Times New Roman" w:cs="Times New Roman"/>
          <w:sz w:val="24"/>
          <w:szCs w:val="24"/>
        </w:rPr>
        <w:tab/>
      </w:r>
      <w:r w:rsidR="008F3C03" w:rsidRPr="008F3C03">
        <w:rPr>
          <w:rFonts w:ascii="Times New Roman" w:hAnsi="Times New Roman" w:cs="Times New Roman"/>
          <w:sz w:val="24"/>
          <w:szCs w:val="24"/>
        </w:rPr>
        <w:tab/>
      </w:r>
      <w:r w:rsidR="008F3C03" w:rsidRPr="008F3C03">
        <w:rPr>
          <w:rFonts w:ascii="Times New Roman" w:hAnsi="Times New Roman" w:cs="Times New Roman"/>
          <w:sz w:val="24"/>
          <w:szCs w:val="24"/>
        </w:rPr>
        <w:tab/>
      </w:r>
      <w:r w:rsidR="008F3C03" w:rsidRPr="008F3C03">
        <w:rPr>
          <w:rFonts w:ascii="Times New Roman" w:hAnsi="Times New Roman" w:cs="Times New Roman"/>
          <w:sz w:val="24"/>
          <w:szCs w:val="24"/>
        </w:rPr>
        <w:tab/>
      </w:r>
      <w:r w:rsidR="008F3C03" w:rsidRPr="008F3C03">
        <w:rPr>
          <w:rFonts w:ascii="Times New Roman" w:hAnsi="Times New Roman" w:cs="Times New Roman"/>
          <w:sz w:val="24"/>
          <w:szCs w:val="24"/>
          <w:u w:val="single"/>
        </w:rPr>
        <w:t>Dependent Variables</w:t>
      </w:r>
    </w:p>
    <w:p w14:paraId="1BD270F7" w14:textId="77777777" w:rsidR="008F3C03" w:rsidRPr="008F3C03" w:rsidRDefault="008F3C03" w:rsidP="008F3C03">
      <w:pPr>
        <w:spacing w:after="0" w:line="360" w:lineRule="auto"/>
        <w:ind w:left="540" w:hanging="540"/>
        <w:jc w:val="both"/>
        <w:rPr>
          <w:rFonts w:ascii="Times New Roman" w:hAnsi="Times New Roman" w:cs="Times New Roman"/>
          <w:sz w:val="24"/>
          <w:szCs w:val="24"/>
        </w:rPr>
      </w:pPr>
    </w:p>
    <w:p w14:paraId="73446674" w14:textId="77777777" w:rsidR="008F3C03" w:rsidRPr="008F3C03" w:rsidRDefault="008F3C03" w:rsidP="008F3C03">
      <w:pPr>
        <w:spacing w:before="100" w:beforeAutospacing="1" w:after="100" w:afterAutospacing="1" w:line="240" w:lineRule="auto"/>
        <w:outlineLvl w:val="2"/>
        <w:rPr>
          <w:rFonts w:ascii="Times New Roman" w:eastAsia="Times New Roman" w:hAnsi="Times New Roman" w:cs="Times New Roman"/>
          <w:b/>
          <w:bCs/>
          <w:sz w:val="24"/>
          <w:szCs w:val="24"/>
        </w:rPr>
      </w:pPr>
    </w:p>
    <w:p w14:paraId="221B6F39" w14:textId="77777777" w:rsidR="008F3C03" w:rsidRPr="008F3C03" w:rsidRDefault="008F3C03" w:rsidP="008F3C03">
      <w:pPr>
        <w:spacing w:before="100" w:beforeAutospacing="1" w:after="100" w:afterAutospacing="1" w:line="240" w:lineRule="auto"/>
        <w:outlineLvl w:val="2"/>
        <w:rPr>
          <w:rFonts w:ascii="Times New Roman" w:eastAsia="Times New Roman" w:hAnsi="Times New Roman" w:cs="Times New Roman"/>
          <w:b/>
          <w:bCs/>
          <w:sz w:val="24"/>
          <w:szCs w:val="24"/>
        </w:rPr>
      </w:pPr>
    </w:p>
    <w:p w14:paraId="11869395" w14:textId="77777777" w:rsidR="008F3C03" w:rsidRPr="008F3C03" w:rsidRDefault="008F3C03" w:rsidP="008F3C03">
      <w:pPr>
        <w:spacing w:before="100" w:beforeAutospacing="1" w:after="100" w:afterAutospacing="1" w:line="240" w:lineRule="auto"/>
        <w:outlineLvl w:val="2"/>
        <w:rPr>
          <w:rFonts w:ascii="Times New Roman" w:eastAsia="Times New Roman" w:hAnsi="Times New Roman" w:cs="Times New Roman"/>
          <w:b/>
          <w:bCs/>
          <w:sz w:val="24"/>
          <w:szCs w:val="24"/>
        </w:rPr>
      </w:pPr>
    </w:p>
    <w:p w14:paraId="72D8859B" w14:textId="77777777" w:rsidR="008F3C03" w:rsidRPr="008F3C03" w:rsidRDefault="008F3C03" w:rsidP="008F3C03">
      <w:pPr>
        <w:spacing w:before="100" w:beforeAutospacing="1" w:after="100" w:afterAutospacing="1" w:line="240" w:lineRule="auto"/>
        <w:outlineLvl w:val="2"/>
        <w:rPr>
          <w:rFonts w:ascii="Times New Roman" w:eastAsia="Times New Roman" w:hAnsi="Times New Roman" w:cs="Times New Roman"/>
          <w:b/>
          <w:bCs/>
          <w:sz w:val="24"/>
          <w:szCs w:val="24"/>
        </w:rPr>
      </w:pPr>
    </w:p>
    <w:p w14:paraId="778A7A46" w14:textId="77777777" w:rsidR="008F3C03" w:rsidRPr="008F3C03" w:rsidRDefault="008F3C03" w:rsidP="008F3C03">
      <w:pPr>
        <w:spacing w:before="100" w:beforeAutospacing="1" w:after="100" w:afterAutospacing="1" w:line="240" w:lineRule="auto"/>
        <w:outlineLvl w:val="2"/>
        <w:rPr>
          <w:rFonts w:ascii="Times New Roman" w:eastAsia="Times New Roman" w:hAnsi="Times New Roman" w:cs="Times New Roman"/>
          <w:b/>
          <w:bCs/>
          <w:sz w:val="24"/>
          <w:szCs w:val="24"/>
        </w:rPr>
      </w:pPr>
    </w:p>
    <w:p w14:paraId="1681D016" w14:textId="77777777" w:rsidR="008F3C03" w:rsidRPr="008F3C03" w:rsidRDefault="008F3C03" w:rsidP="008F3C03">
      <w:pPr>
        <w:spacing w:before="100" w:beforeAutospacing="1" w:after="100" w:afterAutospacing="1" w:line="240" w:lineRule="auto"/>
        <w:outlineLvl w:val="2"/>
        <w:rPr>
          <w:rFonts w:ascii="Times New Roman" w:eastAsia="Times New Roman" w:hAnsi="Times New Roman" w:cs="Times New Roman"/>
          <w:b/>
          <w:bCs/>
          <w:sz w:val="24"/>
          <w:szCs w:val="24"/>
        </w:rPr>
      </w:pPr>
    </w:p>
    <w:p w14:paraId="0D188AD3" w14:textId="77777777" w:rsidR="008F3C03" w:rsidRPr="008F3C03" w:rsidRDefault="008F3C03" w:rsidP="008F3C03">
      <w:pPr>
        <w:spacing w:before="100" w:beforeAutospacing="1" w:after="100" w:afterAutospacing="1" w:line="240" w:lineRule="auto"/>
        <w:outlineLvl w:val="2"/>
        <w:rPr>
          <w:rFonts w:ascii="Times New Roman" w:eastAsia="Times New Roman" w:hAnsi="Times New Roman" w:cs="Times New Roman"/>
          <w:b/>
          <w:bCs/>
          <w:sz w:val="24"/>
          <w:szCs w:val="24"/>
        </w:rPr>
      </w:pPr>
    </w:p>
    <w:p w14:paraId="0192884A" w14:textId="77777777" w:rsidR="008F3C03" w:rsidRPr="008F3C03" w:rsidRDefault="008F3C03" w:rsidP="008F3C03">
      <w:pPr>
        <w:spacing w:before="100" w:beforeAutospacing="1" w:after="100" w:afterAutospacing="1" w:line="240" w:lineRule="auto"/>
        <w:outlineLvl w:val="2"/>
        <w:rPr>
          <w:rFonts w:ascii="Times New Roman" w:eastAsia="Times New Roman" w:hAnsi="Times New Roman" w:cs="Times New Roman"/>
          <w:b/>
          <w:bCs/>
          <w:sz w:val="24"/>
          <w:szCs w:val="24"/>
        </w:rPr>
      </w:pPr>
    </w:p>
    <w:p w14:paraId="6D8324DE" w14:textId="77777777" w:rsidR="008F3C03" w:rsidRPr="008F3C03" w:rsidRDefault="008F3C03" w:rsidP="008F3C03">
      <w:pPr>
        <w:spacing w:before="100" w:beforeAutospacing="1" w:after="100" w:afterAutospacing="1" w:line="240" w:lineRule="auto"/>
        <w:outlineLvl w:val="2"/>
        <w:rPr>
          <w:rFonts w:ascii="Times New Roman" w:eastAsia="Times New Roman" w:hAnsi="Times New Roman" w:cs="Times New Roman"/>
          <w:b/>
          <w:bCs/>
          <w:sz w:val="24"/>
          <w:szCs w:val="24"/>
        </w:rPr>
      </w:pPr>
    </w:p>
    <w:p w14:paraId="5B2A5C5F" w14:textId="77777777" w:rsidR="008F3C03" w:rsidRPr="008F3C03" w:rsidRDefault="008F3C03" w:rsidP="008F3C03">
      <w:pPr>
        <w:spacing w:before="100" w:beforeAutospacing="1" w:after="100" w:afterAutospacing="1" w:line="240" w:lineRule="auto"/>
        <w:outlineLvl w:val="2"/>
        <w:rPr>
          <w:rFonts w:ascii="Times New Roman" w:eastAsia="Times New Roman" w:hAnsi="Times New Roman" w:cs="Times New Roman"/>
          <w:bCs/>
          <w:sz w:val="24"/>
          <w:szCs w:val="24"/>
          <w:u w:val="single"/>
        </w:rPr>
      </w:pPr>
      <w:r w:rsidRPr="008F3C03">
        <w:rPr>
          <w:rFonts w:ascii="Times New Roman" w:eastAsia="Times New Roman" w:hAnsi="Times New Roman" w:cs="Times New Roman"/>
          <w:b/>
          <w:bCs/>
          <w:sz w:val="24"/>
          <w:szCs w:val="24"/>
        </w:rPr>
        <w:tab/>
      </w:r>
      <w:r w:rsidRPr="008F3C03">
        <w:rPr>
          <w:rFonts w:ascii="Times New Roman" w:eastAsia="Times New Roman" w:hAnsi="Times New Roman" w:cs="Times New Roman"/>
          <w:b/>
          <w:bCs/>
          <w:sz w:val="24"/>
          <w:szCs w:val="24"/>
        </w:rPr>
        <w:tab/>
      </w:r>
      <w:r w:rsidRPr="008F3C03">
        <w:rPr>
          <w:rFonts w:ascii="Times New Roman" w:eastAsia="Times New Roman" w:hAnsi="Times New Roman" w:cs="Times New Roman"/>
          <w:b/>
          <w:bCs/>
          <w:sz w:val="24"/>
          <w:szCs w:val="24"/>
        </w:rPr>
        <w:tab/>
      </w:r>
      <w:r w:rsidRPr="008F3C03">
        <w:rPr>
          <w:rFonts w:ascii="Times New Roman" w:eastAsia="Times New Roman" w:hAnsi="Times New Roman" w:cs="Times New Roman"/>
          <w:b/>
          <w:bCs/>
          <w:sz w:val="24"/>
          <w:szCs w:val="24"/>
        </w:rPr>
        <w:tab/>
      </w:r>
      <w:r w:rsidRPr="008F3C03">
        <w:rPr>
          <w:rFonts w:ascii="Times New Roman" w:eastAsia="Times New Roman" w:hAnsi="Times New Roman" w:cs="Times New Roman"/>
          <w:b/>
          <w:bCs/>
          <w:sz w:val="24"/>
          <w:szCs w:val="24"/>
        </w:rPr>
        <w:tab/>
      </w:r>
      <w:r w:rsidRPr="008F3C03">
        <w:rPr>
          <w:rFonts w:ascii="Times New Roman" w:eastAsia="Times New Roman" w:hAnsi="Times New Roman" w:cs="Times New Roman"/>
          <w:b/>
          <w:bCs/>
          <w:sz w:val="24"/>
          <w:szCs w:val="24"/>
        </w:rPr>
        <w:tab/>
      </w:r>
      <w:r w:rsidRPr="008F3C03">
        <w:rPr>
          <w:rFonts w:ascii="Times New Roman" w:eastAsia="Times New Roman" w:hAnsi="Times New Roman" w:cs="Times New Roman"/>
          <w:b/>
          <w:bCs/>
          <w:sz w:val="24"/>
          <w:szCs w:val="24"/>
        </w:rPr>
        <w:tab/>
      </w:r>
      <w:r w:rsidRPr="008F3C03">
        <w:rPr>
          <w:rFonts w:ascii="Times New Roman" w:eastAsia="Times New Roman" w:hAnsi="Times New Roman" w:cs="Times New Roman"/>
          <w:bCs/>
          <w:sz w:val="24"/>
          <w:szCs w:val="24"/>
          <w:u w:val="single"/>
        </w:rPr>
        <w:t>Control Variable</w:t>
      </w:r>
    </w:p>
    <w:p w14:paraId="03269A55" w14:textId="77777777" w:rsidR="008F3C03" w:rsidRPr="001D0DDC" w:rsidRDefault="008F3C03" w:rsidP="004F1EA0">
      <w:pPr>
        <w:spacing w:before="100" w:beforeAutospacing="1" w:after="100" w:afterAutospacing="1" w:line="240" w:lineRule="auto"/>
        <w:ind w:firstLine="360"/>
        <w:rPr>
          <w:rFonts w:ascii="Times New Roman" w:eastAsia="Times New Roman" w:hAnsi="Times New Roman" w:cs="Times New Roman"/>
          <w:sz w:val="24"/>
          <w:szCs w:val="24"/>
        </w:rPr>
      </w:pPr>
      <w:r w:rsidRPr="001D0DDC">
        <w:rPr>
          <w:rFonts w:ascii="Times New Roman" w:hAnsi="Times New Roman" w:cs="Times New Roman"/>
          <w:b/>
          <w:bCs/>
          <w:sz w:val="24"/>
          <w:szCs w:val="24"/>
        </w:rPr>
        <w:t>Source:</w:t>
      </w:r>
      <w:r w:rsidRPr="001D0DDC">
        <w:rPr>
          <w:rFonts w:ascii="Times New Roman" w:hAnsi="Times New Roman" w:cs="Times New Roman"/>
          <w:sz w:val="24"/>
          <w:szCs w:val="24"/>
        </w:rPr>
        <w:t xml:space="preserve"> </w:t>
      </w:r>
      <w:r w:rsidRPr="001D0DDC">
        <w:rPr>
          <w:rFonts w:ascii="Times New Roman" w:hAnsi="Times New Roman" w:cs="Times New Roman"/>
          <w:i/>
          <w:iCs/>
          <w:sz w:val="24"/>
          <w:szCs w:val="24"/>
        </w:rPr>
        <w:t>Researcher’s conceptualization (2026)</w:t>
      </w:r>
    </w:p>
    <w:p w14:paraId="7AFB5EFB" w14:textId="77777777" w:rsidR="005933E3" w:rsidRDefault="007C45B9" w:rsidP="009D7A03">
      <w:pPr>
        <w:spacing w:before="100" w:beforeAutospacing="1" w:after="100" w:afterAutospacing="1" w:line="240" w:lineRule="auto"/>
        <w:ind w:left="360"/>
        <w:jc w:val="both"/>
        <w:rPr>
          <w:rFonts w:ascii="Times New Roman" w:eastAsia="Times New Roman" w:hAnsi="Times New Roman" w:cs="Times New Roman"/>
          <w:sz w:val="24"/>
          <w:szCs w:val="24"/>
        </w:rPr>
      </w:pPr>
      <w:r>
        <w:rPr>
          <w:rFonts w:ascii="Times New Roman" w:hAnsi="Times New Roman" w:cs="Times New Roman"/>
          <w:sz w:val="24"/>
          <w:szCs w:val="24"/>
        </w:rPr>
        <w:t xml:space="preserve">The conceptual framework provides a structured representation of the hypothesized linkages between corporate </w:t>
      </w:r>
      <w:r>
        <w:rPr>
          <w:rFonts w:ascii="Times New Roman" w:hAnsi="Times New Roman" w:cs="Times New Roman"/>
          <w:sz w:val="24"/>
          <w:szCs w:val="24"/>
          <w:highlight w:val="yellow"/>
        </w:rPr>
        <w:t xml:space="preserve">tax </w:t>
      </w:r>
      <w:proofErr w:type="spellStart"/>
      <w:r>
        <w:rPr>
          <w:rFonts w:ascii="Times New Roman" w:hAnsi="Times New Roman" w:cs="Times New Roman"/>
          <w:sz w:val="24"/>
          <w:szCs w:val="24"/>
          <w:highlight w:val="yellow"/>
        </w:rPr>
        <w:t>optimisation</w:t>
      </w:r>
      <w:proofErr w:type="spellEnd"/>
      <w:r>
        <w:rPr>
          <w:rFonts w:ascii="Times New Roman" w:hAnsi="Times New Roman" w:cs="Times New Roman"/>
          <w:sz w:val="24"/>
          <w:szCs w:val="24"/>
        </w:rPr>
        <w:t xml:space="preserve"> strategies and the financial distress of listed healthcare firms in Nigeria, while incorporating firm size </w:t>
      </w:r>
      <w:r>
        <w:rPr>
          <w:rFonts w:ascii="Times New Roman" w:hAnsi="Times New Roman" w:cs="Times New Roman"/>
          <w:sz w:val="24"/>
          <w:szCs w:val="24"/>
          <w:highlight w:val="yellow"/>
        </w:rPr>
        <w:t>as a critical control variable</w:t>
      </w:r>
      <w:r>
        <w:rPr>
          <w:rFonts w:ascii="Times New Roman" w:hAnsi="Times New Roman" w:cs="Times New Roman"/>
          <w:sz w:val="24"/>
          <w:szCs w:val="24"/>
        </w:rPr>
        <w:t xml:space="preserve">. This framework aligns with both theoretical underpinnings and empirical evidence, emphasizing how fiscal </w:t>
      </w:r>
      <w:r>
        <w:rPr>
          <w:rFonts w:ascii="Times New Roman" w:hAnsi="Times New Roman" w:cs="Times New Roman"/>
          <w:sz w:val="24"/>
          <w:szCs w:val="24"/>
        </w:rPr>
        <w:lastRenderedPageBreak/>
        <w:t>strategies, if effectively designed, can mitigate the likelihood of distress, but may conversely exacerbate fragility when poorly implemented.</w:t>
      </w:r>
      <w:r>
        <w:rPr>
          <w:rFonts w:ascii="Times New Roman" w:eastAsia="Times New Roman" w:hAnsi="Times New Roman" w:cs="Times New Roman"/>
          <w:sz w:val="24"/>
          <w:szCs w:val="24"/>
        </w:rPr>
        <w:t xml:space="preserve"> </w:t>
      </w:r>
    </w:p>
    <w:p w14:paraId="1877B48E" w14:textId="77777777" w:rsidR="007C45B9" w:rsidRDefault="005933E3" w:rsidP="009D7A03">
      <w:pPr>
        <w:spacing w:before="100" w:beforeAutospacing="1" w:after="100" w:afterAutospacing="1" w:line="240" w:lineRule="auto"/>
        <w:ind w:left="360"/>
        <w:jc w:val="both"/>
        <w:rPr>
          <w:rFonts w:ascii="Times New Roman" w:hAnsi="Times New Roman" w:cs="Times New Roman"/>
          <w:sz w:val="24"/>
          <w:szCs w:val="24"/>
        </w:rPr>
      </w:pPr>
      <w:r w:rsidRPr="00C17286">
        <w:rPr>
          <w:rFonts w:ascii="Times New Roman" w:eastAsia="Times New Roman" w:hAnsi="Times New Roman" w:cs="Times New Roman"/>
          <w:sz w:val="24"/>
          <w:szCs w:val="24"/>
        </w:rPr>
        <w:t>Independent variables (ETR, TCAP, TS, DETS, CAPINT) are theorized to influence financial distress, operationalized via the Altman Z-s</w:t>
      </w:r>
      <w:r>
        <w:rPr>
          <w:rFonts w:ascii="Times New Roman" w:eastAsia="Times New Roman" w:hAnsi="Times New Roman" w:cs="Times New Roman"/>
          <w:sz w:val="24"/>
          <w:szCs w:val="24"/>
        </w:rPr>
        <w:t>core (Altman, 1968; Altman, 2013</w:t>
      </w:r>
      <w:r w:rsidRPr="00C17286">
        <w:rPr>
          <w:rFonts w:ascii="Times New Roman" w:eastAsia="Times New Roman" w:hAnsi="Times New Roman" w:cs="Times New Roman"/>
          <w:sz w:val="24"/>
          <w:szCs w:val="24"/>
        </w:rPr>
        <w:t>), while firm size acts as a control variable to account for scale effects in financial performance.</w:t>
      </w:r>
    </w:p>
    <w:p w14:paraId="43566F3F" w14:textId="77777777" w:rsidR="005933E3" w:rsidRDefault="005933E3" w:rsidP="009D7A03">
      <w:pPr>
        <w:spacing w:before="100" w:beforeAutospacing="1" w:after="100" w:afterAutospacing="1" w:line="240" w:lineRule="auto"/>
        <w:ind w:left="360"/>
        <w:jc w:val="both"/>
        <w:rPr>
          <w:rFonts w:ascii="Times New Roman" w:eastAsia="Times New Roman" w:hAnsi="Times New Roman" w:cs="Times New Roman"/>
          <w:sz w:val="24"/>
          <w:szCs w:val="24"/>
        </w:rPr>
      </w:pPr>
      <w:r>
        <w:rPr>
          <w:rFonts w:ascii="Times New Roman" w:hAnsi="Times New Roman" w:cs="Times New Roman"/>
          <w:sz w:val="24"/>
          <w:szCs w:val="24"/>
        </w:rPr>
        <w:t xml:space="preserve">In summary, the arrows in the framework signify both the direct influence of corporate </w:t>
      </w:r>
      <w:r>
        <w:rPr>
          <w:rFonts w:ascii="Times New Roman" w:hAnsi="Times New Roman" w:cs="Times New Roman"/>
          <w:sz w:val="24"/>
          <w:szCs w:val="24"/>
          <w:highlight w:val="yellow"/>
        </w:rPr>
        <w:t xml:space="preserve">tax </w:t>
      </w:r>
      <w:proofErr w:type="spellStart"/>
      <w:r>
        <w:rPr>
          <w:rFonts w:ascii="Times New Roman" w:hAnsi="Times New Roman" w:cs="Times New Roman"/>
          <w:sz w:val="24"/>
          <w:szCs w:val="24"/>
          <w:highlight w:val="yellow"/>
        </w:rPr>
        <w:t>optimisation</w:t>
      </w:r>
      <w:proofErr w:type="spellEnd"/>
      <w:r>
        <w:rPr>
          <w:rFonts w:ascii="Times New Roman" w:hAnsi="Times New Roman" w:cs="Times New Roman"/>
          <w:sz w:val="24"/>
          <w:szCs w:val="24"/>
        </w:rPr>
        <w:t xml:space="preserve"> strategies on financial distress and the conditional effects of firm size. The model </w:t>
      </w:r>
      <w:proofErr w:type="spellStart"/>
      <w:r>
        <w:rPr>
          <w:rFonts w:ascii="Times New Roman" w:hAnsi="Times New Roman" w:cs="Times New Roman"/>
          <w:sz w:val="24"/>
          <w:szCs w:val="24"/>
          <w:highlight w:val="yellow"/>
        </w:rPr>
        <w:t>recognise</w:t>
      </w:r>
      <w:r>
        <w:rPr>
          <w:rFonts w:ascii="Times New Roman" w:hAnsi="Times New Roman" w:cs="Times New Roman"/>
          <w:sz w:val="24"/>
          <w:szCs w:val="24"/>
        </w:rPr>
        <w:t>s</w:t>
      </w:r>
      <w:proofErr w:type="spellEnd"/>
      <w:r>
        <w:rPr>
          <w:rFonts w:ascii="Times New Roman" w:hAnsi="Times New Roman" w:cs="Times New Roman"/>
          <w:sz w:val="24"/>
          <w:szCs w:val="24"/>
        </w:rPr>
        <w:t xml:space="preserve"> that the relationship is neither linear nor uniform; rather, it is context-dependent, moderated by firm-level characteristics and the unique structural conditions of Nigeria’s healthcare sector. This conceptualization contributes to a holistic understanding of how fiscal strategies interact with organizational and environmental factors to shape financial outcomes, thereby offering insights for managers, policymakers, and stakeholders on balancing tax efficiency with long-term financial sustainability.</w:t>
      </w:r>
    </w:p>
    <w:p w14:paraId="65F69E8C" w14:textId="77777777" w:rsidR="00E53FF4" w:rsidRDefault="00E53FF4" w:rsidP="009D7A03">
      <w:pPr>
        <w:spacing w:before="100" w:beforeAutospacing="1" w:after="100" w:afterAutospacing="1"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study is anchored on Trade-off theory and Corporate </w:t>
      </w:r>
      <w:r>
        <w:rPr>
          <w:rFonts w:ascii="Times New Roman" w:eastAsia="Times New Roman" w:hAnsi="Times New Roman" w:cs="Times New Roman"/>
          <w:sz w:val="24"/>
          <w:szCs w:val="24"/>
          <w:highlight w:val="yellow"/>
        </w:rPr>
        <w:t xml:space="preserve">Tax </w:t>
      </w:r>
      <w:proofErr w:type="spellStart"/>
      <w:r>
        <w:rPr>
          <w:rFonts w:ascii="Times New Roman" w:eastAsia="Times New Roman" w:hAnsi="Times New Roman" w:cs="Times New Roman"/>
          <w:sz w:val="24"/>
          <w:szCs w:val="24"/>
          <w:highlight w:val="yellow"/>
        </w:rPr>
        <w:t>Optimisation</w:t>
      </w:r>
      <w:proofErr w:type="spellEnd"/>
      <w:r>
        <w:rPr>
          <w:rFonts w:ascii="Times New Roman" w:eastAsia="Times New Roman" w:hAnsi="Times New Roman" w:cs="Times New Roman"/>
          <w:sz w:val="24"/>
          <w:szCs w:val="24"/>
        </w:rPr>
        <w:t xml:space="preserve"> theory.</w:t>
      </w:r>
    </w:p>
    <w:p w14:paraId="412D58D2" w14:textId="77777777" w:rsidR="00D6342C" w:rsidRDefault="00E53FF4" w:rsidP="009D7A03">
      <w:pPr>
        <w:spacing w:before="100" w:beforeAutospacing="1" w:after="100" w:afterAutospacing="1"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6342C">
        <w:rPr>
          <w:rFonts w:ascii="Times New Roman" w:eastAsia="Times New Roman" w:hAnsi="Times New Roman" w:cs="Times New Roman"/>
          <w:sz w:val="24"/>
          <w:szCs w:val="24"/>
        </w:rPr>
        <w:t>The Trade-Off Theory</w:t>
      </w:r>
    </w:p>
    <w:p w14:paraId="03B542B7" w14:textId="77777777" w:rsidR="00C17286" w:rsidRDefault="00D6342C" w:rsidP="009D7A03">
      <w:pPr>
        <w:spacing w:before="100" w:beforeAutospacing="1" w:after="100" w:afterAutospacing="1"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yellow"/>
        </w:rPr>
        <w:t>The Trade-Off Theory, developed by Kraus and Litzenberger (1973), posits</w:t>
      </w:r>
      <w:r>
        <w:rPr>
          <w:rFonts w:ascii="Times New Roman" w:eastAsia="Times New Roman" w:hAnsi="Times New Roman" w:cs="Times New Roman"/>
          <w:sz w:val="24"/>
          <w:szCs w:val="24"/>
        </w:rPr>
        <w:t xml:space="preserve"> that firms determine optimal capital structure by balancing the tax benefits of debt financing against the </w:t>
      </w:r>
      <w:r>
        <w:rPr>
          <w:rFonts w:ascii="Times New Roman" w:eastAsia="Times New Roman" w:hAnsi="Times New Roman" w:cs="Times New Roman"/>
          <w:sz w:val="24"/>
          <w:szCs w:val="24"/>
          <w:highlight w:val="yellow"/>
        </w:rPr>
        <w:t>expected costs of financial distress (Damodaran, 2014).</w:t>
      </w:r>
      <w:r>
        <w:rPr>
          <w:rFonts w:ascii="Times New Roman" w:eastAsia="Times New Roman" w:hAnsi="Times New Roman" w:cs="Times New Roman"/>
          <w:sz w:val="24"/>
          <w:szCs w:val="24"/>
        </w:rPr>
        <w:t xml:space="preserve"> Myers (1984) further explained that firms increase leverage until the marginal tax benefits equal the marginal costs associated with bankruptcy risk. This framework has been widely used to explain corporate leverage </w:t>
      </w:r>
      <w:proofErr w:type="spellStart"/>
      <w:r>
        <w:rPr>
          <w:rFonts w:ascii="Times New Roman" w:eastAsia="Times New Roman" w:hAnsi="Times New Roman" w:cs="Times New Roman"/>
          <w:sz w:val="24"/>
          <w:szCs w:val="24"/>
          <w:highlight w:val="yellow"/>
        </w:rPr>
        <w:t>behaviour</w:t>
      </w:r>
      <w:proofErr w:type="spellEnd"/>
      <w:r>
        <w:rPr>
          <w:rFonts w:ascii="Times New Roman" w:eastAsia="Times New Roman" w:hAnsi="Times New Roman" w:cs="Times New Roman"/>
          <w:sz w:val="24"/>
          <w:szCs w:val="24"/>
        </w:rPr>
        <w:t xml:space="preserve"> in both developed and emerging markets.</w:t>
      </w:r>
    </w:p>
    <w:p w14:paraId="5BCD1276" w14:textId="01AF79E5" w:rsidR="00D6342C" w:rsidRPr="00C17286" w:rsidRDefault="00DC1509" w:rsidP="009D7A03">
      <w:pPr>
        <w:spacing w:before="100" w:beforeAutospacing="1" w:after="100" w:afterAutospacing="1" w:line="240" w:lineRule="auto"/>
        <w:ind w:left="360"/>
        <w:jc w:val="both"/>
        <w:rPr>
          <w:rFonts w:ascii="Times New Roman" w:eastAsia="Times New Roman" w:hAnsi="Times New Roman" w:cs="Times New Roman"/>
          <w:sz w:val="24"/>
          <w:szCs w:val="24"/>
        </w:rPr>
      </w:pPr>
      <w:r w:rsidRPr="00DC1509">
        <w:rPr>
          <w:rFonts w:ascii="Times New Roman" w:hAnsi="Times New Roman" w:cs="Times New Roman"/>
          <w:sz w:val="24"/>
          <w:szCs w:val="24"/>
        </w:rPr>
        <w:t>Recent empirical studies continue to support this theory. Öztekin (202</w:t>
      </w:r>
      <w:r w:rsidR="006B70AA">
        <w:rPr>
          <w:rFonts w:ascii="Times New Roman" w:hAnsi="Times New Roman" w:cs="Times New Roman"/>
          <w:sz w:val="24"/>
          <w:szCs w:val="24"/>
        </w:rPr>
        <w:t>2</w:t>
      </w:r>
      <w:r w:rsidRPr="00DC1509">
        <w:rPr>
          <w:rFonts w:ascii="Times New Roman" w:hAnsi="Times New Roman" w:cs="Times New Roman"/>
          <w:sz w:val="24"/>
          <w:szCs w:val="24"/>
        </w:rPr>
        <w:t>) found that firms adjust their capital structures by balancing the tax advantages of debt financing against the costs of financial distress under varying institutional conditions. Similarly, Habib et al. (2020) concluded that excessive leverage is a major determinant of financial distress because it reduces firms' financial flexibility and weakens their resilience during periods of economic uncertainty.</w:t>
      </w:r>
    </w:p>
    <w:p w14:paraId="654A2A9B" w14:textId="77777777" w:rsidR="00C17286" w:rsidRDefault="00C17286" w:rsidP="009D7A03">
      <w:pPr>
        <w:spacing w:before="100" w:beforeAutospacing="1" w:after="100" w:afterAutospacing="1"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capital-intensive industries such as healthcare, thin capitalization represents a direct application of this theory, where firms attempt to </w:t>
      </w:r>
      <w:proofErr w:type="spellStart"/>
      <w:r>
        <w:rPr>
          <w:rFonts w:ascii="Times New Roman" w:eastAsia="Times New Roman" w:hAnsi="Times New Roman" w:cs="Times New Roman"/>
          <w:sz w:val="24"/>
          <w:szCs w:val="24"/>
          <w:highlight w:val="yellow"/>
        </w:rPr>
        <w:t>maximise</w:t>
      </w:r>
      <w:proofErr w:type="spellEnd"/>
      <w:r>
        <w:rPr>
          <w:rFonts w:ascii="Times New Roman" w:eastAsia="Times New Roman" w:hAnsi="Times New Roman" w:cs="Times New Roman"/>
          <w:sz w:val="24"/>
          <w:szCs w:val="24"/>
        </w:rPr>
        <w:t xml:space="preserve"> tax shields while managing bankruptcy risk exposure (Myers, 1984; Leland, 1994). However, excessive leverage increases financial rigidity and reduces firm resilience during revenue downturns.</w:t>
      </w:r>
    </w:p>
    <w:p w14:paraId="6951722B" w14:textId="77777777" w:rsidR="00D6342C" w:rsidRPr="00C17286" w:rsidRDefault="00D6342C" w:rsidP="009D7A03">
      <w:pPr>
        <w:spacing w:before="100" w:beforeAutospacing="1" w:after="100" w:afterAutospacing="1" w:line="240" w:lineRule="auto"/>
        <w:ind w:left="360"/>
        <w:jc w:val="both"/>
        <w:rPr>
          <w:rFonts w:ascii="Times New Roman" w:eastAsia="Times New Roman" w:hAnsi="Times New Roman" w:cs="Times New Roman"/>
          <w:sz w:val="24"/>
          <w:szCs w:val="24"/>
        </w:rPr>
      </w:pPr>
      <w:r w:rsidRPr="006A37B1">
        <w:rPr>
          <w:rFonts w:ascii="Times New Roman" w:eastAsia="Times New Roman" w:hAnsi="Times New Roman" w:cs="Times New Roman"/>
          <w:sz w:val="24"/>
          <w:szCs w:val="24"/>
        </w:rPr>
        <w:t>The theory provides the principal explanation for the relationship between thin capitalization, tax shields, and financial distress in Nigerian healthcare firms.</w:t>
      </w:r>
    </w:p>
    <w:p w14:paraId="7495D11B" w14:textId="77777777" w:rsidR="00C17286" w:rsidRPr="00C17286" w:rsidRDefault="00C17286" w:rsidP="009D7A03">
      <w:pPr>
        <w:spacing w:before="100" w:beforeAutospacing="1" w:after="100" w:afterAutospacing="1"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Corporate </w:t>
      </w:r>
      <w:r>
        <w:rPr>
          <w:rFonts w:ascii="Times New Roman" w:eastAsia="Times New Roman" w:hAnsi="Times New Roman" w:cs="Times New Roman"/>
          <w:sz w:val="24"/>
          <w:szCs w:val="24"/>
          <w:highlight w:val="yellow"/>
        </w:rPr>
        <w:t xml:space="preserve">tax </w:t>
      </w:r>
      <w:proofErr w:type="spellStart"/>
      <w:r>
        <w:rPr>
          <w:rFonts w:ascii="Times New Roman" w:eastAsia="Times New Roman" w:hAnsi="Times New Roman" w:cs="Times New Roman"/>
          <w:sz w:val="24"/>
          <w:szCs w:val="24"/>
          <w:highlight w:val="yellow"/>
        </w:rPr>
        <w:t>optimisation</w:t>
      </w:r>
      <w:proofErr w:type="spellEnd"/>
      <w:r>
        <w:rPr>
          <w:rFonts w:ascii="Times New Roman" w:eastAsia="Times New Roman" w:hAnsi="Times New Roman" w:cs="Times New Roman"/>
          <w:sz w:val="24"/>
          <w:szCs w:val="24"/>
        </w:rPr>
        <w:t xml:space="preserve"> theory argues that firms strategically utilize legally permissible tax planning tools to </w:t>
      </w:r>
      <w:proofErr w:type="spellStart"/>
      <w:r>
        <w:rPr>
          <w:rFonts w:ascii="Times New Roman" w:eastAsia="Times New Roman" w:hAnsi="Times New Roman" w:cs="Times New Roman"/>
          <w:sz w:val="24"/>
          <w:szCs w:val="24"/>
          <w:highlight w:val="yellow"/>
        </w:rPr>
        <w:t>minimise</w:t>
      </w:r>
      <w:proofErr w:type="spellEnd"/>
      <w:r>
        <w:rPr>
          <w:rFonts w:ascii="Times New Roman" w:eastAsia="Times New Roman" w:hAnsi="Times New Roman" w:cs="Times New Roman"/>
          <w:sz w:val="24"/>
          <w:szCs w:val="24"/>
        </w:rPr>
        <w:t xml:space="preserve"> effective tax rates and </w:t>
      </w:r>
      <w:proofErr w:type="spellStart"/>
      <w:r>
        <w:rPr>
          <w:rFonts w:ascii="Times New Roman" w:eastAsia="Times New Roman" w:hAnsi="Times New Roman" w:cs="Times New Roman"/>
          <w:sz w:val="24"/>
          <w:szCs w:val="24"/>
          <w:highlight w:val="yellow"/>
        </w:rPr>
        <w:t>maximise</w:t>
      </w:r>
      <w:proofErr w:type="spellEnd"/>
      <w:r>
        <w:rPr>
          <w:rFonts w:ascii="Times New Roman" w:eastAsia="Times New Roman" w:hAnsi="Times New Roman" w:cs="Times New Roman"/>
          <w:sz w:val="24"/>
          <w:szCs w:val="24"/>
        </w:rPr>
        <w:t xml:space="preserve"> after-tax firm value (</w:t>
      </w:r>
      <w:proofErr w:type="spellStart"/>
      <w:r>
        <w:rPr>
          <w:rFonts w:ascii="Times New Roman" w:eastAsia="Times New Roman" w:hAnsi="Times New Roman" w:cs="Times New Roman"/>
          <w:sz w:val="24"/>
          <w:szCs w:val="24"/>
        </w:rPr>
        <w:t>Slemrod</w:t>
      </w:r>
      <w:proofErr w:type="spellEnd"/>
      <w:r>
        <w:rPr>
          <w:rFonts w:ascii="Times New Roman" w:eastAsia="Times New Roman" w:hAnsi="Times New Roman" w:cs="Times New Roman"/>
          <w:sz w:val="24"/>
          <w:szCs w:val="24"/>
        </w:rPr>
        <w:t>, 2004). These tools include accelerated depreciation, timing strategies, and statutory tax incentives that reduce tax liabilities without violating tax laws.</w:t>
      </w:r>
    </w:p>
    <w:p w14:paraId="3283F1D2" w14:textId="77777777" w:rsidR="00D6342C" w:rsidRPr="006A37B1" w:rsidRDefault="00D6342C" w:rsidP="009D7A03">
      <w:pPr>
        <w:spacing w:before="100" w:beforeAutospacing="1" w:after="100" w:afterAutospacing="1" w:line="240" w:lineRule="auto"/>
        <w:ind w:left="360"/>
        <w:jc w:val="both"/>
        <w:rPr>
          <w:rFonts w:ascii="Times New Roman" w:eastAsia="Times New Roman" w:hAnsi="Times New Roman" w:cs="Times New Roman"/>
          <w:sz w:val="24"/>
          <w:szCs w:val="24"/>
        </w:rPr>
      </w:pPr>
      <w:r w:rsidRPr="006A37B1">
        <w:rPr>
          <w:rFonts w:ascii="Times New Roman" w:eastAsia="Times New Roman" w:hAnsi="Times New Roman" w:cs="Times New Roman"/>
          <w:sz w:val="24"/>
          <w:szCs w:val="24"/>
        </w:rPr>
        <w:lastRenderedPageBreak/>
        <w:t>Recent developments in international taxation have strengthened this theory by emphasizing sustainable tax planning rather than aggressive tax avoidance. Following the OECD BEPS reforms, firms increasingly adopt transparent tax strategies that balance tax efficiency with regulatory compliance (OECD, 2021).</w:t>
      </w:r>
    </w:p>
    <w:p w14:paraId="0AE0C641" w14:textId="77777777" w:rsidR="00D6342C" w:rsidRPr="006A37B1" w:rsidRDefault="00DC1509" w:rsidP="009D7A03">
      <w:pPr>
        <w:spacing w:before="100" w:beforeAutospacing="1" w:after="100" w:afterAutospacing="1"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Hanlon and Heitzman (2022</w:t>
      </w:r>
      <w:r w:rsidR="00D6342C" w:rsidRPr="006A37B1">
        <w:rPr>
          <w:rFonts w:ascii="Times New Roman" w:eastAsia="Times New Roman" w:hAnsi="Times New Roman" w:cs="Times New Roman"/>
          <w:sz w:val="24"/>
          <w:szCs w:val="24"/>
        </w:rPr>
        <w:t xml:space="preserve">) argue that successful tax planning improves corporate investment capacity and financial flexibility, whereas </w:t>
      </w:r>
      <w:proofErr w:type="spellStart"/>
      <w:r w:rsidR="00D6342C" w:rsidRPr="006A37B1">
        <w:rPr>
          <w:rFonts w:ascii="Times New Roman" w:eastAsia="Times New Roman" w:hAnsi="Times New Roman" w:cs="Times New Roman"/>
          <w:sz w:val="24"/>
          <w:szCs w:val="24"/>
        </w:rPr>
        <w:t>Kovermann</w:t>
      </w:r>
      <w:proofErr w:type="spellEnd"/>
      <w:r w:rsidR="00D6342C" w:rsidRPr="006A37B1">
        <w:rPr>
          <w:rFonts w:ascii="Times New Roman" w:eastAsia="Times New Roman" w:hAnsi="Times New Roman" w:cs="Times New Roman"/>
          <w:sz w:val="24"/>
          <w:szCs w:val="24"/>
        </w:rPr>
        <w:t xml:space="preserve"> and Velte (2021) demonstrate that excessive tax aggressiveness increases agency conflicts, reputational risks, and regulatory costs.</w:t>
      </w:r>
    </w:p>
    <w:p w14:paraId="6C227198" w14:textId="77777777" w:rsidR="00C17286" w:rsidRDefault="00D6342C" w:rsidP="009D7A03">
      <w:pPr>
        <w:spacing w:before="100" w:beforeAutospacing="1" w:after="100" w:afterAutospacing="1"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Accordingly, the theory predicts that moderate </w:t>
      </w:r>
      <w:r>
        <w:rPr>
          <w:rFonts w:ascii="Times New Roman" w:eastAsia="Times New Roman" w:hAnsi="Times New Roman" w:cs="Times New Roman"/>
          <w:sz w:val="24"/>
          <w:szCs w:val="24"/>
          <w:highlight w:val="yellow"/>
        </w:rPr>
        <w:t xml:space="preserve">tax </w:t>
      </w:r>
      <w:proofErr w:type="spellStart"/>
      <w:r>
        <w:rPr>
          <w:rFonts w:ascii="Times New Roman" w:eastAsia="Times New Roman" w:hAnsi="Times New Roman" w:cs="Times New Roman"/>
          <w:sz w:val="24"/>
          <w:szCs w:val="24"/>
          <w:highlight w:val="yellow"/>
        </w:rPr>
        <w:t>optimisation</w:t>
      </w:r>
      <w:proofErr w:type="spellEnd"/>
      <w:r>
        <w:rPr>
          <w:rFonts w:ascii="Times New Roman" w:eastAsia="Times New Roman" w:hAnsi="Times New Roman" w:cs="Times New Roman"/>
          <w:sz w:val="24"/>
          <w:szCs w:val="24"/>
        </w:rPr>
        <w:t xml:space="preserve"> strategies improve firms' financial stability, whereas excessive tax aggressiveness may increase long-term financial distress.</w:t>
      </w:r>
    </w:p>
    <w:p w14:paraId="006CC717" w14:textId="77777777" w:rsidR="00C17286" w:rsidRPr="009D7A03" w:rsidRDefault="00C17286" w:rsidP="009D7A03">
      <w:pPr>
        <w:pStyle w:val="ListParagraph"/>
        <w:numPr>
          <w:ilvl w:val="0"/>
          <w:numId w:val="1"/>
        </w:numPr>
        <w:tabs>
          <w:tab w:val="clear" w:pos="720"/>
        </w:tabs>
        <w:spacing w:before="100" w:beforeAutospacing="1" w:after="100" w:afterAutospacing="1" w:line="240" w:lineRule="auto"/>
        <w:ind w:left="360"/>
        <w:outlineLvl w:val="1"/>
        <w:rPr>
          <w:rFonts w:ascii="Times New Roman" w:eastAsia="Times New Roman" w:hAnsi="Times New Roman" w:cs="Times New Roman"/>
          <w:b/>
          <w:bCs/>
          <w:sz w:val="24"/>
          <w:szCs w:val="24"/>
        </w:rPr>
      </w:pPr>
      <w:r w:rsidRPr="009D7A03">
        <w:rPr>
          <w:rFonts w:ascii="Times New Roman" w:eastAsia="Times New Roman" w:hAnsi="Times New Roman" w:cs="Times New Roman"/>
          <w:b/>
          <w:bCs/>
          <w:sz w:val="24"/>
          <w:szCs w:val="24"/>
        </w:rPr>
        <w:t>METHODOLOGY</w:t>
      </w:r>
    </w:p>
    <w:p w14:paraId="681E5C00" w14:textId="144B2424" w:rsidR="00632C60" w:rsidRDefault="00632C60" w:rsidP="009D7A03">
      <w:pPr>
        <w:pStyle w:val="NormalWeb"/>
        <w:ind w:left="360"/>
        <w:jc w:val="both"/>
      </w:pPr>
      <w:r>
        <w:t>The study adopted an ex-post facto research design because the variables under investigation were historical and beyond the control of the researcher (Cook</w:t>
      </w:r>
      <w:r w:rsidR="006B70AA" w:rsidRPr="006B70AA">
        <w:t xml:space="preserve"> </w:t>
      </w:r>
      <w:r w:rsidR="006B70AA">
        <w:t xml:space="preserve">&amp; </w:t>
      </w:r>
      <w:r w:rsidR="006B70AA" w:rsidRPr="006B70AA">
        <w:t>Campbell</w:t>
      </w:r>
      <w:r>
        <w:t>, 1979; Desai &amp; Dharmapala, 2006).</w:t>
      </w:r>
    </w:p>
    <w:p w14:paraId="6FBC5100" w14:textId="77777777" w:rsidR="00632C60" w:rsidRDefault="00632C60" w:rsidP="009D7A03">
      <w:pPr>
        <w:pStyle w:val="NormalWeb"/>
        <w:ind w:left="360"/>
        <w:jc w:val="both"/>
      </w:pPr>
      <w:r>
        <w:t>The population consisted of all healthcare firms listed on the Nigerian Exchange Group between 2010 and 2024. Due to data availability, five firms were selected, producing a balanced panel dataset of 75 firm-year observations.</w:t>
      </w:r>
    </w:p>
    <w:p w14:paraId="267C72F9" w14:textId="77777777" w:rsidR="00C17286" w:rsidRPr="00C17286" w:rsidRDefault="00632C60" w:rsidP="009D7A03">
      <w:pPr>
        <w:spacing w:before="100" w:beforeAutospacing="1" w:after="100" w:afterAutospacing="1" w:line="240" w:lineRule="auto"/>
        <w:ind w:left="360"/>
        <w:rPr>
          <w:rFonts w:ascii="Times New Roman" w:eastAsia="Times New Roman" w:hAnsi="Times New Roman" w:cs="Times New Roman"/>
          <w:sz w:val="24"/>
          <w:szCs w:val="24"/>
        </w:rPr>
      </w:pPr>
      <w:r>
        <w:rPr>
          <w:rFonts w:ascii="Times New Roman" w:hAnsi="Times New Roman" w:cs="Times New Roman"/>
          <w:sz w:val="24"/>
          <w:szCs w:val="24"/>
        </w:rPr>
        <w:t xml:space="preserve">Financial distress (FD) was measured using the Altman Z-score model (Altman, 1968). Corporate </w:t>
      </w:r>
      <w:r>
        <w:rPr>
          <w:rFonts w:ascii="Times New Roman" w:hAnsi="Times New Roman" w:cs="Times New Roman"/>
          <w:sz w:val="24"/>
          <w:szCs w:val="24"/>
          <w:highlight w:val="yellow"/>
        </w:rPr>
        <w:t xml:space="preserve">tax </w:t>
      </w:r>
      <w:proofErr w:type="spellStart"/>
      <w:r>
        <w:rPr>
          <w:rFonts w:ascii="Times New Roman" w:hAnsi="Times New Roman" w:cs="Times New Roman"/>
          <w:sz w:val="24"/>
          <w:szCs w:val="24"/>
          <w:highlight w:val="yellow"/>
        </w:rPr>
        <w:t>optimisation</w:t>
      </w:r>
      <w:proofErr w:type="spellEnd"/>
      <w:r>
        <w:rPr>
          <w:rFonts w:ascii="Times New Roman" w:hAnsi="Times New Roman" w:cs="Times New Roman"/>
          <w:sz w:val="24"/>
          <w:szCs w:val="24"/>
        </w:rPr>
        <w:t xml:space="preserve"> was proxied by Effective Tax Rate (ETR), Thin Capitalization (TCAP), Tax Shield (TS), Depreciation Tax Shield (DETS), and Capital Intensity Ratio (CAPINT). Firm size was included as a control variable.</w:t>
      </w:r>
    </w:p>
    <w:p w14:paraId="0F538B9C" w14:textId="77777777" w:rsidR="00C17286" w:rsidRPr="00C17286" w:rsidRDefault="00C17286" w:rsidP="0057287D">
      <w:pPr>
        <w:spacing w:before="100" w:beforeAutospacing="1" w:after="100" w:afterAutospacing="1" w:line="240" w:lineRule="auto"/>
        <w:ind w:firstLine="360"/>
        <w:outlineLvl w:val="2"/>
        <w:rPr>
          <w:rFonts w:ascii="Times New Roman" w:eastAsia="Times New Roman" w:hAnsi="Times New Roman" w:cs="Times New Roman"/>
          <w:b/>
          <w:bCs/>
          <w:sz w:val="24"/>
          <w:szCs w:val="24"/>
        </w:rPr>
      </w:pPr>
      <w:r w:rsidRPr="00C17286">
        <w:rPr>
          <w:rFonts w:ascii="Times New Roman" w:eastAsia="Times New Roman" w:hAnsi="Times New Roman" w:cs="Times New Roman"/>
          <w:b/>
          <w:bCs/>
          <w:sz w:val="24"/>
          <w:szCs w:val="24"/>
        </w:rPr>
        <w:t>Model Specification</w:t>
      </w:r>
    </w:p>
    <w:p w14:paraId="131F8849" w14:textId="77777777" w:rsidR="00DD65E4" w:rsidRDefault="00DD65E4" w:rsidP="007B7E8D">
      <w:pPr>
        <w:pStyle w:val="NoSpacing"/>
        <w:ind w:firstLine="360"/>
        <w:jc w:val="both"/>
        <w:rPr>
          <w:rFonts w:ascii="Times New Roman" w:hAnsi="Times New Roman" w:cs="Times New Roman"/>
          <w:sz w:val="24"/>
          <w:szCs w:val="24"/>
        </w:rPr>
      </w:pPr>
      <w:proofErr w:type="spellStart"/>
      <w:r>
        <w:rPr>
          <w:rFonts w:ascii="Times New Roman" w:hAnsi="Times New Roman" w:cs="Times New Roman"/>
          <w:sz w:val="24"/>
          <w:szCs w:val="24"/>
        </w:rPr>
        <w:t>FD</w:t>
      </w:r>
      <w:r>
        <w:rPr>
          <w:rFonts w:ascii="Times New Roman" w:hAnsi="Times New Roman" w:cs="Times New Roman"/>
          <w:sz w:val="24"/>
          <w:szCs w:val="24"/>
          <w:vertAlign w:val="subscript"/>
        </w:rPr>
        <w:t>it</w:t>
      </w:r>
      <w:proofErr w:type="spellEnd"/>
      <w:r>
        <w:rPr>
          <w:rFonts w:ascii="Times New Roman" w:hAnsi="Times New Roman" w:cs="Times New Roman"/>
          <w:sz w:val="24"/>
          <w:szCs w:val="24"/>
        </w:rPr>
        <w:t>=β</w:t>
      </w:r>
      <w:r>
        <w:rPr>
          <w:rFonts w:ascii="Times New Roman" w:hAnsi="Times New Roman" w:cs="Times New Roman"/>
          <w:sz w:val="24"/>
          <w:szCs w:val="24"/>
          <w:vertAlign w:val="subscript"/>
        </w:rPr>
        <w:t>0</w:t>
      </w:r>
      <w:r>
        <w:rPr>
          <w:rFonts w:ascii="Times New Roman" w:hAnsi="Times New Roman" w:cs="Times New Roman"/>
          <w:sz w:val="24"/>
          <w:szCs w:val="24"/>
        </w:rPr>
        <w:t>+β</w:t>
      </w:r>
      <w:r>
        <w:rPr>
          <w:rFonts w:ascii="Times New Roman" w:hAnsi="Times New Roman" w:cs="Times New Roman"/>
          <w:sz w:val="24"/>
          <w:szCs w:val="24"/>
          <w:vertAlign w:val="subscript"/>
        </w:rPr>
        <w:t>1</w:t>
      </w:r>
      <w:r>
        <w:rPr>
          <w:rFonts w:ascii="Times New Roman" w:hAnsi="Times New Roman" w:cs="Times New Roman"/>
          <w:sz w:val="24"/>
          <w:szCs w:val="24"/>
        </w:rPr>
        <w:t>ETR</w:t>
      </w:r>
      <w:r>
        <w:rPr>
          <w:rFonts w:ascii="Times New Roman" w:hAnsi="Times New Roman" w:cs="Times New Roman"/>
          <w:sz w:val="24"/>
          <w:szCs w:val="24"/>
          <w:vertAlign w:val="subscript"/>
        </w:rPr>
        <w:t>it</w:t>
      </w:r>
      <w:r>
        <w:rPr>
          <w:rFonts w:ascii="Times New Roman" w:hAnsi="Times New Roman" w:cs="Times New Roman"/>
          <w:sz w:val="24"/>
          <w:szCs w:val="24"/>
        </w:rPr>
        <w:t>+β</w:t>
      </w:r>
      <w:r>
        <w:rPr>
          <w:rFonts w:ascii="Times New Roman" w:hAnsi="Times New Roman" w:cs="Times New Roman"/>
          <w:sz w:val="24"/>
          <w:szCs w:val="24"/>
          <w:vertAlign w:val="subscript"/>
        </w:rPr>
        <w:t>2</w:t>
      </w:r>
      <w:r>
        <w:rPr>
          <w:rFonts w:ascii="Times New Roman" w:hAnsi="Times New Roman" w:cs="Times New Roman"/>
          <w:sz w:val="24"/>
          <w:szCs w:val="24"/>
        </w:rPr>
        <w:t>TCAP</w:t>
      </w:r>
      <w:r>
        <w:rPr>
          <w:rFonts w:ascii="Times New Roman" w:hAnsi="Times New Roman" w:cs="Times New Roman"/>
          <w:sz w:val="24"/>
          <w:szCs w:val="24"/>
          <w:vertAlign w:val="subscript"/>
        </w:rPr>
        <w:t>it</w:t>
      </w:r>
      <w:r>
        <w:rPr>
          <w:rFonts w:ascii="Times New Roman" w:hAnsi="Times New Roman" w:cs="Times New Roman"/>
          <w:sz w:val="24"/>
          <w:szCs w:val="24"/>
        </w:rPr>
        <w:t>+β</w:t>
      </w:r>
      <w:r>
        <w:rPr>
          <w:rFonts w:ascii="Times New Roman" w:hAnsi="Times New Roman" w:cs="Times New Roman"/>
          <w:sz w:val="24"/>
          <w:szCs w:val="24"/>
          <w:vertAlign w:val="subscript"/>
        </w:rPr>
        <w:t>3</w:t>
      </w:r>
      <w:r>
        <w:rPr>
          <w:rFonts w:ascii="Times New Roman" w:hAnsi="Times New Roman" w:cs="Times New Roman"/>
          <w:sz w:val="24"/>
          <w:szCs w:val="24"/>
        </w:rPr>
        <w:t>TS</w:t>
      </w:r>
      <w:r>
        <w:rPr>
          <w:rFonts w:ascii="Times New Roman" w:hAnsi="Times New Roman" w:cs="Times New Roman"/>
          <w:sz w:val="24"/>
          <w:szCs w:val="24"/>
          <w:vertAlign w:val="subscript"/>
        </w:rPr>
        <w:t>it</w:t>
      </w:r>
      <w:r>
        <w:rPr>
          <w:rFonts w:ascii="Times New Roman" w:hAnsi="Times New Roman" w:cs="Times New Roman"/>
          <w:sz w:val="24"/>
          <w:szCs w:val="24"/>
        </w:rPr>
        <w:t>+β</w:t>
      </w:r>
      <w:r>
        <w:rPr>
          <w:rFonts w:ascii="Times New Roman" w:hAnsi="Times New Roman" w:cs="Times New Roman"/>
          <w:sz w:val="24"/>
          <w:szCs w:val="24"/>
          <w:vertAlign w:val="subscript"/>
        </w:rPr>
        <w:t>4</w:t>
      </w:r>
      <w:r>
        <w:rPr>
          <w:rFonts w:ascii="Times New Roman" w:hAnsi="Times New Roman" w:cs="Times New Roman"/>
          <w:sz w:val="24"/>
          <w:szCs w:val="24"/>
        </w:rPr>
        <w:t>DETS</w:t>
      </w:r>
      <w:r>
        <w:rPr>
          <w:rFonts w:ascii="Times New Roman" w:hAnsi="Times New Roman" w:cs="Times New Roman"/>
          <w:sz w:val="24"/>
          <w:szCs w:val="24"/>
          <w:vertAlign w:val="subscript"/>
        </w:rPr>
        <w:t>it</w:t>
      </w:r>
      <w:r>
        <w:rPr>
          <w:rFonts w:ascii="Times New Roman" w:hAnsi="Times New Roman" w:cs="Times New Roman"/>
          <w:sz w:val="24"/>
          <w:szCs w:val="24"/>
        </w:rPr>
        <w:t>+β</w:t>
      </w:r>
      <w:r>
        <w:rPr>
          <w:rFonts w:ascii="Times New Roman" w:hAnsi="Times New Roman" w:cs="Times New Roman"/>
          <w:sz w:val="24"/>
          <w:szCs w:val="24"/>
          <w:vertAlign w:val="subscript"/>
        </w:rPr>
        <w:t>5</w:t>
      </w:r>
      <w:r>
        <w:rPr>
          <w:rFonts w:ascii="Times New Roman" w:hAnsi="Times New Roman" w:cs="Times New Roman"/>
          <w:sz w:val="24"/>
          <w:szCs w:val="24"/>
        </w:rPr>
        <w:t>CAPINT</w:t>
      </w:r>
      <w:r>
        <w:rPr>
          <w:rFonts w:ascii="Times New Roman" w:hAnsi="Times New Roman" w:cs="Times New Roman"/>
          <w:sz w:val="24"/>
          <w:szCs w:val="24"/>
          <w:vertAlign w:val="subscript"/>
        </w:rPr>
        <w:t>it</w:t>
      </w:r>
      <w:r>
        <w:rPr>
          <w:rFonts w:ascii="Times New Roman" w:hAnsi="Times New Roman" w:cs="Times New Roman"/>
          <w:sz w:val="24"/>
          <w:szCs w:val="24"/>
        </w:rPr>
        <w:t>+β</w:t>
      </w:r>
      <w:r>
        <w:rPr>
          <w:rFonts w:ascii="Times New Roman" w:hAnsi="Times New Roman" w:cs="Times New Roman"/>
          <w:sz w:val="24"/>
          <w:szCs w:val="24"/>
          <w:vertAlign w:val="subscript"/>
        </w:rPr>
        <w:t>6</w:t>
      </w:r>
      <w:r>
        <w:rPr>
          <w:rFonts w:ascii="Times New Roman" w:hAnsi="Times New Roman" w:cs="Times New Roman"/>
          <w:sz w:val="24"/>
          <w:szCs w:val="24"/>
        </w:rPr>
        <w:t>FSIZE</w:t>
      </w:r>
      <w:r>
        <w:rPr>
          <w:rFonts w:ascii="Times New Roman" w:hAnsi="Times New Roman" w:cs="Times New Roman"/>
          <w:sz w:val="24"/>
          <w:szCs w:val="24"/>
          <w:vertAlign w:val="subscript"/>
        </w:rPr>
        <w:t>it</w:t>
      </w:r>
      <w:r>
        <w:rPr>
          <w:rFonts w:ascii="Times New Roman" w:hAnsi="Times New Roman" w:cs="Times New Roman"/>
          <w:sz w:val="24"/>
          <w:szCs w:val="24"/>
        </w:rPr>
        <w:t>+μ</w:t>
      </w:r>
      <w:r>
        <w:rPr>
          <w:rFonts w:ascii="Times New Roman" w:hAnsi="Times New Roman" w:cs="Times New Roman"/>
          <w:sz w:val="24"/>
          <w:szCs w:val="24"/>
          <w:vertAlign w:val="subscript"/>
        </w:rPr>
        <w:t>i</w:t>
      </w:r>
    </w:p>
    <w:p w14:paraId="3BBC1D3B" w14:textId="77777777" w:rsidR="00C17286" w:rsidRDefault="00632C60" w:rsidP="009D7A03">
      <w:pPr>
        <w:pStyle w:val="NormalWeb"/>
        <w:ind w:left="360"/>
        <w:jc w:val="both"/>
      </w:pPr>
      <w:r>
        <w:rPr>
          <w:highlight w:val="yellow"/>
        </w:rPr>
        <w:t>Panel regression techniques were employed in accordance with established panel-data procedures (Wooldridge, 2010), and</w:t>
      </w:r>
      <w:r>
        <w:t xml:space="preserve"> with the fixed-effects model selected based on the Hausman specification test. Driscoll–Kraay standard errors were applied to address heteroskedasticity and cross-sectional dependence. (Driscoll &amp; Kraay, 1998; </w:t>
      </w:r>
      <w:proofErr w:type="spellStart"/>
      <w:r>
        <w:t>Hoechle</w:t>
      </w:r>
      <w:proofErr w:type="spellEnd"/>
      <w:r>
        <w:t>, 2007).</w:t>
      </w:r>
    </w:p>
    <w:p w14:paraId="3ABA2990" w14:textId="77777777" w:rsidR="00C17286" w:rsidRPr="00C17286" w:rsidRDefault="00DD65E4" w:rsidP="009D7A03">
      <w:pPr>
        <w:spacing w:before="100" w:beforeAutospacing="1" w:after="100" w:afterAutospacing="1" w:line="240" w:lineRule="auto"/>
        <w:ind w:left="360" w:firstLine="360"/>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Table </w:t>
      </w:r>
      <w:r w:rsidR="00C17286" w:rsidRPr="00C17286">
        <w:rPr>
          <w:rFonts w:ascii="Times New Roman" w:eastAsia="Times New Roman" w:hAnsi="Times New Roman" w:cs="Times New Roman"/>
          <w:b/>
          <w:bCs/>
          <w:sz w:val="24"/>
          <w:szCs w:val="24"/>
        </w:rPr>
        <w:t>1: Descriptive Statistics</w:t>
      </w:r>
    </w:p>
    <w:tbl>
      <w:tblPr>
        <w:tblStyle w:val="PlainTable5"/>
        <w:tblW w:w="0" w:type="auto"/>
        <w:tblLook w:val="04A0" w:firstRow="1" w:lastRow="0" w:firstColumn="1" w:lastColumn="0" w:noHBand="0" w:noVBand="1"/>
      </w:tblPr>
      <w:tblGrid>
        <w:gridCol w:w="1503"/>
        <w:gridCol w:w="963"/>
        <w:gridCol w:w="1536"/>
        <w:gridCol w:w="1546"/>
        <w:gridCol w:w="1536"/>
        <w:gridCol w:w="1536"/>
      </w:tblGrid>
      <w:tr w:rsidR="00DD65E4" w14:paraId="198AED4C" w14:textId="77777777" w:rsidTr="00CB38E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503" w:type="dxa"/>
            <w:hideMark/>
          </w:tcPr>
          <w:p w14:paraId="12D95DF2" w14:textId="77777777" w:rsidR="00DD65E4" w:rsidRDefault="00DD65E4" w:rsidP="009D7A03">
            <w:pPr>
              <w:spacing w:line="480" w:lineRule="auto"/>
              <w:ind w:left="360"/>
              <w:jc w:val="center"/>
              <w:rPr>
                <w:rFonts w:ascii="Times New Roman" w:hAnsi="Times New Roman" w:cs="Times New Roman"/>
                <w:b/>
              </w:rPr>
            </w:pPr>
            <w:r>
              <w:rPr>
                <w:rFonts w:ascii="Times New Roman" w:eastAsia="Times New Roman" w:hAnsi="Times New Roman" w:cs="Times New Roman"/>
                <w:b/>
                <w:sz w:val="24"/>
                <w:szCs w:val="24"/>
              </w:rPr>
              <w:t>Variable</w:t>
            </w:r>
          </w:p>
        </w:tc>
        <w:tc>
          <w:tcPr>
            <w:tcW w:w="955" w:type="dxa"/>
            <w:hideMark/>
          </w:tcPr>
          <w:p w14:paraId="37F5BE38" w14:textId="77777777" w:rsidR="00DD65E4" w:rsidRDefault="00DD65E4" w:rsidP="009D7A03">
            <w:pPr>
              <w:spacing w:line="480" w:lineRule="auto"/>
              <w:ind w:left="3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rPr>
            </w:pPr>
            <w:proofErr w:type="spellStart"/>
            <w:r>
              <w:rPr>
                <w:rFonts w:ascii="Times New Roman" w:eastAsia="Times New Roman" w:hAnsi="Times New Roman" w:cs="Times New Roman"/>
                <w:b/>
                <w:sz w:val="24"/>
                <w:szCs w:val="24"/>
              </w:rPr>
              <w:t>Obs</w:t>
            </w:r>
            <w:proofErr w:type="spellEnd"/>
          </w:p>
        </w:tc>
        <w:tc>
          <w:tcPr>
            <w:tcW w:w="1536" w:type="dxa"/>
            <w:hideMark/>
          </w:tcPr>
          <w:p w14:paraId="698F31C0" w14:textId="77777777" w:rsidR="00DD65E4" w:rsidRDefault="00DD65E4" w:rsidP="009D7A03">
            <w:pPr>
              <w:spacing w:line="480" w:lineRule="auto"/>
              <w:ind w:left="3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rPr>
            </w:pPr>
            <w:r>
              <w:rPr>
                <w:rFonts w:ascii="Times New Roman" w:eastAsia="Times New Roman" w:hAnsi="Times New Roman" w:cs="Times New Roman"/>
                <w:b/>
                <w:sz w:val="24"/>
                <w:szCs w:val="24"/>
              </w:rPr>
              <w:t>Mean</w:t>
            </w:r>
          </w:p>
        </w:tc>
        <w:tc>
          <w:tcPr>
            <w:tcW w:w="1546" w:type="dxa"/>
            <w:hideMark/>
          </w:tcPr>
          <w:p w14:paraId="35747090" w14:textId="77777777" w:rsidR="00DD65E4" w:rsidRDefault="00DD65E4" w:rsidP="009D7A03">
            <w:pPr>
              <w:spacing w:line="480" w:lineRule="auto"/>
              <w:ind w:left="3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rPr>
            </w:pPr>
            <w:r>
              <w:rPr>
                <w:rFonts w:ascii="Times New Roman" w:eastAsia="Times New Roman" w:hAnsi="Times New Roman" w:cs="Times New Roman"/>
                <w:b/>
                <w:sz w:val="24"/>
                <w:szCs w:val="24"/>
              </w:rPr>
              <w:t>Std. Dev.</w:t>
            </w:r>
          </w:p>
        </w:tc>
        <w:tc>
          <w:tcPr>
            <w:tcW w:w="1536" w:type="dxa"/>
            <w:hideMark/>
          </w:tcPr>
          <w:p w14:paraId="4F0F07AC" w14:textId="77777777" w:rsidR="00DD65E4" w:rsidRDefault="00DD65E4" w:rsidP="009D7A03">
            <w:pPr>
              <w:spacing w:line="480" w:lineRule="auto"/>
              <w:ind w:left="3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rPr>
            </w:pPr>
            <w:r>
              <w:rPr>
                <w:rFonts w:ascii="Times New Roman" w:eastAsia="Times New Roman" w:hAnsi="Times New Roman" w:cs="Times New Roman"/>
                <w:b/>
                <w:sz w:val="24"/>
                <w:szCs w:val="24"/>
              </w:rPr>
              <w:t>Min</w:t>
            </w:r>
          </w:p>
        </w:tc>
        <w:tc>
          <w:tcPr>
            <w:tcW w:w="1536" w:type="dxa"/>
            <w:hideMark/>
          </w:tcPr>
          <w:p w14:paraId="0EA636A4" w14:textId="77777777" w:rsidR="00DD65E4" w:rsidRDefault="00DD65E4" w:rsidP="009D7A03">
            <w:pPr>
              <w:spacing w:line="480" w:lineRule="auto"/>
              <w:ind w:left="3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rPr>
            </w:pPr>
            <w:r>
              <w:rPr>
                <w:rFonts w:ascii="Times New Roman" w:eastAsia="Times New Roman" w:hAnsi="Times New Roman" w:cs="Times New Roman"/>
                <w:b/>
                <w:sz w:val="24"/>
                <w:szCs w:val="24"/>
              </w:rPr>
              <w:t>Max</w:t>
            </w:r>
          </w:p>
        </w:tc>
      </w:tr>
      <w:tr w:rsidR="00DD65E4" w14:paraId="4C91158C" w14:textId="77777777" w:rsidTr="00CB38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3" w:type="dxa"/>
            <w:hideMark/>
          </w:tcPr>
          <w:p w14:paraId="01BE4D89" w14:textId="77777777" w:rsidR="00DD65E4" w:rsidRDefault="00DD65E4" w:rsidP="00DF18B1">
            <w:pPr>
              <w:spacing w:line="480" w:lineRule="auto"/>
              <w:ind w:left="360"/>
              <w:rPr>
                <w:rFonts w:ascii="Times New Roman" w:hAnsi="Times New Roman" w:cs="Times New Roman"/>
              </w:rPr>
            </w:pPr>
            <w:r>
              <w:rPr>
                <w:rFonts w:ascii="Times New Roman" w:eastAsia="Times New Roman" w:hAnsi="Times New Roman" w:cs="Times New Roman"/>
                <w:sz w:val="24"/>
                <w:szCs w:val="24"/>
              </w:rPr>
              <w:t>FD</w:t>
            </w:r>
          </w:p>
        </w:tc>
        <w:tc>
          <w:tcPr>
            <w:tcW w:w="955" w:type="dxa"/>
            <w:hideMark/>
          </w:tcPr>
          <w:p w14:paraId="7CB13AD6" w14:textId="77777777" w:rsidR="00DD65E4" w:rsidRDefault="00DD65E4" w:rsidP="009D7A03">
            <w:pPr>
              <w:spacing w:line="480" w:lineRule="auto"/>
              <w:ind w:left="3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sz w:val="24"/>
                <w:szCs w:val="24"/>
              </w:rPr>
              <w:t>75</w:t>
            </w:r>
          </w:p>
        </w:tc>
        <w:tc>
          <w:tcPr>
            <w:tcW w:w="1536" w:type="dxa"/>
            <w:hideMark/>
          </w:tcPr>
          <w:p w14:paraId="362B1B2E" w14:textId="77777777" w:rsidR="00DD65E4" w:rsidRDefault="00DD65E4" w:rsidP="009D7A03">
            <w:pPr>
              <w:spacing w:line="480" w:lineRule="auto"/>
              <w:ind w:left="3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sz w:val="24"/>
                <w:szCs w:val="24"/>
              </w:rPr>
              <w:t>0.5455</w:t>
            </w:r>
          </w:p>
        </w:tc>
        <w:tc>
          <w:tcPr>
            <w:tcW w:w="1546" w:type="dxa"/>
            <w:hideMark/>
          </w:tcPr>
          <w:p w14:paraId="2EBE92CC" w14:textId="77777777" w:rsidR="00DD65E4" w:rsidRDefault="00DD65E4" w:rsidP="009D7A03">
            <w:pPr>
              <w:spacing w:line="480" w:lineRule="auto"/>
              <w:ind w:left="3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sz w:val="24"/>
                <w:szCs w:val="24"/>
              </w:rPr>
              <w:t>0.8802</w:t>
            </w:r>
          </w:p>
        </w:tc>
        <w:tc>
          <w:tcPr>
            <w:tcW w:w="1536" w:type="dxa"/>
            <w:hideMark/>
          </w:tcPr>
          <w:p w14:paraId="601262D7" w14:textId="77777777" w:rsidR="00DD65E4" w:rsidRDefault="00DD65E4" w:rsidP="009D7A03">
            <w:pPr>
              <w:spacing w:line="480" w:lineRule="auto"/>
              <w:ind w:left="3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sz w:val="24"/>
                <w:szCs w:val="24"/>
              </w:rPr>
              <w:t xml:space="preserve">-1.34   </w:t>
            </w:r>
          </w:p>
        </w:tc>
        <w:tc>
          <w:tcPr>
            <w:tcW w:w="1536" w:type="dxa"/>
            <w:hideMark/>
          </w:tcPr>
          <w:p w14:paraId="3C66BDEE" w14:textId="77777777" w:rsidR="00DD65E4" w:rsidRDefault="00DD65E4" w:rsidP="009D7A03">
            <w:pPr>
              <w:spacing w:line="480" w:lineRule="auto"/>
              <w:ind w:left="3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sz w:val="24"/>
                <w:szCs w:val="24"/>
              </w:rPr>
              <w:t>1.48</w:t>
            </w:r>
          </w:p>
        </w:tc>
      </w:tr>
      <w:tr w:rsidR="00DD65E4" w14:paraId="77EA8718" w14:textId="77777777" w:rsidTr="00CB38EF">
        <w:tc>
          <w:tcPr>
            <w:cnfStyle w:val="001000000000" w:firstRow="0" w:lastRow="0" w:firstColumn="1" w:lastColumn="0" w:oddVBand="0" w:evenVBand="0" w:oddHBand="0" w:evenHBand="0" w:firstRowFirstColumn="0" w:firstRowLastColumn="0" w:lastRowFirstColumn="0" w:lastRowLastColumn="0"/>
            <w:tcW w:w="1503" w:type="dxa"/>
            <w:hideMark/>
          </w:tcPr>
          <w:p w14:paraId="74F47DA3" w14:textId="77777777" w:rsidR="00DD65E4" w:rsidRDefault="00DD65E4" w:rsidP="009D7A03">
            <w:pPr>
              <w:spacing w:line="480" w:lineRule="auto"/>
              <w:ind w:left="360"/>
              <w:rPr>
                <w:rFonts w:ascii="Times New Roman" w:hAnsi="Times New Roman" w:cs="Times New Roman"/>
              </w:rPr>
            </w:pPr>
            <w:r>
              <w:rPr>
                <w:rFonts w:ascii="Times New Roman" w:eastAsia="Times New Roman" w:hAnsi="Times New Roman" w:cs="Times New Roman"/>
                <w:sz w:val="24"/>
                <w:szCs w:val="24"/>
              </w:rPr>
              <w:t>ETR</w:t>
            </w:r>
          </w:p>
        </w:tc>
        <w:tc>
          <w:tcPr>
            <w:tcW w:w="955" w:type="dxa"/>
            <w:hideMark/>
          </w:tcPr>
          <w:p w14:paraId="6284D7FD" w14:textId="77777777" w:rsidR="00DD65E4" w:rsidRDefault="00DD65E4" w:rsidP="009D7A03">
            <w:pPr>
              <w:spacing w:line="480" w:lineRule="auto"/>
              <w:ind w:left="3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sz w:val="24"/>
                <w:szCs w:val="24"/>
              </w:rPr>
              <w:t>75</w:t>
            </w:r>
          </w:p>
        </w:tc>
        <w:tc>
          <w:tcPr>
            <w:tcW w:w="1536" w:type="dxa"/>
            <w:hideMark/>
          </w:tcPr>
          <w:p w14:paraId="1D5EF5D4" w14:textId="77777777" w:rsidR="00DD65E4" w:rsidRDefault="00DD65E4" w:rsidP="009D7A03">
            <w:pPr>
              <w:spacing w:line="480" w:lineRule="auto"/>
              <w:ind w:left="3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sz w:val="24"/>
                <w:szCs w:val="24"/>
              </w:rPr>
              <w:t>-5.5423</w:t>
            </w:r>
          </w:p>
        </w:tc>
        <w:tc>
          <w:tcPr>
            <w:tcW w:w="1546" w:type="dxa"/>
            <w:hideMark/>
          </w:tcPr>
          <w:p w14:paraId="5F099597" w14:textId="77777777" w:rsidR="00DD65E4" w:rsidRDefault="00DD65E4" w:rsidP="009D7A03">
            <w:pPr>
              <w:spacing w:line="480" w:lineRule="auto"/>
              <w:ind w:left="3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sz w:val="24"/>
                <w:szCs w:val="24"/>
              </w:rPr>
              <w:t xml:space="preserve">47.6564    </w:t>
            </w:r>
          </w:p>
        </w:tc>
        <w:tc>
          <w:tcPr>
            <w:tcW w:w="1536" w:type="dxa"/>
            <w:hideMark/>
          </w:tcPr>
          <w:p w14:paraId="0DBC97F4" w14:textId="77777777" w:rsidR="00DD65E4" w:rsidRDefault="00DD65E4" w:rsidP="009D7A03">
            <w:pPr>
              <w:spacing w:line="480" w:lineRule="auto"/>
              <w:ind w:left="3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sz w:val="24"/>
                <w:szCs w:val="24"/>
              </w:rPr>
              <w:t xml:space="preserve">-160.58     </w:t>
            </w:r>
          </w:p>
        </w:tc>
        <w:tc>
          <w:tcPr>
            <w:tcW w:w="1536" w:type="dxa"/>
            <w:hideMark/>
          </w:tcPr>
          <w:p w14:paraId="171E13CE" w14:textId="77777777" w:rsidR="00DD65E4" w:rsidRDefault="00DD65E4" w:rsidP="009D7A03">
            <w:pPr>
              <w:spacing w:line="480" w:lineRule="auto"/>
              <w:ind w:left="3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sz w:val="24"/>
                <w:szCs w:val="24"/>
              </w:rPr>
              <w:t>215.04</w:t>
            </w:r>
          </w:p>
        </w:tc>
      </w:tr>
      <w:tr w:rsidR="00DD65E4" w14:paraId="7FE03217" w14:textId="77777777" w:rsidTr="00CB38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3" w:type="dxa"/>
            <w:hideMark/>
          </w:tcPr>
          <w:p w14:paraId="7B4DABEF" w14:textId="77777777" w:rsidR="00DD65E4" w:rsidRDefault="00DD65E4" w:rsidP="009D7A03">
            <w:pPr>
              <w:spacing w:line="480" w:lineRule="auto"/>
              <w:ind w:left="360"/>
              <w:rPr>
                <w:rFonts w:ascii="Times New Roman" w:hAnsi="Times New Roman" w:cs="Times New Roman"/>
              </w:rPr>
            </w:pPr>
            <w:r>
              <w:rPr>
                <w:rFonts w:ascii="Times New Roman" w:eastAsia="Times New Roman" w:hAnsi="Times New Roman" w:cs="Times New Roman"/>
                <w:sz w:val="24"/>
                <w:szCs w:val="24"/>
              </w:rPr>
              <w:lastRenderedPageBreak/>
              <w:t>TCAP</w:t>
            </w:r>
          </w:p>
        </w:tc>
        <w:tc>
          <w:tcPr>
            <w:tcW w:w="955" w:type="dxa"/>
            <w:hideMark/>
          </w:tcPr>
          <w:p w14:paraId="6DC9F8B7" w14:textId="77777777" w:rsidR="00DD65E4" w:rsidRDefault="00DD65E4" w:rsidP="009D7A03">
            <w:pPr>
              <w:spacing w:line="480" w:lineRule="auto"/>
              <w:ind w:left="3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sz w:val="24"/>
                <w:szCs w:val="24"/>
              </w:rPr>
              <w:t>75</w:t>
            </w:r>
          </w:p>
        </w:tc>
        <w:tc>
          <w:tcPr>
            <w:tcW w:w="1536" w:type="dxa"/>
            <w:hideMark/>
          </w:tcPr>
          <w:p w14:paraId="78577F49" w14:textId="77777777" w:rsidR="00DD65E4" w:rsidRDefault="00DD65E4" w:rsidP="009D7A03">
            <w:pPr>
              <w:spacing w:line="480" w:lineRule="auto"/>
              <w:ind w:left="3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sz w:val="24"/>
                <w:szCs w:val="24"/>
              </w:rPr>
              <w:t xml:space="preserve">1.9291    </w:t>
            </w:r>
          </w:p>
        </w:tc>
        <w:tc>
          <w:tcPr>
            <w:tcW w:w="1546" w:type="dxa"/>
            <w:hideMark/>
          </w:tcPr>
          <w:p w14:paraId="4FBB08A2" w14:textId="77777777" w:rsidR="00DD65E4" w:rsidRDefault="00DD65E4" w:rsidP="009D7A03">
            <w:pPr>
              <w:spacing w:line="480" w:lineRule="auto"/>
              <w:ind w:left="3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sz w:val="24"/>
                <w:szCs w:val="24"/>
              </w:rPr>
              <w:t xml:space="preserve">3.2627     </w:t>
            </w:r>
          </w:p>
        </w:tc>
        <w:tc>
          <w:tcPr>
            <w:tcW w:w="1536" w:type="dxa"/>
            <w:hideMark/>
          </w:tcPr>
          <w:p w14:paraId="55470518" w14:textId="77777777" w:rsidR="00DD65E4" w:rsidRDefault="00DD65E4" w:rsidP="009D7A03">
            <w:pPr>
              <w:spacing w:line="480" w:lineRule="auto"/>
              <w:ind w:left="3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sz w:val="24"/>
                <w:szCs w:val="24"/>
              </w:rPr>
              <w:t xml:space="preserve">-15.41      </w:t>
            </w:r>
          </w:p>
        </w:tc>
        <w:tc>
          <w:tcPr>
            <w:tcW w:w="1536" w:type="dxa"/>
            <w:hideMark/>
          </w:tcPr>
          <w:p w14:paraId="209B462F" w14:textId="77777777" w:rsidR="00DD65E4" w:rsidRDefault="00DD65E4" w:rsidP="009D7A03">
            <w:pPr>
              <w:spacing w:line="480" w:lineRule="auto"/>
              <w:ind w:left="3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sz w:val="24"/>
                <w:szCs w:val="24"/>
              </w:rPr>
              <w:t>12.89</w:t>
            </w:r>
          </w:p>
        </w:tc>
      </w:tr>
      <w:tr w:rsidR="00DD65E4" w14:paraId="131B5449" w14:textId="77777777" w:rsidTr="00CB38EF">
        <w:tc>
          <w:tcPr>
            <w:cnfStyle w:val="001000000000" w:firstRow="0" w:lastRow="0" w:firstColumn="1" w:lastColumn="0" w:oddVBand="0" w:evenVBand="0" w:oddHBand="0" w:evenHBand="0" w:firstRowFirstColumn="0" w:firstRowLastColumn="0" w:lastRowFirstColumn="0" w:lastRowLastColumn="0"/>
            <w:tcW w:w="1503" w:type="dxa"/>
            <w:hideMark/>
          </w:tcPr>
          <w:p w14:paraId="56EEA553" w14:textId="77777777" w:rsidR="00DD65E4" w:rsidRDefault="00DD65E4" w:rsidP="009D7A03">
            <w:pPr>
              <w:spacing w:line="480" w:lineRule="auto"/>
              <w:ind w:left="360"/>
              <w:rPr>
                <w:rFonts w:ascii="Times New Roman" w:hAnsi="Times New Roman" w:cs="Times New Roman"/>
              </w:rPr>
            </w:pPr>
            <w:r>
              <w:rPr>
                <w:rFonts w:ascii="Times New Roman" w:eastAsia="Times New Roman" w:hAnsi="Times New Roman" w:cs="Times New Roman"/>
                <w:sz w:val="24"/>
                <w:szCs w:val="24"/>
              </w:rPr>
              <w:t>TS</w:t>
            </w:r>
          </w:p>
        </w:tc>
        <w:tc>
          <w:tcPr>
            <w:tcW w:w="955" w:type="dxa"/>
            <w:hideMark/>
          </w:tcPr>
          <w:p w14:paraId="1C493C7E" w14:textId="77777777" w:rsidR="00DD65E4" w:rsidRDefault="00DD65E4" w:rsidP="009D7A03">
            <w:pPr>
              <w:spacing w:line="480" w:lineRule="auto"/>
              <w:ind w:left="3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sz w:val="24"/>
                <w:szCs w:val="24"/>
              </w:rPr>
              <w:t>75</w:t>
            </w:r>
          </w:p>
        </w:tc>
        <w:tc>
          <w:tcPr>
            <w:tcW w:w="1536" w:type="dxa"/>
            <w:hideMark/>
          </w:tcPr>
          <w:p w14:paraId="40A2715C" w14:textId="77777777" w:rsidR="00DD65E4" w:rsidRDefault="00DD65E4" w:rsidP="009D7A03">
            <w:pPr>
              <w:spacing w:line="480" w:lineRule="auto"/>
              <w:ind w:left="3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sz w:val="24"/>
                <w:szCs w:val="24"/>
              </w:rPr>
              <w:t xml:space="preserve">3.0099   </w:t>
            </w:r>
          </w:p>
        </w:tc>
        <w:tc>
          <w:tcPr>
            <w:tcW w:w="1546" w:type="dxa"/>
            <w:hideMark/>
          </w:tcPr>
          <w:p w14:paraId="32E3AA1E" w14:textId="77777777" w:rsidR="00DD65E4" w:rsidRDefault="00DD65E4" w:rsidP="009D7A03">
            <w:pPr>
              <w:spacing w:line="480" w:lineRule="auto"/>
              <w:ind w:left="3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sz w:val="24"/>
                <w:szCs w:val="24"/>
              </w:rPr>
              <w:t xml:space="preserve">2.4812       </w:t>
            </w:r>
          </w:p>
        </w:tc>
        <w:tc>
          <w:tcPr>
            <w:tcW w:w="1536" w:type="dxa"/>
            <w:hideMark/>
          </w:tcPr>
          <w:p w14:paraId="6302169D" w14:textId="77777777" w:rsidR="00DD65E4" w:rsidRDefault="00DD65E4" w:rsidP="009D7A03">
            <w:pPr>
              <w:spacing w:line="480" w:lineRule="auto"/>
              <w:ind w:left="3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sz w:val="24"/>
                <w:szCs w:val="24"/>
              </w:rPr>
              <w:t xml:space="preserve">0.00      </w:t>
            </w:r>
          </w:p>
        </w:tc>
        <w:tc>
          <w:tcPr>
            <w:tcW w:w="1536" w:type="dxa"/>
            <w:hideMark/>
          </w:tcPr>
          <w:p w14:paraId="622A7D71" w14:textId="77777777" w:rsidR="00DD65E4" w:rsidRDefault="00DD65E4" w:rsidP="009D7A03">
            <w:pPr>
              <w:spacing w:line="480" w:lineRule="auto"/>
              <w:ind w:left="3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sz w:val="24"/>
                <w:szCs w:val="24"/>
              </w:rPr>
              <w:t>12.77</w:t>
            </w:r>
          </w:p>
        </w:tc>
      </w:tr>
      <w:tr w:rsidR="00DD65E4" w14:paraId="5AABACD0" w14:textId="77777777" w:rsidTr="00CB38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3" w:type="dxa"/>
            <w:hideMark/>
          </w:tcPr>
          <w:p w14:paraId="1A7D2E24" w14:textId="77777777" w:rsidR="00DD65E4" w:rsidRDefault="00DD65E4" w:rsidP="009D7A03">
            <w:pPr>
              <w:spacing w:line="480" w:lineRule="auto"/>
              <w:ind w:left="360"/>
              <w:rPr>
                <w:rFonts w:ascii="Times New Roman" w:hAnsi="Times New Roman" w:cs="Times New Roman"/>
              </w:rPr>
            </w:pPr>
            <w:r>
              <w:rPr>
                <w:rFonts w:ascii="Times New Roman" w:eastAsia="Times New Roman" w:hAnsi="Times New Roman" w:cs="Times New Roman"/>
                <w:sz w:val="24"/>
                <w:szCs w:val="24"/>
              </w:rPr>
              <w:t>DETS</w:t>
            </w:r>
          </w:p>
        </w:tc>
        <w:tc>
          <w:tcPr>
            <w:tcW w:w="955" w:type="dxa"/>
            <w:hideMark/>
          </w:tcPr>
          <w:p w14:paraId="4F5FE8B4" w14:textId="77777777" w:rsidR="00DD65E4" w:rsidRDefault="00DD65E4" w:rsidP="009D7A03">
            <w:pPr>
              <w:spacing w:line="480" w:lineRule="auto"/>
              <w:ind w:left="3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sz w:val="24"/>
                <w:szCs w:val="24"/>
              </w:rPr>
              <w:t>75</w:t>
            </w:r>
          </w:p>
        </w:tc>
        <w:tc>
          <w:tcPr>
            <w:tcW w:w="1536" w:type="dxa"/>
            <w:hideMark/>
          </w:tcPr>
          <w:p w14:paraId="2D6F2220" w14:textId="77777777" w:rsidR="00DD65E4" w:rsidRDefault="00DD65E4" w:rsidP="009D7A03">
            <w:pPr>
              <w:spacing w:line="480" w:lineRule="auto"/>
              <w:ind w:left="3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sz w:val="24"/>
                <w:szCs w:val="24"/>
              </w:rPr>
              <w:t xml:space="preserve">3.4625   </w:t>
            </w:r>
          </w:p>
        </w:tc>
        <w:tc>
          <w:tcPr>
            <w:tcW w:w="1546" w:type="dxa"/>
            <w:hideMark/>
          </w:tcPr>
          <w:p w14:paraId="1B7CEC36" w14:textId="77777777" w:rsidR="00DD65E4" w:rsidRDefault="00DD65E4" w:rsidP="009D7A03">
            <w:pPr>
              <w:spacing w:line="480" w:lineRule="auto"/>
              <w:ind w:left="3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sz w:val="24"/>
                <w:szCs w:val="24"/>
              </w:rPr>
              <w:t xml:space="preserve">2.2910       </w:t>
            </w:r>
          </w:p>
        </w:tc>
        <w:tc>
          <w:tcPr>
            <w:tcW w:w="1536" w:type="dxa"/>
            <w:hideMark/>
          </w:tcPr>
          <w:p w14:paraId="227E8B24" w14:textId="77777777" w:rsidR="00DD65E4" w:rsidRDefault="00DD65E4" w:rsidP="009D7A03">
            <w:pPr>
              <w:spacing w:line="480" w:lineRule="auto"/>
              <w:ind w:left="3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sz w:val="24"/>
                <w:szCs w:val="24"/>
              </w:rPr>
              <w:t xml:space="preserve">0.28       </w:t>
            </w:r>
          </w:p>
        </w:tc>
        <w:tc>
          <w:tcPr>
            <w:tcW w:w="1536" w:type="dxa"/>
            <w:hideMark/>
          </w:tcPr>
          <w:p w14:paraId="6BACAE68" w14:textId="77777777" w:rsidR="00DD65E4" w:rsidRDefault="00DD65E4" w:rsidP="009D7A03">
            <w:pPr>
              <w:spacing w:line="480" w:lineRule="auto"/>
              <w:ind w:left="3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sz w:val="24"/>
                <w:szCs w:val="24"/>
              </w:rPr>
              <w:t>9.21</w:t>
            </w:r>
          </w:p>
        </w:tc>
      </w:tr>
      <w:tr w:rsidR="00DD65E4" w14:paraId="29966D5F" w14:textId="77777777" w:rsidTr="00CB38EF">
        <w:tc>
          <w:tcPr>
            <w:cnfStyle w:val="001000000000" w:firstRow="0" w:lastRow="0" w:firstColumn="1" w:lastColumn="0" w:oddVBand="0" w:evenVBand="0" w:oddHBand="0" w:evenHBand="0" w:firstRowFirstColumn="0" w:firstRowLastColumn="0" w:lastRowFirstColumn="0" w:lastRowLastColumn="0"/>
            <w:tcW w:w="1503" w:type="dxa"/>
            <w:hideMark/>
          </w:tcPr>
          <w:p w14:paraId="07118A19" w14:textId="77777777" w:rsidR="00DD65E4" w:rsidRDefault="00DD65E4" w:rsidP="009D7A03">
            <w:pPr>
              <w:spacing w:line="480" w:lineRule="auto"/>
              <w:ind w:left="360"/>
              <w:rPr>
                <w:rFonts w:ascii="Times New Roman" w:hAnsi="Times New Roman" w:cs="Times New Roman"/>
              </w:rPr>
            </w:pPr>
            <w:r>
              <w:rPr>
                <w:rFonts w:ascii="Times New Roman" w:eastAsia="Times New Roman" w:hAnsi="Times New Roman" w:cs="Times New Roman"/>
                <w:sz w:val="24"/>
                <w:szCs w:val="24"/>
              </w:rPr>
              <w:t>CAPINT</w:t>
            </w:r>
          </w:p>
        </w:tc>
        <w:tc>
          <w:tcPr>
            <w:tcW w:w="955" w:type="dxa"/>
            <w:hideMark/>
          </w:tcPr>
          <w:p w14:paraId="46EB8F17" w14:textId="77777777" w:rsidR="00DD65E4" w:rsidRDefault="00DD65E4" w:rsidP="009D7A03">
            <w:pPr>
              <w:spacing w:line="480" w:lineRule="auto"/>
              <w:ind w:left="3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sz w:val="24"/>
                <w:szCs w:val="24"/>
              </w:rPr>
              <w:t>75</w:t>
            </w:r>
          </w:p>
        </w:tc>
        <w:tc>
          <w:tcPr>
            <w:tcW w:w="1536" w:type="dxa"/>
            <w:hideMark/>
          </w:tcPr>
          <w:p w14:paraId="55DD2D10" w14:textId="77777777" w:rsidR="00DD65E4" w:rsidRDefault="00DD65E4" w:rsidP="009D7A03">
            <w:pPr>
              <w:spacing w:line="480" w:lineRule="auto"/>
              <w:ind w:left="3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sz w:val="24"/>
                <w:szCs w:val="24"/>
              </w:rPr>
              <w:t xml:space="preserve">2.0516      </w:t>
            </w:r>
          </w:p>
        </w:tc>
        <w:tc>
          <w:tcPr>
            <w:tcW w:w="1546" w:type="dxa"/>
            <w:hideMark/>
          </w:tcPr>
          <w:p w14:paraId="21169223" w14:textId="77777777" w:rsidR="00DD65E4" w:rsidRDefault="00DD65E4" w:rsidP="009D7A03">
            <w:pPr>
              <w:spacing w:line="480" w:lineRule="auto"/>
              <w:ind w:left="3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sz w:val="24"/>
                <w:szCs w:val="24"/>
              </w:rPr>
              <w:t xml:space="preserve">1.5504       </w:t>
            </w:r>
          </w:p>
        </w:tc>
        <w:tc>
          <w:tcPr>
            <w:tcW w:w="1536" w:type="dxa"/>
            <w:hideMark/>
          </w:tcPr>
          <w:p w14:paraId="79F0FB97" w14:textId="77777777" w:rsidR="00DD65E4" w:rsidRDefault="00DD65E4" w:rsidP="009D7A03">
            <w:pPr>
              <w:spacing w:line="480" w:lineRule="auto"/>
              <w:ind w:left="3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sz w:val="24"/>
                <w:szCs w:val="24"/>
              </w:rPr>
              <w:t xml:space="preserve">0.38       </w:t>
            </w:r>
          </w:p>
        </w:tc>
        <w:tc>
          <w:tcPr>
            <w:tcW w:w="1536" w:type="dxa"/>
            <w:hideMark/>
          </w:tcPr>
          <w:p w14:paraId="2CF0B682" w14:textId="77777777" w:rsidR="00DD65E4" w:rsidRDefault="00DD65E4" w:rsidP="009D7A03">
            <w:pPr>
              <w:spacing w:line="480" w:lineRule="auto"/>
              <w:ind w:left="3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sz w:val="24"/>
                <w:szCs w:val="24"/>
              </w:rPr>
              <w:t>9.21</w:t>
            </w:r>
          </w:p>
        </w:tc>
      </w:tr>
      <w:tr w:rsidR="00DD65E4" w14:paraId="68138313" w14:textId="77777777" w:rsidTr="00CB38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3" w:type="dxa"/>
            <w:hideMark/>
          </w:tcPr>
          <w:p w14:paraId="0AEEAEAE" w14:textId="77777777" w:rsidR="00DD65E4" w:rsidRDefault="00DD65E4" w:rsidP="009D7A03">
            <w:pPr>
              <w:spacing w:line="480" w:lineRule="auto"/>
              <w:ind w:left="360"/>
              <w:rPr>
                <w:rFonts w:ascii="Times New Roman" w:hAnsi="Times New Roman" w:cs="Times New Roman"/>
              </w:rPr>
            </w:pPr>
            <w:r>
              <w:rPr>
                <w:rFonts w:ascii="Times New Roman" w:eastAsia="Times New Roman" w:hAnsi="Times New Roman" w:cs="Times New Roman"/>
                <w:sz w:val="24"/>
                <w:szCs w:val="24"/>
              </w:rPr>
              <w:t>FSIZE</w:t>
            </w:r>
          </w:p>
        </w:tc>
        <w:tc>
          <w:tcPr>
            <w:tcW w:w="955" w:type="dxa"/>
            <w:hideMark/>
          </w:tcPr>
          <w:p w14:paraId="01B00289" w14:textId="77777777" w:rsidR="00DD65E4" w:rsidRDefault="00DD65E4" w:rsidP="009D7A03">
            <w:pPr>
              <w:spacing w:line="480" w:lineRule="auto"/>
              <w:ind w:left="3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sz w:val="24"/>
                <w:szCs w:val="24"/>
              </w:rPr>
              <w:t>75</w:t>
            </w:r>
          </w:p>
        </w:tc>
        <w:tc>
          <w:tcPr>
            <w:tcW w:w="1536" w:type="dxa"/>
            <w:hideMark/>
          </w:tcPr>
          <w:p w14:paraId="585DF385" w14:textId="77777777" w:rsidR="00DD65E4" w:rsidRDefault="00DD65E4" w:rsidP="009D7A03">
            <w:pPr>
              <w:spacing w:line="480" w:lineRule="auto"/>
              <w:ind w:left="3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sz w:val="24"/>
                <w:szCs w:val="24"/>
              </w:rPr>
              <w:t xml:space="preserve">6.6943    </w:t>
            </w:r>
          </w:p>
        </w:tc>
        <w:tc>
          <w:tcPr>
            <w:tcW w:w="1546" w:type="dxa"/>
            <w:hideMark/>
          </w:tcPr>
          <w:p w14:paraId="2754268A" w14:textId="77777777" w:rsidR="00DD65E4" w:rsidRDefault="00DD65E4" w:rsidP="009D7A03">
            <w:pPr>
              <w:spacing w:line="480" w:lineRule="auto"/>
              <w:ind w:left="3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sz w:val="24"/>
                <w:szCs w:val="24"/>
              </w:rPr>
              <w:t xml:space="preserve">0.6641      </w:t>
            </w:r>
          </w:p>
        </w:tc>
        <w:tc>
          <w:tcPr>
            <w:tcW w:w="1536" w:type="dxa"/>
            <w:hideMark/>
          </w:tcPr>
          <w:p w14:paraId="625731DB" w14:textId="77777777" w:rsidR="00DD65E4" w:rsidRDefault="00DD65E4" w:rsidP="009D7A03">
            <w:pPr>
              <w:spacing w:line="480" w:lineRule="auto"/>
              <w:ind w:left="3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sz w:val="24"/>
                <w:szCs w:val="24"/>
              </w:rPr>
              <w:t xml:space="preserve">5.55       </w:t>
            </w:r>
          </w:p>
        </w:tc>
        <w:tc>
          <w:tcPr>
            <w:tcW w:w="1536" w:type="dxa"/>
            <w:hideMark/>
          </w:tcPr>
          <w:p w14:paraId="46208177" w14:textId="77777777" w:rsidR="00DD65E4" w:rsidRDefault="00DD65E4" w:rsidP="009D7A03">
            <w:pPr>
              <w:spacing w:line="480" w:lineRule="auto"/>
              <w:ind w:left="3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sz w:val="24"/>
                <w:szCs w:val="24"/>
              </w:rPr>
              <w:t>7.99</w:t>
            </w:r>
          </w:p>
        </w:tc>
      </w:tr>
    </w:tbl>
    <w:p w14:paraId="4F986FBB" w14:textId="77777777" w:rsidR="00C17286" w:rsidRPr="00C17286" w:rsidRDefault="002C27E5" w:rsidP="007B7E8D">
      <w:pPr>
        <w:spacing w:after="0" w:line="240" w:lineRule="auto"/>
        <w:ind w:left="360"/>
        <w:rPr>
          <w:rFonts w:ascii="Times New Roman" w:eastAsia="Times New Roman" w:hAnsi="Times New Roman" w:cs="Times New Roman"/>
          <w:sz w:val="24"/>
          <w:szCs w:val="24"/>
        </w:rPr>
      </w:pPr>
      <w:r>
        <w:rPr>
          <w:rFonts w:ascii="Times New Roman" w:eastAsia="Times New Roman" w:hAnsi="Times New Roman"/>
          <w:b/>
          <w:bCs/>
          <w:i/>
          <w:sz w:val="24"/>
          <w:szCs w:val="24"/>
        </w:rPr>
        <w:t>Source:</w:t>
      </w:r>
      <w:r>
        <w:rPr>
          <w:rFonts w:ascii="Times New Roman" w:eastAsia="Times New Roman" w:hAnsi="Times New Roman"/>
          <w:i/>
          <w:sz w:val="24"/>
          <w:szCs w:val="24"/>
        </w:rPr>
        <w:t xml:space="preserve"> Author’s Computation (2026)</w:t>
      </w:r>
    </w:p>
    <w:p w14:paraId="26032E21" w14:textId="77777777" w:rsidR="00DB236D" w:rsidRPr="00C259F9" w:rsidRDefault="00DB236D" w:rsidP="00DB236D">
      <w:pPr>
        <w:spacing w:before="100" w:beforeAutospacing="1" w:after="100" w:afterAutospacing="1" w:line="240" w:lineRule="auto"/>
        <w:jc w:val="both"/>
        <w:rPr>
          <w:rFonts w:ascii="Times New Roman" w:eastAsia="Times New Roman" w:hAnsi="Times New Roman" w:cs="Times New Roman"/>
          <w:sz w:val="24"/>
          <w:szCs w:val="24"/>
        </w:rPr>
      </w:pPr>
      <w:r w:rsidRPr="00C259F9">
        <w:rPr>
          <w:rFonts w:ascii="Times New Roman" w:eastAsia="Times New Roman" w:hAnsi="Times New Roman" w:cs="Times New Roman"/>
          <w:sz w:val="24"/>
          <w:szCs w:val="24"/>
        </w:rPr>
        <w:t>Table 1 presents the descriptive statistics for the variables based on 75 firm-year observations obtained from five listed healthcare firms in Nigeria over the period 2010–2024.</w:t>
      </w:r>
    </w:p>
    <w:p w14:paraId="630D6F9E" w14:textId="77777777" w:rsidR="00DB236D" w:rsidRPr="00C259F9" w:rsidRDefault="00DB236D" w:rsidP="00DB236D">
      <w:pPr>
        <w:spacing w:before="100" w:beforeAutospacing="1" w:after="100" w:afterAutospacing="1" w:line="240" w:lineRule="auto"/>
        <w:jc w:val="both"/>
        <w:rPr>
          <w:rFonts w:ascii="Times New Roman" w:eastAsia="Times New Roman" w:hAnsi="Times New Roman" w:cs="Times New Roman"/>
          <w:sz w:val="24"/>
          <w:szCs w:val="24"/>
        </w:rPr>
      </w:pPr>
      <w:r w:rsidRPr="00C259F9">
        <w:rPr>
          <w:rFonts w:ascii="Times New Roman" w:eastAsia="Times New Roman" w:hAnsi="Times New Roman" w:cs="Times New Roman"/>
          <w:sz w:val="24"/>
          <w:szCs w:val="24"/>
        </w:rPr>
        <w:t xml:space="preserve">Financial distress, measured using the </w:t>
      </w:r>
      <w:r w:rsidR="00DF18B1">
        <w:rPr>
          <w:rFonts w:ascii="Times New Roman" w:eastAsia="Times New Roman" w:hAnsi="Times New Roman" w:cs="Times New Roman"/>
          <w:bCs/>
          <w:sz w:val="24"/>
          <w:szCs w:val="24"/>
        </w:rPr>
        <w:t>Altman Z-score (F</w:t>
      </w:r>
      <w:r w:rsidRPr="00C259F9">
        <w:rPr>
          <w:rFonts w:ascii="Times New Roman" w:eastAsia="Times New Roman" w:hAnsi="Times New Roman" w:cs="Times New Roman"/>
          <w:bCs/>
          <w:sz w:val="24"/>
          <w:szCs w:val="24"/>
        </w:rPr>
        <w:t>D)</w:t>
      </w:r>
      <w:r w:rsidRPr="00C259F9">
        <w:rPr>
          <w:rFonts w:ascii="Times New Roman" w:eastAsia="Times New Roman" w:hAnsi="Times New Roman" w:cs="Times New Roman"/>
          <w:sz w:val="24"/>
          <w:szCs w:val="24"/>
        </w:rPr>
        <w:t xml:space="preserve">, recorded a mean value of </w:t>
      </w:r>
      <w:r w:rsidRPr="00C259F9">
        <w:rPr>
          <w:rFonts w:ascii="Times New Roman" w:eastAsia="Times New Roman" w:hAnsi="Times New Roman" w:cs="Times New Roman"/>
          <w:bCs/>
          <w:sz w:val="24"/>
          <w:szCs w:val="24"/>
        </w:rPr>
        <w:t>0.5455</w:t>
      </w:r>
      <w:r w:rsidRPr="00C259F9">
        <w:rPr>
          <w:rFonts w:ascii="Times New Roman" w:eastAsia="Times New Roman" w:hAnsi="Times New Roman" w:cs="Times New Roman"/>
          <w:sz w:val="24"/>
          <w:szCs w:val="24"/>
        </w:rPr>
        <w:t xml:space="preserve"> with a standard deviation of </w:t>
      </w:r>
      <w:r w:rsidRPr="00C259F9">
        <w:rPr>
          <w:rFonts w:ascii="Times New Roman" w:eastAsia="Times New Roman" w:hAnsi="Times New Roman" w:cs="Times New Roman"/>
          <w:bCs/>
          <w:sz w:val="24"/>
          <w:szCs w:val="24"/>
        </w:rPr>
        <w:t>0.8802</w:t>
      </w:r>
      <w:r w:rsidRPr="00C259F9">
        <w:rPr>
          <w:rFonts w:ascii="Times New Roman" w:eastAsia="Times New Roman" w:hAnsi="Times New Roman" w:cs="Times New Roman"/>
          <w:sz w:val="24"/>
          <w:szCs w:val="24"/>
        </w:rPr>
        <w:t xml:space="preserve">. The Z-score ranged from </w:t>
      </w:r>
      <w:r w:rsidRPr="00C259F9">
        <w:rPr>
          <w:rFonts w:ascii="Times New Roman" w:eastAsia="Times New Roman" w:hAnsi="Times New Roman" w:cs="Times New Roman"/>
          <w:bCs/>
          <w:sz w:val="24"/>
          <w:szCs w:val="24"/>
        </w:rPr>
        <w:t>−1.34 to 1.48</w:t>
      </w:r>
      <w:r w:rsidRPr="00C259F9">
        <w:rPr>
          <w:rFonts w:ascii="Times New Roman" w:eastAsia="Times New Roman" w:hAnsi="Times New Roman" w:cs="Times New Roman"/>
          <w:sz w:val="24"/>
          <w:szCs w:val="24"/>
        </w:rPr>
        <w:t>, indicating substantial variation in the financial health of the sampled firms over the study period. The relatively low average Z-score suggests that several firms operated close to, or within, the financial distress zone, reflecting the challenging operating environment faced by Nigeria's healthcare sector.</w:t>
      </w:r>
    </w:p>
    <w:p w14:paraId="157FF31E" w14:textId="77777777" w:rsidR="00DB236D" w:rsidRPr="00C259F9" w:rsidRDefault="00DB236D" w:rsidP="00DB236D">
      <w:pPr>
        <w:spacing w:before="100" w:beforeAutospacing="1" w:after="100" w:afterAutospacing="1" w:line="240" w:lineRule="auto"/>
        <w:jc w:val="both"/>
        <w:rPr>
          <w:rFonts w:ascii="Times New Roman" w:eastAsia="Times New Roman" w:hAnsi="Times New Roman" w:cs="Times New Roman"/>
          <w:sz w:val="24"/>
          <w:szCs w:val="24"/>
        </w:rPr>
      </w:pPr>
      <w:r w:rsidRPr="00C259F9">
        <w:rPr>
          <w:rFonts w:ascii="Times New Roman" w:eastAsia="Times New Roman" w:hAnsi="Times New Roman" w:cs="Times New Roman"/>
          <w:sz w:val="24"/>
          <w:szCs w:val="24"/>
        </w:rPr>
        <w:t xml:space="preserve">The </w:t>
      </w:r>
      <w:r w:rsidRPr="00C259F9">
        <w:rPr>
          <w:rFonts w:ascii="Times New Roman" w:eastAsia="Times New Roman" w:hAnsi="Times New Roman" w:cs="Times New Roman"/>
          <w:bCs/>
          <w:sz w:val="24"/>
          <w:szCs w:val="24"/>
        </w:rPr>
        <w:t>Effective Tax Rate (ETR)</w:t>
      </w:r>
      <w:r w:rsidRPr="00C259F9">
        <w:rPr>
          <w:rFonts w:ascii="Times New Roman" w:eastAsia="Times New Roman" w:hAnsi="Times New Roman" w:cs="Times New Roman"/>
          <w:sz w:val="24"/>
          <w:szCs w:val="24"/>
        </w:rPr>
        <w:t xml:space="preserve"> recorded a mean of </w:t>
      </w:r>
      <w:r w:rsidRPr="00C259F9">
        <w:rPr>
          <w:rFonts w:ascii="Times New Roman" w:eastAsia="Times New Roman" w:hAnsi="Times New Roman" w:cs="Times New Roman"/>
          <w:bCs/>
          <w:sz w:val="24"/>
          <w:szCs w:val="24"/>
        </w:rPr>
        <w:t>−5.5423</w:t>
      </w:r>
      <w:r w:rsidRPr="00C259F9">
        <w:rPr>
          <w:rFonts w:ascii="Times New Roman" w:eastAsia="Times New Roman" w:hAnsi="Times New Roman" w:cs="Times New Roman"/>
          <w:sz w:val="24"/>
          <w:szCs w:val="24"/>
        </w:rPr>
        <w:t xml:space="preserve"> and the largest standard deviation (</w:t>
      </w:r>
      <w:r w:rsidRPr="00C259F9">
        <w:rPr>
          <w:rFonts w:ascii="Times New Roman" w:eastAsia="Times New Roman" w:hAnsi="Times New Roman" w:cs="Times New Roman"/>
          <w:bCs/>
          <w:sz w:val="24"/>
          <w:szCs w:val="24"/>
        </w:rPr>
        <w:t>47.6564</w:t>
      </w:r>
      <w:r w:rsidRPr="00C259F9">
        <w:rPr>
          <w:rFonts w:ascii="Times New Roman" w:eastAsia="Times New Roman" w:hAnsi="Times New Roman" w:cs="Times New Roman"/>
          <w:sz w:val="24"/>
          <w:szCs w:val="24"/>
        </w:rPr>
        <w:t xml:space="preserve">) among all variables, with values ranging from </w:t>
      </w:r>
      <w:r w:rsidRPr="00C259F9">
        <w:rPr>
          <w:rFonts w:ascii="Times New Roman" w:eastAsia="Times New Roman" w:hAnsi="Times New Roman" w:cs="Times New Roman"/>
          <w:bCs/>
          <w:sz w:val="24"/>
          <w:szCs w:val="24"/>
        </w:rPr>
        <w:t>−160.58 to 215.04</w:t>
      </w:r>
      <w:r w:rsidRPr="00C259F9">
        <w:rPr>
          <w:rFonts w:ascii="Times New Roman" w:eastAsia="Times New Roman" w:hAnsi="Times New Roman" w:cs="Times New Roman"/>
          <w:sz w:val="24"/>
          <w:szCs w:val="24"/>
        </w:rPr>
        <w:t>. This exceptionally wide dispersion indicates considerable heterogeneity in tax positions across firms and years, which may reflect differences in profitability, deferred tax accounting, tax incentives, loss carry-forwards, and firm-specific tax planning strategies.</w:t>
      </w:r>
    </w:p>
    <w:p w14:paraId="689E7CE5" w14:textId="77777777" w:rsidR="00DB236D" w:rsidRPr="00C259F9" w:rsidRDefault="00DB236D" w:rsidP="00DB236D">
      <w:pPr>
        <w:spacing w:before="100" w:beforeAutospacing="1" w:after="100" w:afterAutospacing="1" w:line="240" w:lineRule="auto"/>
        <w:jc w:val="both"/>
        <w:rPr>
          <w:rFonts w:ascii="Times New Roman" w:eastAsia="Times New Roman" w:hAnsi="Times New Roman" w:cs="Times New Roman"/>
          <w:sz w:val="24"/>
          <w:szCs w:val="24"/>
        </w:rPr>
      </w:pPr>
      <w:r w:rsidRPr="00C259F9">
        <w:rPr>
          <w:rFonts w:ascii="Times New Roman" w:eastAsia="Times New Roman" w:hAnsi="Times New Roman" w:cs="Times New Roman"/>
          <w:bCs/>
          <w:sz w:val="24"/>
          <w:szCs w:val="24"/>
        </w:rPr>
        <w:t>Thin Capitalization (TCAP</w:t>
      </w:r>
      <w:r w:rsidRPr="00C259F9">
        <w:rPr>
          <w:rFonts w:ascii="Times New Roman" w:eastAsia="Times New Roman" w:hAnsi="Times New Roman" w:cs="Times New Roman"/>
          <w:b/>
          <w:bCs/>
          <w:sz w:val="24"/>
          <w:szCs w:val="24"/>
        </w:rPr>
        <w:t>)</w:t>
      </w:r>
      <w:r w:rsidRPr="00C259F9">
        <w:rPr>
          <w:rFonts w:ascii="Times New Roman" w:eastAsia="Times New Roman" w:hAnsi="Times New Roman" w:cs="Times New Roman"/>
          <w:sz w:val="24"/>
          <w:szCs w:val="24"/>
        </w:rPr>
        <w:t xml:space="preserve"> exhibited a mean value of </w:t>
      </w:r>
      <w:r w:rsidRPr="00C259F9">
        <w:rPr>
          <w:rFonts w:ascii="Times New Roman" w:eastAsia="Times New Roman" w:hAnsi="Times New Roman" w:cs="Times New Roman"/>
          <w:bCs/>
          <w:sz w:val="24"/>
          <w:szCs w:val="24"/>
        </w:rPr>
        <w:t>1.9291</w:t>
      </w:r>
      <w:r w:rsidRPr="00C259F9">
        <w:rPr>
          <w:rFonts w:ascii="Times New Roman" w:eastAsia="Times New Roman" w:hAnsi="Times New Roman" w:cs="Times New Roman"/>
          <w:sz w:val="24"/>
          <w:szCs w:val="24"/>
        </w:rPr>
        <w:t xml:space="preserve"> with a standard deviation of </w:t>
      </w:r>
      <w:r w:rsidRPr="00C259F9">
        <w:rPr>
          <w:rFonts w:ascii="Times New Roman" w:eastAsia="Times New Roman" w:hAnsi="Times New Roman" w:cs="Times New Roman"/>
          <w:bCs/>
          <w:sz w:val="24"/>
          <w:szCs w:val="24"/>
        </w:rPr>
        <w:t>3.2627</w:t>
      </w:r>
      <w:r w:rsidRPr="00C259F9">
        <w:rPr>
          <w:rFonts w:ascii="Times New Roman" w:eastAsia="Times New Roman" w:hAnsi="Times New Roman" w:cs="Times New Roman"/>
          <w:sz w:val="24"/>
          <w:szCs w:val="24"/>
        </w:rPr>
        <w:t>, suggesting substantial variation in firms' financing structures and debt dependence. The wide range of values indicates that some firms relied heavily on debt financing, whereas others maintained relatively conservative capital structures.</w:t>
      </w:r>
    </w:p>
    <w:p w14:paraId="232A4378" w14:textId="77777777" w:rsidR="00DB236D" w:rsidRPr="00C259F9" w:rsidRDefault="00DB236D" w:rsidP="00DB236D">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average </w:t>
      </w:r>
      <w:r>
        <w:rPr>
          <w:rFonts w:ascii="Times New Roman" w:eastAsia="Times New Roman" w:hAnsi="Times New Roman" w:cs="Times New Roman"/>
          <w:bCs/>
          <w:sz w:val="24"/>
          <w:szCs w:val="24"/>
        </w:rPr>
        <w:t>Tax Shield (TS)</w:t>
      </w:r>
      <w:r>
        <w:rPr>
          <w:rFonts w:ascii="Times New Roman" w:eastAsia="Times New Roman" w:hAnsi="Times New Roman" w:cs="Times New Roman"/>
          <w:sz w:val="24"/>
          <w:szCs w:val="24"/>
        </w:rPr>
        <w:t xml:space="preserve"> was </w:t>
      </w:r>
      <w:r>
        <w:rPr>
          <w:rFonts w:ascii="Times New Roman" w:eastAsia="Times New Roman" w:hAnsi="Times New Roman" w:cs="Times New Roman"/>
          <w:bCs/>
          <w:sz w:val="24"/>
          <w:szCs w:val="24"/>
        </w:rPr>
        <w:t>3.0099</w:t>
      </w:r>
      <w:r>
        <w:rPr>
          <w:rFonts w:ascii="Times New Roman" w:eastAsia="Times New Roman" w:hAnsi="Times New Roman" w:cs="Times New Roman"/>
          <w:sz w:val="24"/>
          <w:szCs w:val="24"/>
        </w:rPr>
        <w:t xml:space="preserve"> (SD = 2.4812), while </w:t>
      </w:r>
      <w:r>
        <w:rPr>
          <w:rFonts w:ascii="Times New Roman" w:eastAsia="Times New Roman" w:hAnsi="Times New Roman" w:cs="Times New Roman"/>
          <w:bCs/>
          <w:sz w:val="24"/>
          <w:szCs w:val="24"/>
        </w:rPr>
        <w:t>Depreciation Tax Shield (DETS)</w:t>
      </w:r>
      <w:r>
        <w:rPr>
          <w:rFonts w:ascii="Times New Roman" w:eastAsia="Times New Roman" w:hAnsi="Times New Roman" w:cs="Times New Roman"/>
          <w:sz w:val="24"/>
          <w:szCs w:val="24"/>
        </w:rPr>
        <w:t xml:space="preserve"> averaged </w:t>
      </w:r>
      <w:r>
        <w:rPr>
          <w:rFonts w:ascii="Times New Roman" w:eastAsia="Times New Roman" w:hAnsi="Times New Roman" w:cs="Times New Roman"/>
          <w:bCs/>
          <w:sz w:val="24"/>
          <w:szCs w:val="24"/>
        </w:rPr>
        <w:t>3.4625</w:t>
      </w:r>
      <w:r>
        <w:rPr>
          <w:rFonts w:ascii="Times New Roman" w:eastAsia="Times New Roman" w:hAnsi="Times New Roman" w:cs="Times New Roman"/>
          <w:sz w:val="24"/>
          <w:szCs w:val="24"/>
        </w:rPr>
        <w:t xml:space="preserve"> (SD = 2.2910). These statistics indicate moderate variation in firms' </w:t>
      </w:r>
      <w:proofErr w:type="spellStart"/>
      <w:r>
        <w:rPr>
          <w:rFonts w:ascii="Times New Roman" w:eastAsia="Times New Roman" w:hAnsi="Times New Roman" w:cs="Times New Roman"/>
          <w:sz w:val="24"/>
          <w:szCs w:val="24"/>
          <w:highlight w:val="yellow"/>
        </w:rPr>
        <w:t>utilisation</w:t>
      </w:r>
      <w:proofErr w:type="spellEnd"/>
      <w:r>
        <w:rPr>
          <w:rFonts w:ascii="Times New Roman" w:eastAsia="Times New Roman" w:hAnsi="Times New Roman" w:cs="Times New Roman"/>
          <w:sz w:val="24"/>
          <w:szCs w:val="24"/>
        </w:rPr>
        <w:t xml:space="preserve"> of debt-related and non-debt tax benefits throughout the study period.</w:t>
      </w:r>
    </w:p>
    <w:p w14:paraId="276B2A1D" w14:textId="77777777" w:rsidR="00DB236D" w:rsidRPr="00C259F9" w:rsidRDefault="00DB236D" w:rsidP="00DB236D">
      <w:pPr>
        <w:spacing w:before="100" w:beforeAutospacing="1" w:after="100" w:afterAutospacing="1" w:line="240" w:lineRule="auto"/>
        <w:jc w:val="both"/>
        <w:rPr>
          <w:rFonts w:ascii="Times New Roman" w:eastAsia="Times New Roman" w:hAnsi="Times New Roman" w:cs="Times New Roman"/>
          <w:sz w:val="24"/>
          <w:szCs w:val="24"/>
        </w:rPr>
      </w:pPr>
      <w:r w:rsidRPr="00C259F9">
        <w:rPr>
          <w:rFonts w:ascii="Times New Roman" w:eastAsia="Times New Roman" w:hAnsi="Times New Roman" w:cs="Times New Roman"/>
          <w:sz w:val="24"/>
          <w:szCs w:val="24"/>
        </w:rPr>
        <w:t xml:space="preserve">Similarly, </w:t>
      </w:r>
      <w:r w:rsidRPr="00C259F9">
        <w:rPr>
          <w:rFonts w:ascii="Times New Roman" w:eastAsia="Times New Roman" w:hAnsi="Times New Roman" w:cs="Times New Roman"/>
          <w:bCs/>
          <w:sz w:val="24"/>
          <w:szCs w:val="24"/>
        </w:rPr>
        <w:t>Capital Intensity (CAPINT)</w:t>
      </w:r>
      <w:r w:rsidRPr="00C259F9">
        <w:rPr>
          <w:rFonts w:ascii="Times New Roman" w:eastAsia="Times New Roman" w:hAnsi="Times New Roman" w:cs="Times New Roman"/>
          <w:sz w:val="24"/>
          <w:szCs w:val="24"/>
        </w:rPr>
        <w:t xml:space="preserve"> recorded a mean value of </w:t>
      </w:r>
      <w:r w:rsidRPr="00C259F9">
        <w:rPr>
          <w:rFonts w:ascii="Times New Roman" w:eastAsia="Times New Roman" w:hAnsi="Times New Roman" w:cs="Times New Roman"/>
          <w:bCs/>
          <w:sz w:val="24"/>
          <w:szCs w:val="24"/>
        </w:rPr>
        <w:t>2.0516</w:t>
      </w:r>
      <w:r w:rsidRPr="00C259F9">
        <w:rPr>
          <w:rFonts w:ascii="Times New Roman" w:eastAsia="Times New Roman" w:hAnsi="Times New Roman" w:cs="Times New Roman"/>
          <w:sz w:val="24"/>
          <w:szCs w:val="24"/>
        </w:rPr>
        <w:t xml:space="preserve"> and a standard deviation of </w:t>
      </w:r>
      <w:r w:rsidRPr="00C259F9">
        <w:rPr>
          <w:rFonts w:ascii="Times New Roman" w:eastAsia="Times New Roman" w:hAnsi="Times New Roman" w:cs="Times New Roman"/>
          <w:bCs/>
          <w:sz w:val="24"/>
          <w:szCs w:val="24"/>
        </w:rPr>
        <w:t>1.5504</w:t>
      </w:r>
      <w:r w:rsidRPr="00C259F9">
        <w:rPr>
          <w:rFonts w:ascii="Times New Roman" w:eastAsia="Times New Roman" w:hAnsi="Times New Roman" w:cs="Times New Roman"/>
          <w:sz w:val="24"/>
          <w:szCs w:val="24"/>
        </w:rPr>
        <w:t>, implying differences in investment levels in fixed assets among the sampled firms.</w:t>
      </w:r>
    </w:p>
    <w:p w14:paraId="553B5401" w14:textId="77777777" w:rsidR="00DB236D" w:rsidRPr="00C259F9" w:rsidRDefault="00DB236D" w:rsidP="00DB236D">
      <w:pPr>
        <w:spacing w:before="100" w:beforeAutospacing="1" w:after="100" w:afterAutospacing="1" w:line="240" w:lineRule="auto"/>
        <w:jc w:val="both"/>
        <w:rPr>
          <w:rFonts w:ascii="Times New Roman" w:eastAsia="Times New Roman" w:hAnsi="Times New Roman" w:cs="Times New Roman"/>
          <w:sz w:val="24"/>
          <w:szCs w:val="24"/>
        </w:rPr>
      </w:pPr>
      <w:r w:rsidRPr="00C259F9">
        <w:rPr>
          <w:rFonts w:ascii="Times New Roman" w:eastAsia="Times New Roman" w:hAnsi="Times New Roman" w:cs="Times New Roman"/>
          <w:bCs/>
          <w:sz w:val="24"/>
          <w:szCs w:val="24"/>
        </w:rPr>
        <w:t>Firm Size (FSIZE)</w:t>
      </w:r>
      <w:r w:rsidRPr="00C259F9">
        <w:rPr>
          <w:rFonts w:ascii="Times New Roman" w:eastAsia="Times New Roman" w:hAnsi="Times New Roman" w:cs="Times New Roman"/>
          <w:sz w:val="24"/>
          <w:szCs w:val="24"/>
        </w:rPr>
        <w:t xml:space="preserve"> exhibited the lowest variability (Mean = </w:t>
      </w:r>
      <w:r w:rsidRPr="00C259F9">
        <w:rPr>
          <w:rFonts w:ascii="Times New Roman" w:eastAsia="Times New Roman" w:hAnsi="Times New Roman" w:cs="Times New Roman"/>
          <w:bCs/>
          <w:sz w:val="24"/>
          <w:szCs w:val="24"/>
        </w:rPr>
        <w:t>6.6943</w:t>
      </w:r>
      <w:r w:rsidRPr="00C259F9">
        <w:rPr>
          <w:rFonts w:ascii="Times New Roman" w:eastAsia="Times New Roman" w:hAnsi="Times New Roman" w:cs="Times New Roman"/>
          <w:sz w:val="24"/>
          <w:szCs w:val="24"/>
        </w:rPr>
        <w:t xml:space="preserve">, SD = </w:t>
      </w:r>
      <w:r w:rsidRPr="00C259F9">
        <w:rPr>
          <w:rFonts w:ascii="Times New Roman" w:eastAsia="Times New Roman" w:hAnsi="Times New Roman" w:cs="Times New Roman"/>
          <w:bCs/>
          <w:sz w:val="24"/>
          <w:szCs w:val="24"/>
        </w:rPr>
        <w:t>0.6641</w:t>
      </w:r>
      <w:r w:rsidRPr="00C259F9">
        <w:rPr>
          <w:rFonts w:ascii="Times New Roman" w:eastAsia="Times New Roman" w:hAnsi="Times New Roman" w:cs="Times New Roman"/>
          <w:sz w:val="24"/>
          <w:szCs w:val="24"/>
        </w:rPr>
        <w:t>), indicating that the sampled healthcare firms were relatively similar in terms of asset size.</w:t>
      </w:r>
    </w:p>
    <w:p w14:paraId="6012906A" w14:textId="77777777" w:rsidR="00DB236D" w:rsidRPr="00C259F9" w:rsidRDefault="00DB236D" w:rsidP="00DB236D">
      <w:pPr>
        <w:spacing w:before="100" w:beforeAutospacing="1" w:after="100" w:afterAutospacing="1" w:line="240" w:lineRule="auto"/>
        <w:jc w:val="both"/>
        <w:rPr>
          <w:rFonts w:ascii="Times New Roman" w:eastAsia="Times New Roman" w:hAnsi="Times New Roman" w:cs="Times New Roman"/>
          <w:sz w:val="24"/>
          <w:szCs w:val="24"/>
        </w:rPr>
      </w:pPr>
      <w:r w:rsidRPr="00C259F9">
        <w:rPr>
          <w:rFonts w:ascii="Times New Roman" w:eastAsia="Times New Roman" w:hAnsi="Times New Roman" w:cs="Times New Roman"/>
          <w:sz w:val="24"/>
          <w:szCs w:val="24"/>
        </w:rPr>
        <w:t>Overall, the descriptive statistics reveal adequate cross-sectional and time-series variation across the variables, providing sufficient variability for reliable panel data estimation.</w:t>
      </w:r>
    </w:p>
    <w:p w14:paraId="433B1B7C" w14:textId="77777777" w:rsidR="0014769C" w:rsidRDefault="0014769C" w:rsidP="007B7E8D">
      <w:pPr>
        <w:spacing w:before="100" w:beforeAutospacing="1" w:after="100" w:afterAutospacing="1" w:line="240" w:lineRule="auto"/>
        <w:ind w:left="360"/>
        <w:jc w:val="both"/>
        <w:rPr>
          <w:rFonts w:ascii="Times New Roman" w:eastAsia="Times New Roman" w:hAnsi="Times New Roman" w:cs="Times New Roman"/>
          <w:sz w:val="24"/>
          <w:szCs w:val="24"/>
        </w:rPr>
      </w:pPr>
    </w:p>
    <w:p w14:paraId="4D9A29E1" w14:textId="77777777" w:rsidR="007C2B6A" w:rsidRDefault="007C2B6A" w:rsidP="007B7E8D">
      <w:pPr>
        <w:spacing w:before="100" w:beforeAutospacing="1" w:after="100" w:afterAutospacing="1" w:line="240" w:lineRule="auto"/>
        <w:ind w:left="360"/>
        <w:jc w:val="both"/>
        <w:rPr>
          <w:rFonts w:ascii="Times New Roman" w:eastAsia="Times New Roman" w:hAnsi="Times New Roman" w:cs="Times New Roman"/>
          <w:sz w:val="24"/>
          <w:szCs w:val="24"/>
        </w:rPr>
      </w:pPr>
    </w:p>
    <w:p w14:paraId="2E4581AB" w14:textId="77777777" w:rsidR="007C2B6A" w:rsidRDefault="007C2B6A" w:rsidP="007B7E8D">
      <w:pPr>
        <w:spacing w:before="100" w:beforeAutospacing="1" w:after="100" w:afterAutospacing="1" w:line="240" w:lineRule="auto"/>
        <w:ind w:left="360"/>
        <w:jc w:val="both"/>
        <w:rPr>
          <w:rFonts w:ascii="Times New Roman" w:eastAsia="Times New Roman" w:hAnsi="Times New Roman" w:cs="Times New Roman"/>
          <w:sz w:val="24"/>
          <w:szCs w:val="24"/>
        </w:rPr>
      </w:pPr>
    </w:p>
    <w:p w14:paraId="3B8C4A4C" w14:textId="77777777" w:rsidR="00A452CE" w:rsidRDefault="00A452CE" w:rsidP="007B7E8D">
      <w:pPr>
        <w:spacing w:before="100" w:beforeAutospacing="1" w:after="100" w:afterAutospacing="1" w:line="240" w:lineRule="auto"/>
        <w:ind w:left="360"/>
        <w:jc w:val="both"/>
        <w:rPr>
          <w:rFonts w:ascii="Times New Roman" w:eastAsia="Times New Roman" w:hAnsi="Times New Roman" w:cs="Times New Roman"/>
          <w:sz w:val="24"/>
          <w:szCs w:val="24"/>
        </w:rPr>
      </w:pPr>
    </w:p>
    <w:p w14:paraId="100B22E6" w14:textId="77777777" w:rsidR="00A452CE" w:rsidRDefault="00A452CE" w:rsidP="007B7E8D">
      <w:pPr>
        <w:spacing w:before="100" w:beforeAutospacing="1" w:after="100" w:afterAutospacing="1" w:line="240" w:lineRule="auto"/>
        <w:ind w:left="360"/>
        <w:jc w:val="both"/>
        <w:rPr>
          <w:rFonts w:ascii="Times New Roman" w:eastAsia="Times New Roman" w:hAnsi="Times New Roman" w:cs="Times New Roman"/>
          <w:sz w:val="24"/>
          <w:szCs w:val="24"/>
        </w:rPr>
      </w:pPr>
    </w:p>
    <w:p w14:paraId="16468A81" w14:textId="77777777" w:rsidR="00A452CE" w:rsidRDefault="00A452CE" w:rsidP="007B7E8D">
      <w:pPr>
        <w:spacing w:before="100" w:beforeAutospacing="1" w:after="100" w:afterAutospacing="1" w:line="240" w:lineRule="auto"/>
        <w:ind w:left="360"/>
        <w:jc w:val="both"/>
        <w:rPr>
          <w:rFonts w:ascii="Times New Roman" w:eastAsia="Times New Roman" w:hAnsi="Times New Roman" w:cs="Times New Roman"/>
          <w:sz w:val="24"/>
          <w:szCs w:val="24"/>
        </w:rPr>
      </w:pPr>
    </w:p>
    <w:p w14:paraId="2B3C2C24" w14:textId="77777777" w:rsidR="007C2B6A" w:rsidRDefault="007C2B6A" w:rsidP="007B7E8D">
      <w:pPr>
        <w:spacing w:before="100" w:beforeAutospacing="1" w:after="100" w:afterAutospacing="1" w:line="240" w:lineRule="auto"/>
        <w:ind w:left="360"/>
        <w:jc w:val="both"/>
        <w:rPr>
          <w:rFonts w:ascii="Times New Roman" w:eastAsia="Times New Roman" w:hAnsi="Times New Roman" w:cs="Times New Roman"/>
          <w:sz w:val="24"/>
          <w:szCs w:val="24"/>
        </w:rPr>
      </w:pPr>
    </w:p>
    <w:p w14:paraId="3E761A2D" w14:textId="77777777" w:rsidR="00C17286" w:rsidRDefault="00C17286" w:rsidP="007B7E8D">
      <w:pPr>
        <w:pStyle w:val="NoSpacing"/>
        <w:rPr>
          <w:rFonts w:ascii="Times New Roman" w:hAnsi="Times New Roman" w:cs="Times New Roman"/>
          <w:b/>
          <w:sz w:val="24"/>
          <w:szCs w:val="24"/>
        </w:rPr>
      </w:pPr>
      <w:r w:rsidRPr="007B7E8D">
        <w:rPr>
          <w:rFonts w:ascii="Times New Roman" w:hAnsi="Times New Roman" w:cs="Times New Roman"/>
          <w:b/>
          <w:sz w:val="24"/>
          <w:szCs w:val="24"/>
        </w:rPr>
        <w:t>Table 2: Correlation Matrix (Spearman)</w:t>
      </w:r>
    </w:p>
    <w:p w14:paraId="78235F8E" w14:textId="77777777" w:rsidR="002C11DD" w:rsidRPr="007B7E8D" w:rsidRDefault="002C11DD" w:rsidP="007B7E8D">
      <w:pPr>
        <w:pStyle w:val="NoSpacing"/>
        <w:rPr>
          <w:rFonts w:ascii="Times New Roman" w:hAnsi="Times New Roman" w:cs="Times New Roman"/>
          <w:b/>
          <w:sz w:val="24"/>
          <w:szCs w:val="24"/>
        </w:rPr>
      </w:pPr>
    </w:p>
    <w:tbl>
      <w:tblPr>
        <w:tblStyle w:val="PlainTable1"/>
        <w:tblW w:w="0" w:type="auto"/>
        <w:tblLook w:val="04A0" w:firstRow="1" w:lastRow="0" w:firstColumn="1" w:lastColumn="0" w:noHBand="0" w:noVBand="1"/>
      </w:tblPr>
      <w:tblGrid>
        <w:gridCol w:w="3490"/>
      </w:tblGrid>
      <w:tr w:rsidR="008B4605" w14:paraId="784A8C2A" w14:textId="77777777" w:rsidTr="002C11DD">
        <w:trPr>
          <w:cnfStyle w:val="100000000000" w:firstRow="1" w:lastRow="0" w:firstColumn="0" w:lastColumn="0" w:oddVBand="0" w:evenVBand="0" w:oddHBand="0"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3490" w:type="dxa"/>
            <w:hideMark/>
          </w:tcPr>
          <w:p w14:paraId="53D6F38F" w14:textId="77777777" w:rsidR="008B4605" w:rsidRDefault="008B4605" w:rsidP="00FD5862">
            <w:pPr>
              <w:rPr>
                <w:rFonts w:ascii="Times New Roman" w:hAnsi="Times New Roman" w:cs="Times New Roman"/>
                <w:b w:val="0"/>
                <w:sz w:val="24"/>
                <w:szCs w:val="24"/>
              </w:rPr>
            </w:pPr>
            <w:r>
              <w:rPr>
                <w:rFonts w:ascii="Times New Roman" w:hAnsi="Times New Roman" w:cs="Times New Roman"/>
                <w:b w:val="0"/>
                <w:sz w:val="24"/>
                <w:szCs w:val="24"/>
              </w:rPr>
              <w:t>KEY</w:t>
            </w:r>
          </w:p>
        </w:tc>
      </w:tr>
      <w:tr w:rsidR="008B4605" w14:paraId="3ADF5161" w14:textId="77777777" w:rsidTr="002C11DD">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3490" w:type="dxa"/>
            <w:hideMark/>
          </w:tcPr>
          <w:p w14:paraId="5EF01194" w14:textId="77777777" w:rsidR="008B4605" w:rsidRDefault="008B4605" w:rsidP="00FD5862">
            <w:pPr>
              <w:rPr>
                <w:rFonts w:ascii="Times New Roman" w:hAnsi="Times New Roman" w:cs="Times New Roman"/>
                <w:sz w:val="24"/>
                <w:szCs w:val="24"/>
              </w:rPr>
            </w:pPr>
            <w:r>
              <w:rPr>
                <w:rFonts w:ascii="Times New Roman" w:hAnsi="Times New Roman" w:cs="Times New Roman"/>
                <w:sz w:val="24"/>
                <w:szCs w:val="24"/>
              </w:rPr>
              <w:t>RHO</w:t>
            </w:r>
          </w:p>
        </w:tc>
      </w:tr>
      <w:tr w:rsidR="008B4605" w14:paraId="092F1F97" w14:textId="77777777" w:rsidTr="002C11DD">
        <w:trPr>
          <w:trHeight w:val="286"/>
        </w:trPr>
        <w:tc>
          <w:tcPr>
            <w:cnfStyle w:val="001000000000" w:firstRow="0" w:lastRow="0" w:firstColumn="1" w:lastColumn="0" w:oddVBand="0" w:evenVBand="0" w:oddHBand="0" w:evenHBand="0" w:firstRowFirstColumn="0" w:firstRowLastColumn="0" w:lastRowFirstColumn="0" w:lastRowLastColumn="0"/>
            <w:tcW w:w="3490" w:type="dxa"/>
            <w:hideMark/>
          </w:tcPr>
          <w:p w14:paraId="2441BE52" w14:textId="77777777" w:rsidR="008B4605" w:rsidRDefault="008B4605" w:rsidP="00FD5862">
            <w:pPr>
              <w:rPr>
                <w:rFonts w:ascii="Times New Roman" w:hAnsi="Times New Roman" w:cs="Times New Roman"/>
                <w:sz w:val="24"/>
                <w:szCs w:val="24"/>
              </w:rPr>
            </w:pPr>
            <w:r>
              <w:rPr>
                <w:rFonts w:ascii="Times New Roman" w:hAnsi="Times New Roman" w:cs="Times New Roman"/>
                <w:sz w:val="24"/>
                <w:szCs w:val="24"/>
              </w:rPr>
              <w:t>Sig. Level</w:t>
            </w:r>
          </w:p>
        </w:tc>
      </w:tr>
    </w:tbl>
    <w:p w14:paraId="6FDBA87D" w14:textId="77777777" w:rsidR="008B4605" w:rsidRDefault="008B4605" w:rsidP="008B4605">
      <w:pPr>
        <w:spacing w:after="0" w:line="240" w:lineRule="auto"/>
        <w:jc w:val="both"/>
        <w:rPr>
          <w:rFonts w:ascii="Consolas" w:hAnsi="Consolas"/>
          <w:sz w:val="24"/>
          <w:szCs w:val="24"/>
        </w:rPr>
      </w:pPr>
    </w:p>
    <w:tbl>
      <w:tblPr>
        <w:tblStyle w:val="PlainTable5"/>
        <w:tblW w:w="9540" w:type="dxa"/>
        <w:tblLook w:val="04A0" w:firstRow="1" w:lastRow="0" w:firstColumn="1" w:lastColumn="0" w:noHBand="0" w:noVBand="1"/>
      </w:tblPr>
      <w:tblGrid>
        <w:gridCol w:w="1083"/>
        <w:gridCol w:w="1316"/>
        <w:gridCol w:w="1316"/>
        <w:gridCol w:w="1155"/>
        <w:gridCol w:w="1155"/>
        <w:gridCol w:w="1316"/>
        <w:gridCol w:w="1137"/>
        <w:gridCol w:w="1062"/>
      </w:tblGrid>
      <w:tr w:rsidR="008B4605" w14:paraId="0B12CCCA" w14:textId="77777777" w:rsidTr="00CB38E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83" w:type="dxa"/>
          </w:tcPr>
          <w:p w14:paraId="58DBABEF" w14:textId="77777777" w:rsidR="008B4605" w:rsidRDefault="008B4605" w:rsidP="00D060C7">
            <w:pPr>
              <w:spacing w:line="480" w:lineRule="auto"/>
              <w:jc w:val="center"/>
              <w:rPr>
                <w:rFonts w:ascii="Times New Roman" w:hAnsi="Times New Roman" w:cs="Times New Roman"/>
                <w:b/>
                <w:sz w:val="24"/>
                <w:szCs w:val="24"/>
              </w:rPr>
            </w:pPr>
          </w:p>
        </w:tc>
        <w:tc>
          <w:tcPr>
            <w:tcW w:w="1316" w:type="dxa"/>
            <w:hideMark/>
          </w:tcPr>
          <w:p w14:paraId="7E5FD8A5" w14:textId="77777777" w:rsidR="008B4605" w:rsidRDefault="00DF18B1" w:rsidP="00D060C7">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F</w:t>
            </w:r>
            <w:r w:rsidR="008B4605">
              <w:rPr>
                <w:rFonts w:ascii="Times New Roman" w:hAnsi="Times New Roman" w:cs="Times New Roman"/>
                <w:b/>
                <w:sz w:val="24"/>
                <w:szCs w:val="24"/>
              </w:rPr>
              <w:t>D</w:t>
            </w:r>
          </w:p>
        </w:tc>
        <w:tc>
          <w:tcPr>
            <w:tcW w:w="1316" w:type="dxa"/>
            <w:hideMark/>
          </w:tcPr>
          <w:p w14:paraId="3E073691" w14:textId="77777777" w:rsidR="008B4605" w:rsidRDefault="008B4605" w:rsidP="00D060C7">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ETR</w:t>
            </w:r>
          </w:p>
        </w:tc>
        <w:tc>
          <w:tcPr>
            <w:tcW w:w="1155" w:type="dxa"/>
            <w:hideMark/>
          </w:tcPr>
          <w:p w14:paraId="35C51FA2" w14:textId="77777777" w:rsidR="008B4605" w:rsidRDefault="008B4605" w:rsidP="00D060C7">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TCAP</w:t>
            </w:r>
          </w:p>
        </w:tc>
        <w:tc>
          <w:tcPr>
            <w:tcW w:w="1155" w:type="dxa"/>
            <w:hideMark/>
          </w:tcPr>
          <w:p w14:paraId="665B6437" w14:textId="77777777" w:rsidR="008B4605" w:rsidRDefault="008B4605" w:rsidP="00D060C7">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TS</w:t>
            </w:r>
          </w:p>
        </w:tc>
        <w:tc>
          <w:tcPr>
            <w:tcW w:w="1316" w:type="dxa"/>
            <w:hideMark/>
          </w:tcPr>
          <w:p w14:paraId="5B206E11" w14:textId="77777777" w:rsidR="008B4605" w:rsidRDefault="008B4605" w:rsidP="00D060C7">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DETS</w:t>
            </w:r>
          </w:p>
        </w:tc>
        <w:tc>
          <w:tcPr>
            <w:tcW w:w="1137" w:type="dxa"/>
            <w:hideMark/>
          </w:tcPr>
          <w:p w14:paraId="062B6516" w14:textId="77777777" w:rsidR="008B4605" w:rsidRDefault="008B4605" w:rsidP="00D060C7">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CAPINT</w:t>
            </w:r>
          </w:p>
        </w:tc>
        <w:tc>
          <w:tcPr>
            <w:tcW w:w="1062" w:type="dxa"/>
            <w:hideMark/>
          </w:tcPr>
          <w:p w14:paraId="49D1A77A" w14:textId="77777777" w:rsidR="008B4605" w:rsidRDefault="008B4605" w:rsidP="00D060C7">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FSIZE</w:t>
            </w:r>
          </w:p>
        </w:tc>
      </w:tr>
      <w:tr w:rsidR="008B4605" w14:paraId="5D54DB51" w14:textId="77777777" w:rsidTr="00CB38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3" w:type="dxa"/>
            <w:hideMark/>
          </w:tcPr>
          <w:p w14:paraId="6B471036" w14:textId="77777777" w:rsidR="008B4605" w:rsidRDefault="00DF18B1" w:rsidP="00D060C7">
            <w:pPr>
              <w:spacing w:line="480" w:lineRule="auto"/>
              <w:rPr>
                <w:rFonts w:ascii="Times New Roman" w:hAnsi="Times New Roman" w:cs="Times New Roman"/>
                <w:sz w:val="24"/>
                <w:szCs w:val="24"/>
              </w:rPr>
            </w:pPr>
            <w:r>
              <w:rPr>
                <w:rFonts w:ascii="Times New Roman" w:hAnsi="Times New Roman" w:cs="Times New Roman"/>
                <w:sz w:val="24"/>
                <w:szCs w:val="24"/>
              </w:rPr>
              <w:t>F</w:t>
            </w:r>
            <w:r w:rsidR="008B4605">
              <w:rPr>
                <w:rFonts w:ascii="Times New Roman" w:hAnsi="Times New Roman" w:cs="Times New Roman"/>
                <w:sz w:val="24"/>
                <w:szCs w:val="24"/>
              </w:rPr>
              <w:t>D</w:t>
            </w:r>
          </w:p>
        </w:tc>
        <w:tc>
          <w:tcPr>
            <w:tcW w:w="1316" w:type="dxa"/>
            <w:hideMark/>
          </w:tcPr>
          <w:p w14:paraId="2045D59D" w14:textId="77777777" w:rsidR="008B4605" w:rsidRDefault="008B4605" w:rsidP="00D060C7">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1.0000</w:t>
            </w:r>
          </w:p>
        </w:tc>
        <w:tc>
          <w:tcPr>
            <w:tcW w:w="1316" w:type="dxa"/>
          </w:tcPr>
          <w:p w14:paraId="3220B463" w14:textId="77777777" w:rsidR="008B4605" w:rsidRDefault="008B4605" w:rsidP="00D060C7">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55" w:type="dxa"/>
          </w:tcPr>
          <w:p w14:paraId="2BB51754" w14:textId="77777777" w:rsidR="008B4605" w:rsidRDefault="008B4605" w:rsidP="00D060C7">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55" w:type="dxa"/>
          </w:tcPr>
          <w:p w14:paraId="5D4CB16E" w14:textId="77777777" w:rsidR="008B4605" w:rsidRDefault="008B4605" w:rsidP="00D060C7">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316" w:type="dxa"/>
          </w:tcPr>
          <w:p w14:paraId="623FA07A" w14:textId="77777777" w:rsidR="008B4605" w:rsidRDefault="008B4605" w:rsidP="00D060C7">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37" w:type="dxa"/>
          </w:tcPr>
          <w:p w14:paraId="3DFC4827" w14:textId="77777777" w:rsidR="008B4605" w:rsidRDefault="008B4605" w:rsidP="00D060C7">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062" w:type="dxa"/>
          </w:tcPr>
          <w:p w14:paraId="1268E639" w14:textId="77777777" w:rsidR="008B4605" w:rsidRDefault="008B4605" w:rsidP="00D060C7">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8B4605" w14:paraId="16E8ADE9" w14:textId="77777777" w:rsidTr="00CB38EF">
        <w:tc>
          <w:tcPr>
            <w:cnfStyle w:val="001000000000" w:firstRow="0" w:lastRow="0" w:firstColumn="1" w:lastColumn="0" w:oddVBand="0" w:evenVBand="0" w:oddHBand="0" w:evenHBand="0" w:firstRowFirstColumn="0" w:firstRowLastColumn="0" w:lastRowFirstColumn="0" w:lastRowLastColumn="0"/>
            <w:tcW w:w="1083" w:type="dxa"/>
            <w:hideMark/>
          </w:tcPr>
          <w:p w14:paraId="1B6E9EA0" w14:textId="77777777" w:rsidR="008B4605" w:rsidRDefault="008B4605" w:rsidP="00D060C7">
            <w:pPr>
              <w:spacing w:line="480" w:lineRule="auto"/>
              <w:rPr>
                <w:rFonts w:ascii="Times New Roman" w:hAnsi="Times New Roman" w:cs="Times New Roman"/>
                <w:sz w:val="24"/>
                <w:szCs w:val="24"/>
              </w:rPr>
            </w:pPr>
            <w:r>
              <w:rPr>
                <w:rFonts w:ascii="Times New Roman" w:hAnsi="Times New Roman" w:cs="Times New Roman"/>
                <w:sz w:val="24"/>
                <w:szCs w:val="24"/>
              </w:rPr>
              <w:t>ETR</w:t>
            </w:r>
          </w:p>
        </w:tc>
        <w:tc>
          <w:tcPr>
            <w:tcW w:w="1316" w:type="dxa"/>
            <w:hideMark/>
          </w:tcPr>
          <w:p w14:paraId="7DC81EB0" w14:textId="77777777" w:rsidR="008B4605" w:rsidRDefault="008B4605" w:rsidP="00D060C7">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-0.3209*</w:t>
            </w:r>
          </w:p>
          <w:p w14:paraId="014E397B" w14:textId="77777777" w:rsidR="008B4605" w:rsidRDefault="008B4605" w:rsidP="00D060C7">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(0.0050)</w:t>
            </w:r>
          </w:p>
        </w:tc>
        <w:tc>
          <w:tcPr>
            <w:tcW w:w="1316" w:type="dxa"/>
            <w:hideMark/>
          </w:tcPr>
          <w:p w14:paraId="30FFDAC2" w14:textId="77777777" w:rsidR="008B4605" w:rsidRDefault="008B4605" w:rsidP="00D060C7">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1.0000</w:t>
            </w:r>
          </w:p>
        </w:tc>
        <w:tc>
          <w:tcPr>
            <w:tcW w:w="1155" w:type="dxa"/>
          </w:tcPr>
          <w:p w14:paraId="62780B5C" w14:textId="77777777" w:rsidR="008B4605" w:rsidRDefault="008B4605" w:rsidP="00D060C7">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55" w:type="dxa"/>
          </w:tcPr>
          <w:p w14:paraId="3258A752" w14:textId="77777777" w:rsidR="008B4605" w:rsidRDefault="008B4605" w:rsidP="00D060C7">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316" w:type="dxa"/>
          </w:tcPr>
          <w:p w14:paraId="0E17BD53" w14:textId="77777777" w:rsidR="008B4605" w:rsidRDefault="008B4605" w:rsidP="00D060C7">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37" w:type="dxa"/>
          </w:tcPr>
          <w:p w14:paraId="3FC6C609" w14:textId="77777777" w:rsidR="008B4605" w:rsidRDefault="008B4605" w:rsidP="00D060C7">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062" w:type="dxa"/>
          </w:tcPr>
          <w:p w14:paraId="47A8198A" w14:textId="77777777" w:rsidR="008B4605" w:rsidRDefault="008B4605" w:rsidP="00D060C7">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B4605" w14:paraId="6E331E25" w14:textId="77777777" w:rsidTr="00CB38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3" w:type="dxa"/>
            <w:hideMark/>
          </w:tcPr>
          <w:p w14:paraId="776470E6" w14:textId="77777777" w:rsidR="008B4605" w:rsidRDefault="008B4605" w:rsidP="00D060C7">
            <w:pPr>
              <w:spacing w:line="480" w:lineRule="auto"/>
              <w:rPr>
                <w:rFonts w:ascii="Times New Roman" w:hAnsi="Times New Roman" w:cs="Times New Roman"/>
                <w:sz w:val="24"/>
                <w:szCs w:val="24"/>
              </w:rPr>
            </w:pPr>
            <w:r>
              <w:rPr>
                <w:rFonts w:ascii="Times New Roman" w:hAnsi="Times New Roman" w:cs="Times New Roman"/>
                <w:sz w:val="24"/>
                <w:szCs w:val="24"/>
              </w:rPr>
              <w:t>TCAP</w:t>
            </w:r>
          </w:p>
        </w:tc>
        <w:tc>
          <w:tcPr>
            <w:tcW w:w="1316" w:type="dxa"/>
            <w:hideMark/>
          </w:tcPr>
          <w:p w14:paraId="634C1CAA" w14:textId="77777777" w:rsidR="008B4605" w:rsidRDefault="008B4605" w:rsidP="00D060C7">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-0.0679</w:t>
            </w:r>
          </w:p>
          <w:p w14:paraId="79F4A25C" w14:textId="77777777" w:rsidR="008B4605" w:rsidRDefault="008B4605" w:rsidP="00D060C7">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(0.5629)</w:t>
            </w:r>
          </w:p>
        </w:tc>
        <w:tc>
          <w:tcPr>
            <w:tcW w:w="1316" w:type="dxa"/>
            <w:hideMark/>
          </w:tcPr>
          <w:p w14:paraId="3905A63F" w14:textId="77777777" w:rsidR="008B4605" w:rsidRDefault="008B4605" w:rsidP="00D060C7">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-0.2029</w:t>
            </w:r>
          </w:p>
          <w:p w14:paraId="28C79E6C" w14:textId="77777777" w:rsidR="008B4605" w:rsidRDefault="008B4605" w:rsidP="00D060C7">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(0.0808)</w:t>
            </w:r>
          </w:p>
        </w:tc>
        <w:tc>
          <w:tcPr>
            <w:tcW w:w="1155" w:type="dxa"/>
            <w:hideMark/>
          </w:tcPr>
          <w:p w14:paraId="0D155F6B" w14:textId="77777777" w:rsidR="008B4605" w:rsidRDefault="008B4605" w:rsidP="00D060C7">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1.0000</w:t>
            </w:r>
          </w:p>
        </w:tc>
        <w:tc>
          <w:tcPr>
            <w:tcW w:w="1155" w:type="dxa"/>
          </w:tcPr>
          <w:p w14:paraId="07FA389B" w14:textId="77777777" w:rsidR="008B4605" w:rsidRDefault="008B4605" w:rsidP="00D060C7">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316" w:type="dxa"/>
          </w:tcPr>
          <w:p w14:paraId="255A56A5" w14:textId="77777777" w:rsidR="008B4605" w:rsidRDefault="008B4605" w:rsidP="00D060C7">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37" w:type="dxa"/>
          </w:tcPr>
          <w:p w14:paraId="15BAC499" w14:textId="77777777" w:rsidR="008B4605" w:rsidRDefault="008B4605" w:rsidP="00D060C7">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062" w:type="dxa"/>
          </w:tcPr>
          <w:p w14:paraId="3914CE17" w14:textId="77777777" w:rsidR="008B4605" w:rsidRDefault="008B4605" w:rsidP="00D060C7">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8B4605" w14:paraId="76D940E8" w14:textId="77777777" w:rsidTr="00CB38EF">
        <w:tc>
          <w:tcPr>
            <w:cnfStyle w:val="001000000000" w:firstRow="0" w:lastRow="0" w:firstColumn="1" w:lastColumn="0" w:oddVBand="0" w:evenVBand="0" w:oddHBand="0" w:evenHBand="0" w:firstRowFirstColumn="0" w:firstRowLastColumn="0" w:lastRowFirstColumn="0" w:lastRowLastColumn="0"/>
            <w:tcW w:w="1083" w:type="dxa"/>
            <w:hideMark/>
          </w:tcPr>
          <w:p w14:paraId="3A1870D2" w14:textId="77777777" w:rsidR="008B4605" w:rsidRDefault="008B4605" w:rsidP="00D060C7">
            <w:pPr>
              <w:spacing w:line="480" w:lineRule="auto"/>
              <w:rPr>
                <w:rFonts w:ascii="Times New Roman" w:hAnsi="Times New Roman" w:cs="Times New Roman"/>
                <w:sz w:val="24"/>
                <w:szCs w:val="24"/>
              </w:rPr>
            </w:pPr>
            <w:r>
              <w:rPr>
                <w:rFonts w:ascii="Times New Roman" w:hAnsi="Times New Roman" w:cs="Times New Roman"/>
                <w:sz w:val="24"/>
                <w:szCs w:val="24"/>
              </w:rPr>
              <w:t>TS</w:t>
            </w:r>
          </w:p>
        </w:tc>
        <w:tc>
          <w:tcPr>
            <w:tcW w:w="1316" w:type="dxa"/>
            <w:hideMark/>
          </w:tcPr>
          <w:p w14:paraId="56ACFA09" w14:textId="77777777" w:rsidR="008B4605" w:rsidRDefault="008B4605" w:rsidP="00D060C7">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0.2028  </w:t>
            </w:r>
          </w:p>
          <w:p w14:paraId="45010BA1" w14:textId="77777777" w:rsidR="008B4605" w:rsidRDefault="008B4605" w:rsidP="00D060C7">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(0.0810)</w:t>
            </w:r>
          </w:p>
        </w:tc>
        <w:tc>
          <w:tcPr>
            <w:tcW w:w="1316" w:type="dxa"/>
            <w:hideMark/>
          </w:tcPr>
          <w:p w14:paraId="5427E997" w14:textId="77777777" w:rsidR="008B4605" w:rsidRDefault="008B4605" w:rsidP="00D060C7">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-0.2720*</w:t>
            </w:r>
          </w:p>
          <w:p w14:paraId="1A393859" w14:textId="77777777" w:rsidR="008B4605" w:rsidRDefault="008B4605" w:rsidP="00D060C7">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(0.0182)   </w:t>
            </w:r>
          </w:p>
        </w:tc>
        <w:tc>
          <w:tcPr>
            <w:tcW w:w="1155" w:type="dxa"/>
            <w:hideMark/>
          </w:tcPr>
          <w:p w14:paraId="203376CA" w14:textId="77777777" w:rsidR="008B4605" w:rsidRDefault="008B4605" w:rsidP="00D060C7">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0.3114*</w:t>
            </w:r>
          </w:p>
          <w:p w14:paraId="7160EFA8" w14:textId="77777777" w:rsidR="008B4605" w:rsidRDefault="008B4605" w:rsidP="00D060C7">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(0.0065)</w:t>
            </w:r>
          </w:p>
        </w:tc>
        <w:tc>
          <w:tcPr>
            <w:tcW w:w="1155" w:type="dxa"/>
            <w:hideMark/>
          </w:tcPr>
          <w:p w14:paraId="2ED6FCCA" w14:textId="77777777" w:rsidR="008B4605" w:rsidRDefault="008B4605" w:rsidP="00D060C7">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1.0000</w:t>
            </w:r>
          </w:p>
        </w:tc>
        <w:tc>
          <w:tcPr>
            <w:tcW w:w="1316" w:type="dxa"/>
          </w:tcPr>
          <w:p w14:paraId="08AC957F" w14:textId="77777777" w:rsidR="008B4605" w:rsidRDefault="008B4605" w:rsidP="00D060C7">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37" w:type="dxa"/>
          </w:tcPr>
          <w:p w14:paraId="5FEFE0E2" w14:textId="77777777" w:rsidR="008B4605" w:rsidRDefault="008B4605" w:rsidP="00D060C7">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062" w:type="dxa"/>
          </w:tcPr>
          <w:p w14:paraId="10931D57" w14:textId="77777777" w:rsidR="008B4605" w:rsidRDefault="008B4605" w:rsidP="00D060C7">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B4605" w14:paraId="0193D4BE" w14:textId="77777777" w:rsidTr="00CB38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3" w:type="dxa"/>
            <w:hideMark/>
          </w:tcPr>
          <w:p w14:paraId="079C0E3A" w14:textId="77777777" w:rsidR="008B4605" w:rsidRDefault="008B4605" w:rsidP="00D060C7">
            <w:pPr>
              <w:spacing w:line="480" w:lineRule="auto"/>
              <w:rPr>
                <w:rFonts w:ascii="Times New Roman" w:hAnsi="Times New Roman" w:cs="Times New Roman"/>
                <w:sz w:val="24"/>
                <w:szCs w:val="24"/>
              </w:rPr>
            </w:pPr>
            <w:r>
              <w:rPr>
                <w:rFonts w:ascii="Times New Roman" w:hAnsi="Times New Roman" w:cs="Times New Roman"/>
                <w:sz w:val="24"/>
                <w:szCs w:val="24"/>
              </w:rPr>
              <w:t>DETS</w:t>
            </w:r>
          </w:p>
        </w:tc>
        <w:tc>
          <w:tcPr>
            <w:tcW w:w="1316" w:type="dxa"/>
            <w:hideMark/>
          </w:tcPr>
          <w:p w14:paraId="08DA89FC" w14:textId="77777777" w:rsidR="008B4605" w:rsidRDefault="008B4605" w:rsidP="00D060C7">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-0.2755*</w:t>
            </w:r>
          </w:p>
          <w:p w14:paraId="42EC43E4" w14:textId="77777777" w:rsidR="008B4605" w:rsidRDefault="008B4605" w:rsidP="00D060C7">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(0.0168)</w:t>
            </w:r>
          </w:p>
        </w:tc>
        <w:tc>
          <w:tcPr>
            <w:tcW w:w="1316" w:type="dxa"/>
            <w:hideMark/>
          </w:tcPr>
          <w:p w14:paraId="7CF55645" w14:textId="77777777" w:rsidR="008B4605" w:rsidRDefault="008B4605" w:rsidP="00D060C7">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0.1103 </w:t>
            </w:r>
          </w:p>
          <w:p w14:paraId="6AFB8A1A" w14:textId="77777777" w:rsidR="008B4605" w:rsidRDefault="008B4605" w:rsidP="00D060C7">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(0.3462)     </w:t>
            </w:r>
          </w:p>
        </w:tc>
        <w:tc>
          <w:tcPr>
            <w:tcW w:w="1155" w:type="dxa"/>
            <w:hideMark/>
          </w:tcPr>
          <w:p w14:paraId="4EEDFD28" w14:textId="77777777" w:rsidR="008B4605" w:rsidRDefault="008B4605" w:rsidP="00D060C7">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0.3085*</w:t>
            </w:r>
          </w:p>
          <w:p w14:paraId="1B15CF29" w14:textId="77777777" w:rsidR="008B4605" w:rsidRDefault="008B4605" w:rsidP="00D060C7">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(0.0071)   </w:t>
            </w:r>
          </w:p>
        </w:tc>
        <w:tc>
          <w:tcPr>
            <w:tcW w:w="1155" w:type="dxa"/>
            <w:hideMark/>
          </w:tcPr>
          <w:p w14:paraId="2EB91364" w14:textId="77777777" w:rsidR="008B4605" w:rsidRDefault="008B4605" w:rsidP="00D060C7">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0.1999   (0.0855)</w:t>
            </w:r>
          </w:p>
        </w:tc>
        <w:tc>
          <w:tcPr>
            <w:tcW w:w="1316" w:type="dxa"/>
            <w:hideMark/>
          </w:tcPr>
          <w:p w14:paraId="0D299F59" w14:textId="77777777" w:rsidR="008B4605" w:rsidRDefault="008B4605" w:rsidP="00D060C7">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1.0000</w:t>
            </w:r>
          </w:p>
        </w:tc>
        <w:tc>
          <w:tcPr>
            <w:tcW w:w="1137" w:type="dxa"/>
          </w:tcPr>
          <w:p w14:paraId="10D2DFC5" w14:textId="77777777" w:rsidR="008B4605" w:rsidRDefault="008B4605" w:rsidP="00D060C7">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062" w:type="dxa"/>
          </w:tcPr>
          <w:p w14:paraId="04DF3228" w14:textId="77777777" w:rsidR="008B4605" w:rsidRDefault="008B4605" w:rsidP="00D060C7">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8B4605" w14:paraId="782C6276" w14:textId="77777777" w:rsidTr="00CB38EF">
        <w:tc>
          <w:tcPr>
            <w:cnfStyle w:val="001000000000" w:firstRow="0" w:lastRow="0" w:firstColumn="1" w:lastColumn="0" w:oddVBand="0" w:evenVBand="0" w:oddHBand="0" w:evenHBand="0" w:firstRowFirstColumn="0" w:firstRowLastColumn="0" w:lastRowFirstColumn="0" w:lastRowLastColumn="0"/>
            <w:tcW w:w="1083" w:type="dxa"/>
            <w:hideMark/>
          </w:tcPr>
          <w:p w14:paraId="1F5536F2" w14:textId="77777777" w:rsidR="008B4605" w:rsidRDefault="008B4605" w:rsidP="00D060C7">
            <w:pPr>
              <w:spacing w:line="480" w:lineRule="auto"/>
              <w:rPr>
                <w:rFonts w:ascii="Times New Roman" w:hAnsi="Times New Roman" w:cs="Times New Roman"/>
                <w:sz w:val="24"/>
                <w:szCs w:val="24"/>
              </w:rPr>
            </w:pPr>
            <w:r>
              <w:rPr>
                <w:rFonts w:ascii="Times New Roman" w:hAnsi="Times New Roman" w:cs="Times New Roman"/>
                <w:sz w:val="24"/>
                <w:szCs w:val="24"/>
              </w:rPr>
              <w:t>CAPINT</w:t>
            </w:r>
          </w:p>
        </w:tc>
        <w:tc>
          <w:tcPr>
            <w:tcW w:w="1316" w:type="dxa"/>
            <w:hideMark/>
          </w:tcPr>
          <w:p w14:paraId="2329A50E" w14:textId="77777777" w:rsidR="008B4605" w:rsidRDefault="008B4605" w:rsidP="00D060C7">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-0.2935*  </w:t>
            </w:r>
          </w:p>
          <w:p w14:paraId="0FADBF7A" w14:textId="77777777" w:rsidR="008B4605" w:rsidRDefault="008B4605" w:rsidP="00D060C7">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(0.0106)</w:t>
            </w:r>
          </w:p>
        </w:tc>
        <w:tc>
          <w:tcPr>
            <w:tcW w:w="1316" w:type="dxa"/>
            <w:hideMark/>
          </w:tcPr>
          <w:p w14:paraId="17975BB0" w14:textId="77777777" w:rsidR="008B4605" w:rsidRDefault="008B4605" w:rsidP="00D060C7">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0.0921  (0.4319)</w:t>
            </w:r>
          </w:p>
        </w:tc>
        <w:tc>
          <w:tcPr>
            <w:tcW w:w="1155" w:type="dxa"/>
            <w:hideMark/>
          </w:tcPr>
          <w:p w14:paraId="24A53F26" w14:textId="77777777" w:rsidR="008B4605" w:rsidRDefault="008B4605" w:rsidP="00D060C7">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-0.2081   (0.0732)</w:t>
            </w:r>
          </w:p>
        </w:tc>
        <w:tc>
          <w:tcPr>
            <w:tcW w:w="1155" w:type="dxa"/>
            <w:hideMark/>
          </w:tcPr>
          <w:p w14:paraId="72746C95" w14:textId="77777777" w:rsidR="008B4605" w:rsidRDefault="008B4605" w:rsidP="00D060C7">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0.0489   (0.6769)</w:t>
            </w:r>
          </w:p>
        </w:tc>
        <w:tc>
          <w:tcPr>
            <w:tcW w:w="1316" w:type="dxa"/>
            <w:hideMark/>
          </w:tcPr>
          <w:p w14:paraId="7776752B" w14:textId="77777777" w:rsidR="008B4605" w:rsidRDefault="008B4605" w:rsidP="00D060C7">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0.0633   (0.5895)</w:t>
            </w:r>
          </w:p>
        </w:tc>
        <w:tc>
          <w:tcPr>
            <w:tcW w:w="1137" w:type="dxa"/>
            <w:hideMark/>
          </w:tcPr>
          <w:p w14:paraId="1679DD8C" w14:textId="77777777" w:rsidR="008B4605" w:rsidRDefault="008B4605" w:rsidP="00D060C7">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1.0000</w:t>
            </w:r>
          </w:p>
        </w:tc>
        <w:tc>
          <w:tcPr>
            <w:tcW w:w="1062" w:type="dxa"/>
          </w:tcPr>
          <w:p w14:paraId="5C34FF20" w14:textId="77777777" w:rsidR="008B4605" w:rsidRDefault="008B4605" w:rsidP="00D060C7">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B4605" w14:paraId="310187FA" w14:textId="77777777" w:rsidTr="00CB38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3" w:type="dxa"/>
            <w:hideMark/>
          </w:tcPr>
          <w:p w14:paraId="59CA4206" w14:textId="77777777" w:rsidR="008B4605" w:rsidRDefault="008B4605" w:rsidP="00D060C7">
            <w:pPr>
              <w:spacing w:line="480" w:lineRule="auto"/>
              <w:rPr>
                <w:rFonts w:ascii="Times New Roman" w:hAnsi="Times New Roman" w:cs="Times New Roman"/>
                <w:sz w:val="24"/>
                <w:szCs w:val="24"/>
              </w:rPr>
            </w:pPr>
            <w:r>
              <w:rPr>
                <w:rFonts w:ascii="Times New Roman" w:hAnsi="Times New Roman" w:cs="Times New Roman"/>
                <w:sz w:val="24"/>
                <w:szCs w:val="24"/>
              </w:rPr>
              <w:t>FSIZE</w:t>
            </w:r>
          </w:p>
        </w:tc>
        <w:tc>
          <w:tcPr>
            <w:tcW w:w="1316" w:type="dxa"/>
            <w:hideMark/>
          </w:tcPr>
          <w:p w14:paraId="3F53D571" w14:textId="77777777" w:rsidR="008B4605" w:rsidRDefault="008B4605" w:rsidP="00D060C7">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0.6390*</w:t>
            </w:r>
          </w:p>
          <w:p w14:paraId="0E303429" w14:textId="77777777" w:rsidR="008B4605" w:rsidRDefault="008B4605" w:rsidP="00D060C7">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(0.0000)   </w:t>
            </w:r>
          </w:p>
        </w:tc>
        <w:tc>
          <w:tcPr>
            <w:tcW w:w="1316" w:type="dxa"/>
            <w:hideMark/>
          </w:tcPr>
          <w:p w14:paraId="6A4DAFC8" w14:textId="77777777" w:rsidR="008B4605" w:rsidRDefault="008B4605" w:rsidP="00D060C7">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-0.2925*</w:t>
            </w:r>
          </w:p>
          <w:p w14:paraId="415D6FE9" w14:textId="77777777" w:rsidR="008B4605" w:rsidRDefault="008B4605" w:rsidP="00D060C7">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(0.0109)  </w:t>
            </w:r>
          </w:p>
        </w:tc>
        <w:tc>
          <w:tcPr>
            <w:tcW w:w="1155" w:type="dxa"/>
            <w:hideMark/>
          </w:tcPr>
          <w:p w14:paraId="389B18D5" w14:textId="77777777" w:rsidR="008B4605" w:rsidRDefault="008B4605" w:rsidP="00D060C7">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0.0230</w:t>
            </w:r>
          </w:p>
          <w:p w14:paraId="31147F64" w14:textId="77777777" w:rsidR="008B4605" w:rsidRDefault="008B4605" w:rsidP="00D060C7">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(0.8448)</w:t>
            </w:r>
          </w:p>
        </w:tc>
        <w:tc>
          <w:tcPr>
            <w:tcW w:w="1155" w:type="dxa"/>
            <w:hideMark/>
          </w:tcPr>
          <w:p w14:paraId="7A67FB43" w14:textId="77777777" w:rsidR="008B4605" w:rsidRDefault="008B4605" w:rsidP="00D060C7">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0.2628*</w:t>
            </w:r>
          </w:p>
          <w:p w14:paraId="021F34AD" w14:textId="77777777" w:rsidR="008B4605" w:rsidRDefault="008B4605" w:rsidP="00D060C7">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(0.0227)</w:t>
            </w:r>
          </w:p>
        </w:tc>
        <w:tc>
          <w:tcPr>
            <w:tcW w:w="1316" w:type="dxa"/>
            <w:hideMark/>
          </w:tcPr>
          <w:p w14:paraId="023483BA" w14:textId="77777777" w:rsidR="008B4605" w:rsidRDefault="008B4605" w:rsidP="00D060C7">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-0.3652*</w:t>
            </w:r>
          </w:p>
          <w:p w14:paraId="33AE36DD" w14:textId="77777777" w:rsidR="008B4605" w:rsidRDefault="008B4605" w:rsidP="00D060C7">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(0.0013)</w:t>
            </w:r>
          </w:p>
        </w:tc>
        <w:tc>
          <w:tcPr>
            <w:tcW w:w="1137" w:type="dxa"/>
            <w:hideMark/>
          </w:tcPr>
          <w:p w14:paraId="3D7B80EA" w14:textId="77777777" w:rsidR="008B4605" w:rsidRDefault="008B4605" w:rsidP="00D060C7">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0.0327</w:t>
            </w:r>
          </w:p>
          <w:p w14:paraId="460D71E4" w14:textId="77777777" w:rsidR="008B4605" w:rsidRDefault="008B4605" w:rsidP="00D060C7">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(0.7809)</w:t>
            </w:r>
          </w:p>
        </w:tc>
        <w:tc>
          <w:tcPr>
            <w:tcW w:w="1062" w:type="dxa"/>
            <w:hideMark/>
          </w:tcPr>
          <w:p w14:paraId="0CD70C5A" w14:textId="77777777" w:rsidR="008B4605" w:rsidRDefault="008B4605" w:rsidP="00D060C7">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1.0000</w:t>
            </w:r>
          </w:p>
        </w:tc>
      </w:tr>
    </w:tbl>
    <w:p w14:paraId="22CA4CE7" w14:textId="77777777" w:rsidR="008B4605" w:rsidRDefault="008B4605" w:rsidP="008B4605">
      <w:pPr>
        <w:widowControl w:val="0"/>
        <w:autoSpaceDE w:val="0"/>
        <w:autoSpaceDN w:val="0"/>
        <w:adjustRightInd w:val="0"/>
        <w:spacing w:after="0" w:line="240" w:lineRule="auto"/>
        <w:ind w:firstLine="540"/>
        <w:rPr>
          <w:rFonts w:ascii="Times New Roman" w:eastAsia="Times New Roman" w:hAnsi="Times New Roman"/>
          <w:i/>
          <w:sz w:val="24"/>
          <w:szCs w:val="24"/>
        </w:rPr>
      </w:pPr>
      <w:r>
        <w:rPr>
          <w:rFonts w:ascii="Times New Roman" w:eastAsia="Times New Roman" w:hAnsi="Times New Roman"/>
          <w:b/>
          <w:bCs/>
          <w:i/>
          <w:sz w:val="24"/>
          <w:szCs w:val="24"/>
        </w:rPr>
        <w:lastRenderedPageBreak/>
        <w:t>Source:</w:t>
      </w:r>
      <w:r>
        <w:rPr>
          <w:rFonts w:ascii="Times New Roman" w:eastAsia="Times New Roman" w:hAnsi="Times New Roman"/>
          <w:i/>
          <w:sz w:val="24"/>
          <w:szCs w:val="24"/>
        </w:rPr>
        <w:t xml:space="preserve"> Author’s Computation (2026) (Stata Version 17)</w:t>
      </w:r>
    </w:p>
    <w:p w14:paraId="45F4ED8B" w14:textId="77777777" w:rsidR="008B4605" w:rsidRDefault="008B4605" w:rsidP="007B7E8D">
      <w:pPr>
        <w:spacing w:before="100" w:beforeAutospacing="1" w:after="100" w:afterAutospacing="1" w:line="240" w:lineRule="auto"/>
        <w:ind w:left="360"/>
        <w:rPr>
          <w:rFonts w:ascii="Times New Roman" w:hAnsi="Times New Roman" w:cs="Times New Roman"/>
        </w:rPr>
      </w:pPr>
      <w:r>
        <w:rPr>
          <w:rFonts w:ascii="Times New Roman" w:eastAsia="Calibri" w:hAnsi="Times New Roman" w:cs="Calibri"/>
          <w:b/>
          <w:bCs/>
          <w:caps/>
          <w:sz w:val="16"/>
          <w:szCs w:val="16"/>
          <w:u w:val="double"/>
        </w:rPr>
        <w:t>Note</w:t>
      </w:r>
      <w:r>
        <w:rPr>
          <w:rFonts w:ascii="Times New Roman" w:eastAsia="Calibri" w:hAnsi="Times New Roman" w:cs="Calibri"/>
          <w:b/>
          <w:bCs/>
          <w:caps/>
          <w:sz w:val="16"/>
          <w:szCs w:val="16"/>
        </w:rPr>
        <w:t>:</w:t>
      </w:r>
      <w:r>
        <w:rPr>
          <w:rFonts w:ascii="Times New Roman" w:eastAsia="Calibri" w:hAnsi="Times New Roman" w:cs="Calibri"/>
          <w:b/>
          <w:bCs/>
          <w:caps/>
          <w:sz w:val="16"/>
          <w:szCs w:val="16"/>
        </w:rPr>
        <w:tab/>
      </w:r>
      <w:r>
        <w:rPr>
          <w:rFonts w:ascii="Times New Roman" w:eastAsia="Calibri" w:hAnsi="Times New Roman" w:cs="Calibri"/>
          <w:b/>
          <w:bCs/>
          <w:caps/>
          <w:sz w:val="24"/>
          <w:szCs w:val="24"/>
        </w:rPr>
        <w:t xml:space="preserve">* </w:t>
      </w:r>
      <w:r>
        <w:rPr>
          <w:rFonts w:ascii="Times New Roman" w:eastAsia="Calibri" w:hAnsi="Times New Roman" w:cs="Calibri"/>
          <w:b/>
          <w:bCs/>
          <w:caps/>
          <w:sz w:val="16"/>
          <w:szCs w:val="16"/>
        </w:rPr>
        <w:t xml:space="preserve"> </w:t>
      </w:r>
      <w:r>
        <w:rPr>
          <w:rFonts w:ascii="Times New Roman" w:hAnsi="Times New Roman" w:cs="Times New Roman"/>
        </w:rPr>
        <w:t xml:space="preserve">indicates that the corresponding coefficients are statistically significant at the 5 percent level (p &lt; 0.05), implying that the observed relationships are unlikely to have occurred by chance. </w:t>
      </w:r>
      <w:r>
        <w:rPr>
          <w:rFonts w:ascii="Times New Roman" w:hAnsi="Times New Roman" w:cs="Times New Roman"/>
          <w:highlight w:val="yellow"/>
        </w:rPr>
        <w:t>The numbers in parentheses are the p-values</w:t>
      </w:r>
      <w:r>
        <w:rPr>
          <w:rFonts w:ascii="Times New Roman" w:hAnsi="Times New Roman" w:cs="Times New Roman"/>
        </w:rPr>
        <w:t xml:space="preserve"> for the correlation above.</w:t>
      </w:r>
    </w:p>
    <w:p w14:paraId="6049CD1A" w14:textId="77777777" w:rsidR="007C2B6A" w:rsidRPr="00C259F9" w:rsidRDefault="007C2B6A" w:rsidP="00A452CE">
      <w:pPr>
        <w:spacing w:before="100" w:beforeAutospacing="1" w:after="100" w:afterAutospacing="1" w:line="240" w:lineRule="auto"/>
        <w:ind w:left="360"/>
        <w:jc w:val="both"/>
        <w:rPr>
          <w:rFonts w:ascii="Times New Roman" w:eastAsia="Times New Roman" w:hAnsi="Times New Roman" w:cs="Times New Roman"/>
          <w:sz w:val="24"/>
          <w:szCs w:val="24"/>
        </w:rPr>
      </w:pPr>
      <w:r w:rsidRPr="00C259F9">
        <w:rPr>
          <w:rFonts w:ascii="Times New Roman" w:eastAsia="Times New Roman" w:hAnsi="Times New Roman" w:cs="Times New Roman"/>
          <w:sz w:val="24"/>
          <w:szCs w:val="24"/>
        </w:rPr>
        <w:t>Table 2 presents the Spearman rank correlation matrix, which examines the degree of association among the study variables. Since several variables departed from normality, Spearman's rank correlation was preferred because it does not require normally distributed data.</w:t>
      </w:r>
    </w:p>
    <w:p w14:paraId="0A4E55F6" w14:textId="77777777" w:rsidR="007C2B6A" w:rsidRPr="00C259F9" w:rsidRDefault="007C2B6A" w:rsidP="00A452CE">
      <w:pPr>
        <w:spacing w:before="100" w:beforeAutospacing="1" w:after="100" w:afterAutospacing="1" w:line="240" w:lineRule="auto"/>
        <w:ind w:left="360"/>
        <w:jc w:val="both"/>
        <w:rPr>
          <w:rFonts w:ascii="Times New Roman" w:eastAsia="Times New Roman" w:hAnsi="Times New Roman" w:cs="Times New Roman"/>
          <w:sz w:val="24"/>
          <w:szCs w:val="24"/>
        </w:rPr>
      </w:pPr>
      <w:r w:rsidRPr="00C259F9">
        <w:rPr>
          <w:rFonts w:ascii="Times New Roman" w:eastAsia="Times New Roman" w:hAnsi="Times New Roman" w:cs="Times New Roman"/>
          <w:sz w:val="24"/>
          <w:szCs w:val="24"/>
        </w:rPr>
        <w:t xml:space="preserve">Financial distress (Altman Z-score) exhibits a </w:t>
      </w:r>
      <w:r w:rsidRPr="00C259F9">
        <w:rPr>
          <w:rFonts w:ascii="Times New Roman" w:eastAsia="Times New Roman" w:hAnsi="Times New Roman" w:cs="Times New Roman"/>
          <w:bCs/>
          <w:sz w:val="24"/>
          <w:szCs w:val="24"/>
        </w:rPr>
        <w:t>significant negative association</w:t>
      </w:r>
      <w:r w:rsidRPr="00C259F9">
        <w:rPr>
          <w:rFonts w:ascii="Times New Roman" w:eastAsia="Times New Roman" w:hAnsi="Times New Roman" w:cs="Times New Roman"/>
          <w:sz w:val="24"/>
          <w:szCs w:val="24"/>
        </w:rPr>
        <w:t xml:space="preserve"> with the </w:t>
      </w:r>
      <w:r w:rsidRPr="00C259F9">
        <w:rPr>
          <w:rFonts w:ascii="Times New Roman" w:eastAsia="Times New Roman" w:hAnsi="Times New Roman" w:cs="Times New Roman"/>
          <w:bCs/>
          <w:sz w:val="24"/>
          <w:szCs w:val="24"/>
        </w:rPr>
        <w:t>Effective Tax Rate (ρ = −0.3209, p = 0.005)</w:t>
      </w:r>
      <w:r w:rsidRPr="00C259F9">
        <w:rPr>
          <w:rFonts w:ascii="Times New Roman" w:eastAsia="Times New Roman" w:hAnsi="Times New Roman" w:cs="Times New Roman"/>
          <w:sz w:val="24"/>
          <w:szCs w:val="24"/>
        </w:rPr>
        <w:t xml:space="preserve">. This indicates that firms with higher effective tax rates tend to record lower Altman Z-scores, implying </w:t>
      </w:r>
      <w:r w:rsidRPr="00C259F9">
        <w:rPr>
          <w:rFonts w:ascii="Times New Roman" w:eastAsia="Times New Roman" w:hAnsi="Times New Roman" w:cs="Times New Roman"/>
          <w:bCs/>
          <w:sz w:val="24"/>
          <w:szCs w:val="24"/>
        </w:rPr>
        <w:t>greater financial distress</w:t>
      </w:r>
      <w:r w:rsidRPr="00C259F9">
        <w:rPr>
          <w:rFonts w:ascii="Times New Roman" w:eastAsia="Times New Roman" w:hAnsi="Times New Roman" w:cs="Times New Roman"/>
          <w:sz w:val="24"/>
          <w:szCs w:val="24"/>
        </w:rPr>
        <w:t>. Conversely, firms that maintain relatively lower effective tax burdens tend to exhibit stronger financial positions. However, this relationship reflects simple association and should not be interpreted as evidence of causality.</w:t>
      </w:r>
    </w:p>
    <w:p w14:paraId="7A4466FA" w14:textId="77777777" w:rsidR="007C2B6A" w:rsidRPr="00C259F9" w:rsidRDefault="007C2B6A" w:rsidP="00A452CE">
      <w:pPr>
        <w:spacing w:before="100" w:beforeAutospacing="1" w:after="100" w:afterAutospacing="1" w:line="240" w:lineRule="auto"/>
        <w:ind w:left="360"/>
        <w:jc w:val="both"/>
        <w:rPr>
          <w:rFonts w:ascii="Times New Roman" w:eastAsia="Times New Roman" w:hAnsi="Times New Roman" w:cs="Times New Roman"/>
          <w:sz w:val="24"/>
          <w:szCs w:val="24"/>
        </w:rPr>
      </w:pPr>
      <w:r w:rsidRPr="00C259F9">
        <w:rPr>
          <w:rFonts w:ascii="Times New Roman" w:eastAsia="Times New Roman" w:hAnsi="Times New Roman" w:cs="Times New Roman"/>
          <w:sz w:val="24"/>
          <w:szCs w:val="24"/>
        </w:rPr>
        <w:t xml:space="preserve">Similarly, the Altman Z-score is negatively correlated with </w:t>
      </w:r>
      <w:r w:rsidRPr="00C259F9">
        <w:rPr>
          <w:rFonts w:ascii="Times New Roman" w:eastAsia="Times New Roman" w:hAnsi="Times New Roman" w:cs="Times New Roman"/>
          <w:bCs/>
          <w:sz w:val="24"/>
          <w:szCs w:val="24"/>
        </w:rPr>
        <w:t>Depreciation Tax Shield (ρ = −0.2755, p = 0.0168)</w:t>
      </w:r>
      <w:r w:rsidRPr="00C259F9">
        <w:rPr>
          <w:rFonts w:ascii="Times New Roman" w:eastAsia="Times New Roman" w:hAnsi="Times New Roman" w:cs="Times New Roman"/>
          <w:sz w:val="24"/>
          <w:szCs w:val="24"/>
        </w:rPr>
        <w:t xml:space="preserve"> and </w:t>
      </w:r>
      <w:r w:rsidRPr="00C259F9">
        <w:rPr>
          <w:rFonts w:ascii="Times New Roman" w:eastAsia="Times New Roman" w:hAnsi="Times New Roman" w:cs="Times New Roman"/>
          <w:bCs/>
          <w:sz w:val="24"/>
          <w:szCs w:val="24"/>
        </w:rPr>
        <w:t>Capital Intensity (ρ = −0.2935, p = 0.0106)</w:t>
      </w:r>
      <w:r w:rsidRPr="00C259F9">
        <w:rPr>
          <w:rFonts w:ascii="Times New Roman" w:eastAsia="Times New Roman" w:hAnsi="Times New Roman" w:cs="Times New Roman"/>
          <w:sz w:val="24"/>
          <w:szCs w:val="24"/>
        </w:rPr>
        <w:t>. These findings suggest that firms with higher depreciation tax shields and greater capital intensity tend to report lower Z-scores, indicating relatively weaker financial conditions. These bivariate relationships may reflect the substantial capital requirements of healthcare firms, where large investments in fixed assets and depreciation allowances do not necessarily translate into stronger financial health.</w:t>
      </w:r>
    </w:p>
    <w:p w14:paraId="2D2F6FE5" w14:textId="77777777" w:rsidR="007C2B6A" w:rsidRPr="00C259F9" w:rsidRDefault="007C2B6A" w:rsidP="00A452CE">
      <w:pPr>
        <w:spacing w:before="100" w:beforeAutospacing="1" w:after="100" w:afterAutospacing="1" w:line="240" w:lineRule="auto"/>
        <w:ind w:left="360"/>
        <w:jc w:val="both"/>
        <w:rPr>
          <w:rFonts w:ascii="Times New Roman" w:eastAsia="Times New Roman" w:hAnsi="Times New Roman" w:cs="Times New Roman"/>
          <w:sz w:val="24"/>
          <w:szCs w:val="24"/>
        </w:rPr>
      </w:pPr>
      <w:r w:rsidRPr="00C259F9">
        <w:rPr>
          <w:rFonts w:ascii="Times New Roman" w:eastAsia="Times New Roman" w:hAnsi="Times New Roman" w:cs="Times New Roman"/>
          <w:sz w:val="24"/>
          <w:szCs w:val="24"/>
        </w:rPr>
        <w:t xml:space="preserve">Firm Size (FSIZE) shows a </w:t>
      </w:r>
      <w:r w:rsidRPr="00C259F9">
        <w:rPr>
          <w:rFonts w:ascii="Times New Roman" w:eastAsia="Times New Roman" w:hAnsi="Times New Roman" w:cs="Times New Roman"/>
          <w:bCs/>
          <w:sz w:val="24"/>
          <w:szCs w:val="24"/>
        </w:rPr>
        <w:t>strong positive correlation</w:t>
      </w:r>
      <w:r w:rsidRPr="00C259F9">
        <w:rPr>
          <w:rFonts w:ascii="Times New Roman" w:eastAsia="Times New Roman" w:hAnsi="Times New Roman" w:cs="Times New Roman"/>
          <w:sz w:val="24"/>
          <w:szCs w:val="24"/>
        </w:rPr>
        <w:t xml:space="preserve"> with the Altman Z-score (ρ = </w:t>
      </w:r>
      <w:r w:rsidRPr="00C259F9">
        <w:rPr>
          <w:rFonts w:ascii="Times New Roman" w:eastAsia="Times New Roman" w:hAnsi="Times New Roman" w:cs="Times New Roman"/>
          <w:bCs/>
          <w:sz w:val="24"/>
          <w:szCs w:val="24"/>
        </w:rPr>
        <w:t>0.6390</w:t>
      </w:r>
      <w:r w:rsidRPr="00C259F9">
        <w:rPr>
          <w:rFonts w:ascii="Times New Roman" w:eastAsia="Times New Roman" w:hAnsi="Times New Roman" w:cs="Times New Roman"/>
          <w:sz w:val="24"/>
          <w:szCs w:val="24"/>
        </w:rPr>
        <w:t xml:space="preserve">, p &lt; 0.001), indicating that larger firms generally exhibit higher Z-scores and therefore experience </w:t>
      </w:r>
      <w:r w:rsidRPr="00C259F9">
        <w:rPr>
          <w:rFonts w:ascii="Times New Roman" w:eastAsia="Times New Roman" w:hAnsi="Times New Roman" w:cs="Times New Roman"/>
          <w:bCs/>
          <w:sz w:val="24"/>
          <w:szCs w:val="24"/>
        </w:rPr>
        <w:t>lower financial distress</w:t>
      </w:r>
      <w:r w:rsidRPr="00C259F9">
        <w:rPr>
          <w:rFonts w:ascii="Times New Roman" w:eastAsia="Times New Roman" w:hAnsi="Times New Roman" w:cs="Times New Roman"/>
          <w:sz w:val="24"/>
          <w:szCs w:val="24"/>
        </w:rPr>
        <w:t xml:space="preserve"> than smaller firms. This finding suggests that larger firms possess greater financial resilience, possibly due to economies of scale, diversified operations, and better access to external financing.</w:t>
      </w:r>
    </w:p>
    <w:p w14:paraId="0FE46D66" w14:textId="77777777" w:rsidR="007C2B6A" w:rsidRPr="00C259F9" w:rsidRDefault="007C2B6A" w:rsidP="00A452CE">
      <w:pPr>
        <w:spacing w:before="100" w:beforeAutospacing="1" w:after="100" w:afterAutospacing="1" w:line="240" w:lineRule="auto"/>
        <w:ind w:left="360"/>
        <w:jc w:val="both"/>
        <w:rPr>
          <w:rFonts w:ascii="Times New Roman" w:eastAsia="Times New Roman" w:hAnsi="Times New Roman" w:cs="Times New Roman"/>
          <w:sz w:val="24"/>
          <w:szCs w:val="24"/>
        </w:rPr>
      </w:pPr>
      <w:r w:rsidRPr="00C259F9">
        <w:rPr>
          <w:rFonts w:ascii="Times New Roman" w:eastAsia="Times New Roman" w:hAnsi="Times New Roman" w:cs="Times New Roman"/>
          <w:sz w:val="24"/>
          <w:szCs w:val="24"/>
        </w:rPr>
        <w:t>Among the explanatory variables, ETR is negatively associated with TS (ρ = −0.2720, p = 0.0182) and FSIZE (ρ = −0.2925, p = 0.0109), suggesting that larger firms and firms utilizing greater tax shields generally report lower effective tax rates.</w:t>
      </w:r>
    </w:p>
    <w:p w14:paraId="4945A74A" w14:textId="77777777" w:rsidR="007C2B6A" w:rsidRPr="00C259F9" w:rsidRDefault="007C2B6A" w:rsidP="00A452CE">
      <w:pPr>
        <w:spacing w:before="100" w:beforeAutospacing="1" w:after="100" w:afterAutospacing="1" w:line="240" w:lineRule="auto"/>
        <w:ind w:left="360"/>
        <w:jc w:val="both"/>
        <w:rPr>
          <w:rFonts w:ascii="Times New Roman" w:eastAsia="Times New Roman" w:hAnsi="Times New Roman" w:cs="Times New Roman"/>
          <w:sz w:val="24"/>
          <w:szCs w:val="24"/>
        </w:rPr>
      </w:pPr>
      <w:r w:rsidRPr="00C259F9">
        <w:rPr>
          <w:rFonts w:ascii="Times New Roman" w:eastAsia="Times New Roman" w:hAnsi="Times New Roman" w:cs="Times New Roman"/>
          <w:sz w:val="24"/>
          <w:szCs w:val="24"/>
        </w:rPr>
        <w:t>TCAP is positively correlated with both TS (ρ = 0.3114, p = 0.0065) and DETS (ρ = 0.3085, p = 0.0071), implying that firms relying more heavily on debt financing also tend to utilize greater debt-related and non-debt tax benefits.</w:t>
      </w:r>
    </w:p>
    <w:p w14:paraId="102F956E" w14:textId="77777777" w:rsidR="007C2B6A" w:rsidRDefault="007C2B6A" w:rsidP="00A452CE">
      <w:pPr>
        <w:spacing w:before="100" w:beforeAutospacing="1" w:after="100" w:afterAutospacing="1" w:line="240" w:lineRule="auto"/>
        <w:ind w:left="360"/>
        <w:jc w:val="both"/>
        <w:rPr>
          <w:rFonts w:ascii="Times New Roman" w:eastAsia="Times New Roman" w:hAnsi="Times New Roman" w:cs="Times New Roman"/>
          <w:sz w:val="24"/>
          <w:szCs w:val="24"/>
        </w:rPr>
      </w:pPr>
      <w:r w:rsidRPr="00C259F9">
        <w:rPr>
          <w:rFonts w:ascii="Times New Roman" w:eastAsia="Times New Roman" w:hAnsi="Times New Roman" w:cs="Times New Roman"/>
          <w:sz w:val="24"/>
          <w:szCs w:val="24"/>
        </w:rPr>
        <w:t>Furthermore, FSIZE is positively related to TS (ρ = 0.2628, p = 0.0227) but negatively associated with DETS (ρ = −0.3652, p = 0.0013), indicating that larger firms tend to rely relatively more on debt tax shields while utilizing comparatively lower depreciation-related tax benefits.</w:t>
      </w:r>
    </w:p>
    <w:p w14:paraId="0C8464BF" w14:textId="77777777" w:rsidR="007C2B6A" w:rsidRPr="00C259F9" w:rsidRDefault="007C2B6A" w:rsidP="00A452CE">
      <w:pPr>
        <w:spacing w:before="100" w:beforeAutospacing="1" w:after="100" w:afterAutospacing="1" w:line="240" w:lineRule="auto"/>
        <w:ind w:left="360"/>
        <w:jc w:val="both"/>
        <w:rPr>
          <w:rFonts w:ascii="Times New Roman" w:eastAsia="Times New Roman" w:hAnsi="Times New Roman" w:cs="Times New Roman"/>
          <w:sz w:val="24"/>
          <w:szCs w:val="24"/>
        </w:rPr>
      </w:pPr>
      <w:r w:rsidRPr="00C259F9">
        <w:rPr>
          <w:rFonts w:ascii="Times New Roman" w:eastAsia="Times New Roman" w:hAnsi="Times New Roman" w:cs="Times New Roman"/>
          <w:sz w:val="24"/>
          <w:szCs w:val="24"/>
        </w:rPr>
        <w:lastRenderedPageBreak/>
        <w:t xml:space="preserve">Importantly, none of the pairwise correlation coefficients exceeds the conventional threshold of </w:t>
      </w:r>
      <w:r w:rsidRPr="00C259F9">
        <w:rPr>
          <w:rFonts w:ascii="Times New Roman" w:eastAsia="Times New Roman" w:hAnsi="Times New Roman" w:cs="Times New Roman"/>
          <w:b/>
          <w:bCs/>
          <w:sz w:val="24"/>
          <w:szCs w:val="24"/>
        </w:rPr>
        <w:t>0.80</w:t>
      </w:r>
      <w:r w:rsidRPr="00C259F9">
        <w:rPr>
          <w:rFonts w:ascii="Times New Roman" w:eastAsia="Times New Roman" w:hAnsi="Times New Roman" w:cs="Times New Roman"/>
          <w:sz w:val="24"/>
          <w:szCs w:val="24"/>
        </w:rPr>
        <w:t xml:space="preserve">, indicating that serious multicollinearity is unlikely to affect the regression estimates. This conclusion is further supported by the mean Variance Inflation Factor (VIF) of </w:t>
      </w:r>
      <w:r w:rsidRPr="00C259F9">
        <w:rPr>
          <w:rFonts w:ascii="Times New Roman" w:eastAsia="Times New Roman" w:hAnsi="Times New Roman" w:cs="Times New Roman"/>
          <w:b/>
          <w:bCs/>
          <w:sz w:val="24"/>
          <w:szCs w:val="24"/>
        </w:rPr>
        <w:t>2.13</w:t>
      </w:r>
      <w:r w:rsidRPr="00C259F9">
        <w:rPr>
          <w:rFonts w:ascii="Times New Roman" w:eastAsia="Times New Roman" w:hAnsi="Times New Roman" w:cs="Times New Roman"/>
          <w:sz w:val="24"/>
          <w:szCs w:val="24"/>
        </w:rPr>
        <w:t>, which is well below the critical benchmark of 10.</w:t>
      </w:r>
    </w:p>
    <w:p w14:paraId="4E19A750" w14:textId="77777777" w:rsidR="0014769C" w:rsidRDefault="007C2B6A" w:rsidP="00A452CE">
      <w:pPr>
        <w:spacing w:before="100" w:beforeAutospacing="1" w:after="100" w:afterAutospacing="1" w:line="240" w:lineRule="auto"/>
        <w:ind w:left="360"/>
        <w:jc w:val="both"/>
        <w:rPr>
          <w:rFonts w:ascii="Times New Roman" w:eastAsia="Times New Roman" w:hAnsi="Times New Roman" w:cs="Times New Roman"/>
          <w:sz w:val="24"/>
          <w:szCs w:val="24"/>
        </w:rPr>
      </w:pPr>
      <w:r w:rsidRPr="00C259F9">
        <w:rPr>
          <w:rFonts w:ascii="Times New Roman" w:eastAsia="Times New Roman" w:hAnsi="Times New Roman" w:cs="Times New Roman"/>
          <w:sz w:val="24"/>
          <w:szCs w:val="24"/>
        </w:rPr>
        <w:t xml:space="preserve">Importantly, none of the pairwise correlation coefficients exceeds the conventional threshold of </w:t>
      </w:r>
      <w:r w:rsidRPr="00C259F9">
        <w:rPr>
          <w:rFonts w:ascii="Times New Roman" w:eastAsia="Times New Roman" w:hAnsi="Times New Roman" w:cs="Times New Roman"/>
          <w:bCs/>
          <w:sz w:val="24"/>
          <w:szCs w:val="24"/>
        </w:rPr>
        <w:t>0.80</w:t>
      </w:r>
      <w:r w:rsidRPr="00C259F9">
        <w:rPr>
          <w:rFonts w:ascii="Times New Roman" w:eastAsia="Times New Roman" w:hAnsi="Times New Roman" w:cs="Times New Roman"/>
          <w:sz w:val="24"/>
          <w:szCs w:val="24"/>
        </w:rPr>
        <w:t xml:space="preserve">, indicating that serious multicollinearity is unlikely to affect the regression estimates. This conclusion is further supported by the mean Variance Inflation Factor (VIF) of </w:t>
      </w:r>
      <w:r w:rsidRPr="00C259F9">
        <w:rPr>
          <w:rFonts w:ascii="Times New Roman" w:eastAsia="Times New Roman" w:hAnsi="Times New Roman" w:cs="Times New Roman"/>
          <w:bCs/>
          <w:sz w:val="24"/>
          <w:szCs w:val="24"/>
        </w:rPr>
        <w:t>2.13</w:t>
      </w:r>
      <w:r w:rsidRPr="00C259F9">
        <w:rPr>
          <w:rFonts w:ascii="Times New Roman" w:eastAsia="Times New Roman" w:hAnsi="Times New Roman" w:cs="Times New Roman"/>
          <w:sz w:val="24"/>
          <w:szCs w:val="24"/>
        </w:rPr>
        <w:t>, which is well below the critical benchmark of 10.</w:t>
      </w:r>
      <w:r w:rsidRPr="0014769C">
        <w:rPr>
          <w:rFonts w:ascii="Times New Roman" w:eastAsia="Times New Roman" w:hAnsi="Times New Roman" w:cs="Times New Roman"/>
          <w:sz w:val="24"/>
          <w:szCs w:val="24"/>
        </w:rPr>
        <w:t xml:space="preserve"> </w:t>
      </w:r>
    </w:p>
    <w:p w14:paraId="49347D2E" w14:textId="77777777" w:rsidR="00BA1404" w:rsidRDefault="00BA1404" w:rsidP="0014769C">
      <w:pPr>
        <w:spacing w:before="100" w:beforeAutospacing="1" w:after="100" w:afterAutospacing="1" w:line="240" w:lineRule="auto"/>
        <w:jc w:val="both"/>
        <w:rPr>
          <w:rFonts w:ascii="Times New Roman" w:eastAsia="Times New Roman" w:hAnsi="Times New Roman" w:cs="Times New Roman"/>
          <w:sz w:val="24"/>
          <w:szCs w:val="24"/>
        </w:rPr>
      </w:pPr>
    </w:p>
    <w:p w14:paraId="7DB334BC" w14:textId="77777777" w:rsidR="009D7A03" w:rsidRDefault="009D7A03" w:rsidP="0014769C">
      <w:pPr>
        <w:spacing w:before="100" w:beforeAutospacing="1" w:after="100" w:afterAutospacing="1" w:line="240" w:lineRule="auto"/>
        <w:jc w:val="both"/>
        <w:rPr>
          <w:rFonts w:ascii="Times New Roman" w:eastAsia="Times New Roman" w:hAnsi="Times New Roman" w:cs="Times New Roman"/>
          <w:sz w:val="24"/>
          <w:szCs w:val="24"/>
        </w:rPr>
      </w:pPr>
    </w:p>
    <w:p w14:paraId="5EFB0722" w14:textId="77777777" w:rsidR="000976C4" w:rsidRPr="00EC3AB2" w:rsidRDefault="000976C4" w:rsidP="000976C4">
      <w:pPr>
        <w:spacing w:before="100" w:beforeAutospacing="1" w:after="100" w:afterAutospacing="1" w:line="240" w:lineRule="auto"/>
        <w:rPr>
          <w:rFonts w:ascii="Times New Roman" w:eastAsia="Times New Roman" w:hAnsi="Times New Roman" w:cs="Times New Roman"/>
          <w:sz w:val="24"/>
          <w:szCs w:val="24"/>
        </w:rPr>
      </w:pPr>
      <w:r w:rsidRPr="00EC3AB2">
        <w:rPr>
          <w:rFonts w:ascii="Times New Roman" w:eastAsia="Times New Roman" w:hAnsi="Times New Roman" w:cs="Times New Roman"/>
          <w:b/>
          <w:bCs/>
          <w:sz w:val="24"/>
          <w:szCs w:val="24"/>
        </w:rPr>
        <w:t>Table 3. Panel Regression Results for Financial Distress</w:t>
      </w:r>
    </w:p>
    <w:tbl>
      <w:tblPr>
        <w:tblStyle w:val="PlainTable3"/>
        <w:tblW w:w="10536" w:type="dxa"/>
        <w:tblLook w:val="04A0" w:firstRow="1" w:lastRow="0" w:firstColumn="1" w:lastColumn="0" w:noHBand="0" w:noVBand="1"/>
      </w:tblPr>
      <w:tblGrid>
        <w:gridCol w:w="4320"/>
        <w:gridCol w:w="1615"/>
        <w:gridCol w:w="1585"/>
        <w:gridCol w:w="3016"/>
      </w:tblGrid>
      <w:tr w:rsidR="000976C4" w:rsidRPr="00EC3AB2" w14:paraId="163B3EF1" w14:textId="77777777" w:rsidTr="003855D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320" w:type="dxa"/>
            <w:hideMark/>
          </w:tcPr>
          <w:p w14:paraId="5F4D807C" w14:textId="77777777" w:rsidR="000976C4" w:rsidRPr="00EC3AB2" w:rsidRDefault="000976C4" w:rsidP="003855DB">
            <w:pPr>
              <w:spacing w:line="480" w:lineRule="auto"/>
              <w:jc w:val="center"/>
              <w:rPr>
                <w:rFonts w:ascii="Times New Roman" w:eastAsia="Times New Roman" w:hAnsi="Times New Roman" w:cs="Times New Roman"/>
                <w:b w:val="0"/>
                <w:sz w:val="24"/>
                <w:szCs w:val="24"/>
              </w:rPr>
            </w:pPr>
            <w:r w:rsidRPr="00EC3AB2">
              <w:rPr>
                <w:rFonts w:ascii="Times New Roman" w:eastAsia="Times New Roman" w:hAnsi="Times New Roman" w:cs="Times New Roman"/>
                <w:b w:val="0"/>
                <w:sz w:val="24"/>
                <w:szCs w:val="24"/>
              </w:rPr>
              <w:t>Variables</w:t>
            </w:r>
          </w:p>
        </w:tc>
        <w:tc>
          <w:tcPr>
            <w:tcW w:w="0" w:type="auto"/>
            <w:hideMark/>
          </w:tcPr>
          <w:p w14:paraId="3B470CC8" w14:textId="77777777" w:rsidR="000976C4" w:rsidRPr="00EC3AB2" w:rsidRDefault="000976C4" w:rsidP="003855DB">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rPr>
            </w:pPr>
            <w:r w:rsidRPr="00EC3AB2">
              <w:rPr>
                <w:rFonts w:ascii="Times New Roman" w:eastAsia="Times New Roman" w:hAnsi="Times New Roman" w:cs="Times New Roman"/>
                <w:b w:val="0"/>
                <w:sz w:val="24"/>
                <w:szCs w:val="24"/>
              </w:rPr>
              <w:t>Fixed Effects</w:t>
            </w:r>
          </w:p>
        </w:tc>
        <w:tc>
          <w:tcPr>
            <w:tcW w:w="1585" w:type="dxa"/>
            <w:hideMark/>
          </w:tcPr>
          <w:p w14:paraId="2FC23889" w14:textId="77777777" w:rsidR="000976C4" w:rsidRPr="00EC3AB2" w:rsidRDefault="000976C4" w:rsidP="003855DB">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rPr>
            </w:pPr>
            <w:r w:rsidRPr="00EC3AB2">
              <w:rPr>
                <w:rFonts w:ascii="Times New Roman" w:eastAsia="Times New Roman" w:hAnsi="Times New Roman" w:cs="Times New Roman"/>
                <w:b w:val="0"/>
                <w:sz w:val="24"/>
                <w:szCs w:val="24"/>
              </w:rPr>
              <w:t>Random Effects</w:t>
            </w:r>
          </w:p>
        </w:tc>
        <w:tc>
          <w:tcPr>
            <w:tcW w:w="0" w:type="auto"/>
            <w:hideMark/>
          </w:tcPr>
          <w:p w14:paraId="48FFBE7B" w14:textId="77777777" w:rsidR="000976C4" w:rsidRPr="00EC3AB2" w:rsidRDefault="000976C4" w:rsidP="003855DB">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rPr>
            </w:pPr>
            <w:r w:rsidRPr="00EC3AB2">
              <w:rPr>
                <w:rFonts w:ascii="Times New Roman" w:eastAsia="Times New Roman" w:hAnsi="Times New Roman" w:cs="Times New Roman"/>
                <w:b w:val="0"/>
                <w:sz w:val="24"/>
                <w:szCs w:val="24"/>
              </w:rPr>
              <w:t>Fixed Effects (Driscoll–Kraay SE)</w:t>
            </w:r>
          </w:p>
        </w:tc>
      </w:tr>
      <w:tr w:rsidR="000976C4" w:rsidRPr="00EC3AB2" w14:paraId="1D78C369" w14:textId="77777777" w:rsidTr="003855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hideMark/>
          </w:tcPr>
          <w:p w14:paraId="79EA5740" w14:textId="77777777" w:rsidR="000976C4" w:rsidRPr="00EC3AB2" w:rsidRDefault="000976C4" w:rsidP="003855DB">
            <w:pPr>
              <w:spacing w:line="480" w:lineRule="auto"/>
              <w:rPr>
                <w:rFonts w:ascii="Times New Roman" w:eastAsia="Times New Roman" w:hAnsi="Times New Roman" w:cs="Times New Roman"/>
                <w:b w:val="0"/>
                <w:sz w:val="24"/>
                <w:szCs w:val="24"/>
              </w:rPr>
            </w:pPr>
            <w:r w:rsidRPr="00EC3AB2">
              <w:rPr>
                <w:rFonts w:ascii="Times New Roman" w:eastAsia="Times New Roman" w:hAnsi="Times New Roman" w:cs="Times New Roman"/>
                <w:b w:val="0"/>
                <w:sz w:val="24"/>
                <w:szCs w:val="24"/>
              </w:rPr>
              <w:t>Effective Tax Rate (ETR)</w:t>
            </w:r>
          </w:p>
        </w:tc>
        <w:tc>
          <w:tcPr>
            <w:tcW w:w="0" w:type="auto"/>
            <w:hideMark/>
          </w:tcPr>
          <w:p w14:paraId="2E2218D4" w14:textId="77777777" w:rsidR="000976C4" w:rsidRPr="00EC3AB2" w:rsidRDefault="000976C4" w:rsidP="003855D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EC3AB2">
              <w:rPr>
                <w:rFonts w:ascii="Times New Roman" w:eastAsia="Times New Roman" w:hAnsi="Times New Roman" w:cs="Times New Roman"/>
                <w:sz w:val="24"/>
                <w:szCs w:val="24"/>
              </w:rPr>
              <w:t>0.0005 (0.701)</w:t>
            </w:r>
          </w:p>
        </w:tc>
        <w:tc>
          <w:tcPr>
            <w:tcW w:w="1585" w:type="dxa"/>
            <w:hideMark/>
          </w:tcPr>
          <w:p w14:paraId="6D1F4A1D" w14:textId="77777777" w:rsidR="000976C4" w:rsidRPr="00EC3AB2" w:rsidRDefault="000976C4" w:rsidP="003855D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EC3AB2">
              <w:rPr>
                <w:rFonts w:ascii="Times New Roman" w:eastAsia="Times New Roman" w:hAnsi="Times New Roman" w:cs="Times New Roman"/>
                <w:sz w:val="24"/>
                <w:szCs w:val="24"/>
              </w:rPr>
              <w:t>0.0010 (0.399)</w:t>
            </w:r>
          </w:p>
        </w:tc>
        <w:tc>
          <w:tcPr>
            <w:tcW w:w="0" w:type="auto"/>
            <w:hideMark/>
          </w:tcPr>
          <w:p w14:paraId="646B3737" w14:textId="77777777" w:rsidR="000976C4" w:rsidRDefault="000976C4" w:rsidP="003855D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EC3AB2">
              <w:rPr>
                <w:rFonts w:ascii="Times New Roman" w:eastAsia="Times New Roman" w:hAnsi="Times New Roman" w:cs="Times New Roman"/>
                <w:sz w:val="24"/>
                <w:szCs w:val="24"/>
              </w:rPr>
              <w:t xml:space="preserve">0.0005 </w:t>
            </w:r>
          </w:p>
          <w:p w14:paraId="00321C6A" w14:textId="77777777" w:rsidR="000976C4" w:rsidRPr="00EC3AB2" w:rsidRDefault="000976C4" w:rsidP="003855D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EC3AB2">
              <w:rPr>
                <w:rFonts w:ascii="Times New Roman" w:eastAsia="Times New Roman" w:hAnsi="Times New Roman" w:cs="Times New Roman"/>
                <w:sz w:val="24"/>
                <w:szCs w:val="24"/>
              </w:rPr>
              <w:t>(0.740)</w:t>
            </w:r>
          </w:p>
        </w:tc>
      </w:tr>
      <w:tr w:rsidR="000976C4" w:rsidRPr="00EC3AB2" w14:paraId="44DD2EDC" w14:textId="77777777" w:rsidTr="003855DB">
        <w:tc>
          <w:tcPr>
            <w:cnfStyle w:val="001000000000" w:firstRow="0" w:lastRow="0" w:firstColumn="1" w:lastColumn="0" w:oddVBand="0" w:evenVBand="0" w:oddHBand="0" w:evenHBand="0" w:firstRowFirstColumn="0" w:firstRowLastColumn="0" w:lastRowFirstColumn="0" w:lastRowLastColumn="0"/>
            <w:tcW w:w="4320" w:type="dxa"/>
            <w:hideMark/>
          </w:tcPr>
          <w:p w14:paraId="3CED4FC3" w14:textId="77777777" w:rsidR="000976C4" w:rsidRPr="00EC3AB2" w:rsidRDefault="000976C4" w:rsidP="003855DB">
            <w:pPr>
              <w:spacing w:line="480" w:lineRule="auto"/>
              <w:rPr>
                <w:rFonts w:ascii="Times New Roman" w:eastAsia="Times New Roman" w:hAnsi="Times New Roman" w:cs="Times New Roman"/>
                <w:b w:val="0"/>
                <w:sz w:val="24"/>
                <w:szCs w:val="24"/>
              </w:rPr>
            </w:pPr>
            <w:r w:rsidRPr="00EC3AB2">
              <w:rPr>
                <w:rFonts w:ascii="Times New Roman" w:eastAsia="Times New Roman" w:hAnsi="Times New Roman" w:cs="Times New Roman"/>
                <w:b w:val="0"/>
                <w:sz w:val="24"/>
                <w:szCs w:val="24"/>
              </w:rPr>
              <w:t>Thin Capitalization (TCAP)</w:t>
            </w:r>
          </w:p>
        </w:tc>
        <w:tc>
          <w:tcPr>
            <w:tcW w:w="0" w:type="auto"/>
            <w:hideMark/>
          </w:tcPr>
          <w:p w14:paraId="7719D20A" w14:textId="77777777" w:rsidR="000976C4" w:rsidRDefault="000976C4" w:rsidP="003855D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EC3AB2">
              <w:rPr>
                <w:rFonts w:ascii="Times New Roman" w:eastAsia="Times New Roman" w:hAnsi="Times New Roman" w:cs="Times New Roman"/>
                <w:sz w:val="24"/>
                <w:szCs w:val="24"/>
              </w:rPr>
              <w:t>−0.0760</w:t>
            </w:r>
          </w:p>
          <w:p w14:paraId="349BC08C" w14:textId="77777777" w:rsidR="000976C4" w:rsidRPr="00EC3AB2" w:rsidRDefault="000976C4" w:rsidP="003855D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EC3AB2">
              <w:rPr>
                <w:rFonts w:ascii="Times New Roman" w:eastAsia="Times New Roman" w:hAnsi="Times New Roman" w:cs="Times New Roman"/>
                <w:sz w:val="24"/>
                <w:szCs w:val="24"/>
              </w:rPr>
              <w:t>** (0.023)</w:t>
            </w:r>
          </w:p>
        </w:tc>
        <w:tc>
          <w:tcPr>
            <w:tcW w:w="1585" w:type="dxa"/>
            <w:hideMark/>
          </w:tcPr>
          <w:p w14:paraId="56367886" w14:textId="77777777" w:rsidR="000976C4" w:rsidRPr="00EC3AB2" w:rsidRDefault="000976C4" w:rsidP="003855D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EC3AB2">
              <w:rPr>
                <w:rFonts w:ascii="Times New Roman" w:eastAsia="Times New Roman" w:hAnsi="Times New Roman" w:cs="Times New Roman"/>
                <w:sz w:val="24"/>
                <w:szCs w:val="24"/>
              </w:rPr>
              <w:t>−0.0480 (0.094)</w:t>
            </w:r>
          </w:p>
        </w:tc>
        <w:tc>
          <w:tcPr>
            <w:tcW w:w="0" w:type="auto"/>
            <w:hideMark/>
          </w:tcPr>
          <w:p w14:paraId="02BA9954" w14:textId="77777777" w:rsidR="000976C4" w:rsidRDefault="000976C4" w:rsidP="003855D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EC3AB2">
              <w:rPr>
                <w:rFonts w:ascii="Times New Roman" w:eastAsia="Times New Roman" w:hAnsi="Times New Roman" w:cs="Times New Roman"/>
                <w:sz w:val="24"/>
                <w:szCs w:val="24"/>
              </w:rPr>
              <w:t>−0.0760</w:t>
            </w:r>
          </w:p>
          <w:p w14:paraId="4B98ED87" w14:textId="77777777" w:rsidR="000976C4" w:rsidRPr="00EC3AB2" w:rsidRDefault="000976C4" w:rsidP="003855D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EC3AB2">
              <w:rPr>
                <w:rFonts w:ascii="Times New Roman" w:eastAsia="Times New Roman" w:hAnsi="Times New Roman" w:cs="Times New Roman"/>
                <w:sz w:val="24"/>
                <w:szCs w:val="24"/>
              </w:rPr>
              <w:t>** (0.021)</w:t>
            </w:r>
          </w:p>
        </w:tc>
      </w:tr>
      <w:tr w:rsidR="000976C4" w:rsidRPr="00EC3AB2" w14:paraId="0D60DBB3" w14:textId="77777777" w:rsidTr="003855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hideMark/>
          </w:tcPr>
          <w:p w14:paraId="745B7E18" w14:textId="77777777" w:rsidR="000976C4" w:rsidRPr="00EC3AB2" w:rsidRDefault="000976C4" w:rsidP="003855DB">
            <w:pPr>
              <w:spacing w:line="480" w:lineRule="auto"/>
              <w:rPr>
                <w:rFonts w:ascii="Times New Roman" w:eastAsia="Times New Roman" w:hAnsi="Times New Roman" w:cs="Times New Roman"/>
                <w:b w:val="0"/>
                <w:sz w:val="24"/>
                <w:szCs w:val="24"/>
              </w:rPr>
            </w:pPr>
            <w:r w:rsidRPr="00EC3AB2">
              <w:rPr>
                <w:rFonts w:ascii="Times New Roman" w:eastAsia="Times New Roman" w:hAnsi="Times New Roman" w:cs="Times New Roman"/>
                <w:b w:val="0"/>
                <w:sz w:val="24"/>
                <w:szCs w:val="24"/>
              </w:rPr>
              <w:t>Tax Shield (TS)</w:t>
            </w:r>
          </w:p>
        </w:tc>
        <w:tc>
          <w:tcPr>
            <w:tcW w:w="0" w:type="auto"/>
            <w:hideMark/>
          </w:tcPr>
          <w:p w14:paraId="75014631" w14:textId="77777777" w:rsidR="000976C4" w:rsidRPr="00EC3AB2" w:rsidRDefault="000976C4" w:rsidP="003855D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EC3AB2">
              <w:rPr>
                <w:rFonts w:ascii="Times New Roman" w:eastAsia="Times New Roman" w:hAnsi="Times New Roman" w:cs="Times New Roman"/>
                <w:sz w:val="24"/>
                <w:szCs w:val="24"/>
              </w:rPr>
              <w:t>−0.0110 (0.771)</w:t>
            </w:r>
          </w:p>
        </w:tc>
        <w:tc>
          <w:tcPr>
            <w:tcW w:w="1585" w:type="dxa"/>
            <w:hideMark/>
          </w:tcPr>
          <w:p w14:paraId="4CEEC029" w14:textId="77777777" w:rsidR="000976C4" w:rsidRPr="00EC3AB2" w:rsidRDefault="000976C4" w:rsidP="003855D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EC3AB2">
              <w:rPr>
                <w:rFonts w:ascii="Times New Roman" w:eastAsia="Times New Roman" w:hAnsi="Times New Roman" w:cs="Times New Roman"/>
                <w:sz w:val="24"/>
                <w:szCs w:val="24"/>
              </w:rPr>
              <w:t>0.0580 (0.064)</w:t>
            </w:r>
          </w:p>
        </w:tc>
        <w:tc>
          <w:tcPr>
            <w:tcW w:w="0" w:type="auto"/>
            <w:hideMark/>
          </w:tcPr>
          <w:p w14:paraId="7E4EB032" w14:textId="77777777" w:rsidR="000976C4" w:rsidRDefault="000976C4" w:rsidP="003855D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EC3AB2">
              <w:rPr>
                <w:rFonts w:ascii="Times New Roman" w:eastAsia="Times New Roman" w:hAnsi="Times New Roman" w:cs="Times New Roman"/>
                <w:sz w:val="24"/>
                <w:szCs w:val="24"/>
              </w:rPr>
              <w:t xml:space="preserve">−0.0110 </w:t>
            </w:r>
          </w:p>
          <w:p w14:paraId="2BCA5D0F" w14:textId="77777777" w:rsidR="000976C4" w:rsidRPr="00EC3AB2" w:rsidRDefault="000976C4" w:rsidP="003855D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EC3AB2">
              <w:rPr>
                <w:rFonts w:ascii="Times New Roman" w:eastAsia="Times New Roman" w:hAnsi="Times New Roman" w:cs="Times New Roman"/>
                <w:sz w:val="24"/>
                <w:szCs w:val="24"/>
              </w:rPr>
              <w:t>(0.817)</w:t>
            </w:r>
          </w:p>
        </w:tc>
      </w:tr>
      <w:tr w:rsidR="000976C4" w:rsidRPr="00EC3AB2" w14:paraId="0A54223F" w14:textId="77777777" w:rsidTr="003855DB">
        <w:tc>
          <w:tcPr>
            <w:cnfStyle w:val="001000000000" w:firstRow="0" w:lastRow="0" w:firstColumn="1" w:lastColumn="0" w:oddVBand="0" w:evenVBand="0" w:oddHBand="0" w:evenHBand="0" w:firstRowFirstColumn="0" w:firstRowLastColumn="0" w:lastRowFirstColumn="0" w:lastRowLastColumn="0"/>
            <w:tcW w:w="4320" w:type="dxa"/>
            <w:hideMark/>
          </w:tcPr>
          <w:p w14:paraId="57D90DEF" w14:textId="77777777" w:rsidR="000976C4" w:rsidRPr="00EC3AB2" w:rsidRDefault="000976C4" w:rsidP="003855DB">
            <w:pPr>
              <w:spacing w:line="480" w:lineRule="auto"/>
              <w:rPr>
                <w:rFonts w:ascii="Times New Roman" w:eastAsia="Times New Roman" w:hAnsi="Times New Roman" w:cs="Times New Roman"/>
                <w:b w:val="0"/>
                <w:sz w:val="24"/>
                <w:szCs w:val="24"/>
              </w:rPr>
            </w:pPr>
            <w:r w:rsidRPr="00EC3AB2">
              <w:rPr>
                <w:rFonts w:ascii="Times New Roman" w:eastAsia="Times New Roman" w:hAnsi="Times New Roman" w:cs="Times New Roman"/>
                <w:b w:val="0"/>
                <w:sz w:val="24"/>
                <w:szCs w:val="24"/>
              </w:rPr>
              <w:t>Depreciation Tax Shield (DETS)</w:t>
            </w:r>
          </w:p>
        </w:tc>
        <w:tc>
          <w:tcPr>
            <w:tcW w:w="0" w:type="auto"/>
            <w:hideMark/>
          </w:tcPr>
          <w:p w14:paraId="3CF87499" w14:textId="77777777" w:rsidR="000976C4" w:rsidRPr="00EC3AB2" w:rsidRDefault="000976C4" w:rsidP="003855D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EC3AB2">
              <w:rPr>
                <w:rFonts w:ascii="Times New Roman" w:eastAsia="Times New Roman" w:hAnsi="Times New Roman" w:cs="Times New Roman"/>
                <w:sz w:val="24"/>
                <w:szCs w:val="24"/>
              </w:rPr>
              <w:t>−0.0810 (0.145)</w:t>
            </w:r>
          </w:p>
        </w:tc>
        <w:tc>
          <w:tcPr>
            <w:tcW w:w="1585" w:type="dxa"/>
            <w:hideMark/>
          </w:tcPr>
          <w:p w14:paraId="229DE534" w14:textId="77777777" w:rsidR="000976C4" w:rsidRDefault="000976C4" w:rsidP="003855D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EC3AB2">
              <w:rPr>
                <w:rFonts w:ascii="Times New Roman" w:eastAsia="Times New Roman" w:hAnsi="Times New Roman" w:cs="Times New Roman"/>
                <w:sz w:val="24"/>
                <w:szCs w:val="24"/>
              </w:rPr>
              <w:t>−0.1090</w:t>
            </w:r>
          </w:p>
          <w:p w14:paraId="1E6ECAA5" w14:textId="77777777" w:rsidR="000976C4" w:rsidRPr="00EC3AB2" w:rsidRDefault="000976C4" w:rsidP="003855D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EC3AB2">
              <w:rPr>
                <w:rFonts w:ascii="Times New Roman" w:eastAsia="Times New Roman" w:hAnsi="Times New Roman" w:cs="Times New Roman"/>
                <w:sz w:val="24"/>
                <w:szCs w:val="24"/>
              </w:rPr>
              <w:t>*** (0.009)</w:t>
            </w:r>
          </w:p>
        </w:tc>
        <w:tc>
          <w:tcPr>
            <w:tcW w:w="0" w:type="auto"/>
            <w:hideMark/>
          </w:tcPr>
          <w:p w14:paraId="1B60CBC0" w14:textId="77777777" w:rsidR="000976C4" w:rsidRDefault="000976C4" w:rsidP="003855D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EC3AB2">
              <w:rPr>
                <w:rFonts w:ascii="Times New Roman" w:eastAsia="Times New Roman" w:hAnsi="Times New Roman" w:cs="Times New Roman"/>
                <w:sz w:val="24"/>
                <w:szCs w:val="24"/>
              </w:rPr>
              <w:t xml:space="preserve">−0.0810 </w:t>
            </w:r>
          </w:p>
          <w:p w14:paraId="6B7533E1" w14:textId="77777777" w:rsidR="000976C4" w:rsidRPr="00EC3AB2" w:rsidRDefault="000976C4" w:rsidP="003855D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EC3AB2">
              <w:rPr>
                <w:rFonts w:ascii="Times New Roman" w:eastAsia="Times New Roman" w:hAnsi="Times New Roman" w:cs="Times New Roman"/>
                <w:sz w:val="24"/>
                <w:szCs w:val="24"/>
              </w:rPr>
              <w:t>(0.252)</w:t>
            </w:r>
          </w:p>
        </w:tc>
      </w:tr>
      <w:tr w:rsidR="000976C4" w:rsidRPr="00EC3AB2" w14:paraId="3C5A82B3" w14:textId="77777777" w:rsidTr="003855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hideMark/>
          </w:tcPr>
          <w:p w14:paraId="58B286C1" w14:textId="77777777" w:rsidR="000976C4" w:rsidRPr="00EC3AB2" w:rsidRDefault="000976C4" w:rsidP="003855DB">
            <w:pPr>
              <w:spacing w:line="480" w:lineRule="auto"/>
              <w:rPr>
                <w:rFonts w:ascii="Times New Roman" w:eastAsia="Times New Roman" w:hAnsi="Times New Roman" w:cs="Times New Roman"/>
                <w:b w:val="0"/>
                <w:sz w:val="24"/>
                <w:szCs w:val="24"/>
              </w:rPr>
            </w:pPr>
            <w:r w:rsidRPr="00EC3AB2">
              <w:rPr>
                <w:rFonts w:ascii="Times New Roman" w:eastAsia="Times New Roman" w:hAnsi="Times New Roman" w:cs="Times New Roman"/>
                <w:b w:val="0"/>
                <w:sz w:val="24"/>
                <w:szCs w:val="24"/>
              </w:rPr>
              <w:t>Capital Intensity (CAPINT)</w:t>
            </w:r>
          </w:p>
        </w:tc>
        <w:tc>
          <w:tcPr>
            <w:tcW w:w="0" w:type="auto"/>
            <w:hideMark/>
          </w:tcPr>
          <w:p w14:paraId="53E878F9" w14:textId="77777777" w:rsidR="000976C4" w:rsidRPr="00EC3AB2" w:rsidRDefault="000976C4" w:rsidP="003855D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EC3AB2">
              <w:rPr>
                <w:rFonts w:ascii="Times New Roman" w:eastAsia="Times New Roman" w:hAnsi="Times New Roman" w:cs="Times New Roman"/>
                <w:sz w:val="24"/>
                <w:szCs w:val="24"/>
              </w:rPr>
              <w:t>−0.1390** (0.015)</w:t>
            </w:r>
          </w:p>
        </w:tc>
        <w:tc>
          <w:tcPr>
            <w:tcW w:w="1585" w:type="dxa"/>
            <w:hideMark/>
          </w:tcPr>
          <w:p w14:paraId="1875C0A6" w14:textId="77777777" w:rsidR="000976C4" w:rsidRPr="00EC3AB2" w:rsidRDefault="000976C4" w:rsidP="003855D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EC3AB2">
              <w:rPr>
                <w:rFonts w:ascii="Times New Roman" w:eastAsia="Times New Roman" w:hAnsi="Times New Roman" w:cs="Times New Roman"/>
                <w:sz w:val="24"/>
                <w:szCs w:val="24"/>
              </w:rPr>
              <w:t>−0.1850*** (0.000)</w:t>
            </w:r>
          </w:p>
        </w:tc>
        <w:tc>
          <w:tcPr>
            <w:tcW w:w="0" w:type="auto"/>
            <w:hideMark/>
          </w:tcPr>
          <w:p w14:paraId="786C7220" w14:textId="77777777" w:rsidR="000976C4" w:rsidRDefault="000976C4" w:rsidP="003855D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EC3AB2">
              <w:rPr>
                <w:rFonts w:ascii="Times New Roman" w:eastAsia="Times New Roman" w:hAnsi="Times New Roman" w:cs="Times New Roman"/>
                <w:sz w:val="24"/>
                <w:szCs w:val="24"/>
              </w:rPr>
              <w:t>−0.1390</w:t>
            </w:r>
          </w:p>
          <w:p w14:paraId="73631CF3" w14:textId="77777777" w:rsidR="000976C4" w:rsidRPr="00EC3AB2" w:rsidRDefault="000976C4" w:rsidP="003855D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EC3AB2">
              <w:rPr>
                <w:rFonts w:ascii="Times New Roman" w:eastAsia="Times New Roman" w:hAnsi="Times New Roman" w:cs="Times New Roman"/>
                <w:sz w:val="24"/>
                <w:szCs w:val="24"/>
              </w:rPr>
              <w:t>(0.021)</w:t>
            </w:r>
          </w:p>
        </w:tc>
      </w:tr>
      <w:tr w:rsidR="000976C4" w:rsidRPr="00EC3AB2" w14:paraId="43CD7587" w14:textId="77777777" w:rsidTr="003855DB">
        <w:tc>
          <w:tcPr>
            <w:cnfStyle w:val="001000000000" w:firstRow="0" w:lastRow="0" w:firstColumn="1" w:lastColumn="0" w:oddVBand="0" w:evenVBand="0" w:oddHBand="0" w:evenHBand="0" w:firstRowFirstColumn="0" w:firstRowLastColumn="0" w:lastRowFirstColumn="0" w:lastRowLastColumn="0"/>
            <w:tcW w:w="4320" w:type="dxa"/>
            <w:hideMark/>
          </w:tcPr>
          <w:p w14:paraId="7754E092" w14:textId="77777777" w:rsidR="000976C4" w:rsidRPr="00EC3AB2" w:rsidRDefault="000976C4" w:rsidP="003855DB">
            <w:pPr>
              <w:spacing w:line="480" w:lineRule="auto"/>
              <w:rPr>
                <w:rFonts w:ascii="Times New Roman" w:eastAsia="Times New Roman" w:hAnsi="Times New Roman" w:cs="Times New Roman"/>
                <w:b w:val="0"/>
                <w:sz w:val="24"/>
                <w:szCs w:val="24"/>
              </w:rPr>
            </w:pPr>
            <w:r w:rsidRPr="00EC3AB2">
              <w:rPr>
                <w:rFonts w:ascii="Times New Roman" w:eastAsia="Times New Roman" w:hAnsi="Times New Roman" w:cs="Times New Roman"/>
                <w:b w:val="0"/>
                <w:sz w:val="24"/>
                <w:szCs w:val="24"/>
              </w:rPr>
              <w:t>Firm Size (FSIZE)</w:t>
            </w:r>
          </w:p>
        </w:tc>
        <w:tc>
          <w:tcPr>
            <w:tcW w:w="0" w:type="auto"/>
            <w:hideMark/>
          </w:tcPr>
          <w:p w14:paraId="0E382F30" w14:textId="77777777" w:rsidR="000976C4" w:rsidRDefault="000976C4" w:rsidP="003855D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EC3AB2">
              <w:rPr>
                <w:rFonts w:ascii="Times New Roman" w:eastAsia="Times New Roman" w:hAnsi="Times New Roman" w:cs="Times New Roman"/>
                <w:sz w:val="24"/>
                <w:szCs w:val="24"/>
              </w:rPr>
              <w:t>0.5720</w:t>
            </w:r>
          </w:p>
          <w:p w14:paraId="1C76F884" w14:textId="77777777" w:rsidR="000976C4" w:rsidRPr="00EC3AB2" w:rsidRDefault="000976C4" w:rsidP="003855D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EC3AB2">
              <w:rPr>
                <w:rFonts w:ascii="Times New Roman" w:eastAsia="Times New Roman" w:hAnsi="Times New Roman" w:cs="Times New Roman"/>
                <w:sz w:val="24"/>
                <w:szCs w:val="24"/>
              </w:rPr>
              <w:t>(0.000)</w:t>
            </w:r>
          </w:p>
        </w:tc>
        <w:tc>
          <w:tcPr>
            <w:tcW w:w="1585" w:type="dxa"/>
            <w:hideMark/>
          </w:tcPr>
          <w:p w14:paraId="1B289CA6" w14:textId="77777777" w:rsidR="000976C4" w:rsidRDefault="000976C4" w:rsidP="003855D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EC3AB2">
              <w:rPr>
                <w:rFonts w:ascii="Times New Roman" w:eastAsia="Times New Roman" w:hAnsi="Times New Roman" w:cs="Times New Roman"/>
                <w:sz w:val="24"/>
                <w:szCs w:val="24"/>
              </w:rPr>
              <w:t>0.6890</w:t>
            </w:r>
          </w:p>
          <w:p w14:paraId="000E44BB" w14:textId="77777777" w:rsidR="000976C4" w:rsidRPr="00EC3AB2" w:rsidRDefault="000976C4" w:rsidP="003855D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EC3AB2">
              <w:rPr>
                <w:rFonts w:ascii="Times New Roman" w:eastAsia="Times New Roman" w:hAnsi="Times New Roman" w:cs="Times New Roman"/>
                <w:sz w:val="24"/>
                <w:szCs w:val="24"/>
              </w:rPr>
              <w:t>(0.000)</w:t>
            </w:r>
          </w:p>
        </w:tc>
        <w:tc>
          <w:tcPr>
            <w:tcW w:w="0" w:type="auto"/>
            <w:hideMark/>
          </w:tcPr>
          <w:p w14:paraId="3E6F64CB" w14:textId="77777777" w:rsidR="000976C4" w:rsidRDefault="000976C4" w:rsidP="003855D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0.5720</w:t>
            </w:r>
          </w:p>
          <w:p w14:paraId="527A95B0" w14:textId="77777777" w:rsidR="000976C4" w:rsidRPr="00EC3AB2" w:rsidRDefault="000976C4" w:rsidP="003855D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EC3AB2">
              <w:rPr>
                <w:rFonts w:ascii="Times New Roman" w:eastAsia="Times New Roman" w:hAnsi="Times New Roman" w:cs="Times New Roman"/>
                <w:sz w:val="24"/>
                <w:szCs w:val="24"/>
              </w:rPr>
              <w:t>(0.001)</w:t>
            </w:r>
          </w:p>
        </w:tc>
      </w:tr>
      <w:tr w:rsidR="000976C4" w:rsidRPr="00EC3AB2" w14:paraId="220070D6" w14:textId="77777777" w:rsidTr="003855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hideMark/>
          </w:tcPr>
          <w:p w14:paraId="3C2287CC" w14:textId="77777777" w:rsidR="000976C4" w:rsidRPr="00EC3AB2" w:rsidRDefault="000976C4" w:rsidP="003855DB">
            <w:pPr>
              <w:spacing w:line="480" w:lineRule="auto"/>
              <w:rPr>
                <w:rFonts w:ascii="Times New Roman" w:eastAsia="Times New Roman" w:hAnsi="Times New Roman" w:cs="Times New Roman"/>
                <w:b w:val="0"/>
                <w:sz w:val="24"/>
                <w:szCs w:val="24"/>
              </w:rPr>
            </w:pPr>
            <w:r w:rsidRPr="00EC3AB2">
              <w:rPr>
                <w:rFonts w:ascii="Times New Roman" w:eastAsia="Times New Roman" w:hAnsi="Times New Roman" w:cs="Times New Roman"/>
                <w:b w:val="0"/>
                <w:sz w:val="24"/>
                <w:szCs w:val="24"/>
              </w:rPr>
              <w:t>Model Statistics</w:t>
            </w:r>
          </w:p>
        </w:tc>
        <w:tc>
          <w:tcPr>
            <w:tcW w:w="0" w:type="auto"/>
            <w:hideMark/>
          </w:tcPr>
          <w:p w14:paraId="13C06917" w14:textId="77777777" w:rsidR="000976C4" w:rsidRPr="00EC3AB2" w:rsidRDefault="000976C4" w:rsidP="003855D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1585" w:type="dxa"/>
            <w:hideMark/>
          </w:tcPr>
          <w:p w14:paraId="578C51E0" w14:textId="77777777" w:rsidR="000976C4" w:rsidRPr="00EC3AB2" w:rsidRDefault="000976C4" w:rsidP="003855D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0" w:type="auto"/>
            <w:hideMark/>
          </w:tcPr>
          <w:p w14:paraId="3D2DD2E5" w14:textId="77777777" w:rsidR="000976C4" w:rsidRPr="00EC3AB2" w:rsidRDefault="000976C4" w:rsidP="003855D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r>
      <w:tr w:rsidR="000976C4" w:rsidRPr="00EC3AB2" w14:paraId="6ACB8AB9" w14:textId="77777777" w:rsidTr="003855DB">
        <w:tc>
          <w:tcPr>
            <w:cnfStyle w:val="001000000000" w:firstRow="0" w:lastRow="0" w:firstColumn="1" w:lastColumn="0" w:oddVBand="0" w:evenVBand="0" w:oddHBand="0" w:evenHBand="0" w:firstRowFirstColumn="0" w:firstRowLastColumn="0" w:lastRowFirstColumn="0" w:lastRowLastColumn="0"/>
            <w:tcW w:w="4320" w:type="dxa"/>
            <w:hideMark/>
          </w:tcPr>
          <w:p w14:paraId="05F58CD3" w14:textId="77777777" w:rsidR="000976C4" w:rsidRPr="00EC3AB2" w:rsidRDefault="000976C4" w:rsidP="003855DB">
            <w:pPr>
              <w:spacing w:line="480" w:lineRule="auto"/>
              <w:rPr>
                <w:rFonts w:ascii="Times New Roman" w:eastAsia="Times New Roman" w:hAnsi="Times New Roman" w:cs="Times New Roman"/>
                <w:b w:val="0"/>
                <w:sz w:val="24"/>
                <w:szCs w:val="24"/>
              </w:rPr>
            </w:pPr>
            <w:r w:rsidRPr="00EC3AB2">
              <w:rPr>
                <w:rFonts w:ascii="Times New Roman" w:eastAsia="Times New Roman" w:hAnsi="Times New Roman" w:cs="Times New Roman"/>
                <w:b w:val="0"/>
                <w:sz w:val="24"/>
                <w:szCs w:val="24"/>
              </w:rPr>
              <w:lastRenderedPageBreak/>
              <w:t>F-statistic / Wald χ²</w:t>
            </w:r>
          </w:p>
        </w:tc>
        <w:tc>
          <w:tcPr>
            <w:tcW w:w="0" w:type="auto"/>
            <w:hideMark/>
          </w:tcPr>
          <w:p w14:paraId="38282E47" w14:textId="77777777" w:rsidR="000976C4" w:rsidRPr="00EC3AB2" w:rsidRDefault="000976C4" w:rsidP="003855D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EC3AB2">
              <w:rPr>
                <w:rFonts w:ascii="Times New Roman" w:eastAsia="Times New Roman" w:hAnsi="Times New Roman" w:cs="Times New Roman"/>
                <w:sz w:val="24"/>
                <w:szCs w:val="24"/>
              </w:rPr>
              <w:t>10.27</w:t>
            </w:r>
          </w:p>
        </w:tc>
        <w:tc>
          <w:tcPr>
            <w:tcW w:w="1585" w:type="dxa"/>
            <w:hideMark/>
          </w:tcPr>
          <w:p w14:paraId="78843966" w14:textId="77777777" w:rsidR="000976C4" w:rsidRPr="00EC3AB2" w:rsidRDefault="000976C4" w:rsidP="003855D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EC3AB2">
              <w:rPr>
                <w:rFonts w:ascii="Times New Roman" w:eastAsia="Times New Roman" w:hAnsi="Times New Roman" w:cs="Times New Roman"/>
                <w:sz w:val="24"/>
                <w:szCs w:val="24"/>
              </w:rPr>
              <w:t>135.47</w:t>
            </w:r>
          </w:p>
        </w:tc>
        <w:tc>
          <w:tcPr>
            <w:tcW w:w="0" w:type="auto"/>
            <w:hideMark/>
          </w:tcPr>
          <w:p w14:paraId="039AF592" w14:textId="77777777" w:rsidR="000976C4" w:rsidRPr="00EC3AB2" w:rsidRDefault="000976C4" w:rsidP="003855D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EC3AB2">
              <w:rPr>
                <w:rFonts w:ascii="Times New Roman" w:eastAsia="Times New Roman" w:hAnsi="Times New Roman" w:cs="Times New Roman"/>
                <w:sz w:val="24"/>
                <w:szCs w:val="24"/>
              </w:rPr>
              <w:t>17.74</w:t>
            </w:r>
          </w:p>
        </w:tc>
      </w:tr>
      <w:tr w:rsidR="000976C4" w:rsidRPr="00EC3AB2" w14:paraId="2E6D4E16" w14:textId="77777777" w:rsidTr="003855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hideMark/>
          </w:tcPr>
          <w:p w14:paraId="1D95CD40" w14:textId="77777777" w:rsidR="000976C4" w:rsidRPr="00EC3AB2" w:rsidRDefault="000976C4" w:rsidP="003855DB">
            <w:pPr>
              <w:spacing w:line="480" w:lineRule="auto"/>
              <w:rPr>
                <w:rFonts w:ascii="Times New Roman" w:eastAsia="Times New Roman" w:hAnsi="Times New Roman" w:cs="Times New Roman"/>
                <w:b w:val="0"/>
                <w:sz w:val="24"/>
                <w:szCs w:val="24"/>
              </w:rPr>
            </w:pPr>
            <w:r w:rsidRPr="00EC3AB2">
              <w:rPr>
                <w:rFonts w:ascii="Times New Roman" w:eastAsia="Times New Roman" w:hAnsi="Times New Roman" w:cs="Times New Roman"/>
                <w:b w:val="0"/>
                <w:sz w:val="24"/>
                <w:szCs w:val="24"/>
              </w:rPr>
              <w:t>Probability</w:t>
            </w:r>
          </w:p>
        </w:tc>
        <w:tc>
          <w:tcPr>
            <w:tcW w:w="0" w:type="auto"/>
            <w:hideMark/>
          </w:tcPr>
          <w:p w14:paraId="16EFD569" w14:textId="77777777" w:rsidR="000976C4" w:rsidRPr="00EC3AB2" w:rsidRDefault="000976C4" w:rsidP="003855D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EC3AB2">
              <w:rPr>
                <w:rFonts w:ascii="Times New Roman" w:eastAsia="Times New Roman" w:hAnsi="Times New Roman" w:cs="Times New Roman"/>
                <w:sz w:val="24"/>
                <w:szCs w:val="24"/>
              </w:rPr>
              <w:t>***0.0000</w:t>
            </w:r>
          </w:p>
        </w:tc>
        <w:tc>
          <w:tcPr>
            <w:tcW w:w="1585" w:type="dxa"/>
            <w:hideMark/>
          </w:tcPr>
          <w:p w14:paraId="09DAE9BA" w14:textId="77777777" w:rsidR="000976C4" w:rsidRPr="00EC3AB2" w:rsidRDefault="000976C4" w:rsidP="003855D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EC3AB2">
              <w:rPr>
                <w:rFonts w:ascii="Times New Roman" w:eastAsia="Times New Roman" w:hAnsi="Times New Roman" w:cs="Times New Roman"/>
                <w:sz w:val="24"/>
                <w:szCs w:val="24"/>
              </w:rPr>
              <w:t>***0.0000</w:t>
            </w:r>
          </w:p>
        </w:tc>
        <w:tc>
          <w:tcPr>
            <w:tcW w:w="0" w:type="auto"/>
            <w:hideMark/>
          </w:tcPr>
          <w:p w14:paraId="2E452A1C" w14:textId="77777777" w:rsidR="000976C4" w:rsidRPr="00EC3AB2" w:rsidRDefault="000976C4" w:rsidP="003855D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EC3AB2">
              <w:rPr>
                <w:rFonts w:ascii="Times New Roman" w:eastAsia="Times New Roman" w:hAnsi="Times New Roman" w:cs="Times New Roman"/>
                <w:sz w:val="24"/>
                <w:szCs w:val="24"/>
              </w:rPr>
              <w:t>***0.0000</w:t>
            </w:r>
          </w:p>
        </w:tc>
      </w:tr>
      <w:tr w:rsidR="000976C4" w:rsidRPr="00EC3AB2" w14:paraId="2F47A4B1" w14:textId="77777777" w:rsidTr="003855DB">
        <w:tc>
          <w:tcPr>
            <w:cnfStyle w:val="001000000000" w:firstRow="0" w:lastRow="0" w:firstColumn="1" w:lastColumn="0" w:oddVBand="0" w:evenVBand="0" w:oddHBand="0" w:evenHBand="0" w:firstRowFirstColumn="0" w:firstRowLastColumn="0" w:lastRowFirstColumn="0" w:lastRowLastColumn="0"/>
            <w:tcW w:w="4320" w:type="dxa"/>
            <w:hideMark/>
          </w:tcPr>
          <w:p w14:paraId="32597AA2" w14:textId="77777777" w:rsidR="000976C4" w:rsidRPr="00EC3AB2" w:rsidRDefault="000976C4" w:rsidP="003855DB">
            <w:pPr>
              <w:spacing w:line="480" w:lineRule="auto"/>
              <w:rPr>
                <w:rFonts w:ascii="Times New Roman" w:eastAsia="Times New Roman" w:hAnsi="Times New Roman" w:cs="Times New Roman"/>
                <w:b w:val="0"/>
                <w:sz w:val="24"/>
                <w:szCs w:val="24"/>
              </w:rPr>
            </w:pPr>
            <w:r w:rsidRPr="00EC3AB2">
              <w:rPr>
                <w:rFonts w:ascii="Times New Roman" w:eastAsia="Times New Roman" w:hAnsi="Times New Roman" w:cs="Times New Roman"/>
                <w:b w:val="0"/>
                <w:sz w:val="24"/>
                <w:szCs w:val="24"/>
              </w:rPr>
              <w:t>R²</w:t>
            </w:r>
          </w:p>
        </w:tc>
        <w:tc>
          <w:tcPr>
            <w:tcW w:w="0" w:type="auto"/>
            <w:hideMark/>
          </w:tcPr>
          <w:p w14:paraId="2DC26E1F" w14:textId="77777777" w:rsidR="000976C4" w:rsidRPr="00EC3AB2" w:rsidRDefault="000976C4" w:rsidP="003855D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EC3AB2">
              <w:rPr>
                <w:rFonts w:ascii="Times New Roman" w:eastAsia="Times New Roman" w:hAnsi="Times New Roman" w:cs="Times New Roman"/>
                <w:sz w:val="24"/>
                <w:szCs w:val="24"/>
              </w:rPr>
              <w:t>0.4906</w:t>
            </w:r>
          </w:p>
        </w:tc>
        <w:tc>
          <w:tcPr>
            <w:tcW w:w="1585" w:type="dxa"/>
            <w:hideMark/>
          </w:tcPr>
          <w:p w14:paraId="170769DD" w14:textId="77777777" w:rsidR="000976C4" w:rsidRPr="00EC3AB2" w:rsidRDefault="000976C4" w:rsidP="003855D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EC3AB2">
              <w:rPr>
                <w:rFonts w:ascii="Times New Roman" w:eastAsia="Times New Roman" w:hAnsi="Times New Roman" w:cs="Times New Roman"/>
                <w:sz w:val="24"/>
                <w:szCs w:val="24"/>
              </w:rPr>
              <w:t>0.9063</w:t>
            </w:r>
          </w:p>
        </w:tc>
        <w:tc>
          <w:tcPr>
            <w:tcW w:w="0" w:type="auto"/>
            <w:hideMark/>
          </w:tcPr>
          <w:p w14:paraId="12750B85" w14:textId="77777777" w:rsidR="000976C4" w:rsidRPr="00EC3AB2" w:rsidRDefault="000976C4" w:rsidP="003855D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EC3AB2">
              <w:rPr>
                <w:rFonts w:ascii="Times New Roman" w:eastAsia="Times New Roman" w:hAnsi="Times New Roman" w:cs="Times New Roman"/>
                <w:sz w:val="24"/>
                <w:szCs w:val="24"/>
              </w:rPr>
              <w:t>0.4906</w:t>
            </w:r>
          </w:p>
        </w:tc>
      </w:tr>
    </w:tbl>
    <w:p w14:paraId="6A85D6B1" w14:textId="77777777" w:rsidR="000976C4" w:rsidRPr="00EC3AB2" w:rsidRDefault="000976C4" w:rsidP="000976C4">
      <w:pPr>
        <w:spacing w:before="100" w:beforeAutospacing="1" w:after="100" w:afterAutospacing="1" w:line="240" w:lineRule="auto"/>
        <w:rPr>
          <w:rFonts w:ascii="Times New Roman" w:eastAsia="Times New Roman" w:hAnsi="Times New Roman" w:cs="Times New Roman"/>
          <w:sz w:val="24"/>
          <w:szCs w:val="24"/>
        </w:rPr>
      </w:pPr>
      <w:r w:rsidRPr="00EC3AB2">
        <w:rPr>
          <w:rFonts w:ascii="Times New Roman" w:eastAsia="Times New Roman" w:hAnsi="Times New Roman" w:cs="Times New Roman"/>
          <w:b/>
          <w:bCs/>
          <w:sz w:val="24"/>
          <w:szCs w:val="24"/>
        </w:rPr>
        <w:t>Source:</w:t>
      </w:r>
      <w:r w:rsidRPr="00EC3AB2">
        <w:rPr>
          <w:rFonts w:ascii="Times New Roman" w:eastAsia="Times New Roman" w:hAnsi="Times New Roman" w:cs="Times New Roman"/>
          <w:sz w:val="24"/>
          <w:szCs w:val="24"/>
        </w:rPr>
        <w:t xml:space="preserve"> Author's Computation (2026).</w:t>
      </w:r>
      <w:r>
        <w:rPr>
          <w:rFonts w:ascii="Times New Roman" w:eastAsia="Times New Roman" w:hAnsi="Times New Roman" w:cs="Times New Roman"/>
          <w:sz w:val="24"/>
          <w:szCs w:val="24"/>
        </w:rPr>
        <w:t xml:space="preserve"> (Stata Version 17)</w:t>
      </w:r>
    </w:p>
    <w:p w14:paraId="2B8A2D94" w14:textId="77777777" w:rsidR="000976C4" w:rsidRPr="00EC3AB2" w:rsidRDefault="000976C4" w:rsidP="000976C4">
      <w:pPr>
        <w:spacing w:before="100" w:beforeAutospacing="1" w:after="100" w:afterAutospacing="1" w:line="240" w:lineRule="auto"/>
        <w:rPr>
          <w:rFonts w:ascii="Times New Roman" w:eastAsia="Times New Roman" w:hAnsi="Times New Roman" w:cs="Times New Roman"/>
          <w:sz w:val="24"/>
          <w:szCs w:val="24"/>
        </w:rPr>
      </w:pPr>
      <w:r w:rsidRPr="00EC3AB2">
        <w:rPr>
          <w:rFonts w:ascii="Times New Roman" w:eastAsia="Times New Roman" w:hAnsi="Times New Roman" w:cs="Times New Roman"/>
          <w:b/>
          <w:bCs/>
          <w:sz w:val="24"/>
          <w:szCs w:val="24"/>
        </w:rPr>
        <w:t>Notes:</w:t>
      </w:r>
      <w:r w:rsidRPr="00EC3AB2">
        <w:rPr>
          <w:rFonts w:ascii="Times New Roman" w:eastAsia="Times New Roman" w:hAnsi="Times New Roman" w:cs="Times New Roman"/>
          <w:sz w:val="24"/>
          <w:szCs w:val="24"/>
        </w:rPr>
        <w:t xml:space="preserve"> Values in parentheses are p-values. ***, ** and * denote statistical significance at the 1%, 5% and 10% levels, respectively.</w:t>
      </w:r>
    </w:p>
    <w:p w14:paraId="6F03421B" w14:textId="77777777" w:rsidR="000976C4" w:rsidRDefault="000976C4" w:rsidP="000976C4">
      <w:pPr>
        <w:spacing w:after="0" w:line="240" w:lineRule="auto"/>
        <w:rPr>
          <w:rFonts w:ascii="Times New Roman" w:eastAsia="Times New Roman" w:hAnsi="Times New Roman" w:cs="Times New Roman"/>
          <w:sz w:val="24"/>
          <w:szCs w:val="24"/>
        </w:rPr>
      </w:pPr>
    </w:p>
    <w:p w14:paraId="6B0C009D" w14:textId="77777777" w:rsidR="000976C4" w:rsidRDefault="000976C4" w:rsidP="000976C4">
      <w:pPr>
        <w:spacing w:after="0" w:line="240" w:lineRule="auto"/>
        <w:rPr>
          <w:rFonts w:ascii="Times New Roman" w:eastAsia="Times New Roman" w:hAnsi="Times New Roman" w:cs="Times New Roman"/>
          <w:sz w:val="24"/>
          <w:szCs w:val="24"/>
        </w:rPr>
      </w:pPr>
    </w:p>
    <w:p w14:paraId="46807C26" w14:textId="77777777" w:rsidR="000976C4" w:rsidRPr="00EC3AB2" w:rsidRDefault="000976C4" w:rsidP="000976C4">
      <w:pPr>
        <w:spacing w:before="100" w:beforeAutospacing="1" w:after="100" w:afterAutospacing="1" w:line="240" w:lineRule="auto"/>
        <w:outlineLvl w:val="2"/>
        <w:rPr>
          <w:rFonts w:ascii="Times New Roman" w:eastAsia="Times New Roman" w:hAnsi="Times New Roman" w:cs="Times New Roman"/>
          <w:b/>
          <w:bCs/>
          <w:sz w:val="27"/>
          <w:szCs w:val="27"/>
        </w:rPr>
      </w:pPr>
      <w:r w:rsidRPr="00EC3AB2">
        <w:rPr>
          <w:rFonts w:ascii="Times New Roman" w:eastAsia="Times New Roman" w:hAnsi="Times New Roman" w:cs="Times New Roman"/>
          <w:b/>
          <w:bCs/>
          <w:sz w:val="27"/>
          <w:szCs w:val="27"/>
        </w:rPr>
        <w:t>Table 4. Panel Regression Diagnostic Tests</w:t>
      </w:r>
    </w:p>
    <w:tbl>
      <w:tblPr>
        <w:tblStyle w:val="PlainTable3"/>
        <w:tblW w:w="9650" w:type="dxa"/>
        <w:tblLook w:val="04A0" w:firstRow="1" w:lastRow="0" w:firstColumn="1" w:lastColumn="0" w:noHBand="0" w:noVBand="1"/>
      </w:tblPr>
      <w:tblGrid>
        <w:gridCol w:w="4320"/>
        <w:gridCol w:w="1595"/>
        <w:gridCol w:w="1238"/>
        <w:gridCol w:w="2497"/>
      </w:tblGrid>
      <w:tr w:rsidR="000976C4" w:rsidRPr="00EC3AB2" w14:paraId="19A4FDA4" w14:textId="77777777" w:rsidTr="003855D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320" w:type="dxa"/>
            <w:hideMark/>
          </w:tcPr>
          <w:p w14:paraId="4A27940C" w14:textId="77777777" w:rsidR="000976C4" w:rsidRPr="00EC3AB2" w:rsidRDefault="000976C4" w:rsidP="003855DB">
            <w:pPr>
              <w:spacing w:line="480" w:lineRule="auto"/>
              <w:jc w:val="center"/>
              <w:rPr>
                <w:rFonts w:ascii="Times New Roman" w:eastAsia="Times New Roman" w:hAnsi="Times New Roman" w:cs="Times New Roman"/>
                <w:b w:val="0"/>
                <w:sz w:val="24"/>
                <w:szCs w:val="24"/>
              </w:rPr>
            </w:pPr>
            <w:r w:rsidRPr="00EC3AB2">
              <w:rPr>
                <w:rFonts w:ascii="Times New Roman" w:eastAsia="Times New Roman" w:hAnsi="Times New Roman" w:cs="Times New Roman"/>
                <w:b w:val="0"/>
                <w:sz w:val="24"/>
                <w:szCs w:val="24"/>
              </w:rPr>
              <w:t>Diagnostic Test</w:t>
            </w:r>
          </w:p>
        </w:tc>
        <w:tc>
          <w:tcPr>
            <w:tcW w:w="0" w:type="auto"/>
            <w:hideMark/>
          </w:tcPr>
          <w:p w14:paraId="6B676CD2" w14:textId="77777777" w:rsidR="000976C4" w:rsidRPr="00EC3AB2" w:rsidRDefault="000976C4" w:rsidP="003855DB">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rPr>
            </w:pPr>
            <w:r w:rsidRPr="00EC3AB2">
              <w:rPr>
                <w:rFonts w:ascii="Times New Roman" w:eastAsia="Times New Roman" w:hAnsi="Times New Roman" w:cs="Times New Roman"/>
                <w:b w:val="0"/>
                <w:sz w:val="24"/>
                <w:szCs w:val="24"/>
              </w:rPr>
              <w:t>Test Statistic</w:t>
            </w:r>
          </w:p>
        </w:tc>
        <w:tc>
          <w:tcPr>
            <w:tcW w:w="0" w:type="auto"/>
            <w:hideMark/>
          </w:tcPr>
          <w:p w14:paraId="79C693AB" w14:textId="77777777" w:rsidR="000976C4" w:rsidRPr="00EC3AB2" w:rsidRDefault="000976C4" w:rsidP="003855DB">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rPr>
            </w:pPr>
            <w:r w:rsidRPr="00EC3AB2">
              <w:rPr>
                <w:rFonts w:ascii="Times New Roman" w:eastAsia="Times New Roman" w:hAnsi="Times New Roman" w:cs="Times New Roman"/>
                <w:b w:val="0"/>
                <w:sz w:val="24"/>
                <w:szCs w:val="24"/>
              </w:rPr>
              <w:t>p-value</w:t>
            </w:r>
          </w:p>
        </w:tc>
        <w:tc>
          <w:tcPr>
            <w:tcW w:w="0" w:type="auto"/>
            <w:hideMark/>
          </w:tcPr>
          <w:p w14:paraId="521C102A" w14:textId="77777777" w:rsidR="000976C4" w:rsidRPr="00EC3AB2" w:rsidRDefault="000976C4" w:rsidP="003855DB">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rPr>
            </w:pPr>
            <w:r w:rsidRPr="00EC3AB2">
              <w:rPr>
                <w:rFonts w:ascii="Times New Roman" w:eastAsia="Times New Roman" w:hAnsi="Times New Roman" w:cs="Times New Roman"/>
                <w:b w:val="0"/>
                <w:sz w:val="24"/>
                <w:szCs w:val="24"/>
              </w:rPr>
              <w:t>Decision</w:t>
            </w:r>
          </w:p>
        </w:tc>
      </w:tr>
      <w:tr w:rsidR="000976C4" w:rsidRPr="00EC3AB2" w14:paraId="6C99047B" w14:textId="77777777" w:rsidTr="003855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hideMark/>
          </w:tcPr>
          <w:p w14:paraId="69A34302" w14:textId="77777777" w:rsidR="000976C4" w:rsidRPr="00EC3AB2" w:rsidRDefault="000976C4" w:rsidP="003855DB">
            <w:pPr>
              <w:spacing w:line="480" w:lineRule="auto"/>
              <w:rPr>
                <w:rFonts w:ascii="Times New Roman" w:eastAsia="Times New Roman" w:hAnsi="Times New Roman" w:cs="Times New Roman"/>
                <w:b w:val="0"/>
                <w:sz w:val="24"/>
                <w:szCs w:val="24"/>
              </w:rPr>
            </w:pPr>
            <w:r w:rsidRPr="00EC3AB2">
              <w:rPr>
                <w:rFonts w:ascii="Times New Roman" w:eastAsia="Times New Roman" w:hAnsi="Times New Roman" w:cs="Times New Roman"/>
                <w:b w:val="0"/>
                <w:sz w:val="24"/>
                <w:szCs w:val="24"/>
              </w:rPr>
              <w:t>Mean Variance Inflation Factor (VIF)</w:t>
            </w:r>
          </w:p>
        </w:tc>
        <w:tc>
          <w:tcPr>
            <w:tcW w:w="0" w:type="auto"/>
            <w:hideMark/>
          </w:tcPr>
          <w:p w14:paraId="374E9A0A" w14:textId="77777777" w:rsidR="000976C4" w:rsidRPr="00EC3AB2" w:rsidRDefault="000976C4" w:rsidP="003855D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EC3AB2">
              <w:rPr>
                <w:rFonts w:ascii="Times New Roman" w:eastAsia="Times New Roman" w:hAnsi="Times New Roman" w:cs="Times New Roman"/>
                <w:sz w:val="24"/>
                <w:szCs w:val="24"/>
              </w:rPr>
              <w:t>2.13</w:t>
            </w:r>
          </w:p>
        </w:tc>
        <w:tc>
          <w:tcPr>
            <w:tcW w:w="0" w:type="auto"/>
            <w:hideMark/>
          </w:tcPr>
          <w:p w14:paraId="5D784434" w14:textId="77777777" w:rsidR="000976C4" w:rsidRPr="00EC3AB2" w:rsidRDefault="000976C4" w:rsidP="003855D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EC3AB2">
              <w:rPr>
                <w:rFonts w:ascii="Times New Roman" w:eastAsia="Times New Roman" w:hAnsi="Times New Roman" w:cs="Times New Roman"/>
                <w:sz w:val="24"/>
                <w:szCs w:val="24"/>
              </w:rPr>
              <w:t>–</w:t>
            </w:r>
          </w:p>
        </w:tc>
        <w:tc>
          <w:tcPr>
            <w:tcW w:w="0" w:type="auto"/>
            <w:hideMark/>
          </w:tcPr>
          <w:p w14:paraId="69DD5F2C" w14:textId="77777777" w:rsidR="000976C4" w:rsidRPr="00EC3AB2" w:rsidRDefault="000976C4" w:rsidP="003855D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EC3AB2">
              <w:rPr>
                <w:rFonts w:ascii="Times New Roman" w:eastAsia="Times New Roman" w:hAnsi="Times New Roman" w:cs="Times New Roman"/>
                <w:sz w:val="24"/>
                <w:szCs w:val="24"/>
              </w:rPr>
              <w:t>No multicollinearity</w:t>
            </w:r>
          </w:p>
        </w:tc>
      </w:tr>
      <w:tr w:rsidR="000976C4" w:rsidRPr="00EC3AB2" w14:paraId="53F47FFE" w14:textId="77777777" w:rsidTr="003855DB">
        <w:tc>
          <w:tcPr>
            <w:cnfStyle w:val="001000000000" w:firstRow="0" w:lastRow="0" w:firstColumn="1" w:lastColumn="0" w:oddVBand="0" w:evenVBand="0" w:oddHBand="0" w:evenHBand="0" w:firstRowFirstColumn="0" w:firstRowLastColumn="0" w:lastRowFirstColumn="0" w:lastRowLastColumn="0"/>
            <w:tcW w:w="4320" w:type="dxa"/>
            <w:hideMark/>
          </w:tcPr>
          <w:p w14:paraId="454DD94C" w14:textId="77777777" w:rsidR="000976C4" w:rsidRPr="00EC3AB2" w:rsidRDefault="000976C4" w:rsidP="003855DB">
            <w:pPr>
              <w:spacing w:line="480" w:lineRule="auto"/>
              <w:rPr>
                <w:rFonts w:ascii="Times New Roman" w:eastAsia="Times New Roman" w:hAnsi="Times New Roman" w:cs="Times New Roman"/>
                <w:b w:val="0"/>
                <w:sz w:val="24"/>
                <w:szCs w:val="24"/>
              </w:rPr>
            </w:pPr>
            <w:r w:rsidRPr="00EC3AB2">
              <w:rPr>
                <w:rFonts w:ascii="Times New Roman" w:eastAsia="Times New Roman" w:hAnsi="Times New Roman" w:cs="Times New Roman"/>
                <w:b w:val="0"/>
                <w:sz w:val="24"/>
                <w:szCs w:val="24"/>
              </w:rPr>
              <w:t>Hausman Specification Test</w:t>
            </w:r>
          </w:p>
        </w:tc>
        <w:tc>
          <w:tcPr>
            <w:tcW w:w="0" w:type="auto"/>
            <w:hideMark/>
          </w:tcPr>
          <w:p w14:paraId="569600C4" w14:textId="77777777" w:rsidR="000976C4" w:rsidRPr="00EC3AB2" w:rsidRDefault="000976C4" w:rsidP="003855D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EC3AB2">
              <w:rPr>
                <w:rFonts w:ascii="Times New Roman" w:eastAsia="Times New Roman" w:hAnsi="Times New Roman" w:cs="Times New Roman"/>
                <w:sz w:val="24"/>
                <w:szCs w:val="24"/>
              </w:rPr>
              <w:t>χ² = 16.22</w:t>
            </w:r>
          </w:p>
        </w:tc>
        <w:tc>
          <w:tcPr>
            <w:tcW w:w="0" w:type="auto"/>
            <w:hideMark/>
          </w:tcPr>
          <w:p w14:paraId="53A835F8" w14:textId="77777777" w:rsidR="000976C4" w:rsidRPr="00EC3AB2" w:rsidRDefault="000976C4" w:rsidP="003855D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EC3AB2">
              <w:rPr>
                <w:rFonts w:ascii="Times New Roman" w:eastAsia="Times New Roman" w:hAnsi="Times New Roman" w:cs="Times New Roman"/>
                <w:sz w:val="24"/>
                <w:szCs w:val="24"/>
              </w:rPr>
              <w:t>0.0027**</w:t>
            </w:r>
          </w:p>
        </w:tc>
        <w:tc>
          <w:tcPr>
            <w:tcW w:w="0" w:type="auto"/>
            <w:hideMark/>
          </w:tcPr>
          <w:p w14:paraId="772B51F8" w14:textId="77777777" w:rsidR="000976C4" w:rsidRPr="00EC3AB2" w:rsidRDefault="000976C4" w:rsidP="003855D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EC3AB2">
              <w:rPr>
                <w:rFonts w:ascii="Times New Roman" w:eastAsia="Times New Roman" w:hAnsi="Times New Roman" w:cs="Times New Roman"/>
                <w:sz w:val="24"/>
                <w:szCs w:val="24"/>
              </w:rPr>
              <w:t>Fixed Effects preferred</w:t>
            </w:r>
          </w:p>
        </w:tc>
      </w:tr>
      <w:tr w:rsidR="000976C4" w:rsidRPr="00EC3AB2" w14:paraId="63548E76" w14:textId="77777777" w:rsidTr="003855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hideMark/>
          </w:tcPr>
          <w:p w14:paraId="65DF1880" w14:textId="77777777" w:rsidR="000976C4" w:rsidRPr="00EC3AB2" w:rsidRDefault="000976C4" w:rsidP="003855DB">
            <w:pPr>
              <w:spacing w:line="480" w:lineRule="auto"/>
              <w:rPr>
                <w:rFonts w:ascii="Times New Roman" w:eastAsia="Times New Roman" w:hAnsi="Times New Roman" w:cs="Times New Roman"/>
                <w:b w:val="0"/>
                <w:sz w:val="24"/>
                <w:szCs w:val="24"/>
              </w:rPr>
            </w:pPr>
            <w:r w:rsidRPr="00EC3AB2">
              <w:rPr>
                <w:rFonts w:ascii="Times New Roman" w:eastAsia="Times New Roman" w:hAnsi="Times New Roman" w:cs="Times New Roman"/>
                <w:b w:val="0"/>
                <w:sz w:val="24"/>
                <w:szCs w:val="24"/>
              </w:rPr>
              <w:t>Modified Wald Test (Heteroskedasticity)</w:t>
            </w:r>
          </w:p>
        </w:tc>
        <w:tc>
          <w:tcPr>
            <w:tcW w:w="0" w:type="auto"/>
            <w:hideMark/>
          </w:tcPr>
          <w:p w14:paraId="3ABBCF8D" w14:textId="77777777" w:rsidR="000976C4" w:rsidRPr="00EC3AB2" w:rsidRDefault="000976C4" w:rsidP="003855D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EC3AB2">
              <w:rPr>
                <w:rFonts w:ascii="Times New Roman" w:eastAsia="Times New Roman" w:hAnsi="Times New Roman" w:cs="Times New Roman"/>
                <w:sz w:val="24"/>
                <w:szCs w:val="24"/>
              </w:rPr>
              <w:t>χ² = 101.34</w:t>
            </w:r>
          </w:p>
        </w:tc>
        <w:tc>
          <w:tcPr>
            <w:tcW w:w="0" w:type="auto"/>
            <w:hideMark/>
          </w:tcPr>
          <w:p w14:paraId="52162106" w14:textId="77777777" w:rsidR="000976C4" w:rsidRPr="00EC3AB2" w:rsidRDefault="000976C4" w:rsidP="003855D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EC3AB2">
              <w:rPr>
                <w:rFonts w:ascii="Times New Roman" w:eastAsia="Times New Roman" w:hAnsi="Times New Roman" w:cs="Times New Roman"/>
                <w:sz w:val="24"/>
                <w:szCs w:val="24"/>
              </w:rPr>
              <w:t>0.0000***</w:t>
            </w:r>
          </w:p>
        </w:tc>
        <w:tc>
          <w:tcPr>
            <w:tcW w:w="0" w:type="auto"/>
            <w:hideMark/>
          </w:tcPr>
          <w:p w14:paraId="35FDC3FD" w14:textId="77777777" w:rsidR="000976C4" w:rsidRPr="00EC3AB2" w:rsidRDefault="000976C4" w:rsidP="003855D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EC3AB2">
              <w:rPr>
                <w:rFonts w:ascii="Times New Roman" w:eastAsia="Times New Roman" w:hAnsi="Times New Roman" w:cs="Times New Roman"/>
                <w:sz w:val="24"/>
                <w:szCs w:val="24"/>
              </w:rPr>
              <w:t>Heteroskedasticity present</w:t>
            </w:r>
          </w:p>
        </w:tc>
      </w:tr>
      <w:tr w:rsidR="000976C4" w:rsidRPr="00EC3AB2" w14:paraId="01515C1A" w14:textId="77777777" w:rsidTr="003855DB">
        <w:tc>
          <w:tcPr>
            <w:cnfStyle w:val="001000000000" w:firstRow="0" w:lastRow="0" w:firstColumn="1" w:lastColumn="0" w:oddVBand="0" w:evenVBand="0" w:oddHBand="0" w:evenHBand="0" w:firstRowFirstColumn="0" w:firstRowLastColumn="0" w:lastRowFirstColumn="0" w:lastRowLastColumn="0"/>
            <w:tcW w:w="4320" w:type="dxa"/>
            <w:hideMark/>
          </w:tcPr>
          <w:p w14:paraId="3DEA1EA2" w14:textId="77777777" w:rsidR="000976C4" w:rsidRPr="00EC3AB2" w:rsidRDefault="000976C4" w:rsidP="003855DB">
            <w:pPr>
              <w:spacing w:line="480" w:lineRule="auto"/>
              <w:rPr>
                <w:rFonts w:ascii="Times New Roman" w:eastAsia="Times New Roman" w:hAnsi="Times New Roman" w:cs="Times New Roman"/>
                <w:b w:val="0"/>
                <w:sz w:val="24"/>
                <w:szCs w:val="24"/>
              </w:rPr>
            </w:pPr>
            <w:r w:rsidRPr="00EC3AB2">
              <w:rPr>
                <w:rFonts w:ascii="Times New Roman" w:eastAsia="Times New Roman" w:hAnsi="Times New Roman" w:cs="Times New Roman"/>
                <w:b w:val="0"/>
                <w:sz w:val="24"/>
                <w:szCs w:val="24"/>
              </w:rPr>
              <w:t>Wooldridge Test (Serial Correlation)</w:t>
            </w:r>
          </w:p>
        </w:tc>
        <w:tc>
          <w:tcPr>
            <w:tcW w:w="0" w:type="auto"/>
            <w:hideMark/>
          </w:tcPr>
          <w:p w14:paraId="59A5F78E" w14:textId="77777777" w:rsidR="000976C4" w:rsidRPr="00EC3AB2" w:rsidRDefault="000976C4" w:rsidP="003855D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EC3AB2">
              <w:rPr>
                <w:rFonts w:ascii="Times New Roman" w:eastAsia="Times New Roman" w:hAnsi="Times New Roman" w:cs="Times New Roman"/>
                <w:sz w:val="24"/>
                <w:szCs w:val="24"/>
              </w:rPr>
              <w:t>F-test</w:t>
            </w:r>
          </w:p>
        </w:tc>
        <w:tc>
          <w:tcPr>
            <w:tcW w:w="0" w:type="auto"/>
            <w:hideMark/>
          </w:tcPr>
          <w:p w14:paraId="4F16E019" w14:textId="77777777" w:rsidR="000976C4" w:rsidRPr="00EC3AB2" w:rsidRDefault="000976C4" w:rsidP="003855D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EC3AB2">
              <w:rPr>
                <w:rFonts w:ascii="Times New Roman" w:eastAsia="Times New Roman" w:hAnsi="Times New Roman" w:cs="Times New Roman"/>
                <w:sz w:val="24"/>
                <w:szCs w:val="24"/>
              </w:rPr>
              <w:t>0.0946</w:t>
            </w:r>
          </w:p>
        </w:tc>
        <w:tc>
          <w:tcPr>
            <w:tcW w:w="0" w:type="auto"/>
            <w:hideMark/>
          </w:tcPr>
          <w:p w14:paraId="3B9FECEF" w14:textId="77777777" w:rsidR="000976C4" w:rsidRPr="00EC3AB2" w:rsidRDefault="000976C4" w:rsidP="003855D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EC3AB2">
              <w:rPr>
                <w:rFonts w:ascii="Times New Roman" w:eastAsia="Times New Roman" w:hAnsi="Times New Roman" w:cs="Times New Roman"/>
                <w:sz w:val="24"/>
                <w:szCs w:val="24"/>
              </w:rPr>
              <w:t>No first-order autocorrelation</w:t>
            </w:r>
          </w:p>
        </w:tc>
      </w:tr>
      <w:tr w:rsidR="000976C4" w:rsidRPr="00EC3AB2" w14:paraId="0D8E7CC3" w14:textId="77777777" w:rsidTr="003855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hideMark/>
          </w:tcPr>
          <w:p w14:paraId="29470BAB" w14:textId="77777777" w:rsidR="000976C4" w:rsidRPr="00EC3AB2" w:rsidRDefault="000976C4" w:rsidP="003855DB">
            <w:pPr>
              <w:spacing w:line="480" w:lineRule="auto"/>
              <w:rPr>
                <w:rFonts w:ascii="Times New Roman" w:eastAsia="Times New Roman" w:hAnsi="Times New Roman" w:cs="Times New Roman"/>
                <w:b w:val="0"/>
                <w:sz w:val="24"/>
                <w:szCs w:val="24"/>
              </w:rPr>
            </w:pPr>
            <w:r w:rsidRPr="00EC3AB2">
              <w:rPr>
                <w:rFonts w:ascii="Times New Roman" w:eastAsia="Times New Roman" w:hAnsi="Times New Roman" w:cs="Times New Roman"/>
                <w:b w:val="0"/>
                <w:sz w:val="24"/>
                <w:szCs w:val="24"/>
              </w:rPr>
              <w:t>Breusch–Pagan LM Test (Random Effects)</w:t>
            </w:r>
          </w:p>
        </w:tc>
        <w:tc>
          <w:tcPr>
            <w:tcW w:w="0" w:type="auto"/>
            <w:hideMark/>
          </w:tcPr>
          <w:p w14:paraId="259757C5" w14:textId="77777777" w:rsidR="000976C4" w:rsidRPr="00EC3AB2" w:rsidRDefault="000976C4" w:rsidP="003855D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EC3AB2">
              <w:rPr>
                <w:rFonts w:ascii="Times New Roman" w:eastAsia="Times New Roman" w:hAnsi="Times New Roman" w:cs="Times New Roman"/>
                <w:sz w:val="24"/>
                <w:szCs w:val="24"/>
              </w:rPr>
              <w:t>χ² = 0.00</w:t>
            </w:r>
          </w:p>
        </w:tc>
        <w:tc>
          <w:tcPr>
            <w:tcW w:w="0" w:type="auto"/>
            <w:hideMark/>
          </w:tcPr>
          <w:p w14:paraId="3A0EEBD5" w14:textId="77777777" w:rsidR="000976C4" w:rsidRPr="00EC3AB2" w:rsidRDefault="000976C4" w:rsidP="003855D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EC3AB2">
              <w:rPr>
                <w:rFonts w:ascii="Times New Roman" w:eastAsia="Times New Roman" w:hAnsi="Times New Roman" w:cs="Times New Roman"/>
                <w:sz w:val="24"/>
                <w:szCs w:val="24"/>
              </w:rPr>
              <w:t>1.0000</w:t>
            </w:r>
          </w:p>
        </w:tc>
        <w:tc>
          <w:tcPr>
            <w:tcW w:w="0" w:type="auto"/>
            <w:hideMark/>
          </w:tcPr>
          <w:p w14:paraId="697A229B" w14:textId="77777777" w:rsidR="000976C4" w:rsidRPr="00EC3AB2" w:rsidRDefault="000976C4" w:rsidP="003855D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EC3AB2">
              <w:rPr>
                <w:rFonts w:ascii="Times New Roman" w:eastAsia="Times New Roman" w:hAnsi="Times New Roman" w:cs="Times New Roman"/>
                <w:sz w:val="24"/>
                <w:szCs w:val="24"/>
              </w:rPr>
              <w:t>Random effects not preferred</w:t>
            </w:r>
          </w:p>
        </w:tc>
      </w:tr>
      <w:tr w:rsidR="000976C4" w:rsidRPr="00EC3AB2" w14:paraId="2CD4CD17" w14:textId="77777777" w:rsidTr="003855DB">
        <w:tc>
          <w:tcPr>
            <w:cnfStyle w:val="001000000000" w:firstRow="0" w:lastRow="0" w:firstColumn="1" w:lastColumn="0" w:oddVBand="0" w:evenVBand="0" w:oddHBand="0" w:evenHBand="0" w:firstRowFirstColumn="0" w:firstRowLastColumn="0" w:lastRowFirstColumn="0" w:lastRowLastColumn="0"/>
            <w:tcW w:w="4320" w:type="dxa"/>
            <w:hideMark/>
          </w:tcPr>
          <w:p w14:paraId="2E550042" w14:textId="77777777" w:rsidR="000976C4" w:rsidRPr="00EC3AB2" w:rsidRDefault="000976C4" w:rsidP="003855DB">
            <w:pPr>
              <w:spacing w:line="480" w:lineRule="auto"/>
              <w:rPr>
                <w:rFonts w:ascii="Times New Roman" w:eastAsia="Times New Roman" w:hAnsi="Times New Roman" w:cs="Times New Roman"/>
                <w:b w:val="0"/>
                <w:sz w:val="24"/>
                <w:szCs w:val="24"/>
              </w:rPr>
            </w:pPr>
            <w:r w:rsidRPr="00EC3AB2">
              <w:rPr>
                <w:rFonts w:ascii="Times New Roman" w:eastAsia="Times New Roman" w:hAnsi="Times New Roman" w:cs="Times New Roman"/>
                <w:b w:val="0"/>
                <w:sz w:val="24"/>
                <w:szCs w:val="24"/>
              </w:rPr>
              <w:t>Pesaran Cross-sectional Dependence Test</w:t>
            </w:r>
          </w:p>
        </w:tc>
        <w:tc>
          <w:tcPr>
            <w:tcW w:w="0" w:type="auto"/>
            <w:hideMark/>
          </w:tcPr>
          <w:p w14:paraId="0DF7BF64" w14:textId="77777777" w:rsidR="000976C4" w:rsidRPr="00EC3AB2" w:rsidRDefault="000976C4" w:rsidP="003855D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EC3AB2">
              <w:rPr>
                <w:rFonts w:ascii="Times New Roman" w:eastAsia="Times New Roman" w:hAnsi="Times New Roman" w:cs="Times New Roman"/>
                <w:sz w:val="24"/>
                <w:szCs w:val="24"/>
              </w:rPr>
              <w:t>CD Test</w:t>
            </w:r>
          </w:p>
        </w:tc>
        <w:tc>
          <w:tcPr>
            <w:tcW w:w="0" w:type="auto"/>
            <w:hideMark/>
          </w:tcPr>
          <w:p w14:paraId="747629E1" w14:textId="77777777" w:rsidR="000976C4" w:rsidRPr="00EC3AB2" w:rsidRDefault="000976C4" w:rsidP="003855D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EC3AB2">
              <w:rPr>
                <w:rFonts w:ascii="Times New Roman" w:eastAsia="Times New Roman" w:hAnsi="Times New Roman" w:cs="Times New Roman"/>
                <w:sz w:val="24"/>
                <w:szCs w:val="24"/>
              </w:rPr>
              <w:t>0.1925</w:t>
            </w:r>
          </w:p>
        </w:tc>
        <w:tc>
          <w:tcPr>
            <w:tcW w:w="0" w:type="auto"/>
            <w:hideMark/>
          </w:tcPr>
          <w:p w14:paraId="743192AC" w14:textId="77777777" w:rsidR="000976C4" w:rsidRPr="00EC3AB2" w:rsidRDefault="000976C4" w:rsidP="003855D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EC3AB2">
              <w:rPr>
                <w:rFonts w:ascii="Times New Roman" w:eastAsia="Times New Roman" w:hAnsi="Times New Roman" w:cs="Times New Roman"/>
                <w:sz w:val="24"/>
                <w:szCs w:val="24"/>
              </w:rPr>
              <w:t>No cross-sectional dependence</w:t>
            </w:r>
          </w:p>
        </w:tc>
      </w:tr>
      <w:tr w:rsidR="000976C4" w:rsidRPr="00EC3AB2" w14:paraId="7F438794" w14:textId="77777777" w:rsidTr="003855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hideMark/>
          </w:tcPr>
          <w:p w14:paraId="7ACCC7E3" w14:textId="77777777" w:rsidR="000976C4" w:rsidRPr="00EC3AB2" w:rsidRDefault="000976C4" w:rsidP="003855DB">
            <w:pPr>
              <w:spacing w:line="480" w:lineRule="auto"/>
              <w:rPr>
                <w:rFonts w:ascii="Times New Roman" w:eastAsia="Times New Roman" w:hAnsi="Times New Roman" w:cs="Times New Roman"/>
                <w:b w:val="0"/>
                <w:sz w:val="24"/>
                <w:szCs w:val="24"/>
              </w:rPr>
            </w:pPr>
            <w:r w:rsidRPr="00EC3AB2">
              <w:rPr>
                <w:rFonts w:ascii="Times New Roman" w:eastAsia="Times New Roman" w:hAnsi="Times New Roman" w:cs="Times New Roman"/>
                <w:b w:val="0"/>
                <w:sz w:val="24"/>
                <w:szCs w:val="24"/>
              </w:rPr>
              <w:lastRenderedPageBreak/>
              <w:t>Breusch–Pagan LM Independence Test</w:t>
            </w:r>
          </w:p>
        </w:tc>
        <w:tc>
          <w:tcPr>
            <w:tcW w:w="0" w:type="auto"/>
            <w:hideMark/>
          </w:tcPr>
          <w:p w14:paraId="1D1D5C2F" w14:textId="77777777" w:rsidR="000976C4" w:rsidRPr="00EC3AB2" w:rsidRDefault="000976C4" w:rsidP="003855D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EC3AB2">
              <w:rPr>
                <w:rFonts w:ascii="Times New Roman" w:eastAsia="Times New Roman" w:hAnsi="Times New Roman" w:cs="Times New Roman"/>
                <w:sz w:val="24"/>
                <w:szCs w:val="24"/>
              </w:rPr>
              <w:t>LM Test</w:t>
            </w:r>
          </w:p>
        </w:tc>
        <w:tc>
          <w:tcPr>
            <w:tcW w:w="0" w:type="auto"/>
            <w:hideMark/>
          </w:tcPr>
          <w:p w14:paraId="0A662F59" w14:textId="77777777" w:rsidR="000976C4" w:rsidRPr="00EC3AB2" w:rsidRDefault="000976C4" w:rsidP="003855D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EC3AB2">
              <w:rPr>
                <w:rFonts w:ascii="Times New Roman" w:eastAsia="Times New Roman" w:hAnsi="Times New Roman" w:cs="Times New Roman"/>
                <w:sz w:val="24"/>
                <w:szCs w:val="24"/>
              </w:rPr>
              <w:t>0.0371**</w:t>
            </w:r>
          </w:p>
        </w:tc>
        <w:tc>
          <w:tcPr>
            <w:tcW w:w="0" w:type="auto"/>
            <w:hideMark/>
          </w:tcPr>
          <w:p w14:paraId="0D332C9F" w14:textId="77777777" w:rsidR="000976C4" w:rsidRPr="00EC3AB2" w:rsidRDefault="000976C4" w:rsidP="003855D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EC3AB2">
              <w:rPr>
                <w:rFonts w:ascii="Times New Roman" w:eastAsia="Times New Roman" w:hAnsi="Times New Roman" w:cs="Times New Roman"/>
                <w:sz w:val="24"/>
                <w:szCs w:val="24"/>
              </w:rPr>
              <w:t>Cross-sectional dependence detected</w:t>
            </w:r>
          </w:p>
        </w:tc>
      </w:tr>
      <w:tr w:rsidR="000976C4" w:rsidRPr="00EC3AB2" w14:paraId="5ADE690D" w14:textId="77777777" w:rsidTr="003855DB">
        <w:tc>
          <w:tcPr>
            <w:cnfStyle w:val="001000000000" w:firstRow="0" w:lastRow="0" w:firstColumn="1" w:lastColumn="0" w:oddVBand="0" w:evenVBand="0" w:oddHBand="0" w:evenHBand="0" w:firstRowFirstColumn="0" w:firstRowLastColumn="0" w:lastRowFirstColumn="0" w:lastRowLastColumn="0"/>
            <w:tcW w:w="4320" w:type="dxa"/>
            <w:hideMark/>
          </w:tcPr>
          <w:p w14:paraId="5CB54554" w14:textId="77777777" w:rsidR="000976C4" w:rsidRPr="00EC3AB2" w:rsidRDefault="000976C4" w:rsidP="003855DB">
            <w:pPr>
              <w:spacing w:line="480" w:lineRule="auto"/>
              <w:rPr>
                <w:rFonts w:ascii="Times New Roman" w:eastAsia="Times New Roman" w:hAnsi="Times New Roman" w:cs="Times New Roman"/>
                <w:b w:val="0"/>
                <w:sz w:val="24"/>
                <w:szCs w:val="24"/>
              </w:rPr>
            </w:pPr>
            <w:r w:rsidRPr="00EC3AB2">
              <w:rPr>
                <w:rFonts w:ascii="Times New Roman" w:eastAsia="Times New Roman" w:hAnsi="Times New Roman" w:cs="Times New Roman"/>
                <w:b w:val="0"/>
                <w:sz w:val="24"/>
                <w:szCs w:val="24"/>
              </w:rPr>
              <w:t>Year Effect Test</w:t>
            </w:r>
          </w:p>
        </w:tc>
        <w:tc>
          <w:tcPr>
            <w:tcW w:w="0" w:type="auto"/>
            <w:hideMark/>
          </w:tcPr>
          <w:p w14:paraId="31319E6E" w14:textId="77777777" w:rsidR="000976C4" w:rsidRPr="00EC3AB2" w:rsidRDefault="000976C4" w:rsidP="003855D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EC3AB2">
              <w:rPr>
                <w:rFonts w:ascii="Times New Roman" w:eastAsia="Times New Roman" w:hAnsi="Times New Roman" w:cs="Times New Roman"/>
                <w:sz w:val="24"/>
                <w:szCs w:val="24"/>
              </w:rPr>
              <w:t>F-test</w:t>
            </w:r>
          </w:p>
        </w:tc>
        <w:tc>
          <w:tcPr>
            <w:tcW w:w="0" w:type="auto"/>
            <w:hideMark/>
          </w:tcPr>
          <w:p w14:paraId="57979F8D" w14:textId="77777777" w:rsidR="000976C4" w:rsidRPr="00EC3AB2" w:rsidRDefault="000976C4" w:rsidP="003855D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EC3AB2">
              <w:rPr>
                <w:rFonts w:ascii="Times New Roman" w:eastAsia="Times New Roman" w:hAnsi="Times New Roman" w:cs="Times New Roman"/>
                <w:sz w:val="24"/>
                <w:szCs w:val="24"/>
              </w:rPr>
              <w:t>0.6082</w:t>
            </w:r>
          </w:p>
        </w:tc>
        <w:tc>
          <w:tcPr>
            <w:tcW w:w="0" w:type="auto"/>
            <w:hideMark/>
          </w:tcPr>
          <w:p w14:paraId="6ED0C9E6" w14:textId="77777777" w:rsidR="000976C4" w:rsidRPr="00EC3AB2" w:rsidRDefault="000976C4" w:rsidP="003855D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EC3AB2">
              <w:rPr>
                <w:rFonts w:ascii="Times New Roman" w:eastAsia="Times New Roman" w:hAnsi="Times New Roman" w:cs="Times New Roman"/>
                <w:sz w:val="24"/>
                <w:szCs w:val="24"/>
              </w:rPr>
              <w:t>Year effects not significant</w:t>
            </w:r>
          </w:p>
        </w:tc>
      </w:tr>
    </w:tbl>
    <w:p w14:paraId="2170F22A" w14:textId="77777777" w:rsidR="000976C4" w:rsidRPr="00EC3AB2" w:rsidRDefault="000976C4" w:rsidP="000976C4">
      <w:pPr>
        <w:spacing w:before="100" w:beforeAutospacing="1" w:after="100" w:afterAutospacing="1" w:line="240" w:lineRule="auto"/>
        <w:rPr>
          <w:rFonts w:ascii="Times New Roman" w:eastAsia="Times New Roman" w:hAnsi="Times New Roman" w:cs="Times New Roman"/>
          <w:sz w:val="24"/>
          <w:szCs w:val="24"/>
        </w:rPr>
      </w:pPr>
      <w:r w:rsidRPr="00EC3AB2">
        <w:rPr>
          <w:rFonts w:ascii="Times New Roman" w:eastAsia="Times New Roman" w:hAnsi="Times New Roman" w:cs="Times New Roman"/>
          <w:b/>
          <w:bCs/>
          <w:sz w:val="24"/>
          <w:szCs w:val="24"/>
        </w:rPr>
        <w:t>Source:</w:t>
      </w:r>
      <w:r w:rsidRPr="00EC3AB2">
        <w:rPr>
          <w:rFonts w:ascii="Times New Roman" w:eastAsia="Times New Roman" w:hAnsi="Times New Roman" w:cs="Times New Roman"/>
          <w:sz w:val="24"/>
          <w:szCs w:val="24"/>
        </w:rPr>
        <w:t xml:space="preserve"> Author's Computation (2026).</w:t>
      </w:r>
      <w:r>
        <w:rPr>
          <w:rFonts w:ascii="Times New Roman" w:eastAsia="Times New Roman" w:hAnsi="Times New Roman" w:cs="Times New Roman"/>
          <w:sz w:val="24"/>
          <w:szCs w:val="24"/>
        </w:rPr>
        <w:t xml:space="preserve"> (Stata Version 17)</w:t>
      </w:r>
    </w:p>
    <w:p w14:paraId="0506F1F4" w14:textId="77777777" w:rsidR="000976C4" w:rsidRPr="00EC3AB2" w:rsidRDefault="000976C4" w:rsidP="000976C4">
      <w:pPr>
        <w:spacing w:before="100" w:beforeAutospacing="1" w:after="100" w:afterAutospacing="1" w:line="240" w:lineRule="auto"/>
        <w:rPr>
          <w:rFonts w:ascii="Times New Roman" w:eastAsia="Times New Roman" w:hAnsi="Times New Roman" w:cs="Times New Roman"/>
          <w:sz w:val="24"/>
          <w:szCs w:val="24"/>
        </w:rPr>
      </w:pPr>
      <w:r w:rsidRPr="00EC3AB2">
        <w:rPr>
          <w:rFonts w:ascii="Times New Roman" w:eastAsia="Times New Roman" w:hAnsi="Times New Roman" w:cs="Times New Roman"/>
          <w:b/>
          <w:bCs/>
          <w:sz w:val="24"/>
          <w:szCs w:val="24"/>
        </w:rPr>
        <w:t>Notes:</w:t>
      </w:r>
      <w:r w:rsidRPr="00EC3AB2">
        <w:rPr>
          <w:rFonts w:ascii="Times New Roman" w:eastAsia="Times New Roman" w:hAnsi="Times New Roman" w:cs="Times New Roman"/>
          <w:sz w:val="24"/>
          <w:szCs w:val="24"/>
        </w:rPr>
        <w:t xml:space="preserve"> ***, ** and * indicate significance at the 1%, 5% and 10% levels, respectively.</w:t>
      </w:r>
    </w:p>
    <w:p w14:paraId="767CD60F" w14:textId="77777777" w:rsidR="00100DB9" w:rsidRDefault="00100DB9" w:rsidP="00473CED">
      <w:pPr>
        <w:spacing w:before="100" w:beforeAutospacing="1" w:after="100" w:afterAutospacing="1" w:line="240" w:lineRule="auto"/>
        <w:ind w:left="1440" w:hanging="360"/>
        <w:outlineLvl w:val="2"/>
        <w:rPr>
          <w:rFonts w:ascii="Times New Roman" w:eastAsia="Times New Roman" w:hAnsi="Times New Roman" w:cs="Times New Roman"/>
          <w:sz w:val="24"/>
          <w:szCs w:val="24"/>
        </w:rPr>
      </w:pPr>
      <w:r w:rsidRPr="00C17286">
        <w:rPr>
          <w:rFonts w:ascii="Times New Roman" w:eastAsia="Times New Roman" w:hAnsi="Times New Roman" w:cs="Times New Roman"/>
          <w:b/>
          <w:bCs/>
          <w:sz w:val="24"/>
          <w:szCs w:val="24"/>
        </w:rPr>
        <w:t>Model diagnostics:</w:t>
      </w:r>
      <w:r w:rsidRPr="00C17286">
        <w:rPr>
          <w:rFonts w:ascii="Times New Roman" w:eastAsia="Times New Roman" w:hAnsi="Times New Roman" w:cs="Times New Roman"/>
          <w:sz w:val="24"/>
          <w:szCs w:val="24"/>
        </w:rPr>
        <w:br/>
        <w:t>R² = 0.4906</w:t>
      </w:r>
      <w:r w:rsidRPr="00C17286">
        <w:rPr>
          <w:rFonts w:ascii="Times New Roman" w:eastAsia="Times New Roman" w:hAnsi="Times New Roman" w:cs="Times New Roman"/>
          <w:sz w:val="24"/>
          <w:szCs w:val="24"/>
        </w:rPr>
        <w:br/>
        <w:t>F-stat = 10.27 (p &lt; 0.01)</w:t>
      </w:r>
      <w:r w:rsidRPr="00C17286">
        <w:rPr>
          <w:rFonts w:ascii="Times New Roman" w:eastAsia="Times New Roman" w:hAnsi="Times New Roman" w:cs="Times New Roman"/>
          <w:sz w:val="24"/>
          <w:szCs w:val="24"/>
        </w:rPr>
        <w:br/>
        <w:t>Hausman test = 16.22 (p = 0.0027)</w:t>
      </w:r>
    </w:p>
    <w:p w14:paraId="2E2CF509" w14:textId="77777777" w:rsidR="0084106B" w:rsidRDefault="0084106B" w:rsidP="0084106B">
      <w:pPr>
        <w:pStyle w:val="pdq2pgselectionanchorcontainer"/>
        <w:ind w:left="360"/>
        <w:jc w:val="both"/>
      </w:pPr>
      <w:r>
        <w:t xml:space="preserve">Table 3 presents the panel regression estimates obtained from the fixed-effects model, random-effects model, and the fixed-effects model estimated with Driscoll–Kraay standard errors. The Hausman specification test (χ² = 16.22, </w:t>
      </w:r>
      <w:r>
        <w:rPr>
          <w:rStyle w:val="Emphasis"/>
        </w:rPr>
        <w:t>p</w:t>
      </w:r>
      <w:r>
        <w:t xml:space="preserve"> = 0.0027) indicates that the fixed-effects model is the appropriate estimator because the unobserved firm-specific effects are correlated with the explanatory variables. However, the Modified Wald test reveals significant heteroskedasticity (χ² = 101.34, </w:t>
      </w:r>
      <w:r>
        <w:rPr>
          <w:rStyle w:val="Emphasis"/>
        </w:rPr>
        <w:t>p</w:t>
      </w:r>
      <w:r>
        <w:t xml:space="preserve"> &lt; 0.001), while the Breusch–Pagan LM test of cross-sectional independence indicates the presence of cross-sectional dependence (</w:t>
      </w:r>
      <w:r>
        <w:rPr>
          <w:rStyle w:val="Emphasis"/>
        </w:rPr>
        <w:t>p</w:t>
      </w:r>
      <w:r>
        <w:t xml:space="preserve"> = 0.0371). Although the Wooldridge test shows no evidence of first-order serial correlation (</w:t>
      </w:r>
      <w:r>
        <w:rPr>
          <w:rStyle w:val="Emphasis"/>
        </w:rPr>
        <w:t>p</w:t>
      </w:r>
      <w:r>
        <w:t xml:space="preserve"> = 0.0946), the presence of heteroskedasticity and cross-sectional dependence implies that the conventional fixed-effects standard errors may yield unreliable statistical inference. Consequently, the fixed-effects model was re-estimated using </w:t>
      </w:r>
      <w:r>
        <w:rPr>
          <w:rStyle w:val="Strong"/>
        </w:rPr>
        <w:t>Driscoll–Kraay standard errors</w:t>
      </w:r>
      <w:r>
        <w:t xml:space="preserve">, which provide robust standard errors that are consistent in the presence of heteroskedasticity, serial correlation, and cross-sectional dependence (Driscoll &amp; Kraay, 1998; </w:t>
      </w:r>
      <w:proofErr w:type="spellStart"/>
      <w:r>
        <w:t>Hoechle</w:t>
      </w:r>
      <w:proofErr w:type="spellEnd"/>
      <w:r>
        <w:t xml:space="preserve">, 2007). Accordingly, the interpretation and discussion of the regression results are based primarily on the </w:t>
      </w:r>
      <w:r>
        <w:rPr>
          <w:rStyle w:val="Strong"/>
        </w:rPr>
        <w:t>Driscoll–Kraay estimates</w:t>
      </w:r>
      <w:r>
        <w:t>, while the conventional fixed-effects and random-effects results are presented for comparison.</w:t>
      </w:r>
    </w:p>
    <w:p w14:paraId="0DC13037" w14:textId="77777777" w:rsidR="0084106B" w:rsidRDefault="0084106B" w:rsidP="0084106B">
      <w:pPr>
        <w:pStyle w:val="NormalWeb"/>
        <w:ind w:left="360"/>
        <w:jc w:val="both"/>
      </w:pPr>
      <w:r>
        <w:t xml:space="preserve">The Driscoll–Kraay model is statistically significant (F = 17.74, </w:t>
      </w:r>
      <w:r>
        <w:rPr>
          <w:rStyle w:val="Emphasis"/>
        </w:rPr>
        <w:t>p</w:t>
      </w:r>
      <w:r>
        <w:t xml:space="preserve"> &lt; 0.001), indicating that the explanatory variables jointly explain variations in the financial health of listed healthcare firms. The coefficient of determination (R² = 0.4906) indicates that approximately 49.06% of the variation in the Altman Z-score is explained by the corporate </w:t>
      </w:r>
      <w:r>
        <w:rPr>
          <w:highlight w:val="yellow"/>
        </w:rPr>
        <w:t xml:space="preserve">tax </w:t>
      </w:r>
      <w:proofErr w:type="spellStart"/>
      <w:r>
        <w:rPr>
          <w:highlight w:val="yellow"/>
        </w:rPr>
        <w:t>optimisation</w:t>
      </w:r>
      <w:proofErr w:type="spellEnd"/>
      <w:r>
        <w:t xml:space="preserve"> variables and firm size included in the model.</w:t>
      </w:r>
    </w:p>
    <w:p w14:paraId="47636E92" w14:textId="77777777" w:rsidR="0084106B" w:rsidRDefault="0084106B" w:rsidP="0084106B">
      <w:pPr>
        <w:pStyle w:val="NormalWeb"/>
        <w:ind w:left="360"/>
        <w:jc w:val="both"/>
      </w:pPr>
      <w:r>
        <w:t xml:space="preserve">The coefficient of the Effective Tax Rate (ETR) is positive but statistically insignificant (β = 0.0005, </w:t>
      </w:r>
      <w:r>
        <w:rPr>
          <w:rStyle w:val="Emphasis"/>
        </w:rPr>
        <w:t>p</w:t>
      </w:r>
      <w:r>
        <w:t xml:space="preserve"> = 0.740), indicating that variations in the effective tax rate do not significantly influence the financial health of listed healthcare firms. Thin Capitalization (TCAP) exhibits a negative and statistically significant coefficient (β = −0.076, </w:t>
      </w:r>
      <w:r>
        <w:rPr>
          <w:rStyle w:val="Emphasis"/>
        </w:rPr>
        <w:t>p</w:t>
      </w:r>
      <w:r>
        <w:t xml:space="preserve"> = 0.021), implying that greater reliance on debt financing reduces the Altman Z-score and consequently increases financial </w:t>
      </w:r>
      <w:r>
        <w:lastRenderedPageBreak/>
        <w:t xml:space="preserve">distress. Tax Shield (TS) has a negative but statistically insignificant coefficient (β = −0.011, </w:t>
      </w:r>
      <w:r>
        <w:rPr>
          <w:rStyle w:val="Emphasis"/>
        </w:rPr>
        <w:t>p</w:t>
      </w:r>
      <w:r>
        <w:t xml:space="preserve"> = 0.817), suggesting that debt-related tax benefits do not significantly affect firms' financial health. Similarly, Depreciation Tax Shield (DETS) records a negative but statistically insignificant coefficient (β = −0.081, </w:t>
      </w:r>
      <w:r>
        <w:rPr>
          <w:rStyle w:val="Emphasis"/>
        </w:rPr>
        <w:t>p</w:t>
      </w:r>
      <w:r>
        <w:t xml:space="preserve"> = 0.252), indicating that depreciation-related tax savings alone do not significantly improve financial stability.</w:t>
      </w:r>
    </w:p>
    <w:p w14:paraId="4C95A08B" w14:textId="77777777" w:rsidR="0084106B" w:rsidRDefault="0084106B" w:rsidP="0084106B">
      <w:pPr>
        <w:pStyle w:val="NormalWeb"/>
        <w:ind w:left="360"/>
        <w:jc w:val="both"/>
      </w:pPr>
      <w:r>
        <w:t xml:space="preserve">Capital Intensity (CAPINT) has a negative and statistically significant coefficient (β = −0.139, </w:t>
      </w:r>
      <w:r>
        <w:rPr>
          <w:rStyle w:val="Emphasis"/>
        </w:rPr>
        <w:t>p</w:t>
      </w:r>
      <w:r>
        <w:t xml:space="preserve"> = 0.021), indicating that greater investment in fixed assets reduces firms' Altman Z-scores and consequently increases financial distress. Conversely, Firm Size (FSIZE) exhibits a positive and statistically significant coefficient (β = 0.572, </w:t>
      </w:r>
      <w:r>
        <w:rPr>
          <w:rStyle w:val="Emphasis"/>
        </w:rPr>
        <w:t>p</w:t>
      </w:r>
      <w:r>
        <w:t xml:space="preserve"> = 0.001), suggesting that larger healthcare firms record higher Altman Z-scores and therefore experience lower financial distress than smaller firms. Overall, the findings indicate that financing and investment decisions exert a stronger influence on firms' financial health than conventional tax-planning measures, with thin capitalization and capital intensity emerging as the only statistically significant determinants of financial distress among the sampled firms.</w:t>
      </w:r>
    </w:p>
    <w:p w14:paraId="233CD59B" w14:textId="77777777" w:rsidR="0084106B" w:rsidRDefault="0084106B" w:rsidP="0084106B">
      <w:pPr>
        <w:pStyle w:val="NormalWeb"/>
        <w:ind w:left="360"/>
        <w:jc w:val="both"/>
      </w:pPr>
    </w:p>
    <w:p w14:paraId="6FDB5E5E" w14:textId="4846575F" w:rsidR="000A5D48" w:rsidRDefault="007A1F5F" w:rsidP="007B7E8D">
      <w:pPr>
        <w:spacing w:before="100" w:beforeAutospacing="1" w:after="100" w:afterAutospacing="1" w:line="240" w:lineRule="auto"/>
        <w:ind w:left="360" w:hanging="360"/>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4.0</w:t>
      </w:r>
      <w:r w:rsidR="007B7E8D">
        <w:rPr>
          <w:rFonts w:ascii="Times New Roman" w:eastAsia="Times New Roman" w:hAnsi="Times New Roman" w:cs="Times New Roman"/>
          <w:b/>
          <w:bCs/>
          <w:sz w:val="27"/>
          <w:szCs w:val="27"/>
        </w:rPr>
        <w:tab/>
      </w:r>
      <w:r w:rsidR="000A5D48">
        <w:rPr>
          <w:rFonts w:ascii="Times New Roman" w:eastAsia="Times New Roman" w:hAnsi="Times New Roman" w:cs="Times New Roman"/>
          <w:b/>
          <w:bCs/>
          <w:sz w:val="27"/>
          <w:szCs w:val="27"/>
        </w:rPr>
        <w:t xml:space="preserve">DISCUSSION </w:t>
      </w:r>
    </w:p>
    <w:p w14:paraId="4DC02BCB" w14:textId="77777777" w:rsidR="00B541DA" w:rsidRDefault="00B541DA" w:rsidP="00DD36F5">
      <w:pPr>
        <w:pStyle w:val="pdq2pgselectionanchorcontainer"/>
        <w:ind w:left="360"/>
        <w:jc w:val="both"/>
      </w:pPr>
      <w:r>
        <w:t xml:space="preserve">The empirical findings indicate that the effective tax rate (ETR) has a positive but statistically insignificant effect on the Altman Z-score. This suggests that variations in firms' effective tax burden do not significantly improve or worsen their financial health after controlling for firm-specific characteristics. The finding implies that tax planning alone is insufficient to determine financial stability, as firms' financial outcomes depend more strongly on financing and operational decisions. This result is consistent with Sun et al. (2023), who reported that corporate tax planning enhances liquidity and financial flexibility but does not necessarily eliminate financial constraints. Likewise, Hanlon and Heitzman (2022) argued that the effectiveness of tax planning depends largely on complementary financing and investment policies rather than tax savings alone. However, the finding contrasts with </w:t>
      </w:r>
      <w:proofErr w:type="spellStart"/>
      <w:r>
        <w:t>Kovermann</w:t>
      </w:r>
      <w:proofErr w:type="spellEnd"/>
      <w:r>
        <w:t xml:space="preserve"> and Velte (2021), who suggested that aggressive tax avoidance may increase financial risk through regulatory scrutiny and governance concerns.</w:t>
      </w:r>
    </w:p>
    <w:p w14:paraId="605CD719" w14:textId="77777777" w:rsidR="00B541DA" w:rsidRDefault="00B541DA" w:rsidP="00DD36F5">
      <w:pPr>
        <w:pStyle w:val="NormalWeb"/>
        <w:ind w:left="360"/>
        <w:jc w:val="both"/>
      </w:pPr>
      <w:r>
        <w:t>Thin capitalization (TCAP) exhibits a statistically significant negative effect on the Altman Z-score under the preferred Driscoll–Kraay estimator. Since higher Altman Z-scores represent better financial health, this result indicates that greater reliance on debt financing reduces firms' financial stability and increases financial distress. The finding supports the Trade-Off Theory (Kraus &amp; Litzenberger, 1973), which posits that although debt generates tax advantages through interest deductibility, excessive leverage eventually increases expected bankruptcy costs. The result is also consistent with Habib et al. (2020), who found that excessive leverage weakens firms' financial flexibility and increases financial distress during periods of economic uncertainty. It similarly accords with Ricca et al. (2021), who demonstrated that the tax benefits of debt diminish once firms exceed their optimal leverage levels.</w:t>
      </w:r>
    </w:p>
    <w:p w14:paraId="64B4B771" w14:textId="77777777" w:rsidR="00B541DA" w:rsidRDefault="00B541DA" w:rsidP="00DD36F5">
      <w:pPr>
        <w:pStyle w:val="NormalWeb"/>
        <w:ind w:left="360"/>
        <w:jc w:val="both"/>
      </w:pPr>
      <w:r>
        <w:t xml:space="preserve">Tax shield (TS) exhibits a negative but statistically insignificant effect on the Altman Z-score, indicating that debt-related tax benefits do not significantly influence financial health among </w:t>
      </w:r>
      <w:r>
        <w:lastRenderedPageBreak/>
        <w:t>listed healthcare firms. This suggests that although interest deductibility provides tax savings, such benefits are insufficient to improve firms' financial stability when considered alongside broader financing and operational factors. The finding agrees with Graham (2003), who argued that the value of debt tax shields depends on firms' overall financing strategy and may be offset by the costs of financial distress.</w:t>
      </w:r>
    </w:p>
    <w:p w14:paraId="03EE5055" w14:textId="77777777" w:rsidR="00B541DA" w:rsidRDefault="00B541DA" w:rsidP="00DD36F5">
      <w:pPr>
        <w:pStyle w:val="NormalWeb"/>
        <w:ind w:left="360"/>
        <w:jc w:val="both"/>
      </w:pPr>
      <w:r>
        <w:t xml:space="preserve">Similarly, depreciation tax shield (DETS) records a negative but statistically insignificant coefficient, implying that depreciation-related tax savings do not significantly improve firms' financial health. Although depreciation allowances reduce taxable income, the evidence suggests that these tax benefits alone are insufficient to strengthen firms' financial resilience. This finding supports DeAngelo and </w:t>
      </w:r>
      <w:proofErr w:type="spellStart"/>
      <w:r>
        <w:t>Masulis</w:t>
      </w:r>
      <w:proofErr w:type="spellEnd"/>
      <w:r>
        <w:t xml:space="preserve"> (1980), who argued that non-debt tax shields cannot fully substitute for sound financing and investment decisions.</w:t>
      </w:r>
    </w:p>
    <w:p w14:paraId="688C7E08" w14:textId="77777777" w:rsidR="00B541DA" w:rsidRDefault="00B541DA" w:rsidP="00DD36F5">
      <w:pPr>
        <w:pStyle w:val="NormalWeb"/>
        <w:ind w:left="360"/>
        <w:jc w:val="both"/>
      </w:pPr>
      <w:r>
        <w:t>Capital intensity (CAPINT) has a statistically significant negative effect on the Altman Z-score, indicating that greater investment in fixed assets reduces financial health and increases financial distress. This finding suggests that excessive investment in fixed assets may create high operating costs, reduce liquidity, and limit operational flexibility, particularly under Nigeria's volatile macroeconomic conditions. The result is consistent with Habib and Hasan (2021), who found that highly capital-intensive firms are more vulnerable to financial distress during economic downturns because fixed assets reduce operational adaptability.</w:t>
      </w:r>
    </w:p>
    <w:p w14:paraId="70CBD8BD" w14:textId="24E4B4F4" w:rsidR="00B541DA" w:rsidRDefault="00B541DA" w:rsidP="00DD36F5">
      <w:pPr>
        <w:pStyle w:val="NormalWeb"/>
        <w:ind w:left="360"/>
        <w:jc w:val="both"/>
      </w:pPr>
      <w:r>
        <w:t>Firm size (FSIZE) exerts a positive and statistically significant effect on the Altman Z-score, indicating that larger healthcare firms experience better financial health and lower financial distress than smaller firms. Larger firms may benefit from economies of scale, stronger market positions, easier access to external financing, and more diversified income sources. This finding is consistent with Boubaker et al. (202</w:t>
      </w:r>
      <w:r w:rsidR="006B70AA">
        <w:t>0</w:t>
      </w:r>
      <w:r>
        <w:t>), who reported that larger firms generally possess greater resilience against financial shocks.</w:t>
      </w:r>
    </w:p>
    <w:p w14:paraId="5746B0B6" w14:textId="77777777" w:rsidR="00B541DA" w:rsidRDefault="00B541DA" w:rsidP="00DD36F5">
      <w:pPr>
        <w:pStyle w:val="NormalWeb"/>
        <w:ind w:left="360"/>
        <w:jc w:val="both"/>
      </w:pPr>
      <w:r>
        <w:t>Overall, the empirical evidence demonstrates that financing decisions and asset structure play more important roles in determining financial distress than conventional tax-planning measures. Specifically, excessive debt financing and high capital intensity significantly weaken firms' financial health, whereas effective tax rate, tax shields, and depreciation tax shields do not significantly influence financial distress.</w:t>
      </w:r>
    </w:p>
    <w:p w14:paraId="4DF61F3E" w14:textId="77777777" w:rsidR="00C17286" w:rsidRPr="00C17286" w:rsidRDefault="0053302D" w:rsidP="007B7E8D">
      <w:pPr>
        <w:spacing w:before="100" w:beforeAutospacing="1" w:after="100" w:afterAutospacing="1" w:line="240" w:lineRule="auto"/>
        <w:ind w:left="360" w:hanging="360"/>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w:t>
      </w:r>
      <w:r w:rsidR="00C17286" w:rsidRPr="00C17286">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1</w:t>
      </w:r>
      <w:r>
        <w:rPr>
          <w:rFonts w:ascii="Times New Roman" w:eastAsia="Times New Roman" w:hAnsi="Times New Roman" w:cs="Times New Roman"/>
          <w:b/>
          <w:bCs/>
          <w:sz w:val="24"/>
          <w:szCs w:val="24"/>
        </w:rPr>
        <w:tab/>
      </w:r>
      <w:r w:rsidR="00C17286" w:rsidRPr="00C17286">
        <w:rPr>
          <w:rFonts w:ascii="Times New Roman" w:eastAsia="Times New Roman" w:hAnsi="Times New Roman" w:cs="Times New Roman"/>
          <w:b/>
          <w:bCs/>
          <w:sz w:val="24"/>
          <w:szCs w:val="24"/>
        </w:rPr>
        <w:t>CONCLUSION</w:t>
      </w:r>
      <w:r>
        <w:rPr>
          <w:rFonts w:ascii="Times New Roman" w:eastAsia="Times New Roman" w:hAnsi="Times New Roman" w:cs="Times New Roman"/>
          <w:b/>
          <w:bCs/>
          <w:sz w:val="24"/>
          <w:szCs w:val="24"/>
        </w:rPr>
        <w:tab/>
      </w:r>
    </w:p>
    <w:p w14:paraId="7619614A" w14:textId="77777777" w:rsidR="00FA6917" w:rsidRDefault="00152A6E" w:rsidP="0040161B">
      <w:pPr>
        <w:pStyle w:val="pdq2pgselectionanchorcontainer"/>
        <w:ind w:left="450"/>
        <w:jc w:val="both"/>
      </w:pPr>
      <w:r>
        <w:t xml:space="preserve">The study found that corporate </w:t>
      </w:r>
      <w:r>
        <w:rPr>
          <w:highlight w:val="yellow"/>
        </w:rPr>
        <w:t xml:space="preserve">tax </w:t>
      </w:r>
      <w:proofErr w:type="spellStart"/>
      <w:r>
        <w:rPr>
          <w:highlight w:val="yellow"/>
        </w:rPr>
        <w:t>optimisation</w:t>
      </w:r>
      <w:proofErr w:type="spellEnd"/>
      <w:r>
        <w:t xml:space="preserve"> strategies </w:t>
      </w:r>
      <w:r>
        <w:rPr>
          <w:highlight w:val="yellow"/>
        </w:rPr>
        <w:t>do not have a uniform relationship</w:t>
      </w:r>
      <w:r>
        <w:t xml:space="preserve"> with financial distress among listed healthcare firms in Nigeria. Effective tax rate, tax shield, and depreciation tax shield did not show statistically significant effects on </w:t>
      </w:r>
      <w:r>
        <w:rPr>
          <w:highlight w:val="yellow"/>
        </w:rPr>
        <w:t>firms’ financial health</w:t>
      </w:r>
      <w:r>
        <w:t xml:space="preserve"> in the estimated model. In contrast, thin capitalization and capital intensity were statistically significant, indicating that debt financing and asset-structure decisions are more associated with financial distress outcomes than tax adjustments alone. The results suggest that healthcare firms should balance the tax benefits of debt and capital allowances against the possible risks associated with excessive leverage and inefficient asset </w:t>
      </w:r>
      <w:proofErr w:type="spellStart"/>
      <w:r>
        <w:rPr>
          <w:highlight w:val="yellow"/>
        </w:rPr>
        <w:t>utilisation</w:t>
      </w:r>
      <w:proofErr w:type="spellEnd"/>
      <w:r>
        <w:t xml:space="preserve">. Conversely, firm size significantly improves financial health, suggesting that larger firms possess stronger financial resilience and greater capacity to withstand adverse economic </w:t>
      </w:r>
      <w:r>
        <w:lastRenderedPageBreak/>
        <w:t xml:space="preserve">conditions. The findings support the need for sustainable capital structures and careful investment planning in capital–intensive healthcare firms. Managers should therefore approach </w:t>
      </w:r>
      <w:r>
        <w:rPr>
          <w:highlight w:val="yellow"/>
        </w:rPr>
        <w:t xml:space="preserve">tax </w:t>
      </w:r>
      <w:proofErr w:type="spellStart"/>
      <w:r>
        <w:rPr>
          <w:highlight w:val="yellow"/>
        </w:rPr>
        <w:t>optimisation</w:t>
      </w:r>
      <w:proofErr w:type="spellEnd"/>
      <w:r>
        <w:t xml:space="preserve"> as part of broader financial strategy rather than as an isolated tool for improving firm stability. Investors and regulators may also benefit from monitoring leverage and asset efficiency indicators when assessing financial risk in the sector.</w:t>
      </w:r>
    </w:p>
    <w:p w14:paraId="03ED2BE3" w14:textId="61DCC212" w:rsidR="0053302D" w:rsidRPr="000B6641" w:rsidRDefault="0053302D" w:rsidP="000B6641">
      <w:pPr>
        <w:spacing w:before="100" w:beforeAutospacing="1" w:after="100" w:afterAutospacing="1" w:line="240" w:lineRule="auto"/>
        <w:ind w:left="360" w:hanging="360"/>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5.2</w:t>
      </w:r>
      <w:r>
        <w:rPr>
          <w:rFonts w:ascii="Times New Roman" w:eastAsia="Times New Roman" w:hAnsi="Times New Roman" w:cs="Times New Roman"/>
          <w:b/>
          <w:bCs/>
          <w:sz w:val="24"/>
          <w:szCs w:val="24"/>
        </w:rPr>
        <w:tab/>
      </w:r>
      <w:r w:rsidR="00C17286" w:rsidRPr="00C17286">
        <w:rPr>
          <w:rFonts w:ascii="Times New Roman" w:eastAsia="Times New Roman" w:hAnsi="Times New Roman" w:cs="Times New Roman"/>
          <w:b/>
          <w:bCs/>
          <w:sz w:val="24"/>
          <w:szCs w:val="24"/>
        </w:rPr>
        <w:t xml:space="preserve"> RECOMMENDATIONS</w:t>
      </w:r>
    </w:p>
    <w:p w14:paraId="360B51CB" w14:textId="7252460D" w:rsidR="000B6641" w:rsidRDefault="000B6641" w:rsidP="00FD3D99">
      <w:pPr>
        <w:pStyle w:val="NoSpacing"/>
        <w:ind w:left="720" w:hanging="360"/>
        <w:rPr>
          <w:rFonts w:ascii="Times New Roman" w:hAnsi="Times New Roman" w:cs="Times New Roman"/>
          <w:sz w:val="24"/>
          <w:szCs w:val="24"/>
        </w:rPr>
      </w:pPr>
      <w:r w:rsidRPr="000B6641">
        <w:rPr>
          <w:rFonts w:ascii="Times New Roman" w:hAnsi="Times New Roman" w:cs="Times New Roman"/>
          <w:sz w:val="24"/>
          <w:szCs w:val="24"/>
        </w:rPr>
        <w:t xml:space="preserve">Based on the findings, the study recommends prudent debt management, whereby healthcare firms should avoid excessive reliance on debt financing as a tax </w:t>
      </w:r>
      <w:proofErr w:type="spellStart"/>
      <w:r w:rsidRPr="000B6641">
        <w:rPr>
          <w:rFonts w:ascii="Times New Roman" w:hAnsi="Times New Roman" w:cs="Times New Roman"/>
          <w:sz w:val="24"/>
          <w:szCs w:val="24"/>
        </w:rPr>
        <w:t>optimisation</w:t>
      </w:r>
      <w:proofErr w:type="spellEnd"/>
      <w:r w:rsidRPr="000B6641">
        <w:rPr>
          <w:rFonts w:ascii="Times New Roman" w:hAnsi="Times New Roman" w:cs="Times New Roman"/>
          <w:sz w:val="24"/>
          <w:szCs w:val="24"/>
        </w:rPr>
        <w:t xml:space="preserve"> strategy, given that high leverage significantly undermines financial health and heightens the risk of financial distress. Management should therefore maintain an optimal capital structure that balances the tax advantages of debt against the associated costs of financial distress. Furthermore, managers should promote efficient asset </w:t>
      </w:r>
      <w:proofErr w:type="spellStart"/>
      <w:r w:rsidRPr="000B6641">
        <w:rPr>
          <w:rFonts w:ascii="Times New Roman" w:hAnsi="Times New Roman" w:cs="Times New Roman"/>
          <w:sz w:val="24"/>
          <w:szCs w:val="24"/>
        </w:rPr>
        <w:t>utilisation</w:t>
      </w:r>
      <w:proofErr w:type="spellEnd"/>
      <w:r w:rsidRPr="000B6641">
        <w:rPr>
          <w:rFonts w:ascii="Times New Roman" w:hAnsi="Times New Roman" w:cs="Times New Roman"/>
          <w:sz w:val="24"/>
          <w:szCs w:val="24"/>
        </w:rPr>
        <w:t xml:space="preserve"> by ensuring that investments in fixed assets are supported by adequate revenue generation and operational efficiency. Capital expenditure decisions should be subjected to rigorous investment appraisal to prevent excessive capital intensity that may adversely affect financial health. In addition, corporate managers should continue to adopt legitimate tax planning strategies while </w:t>
      </w:r>
      <w:proofErr w:type="spellStart"/>
      <w:r w:rsidRPr="000B6641">
        <w:rPr>
          <w:rFonts w:ascii="Times New Roman" w:hAnsi="Times New Roman" w:cs="Times New Roman"/>
          <w:sz w:val="24"/>
          <w:szCs w:val="24"/>
        </w:rPr>
        <w:t>recognising</w:t>
      </w:r>
      <w:proofErr w:type="spellEnd"/>
      <w:r w:rsidRPr="000B6641">
        <w:rPr>
          <w:rFonts w:ascii="Times New Roman" w:hAnsi="Times New Roman" w:cs="Times New Roman"/>
          <w:sz w:val="24"/>
          <w:szCs w:val="24"/>
        </w:rPr>
        <w:t xml:space="preserve"> that tax savings alone are insufficient to enhance financial stability. Tax </w:t>
      </w:r>
      <w:proofErr w:type="spellStart"/>
      <w:r w:rsidRPr="000B6641">
        <w:rPr>
          <w:rFonts w:ascii="Times New Roman" w:hAnsi="Times New Roman" w:cs="Times New Roman"/>
          <w:sz w:val="24"/>
          <w:szCs w:val="24"/>
        </w:rPr>
        <w:t>optimisation</w:t>
      </w:r>
      <w:proofErr w:type="spellEnd"/>
      <w:r w:rsidRPr="000B6641">
        <w:rPr>
          <w:rFonts w:ascii="Times New Roman" w:hAnsi="Times New Roman" w:cs="Times New Roman"/>
          <w:sz w:val="24"/>
          <w:szCs w:val="24"/>
        </w:rPr>
        <w:t xml:space="preserve"> should therefore complement broader financial management strategies rather than serve as a substitute for them. Regulatory authorities, including the Federal Inland Revenue Service (FIRS), the Securities and Exchange Commission (SEC), and the Nigerian Exchange Group (NGX), should also strengthen oversight of firms’ leverage positions to discourage excessive debt accumulation driven primarily by tax considerations. Finally, investors should assess firms’ capital structures and the efficiency of asset </w:t>
      </w:r>
      <w:proofErr w:type="spellStart"/>
      <w:r w:rsidRPr="000B6641">
        <w:rPr>
          <w:rFonts w:ascii="Times New Roman" w:hAnsi="Times New Roman" w:cs="Times New Roman"/>
          <w:sz w:val="24"/>
          <w:szCs w:val="24"/>
        </w:rPr>
        <w:t>utilisation</w:t>
      </w:r>
      <w:proofErr w:type="spellEnd"/>
      <w:r w:rsidRPr="000B6641">
        <w:rPr>
          <w:rFonts w:ascii="Times New Roman" w:hAnsi="Times New Roman" w:cs="Times New Roman"/>
          <w:sz w:val="24"/>
          <w:szCs w:val="24"/>
        </w:rPr>
        <w:t xml:space="preserve"> alongside their tax positions when evaluating financial sustainability, as leverage and capital intensity exert more substantial influences on financial health than conventional tax planning measures.</w:t>
      </w:r>
    </w:p>
    <w:p w14:paraId="1CB52E18" w14:textId="77777777" w:rsidR="000B6641" w:rsidRDefault="000B6641" w:rsidP="00FD3D99">
      <w:pPr>
        <w:pStyle w:val="NoSpacing"/>
        <w:ind w:left="720" w:hanging="360"/>
        <w:rPr>
          <w:rFonts w:ascii="Times New Roman" w:hAnsi="Times New Roman" w:cs="Times New Roman"/>
          <w:sz w:val="24"/>
          <w:szCs w:val="24"/>
        </w:rPr>
      </w:pPr>
    </w:p>
    <w:p w14:paraId="79B5D2E3" w14:textId="77777777" w:rsidR="000B6641" w:rsidRPr="005A1B67" w:rsidRDefault="000B6641" w:rsidP="00FD3D99">
      <w:pPr>
        <w:pStyle w:val="NoSpacing"/>
        <w:ind w:left="720" w:hanging="360"/>
        <w:rPr>
          <w:rFonts w:ascii="Times New Roman" w:hAnsi="Times New Roman" w:cs="Times New Roman"/>
          <w:sz w:val="24"/>
          <w:szCs w:val="24"/>
        </w:rPr>
      </w:pPr>
    </w:p>
    <w:p w14:paraId="3CB95405" w14:textId="77777777" w:rsidR="00C17286" w:rsidRDefault="0053302D" w:rsidP="007B7E8D">
      <w:pPr>
        <w:spacing w:after="0" w:line="240" w:lineRule="auto"/>
        <w:ind w:left="360" w:hanging="360"/>
        <w:rPr>
          <w:rFonts w:ascii="Times New Roman" w:eastAsia="Times New Roman" w:hAnsi="Times New Roman" w:cs="Times New Roman"/>
          <w:b/>
          <w:sz w:val="24"/>
          <w:szCs w:val="24"/>
        </w:rPr>
      </w:pPr>
      <w:r w:rsidRPr="0053302D">
        <w:rPr>
          <w:rFonts w:ascii="Times New Roman" w:eastAsia="Times New Roman" w:hAnsi="Times New Roman" w:cs="Times New Roman"/>
          <w:b/>
          <w:sz w:val="24"/>
          <w:szCs w:val="24"/>
        </w:rPr>
        <w:t>5.3</w:t>
      </w:r>
      <w:r w:rsidRPr="0053302D">
        <w:rPr>
          <w:rFonts w:ascii="Times New Roman" w:eastAsia="Times New Roman" w:hAnsi="Times New Roman" w:cs="Times New Roman"/>
          <w:b/>
          <w:sz w:val="24"/>
          <w:szCs w:val="24"/>
        </w:rPr>
        <w:tab/>
        <w:t>CONTRIBUTION TO KNOWLEDGE</w:t>
      </w:r>
    </w:p>
    <w:p w14:paraId="6DEC2AF9" w14:textId="77777777" w:rsidR="00E01671" w:rsidRPr="0053302D" w:rsidRDefault="00E01671" w:rsidP="007B7E8D">
      <w:pPr>
        <w:spacing w:after="0" w:line="240" w:lineRule="auto"/>
        <w:ind w:left="360" w:hanging="360"/>
        <w:rPr>
          <w:rFonts w:ascii="Times New Roman" w:eastAsia="Times New Roman" w:hAnsi="Times New Roman" w:cs="Times New Roman"/>
          <w:b/>
          <w:sz w:val="24"/>
          <w:szCs w:val="24"/>
        </w:rPr>
      </w:pPr>
    </w:p>
    <w:p w14:paraId="02435239" w14:textId="4C2CD09D" w:rsidR="00DD36F5" w:rsidRDefault="00AF59AE" w:rsidP="00302BD8">
      <w:pPr>
        <w:pStyle w:val="NoSpacing"/>
        <w:ind w:left="720"/>
        <w:jc w:val="both"/>
      </w:pPr>
      <w:r w:rsidRPr="00AF59AE">
        <w:t xml:space="preserve">This study makes several important contributions to knowledge. First, it extends the corporate tax </w:t>
      </w:r>
      <w:proofErr w:type="spellStart"/>
      <w:r w:rsidRPr="00AF59AE">
        <w:t>optimisation</w:t>
      </w:r>
      <w:proofErr w:type="spellEnd"/>
      <w:r w:rsidRPr="00AF59AE">
        <w:t xml:space="preserve"> literature by examining the influence of corporate tax </w:t>
      </w:r>
      <w:proofErr w:type="spellStart"/>
      <w:r w:rsidRPr="00AF59AE">
        <w:t>optimisation</w:t>
      </w:r>
      <w:proofErr w:type="spellEnd"/>
      <w:r w:rsidRPr="00AF59AE">
        <w:t xml:space="preserve"> strategies on financial distress, rather than focusing exclusively on profitability, firm value, or tax avoidance outcomes. Furthermore, the study demonstrates that corporate tax </w:t>
      </w:r>
      <w:proofErr w:type="spellStart"/>
      <w:r w:rsidRPr="00AF59AE">
        <w:t>optimisation</w:t>
      </w:r>
      <w:proofErr w:type="spellEnd"/>
      <w:r w:rsidRPr="00AF59AE">
        <w:t xml:space="preserve"> strategies do not exert uniform effects on firms’ financial health. While accounting-based tax measures, including the effective tax rate, tax shield, and depreciation tax shield, do not significantly influence financial distress, financing- and investment-related strategies, namely thin </w:t>
      </w:r>
      <w:proofErr w:type="spellStart"/>
      <w:r w:rsidRPr="00AF59AE">
        <w:t>capitalisation</w:t>
      </w:r>
      <w:proofErr w:type="spellEnd"/>
      <w:r w:rsidRPr="00AF59AE">
        <w:t xml:space="preserve"> and capital intensity, significantly increase financial distress by reducing firms’ Altman Z-scores. In addition, the study provides robust empirical evidence from Nigeria’s listed healthcare sector, an industry that has received limited scholarly attention despite its strategic importance and distinctive exposure to macroeconomic and regulatory shocks. Methodologically, the study enhances the reliability of empirical findings through the application of fixed-effects panel regression with Driscoll–Kraay standard errors, thereby generating robust estimates that account for heteroskedasticity, serial correlation, and cross-sectional dependence in panel data. Finally, the findings reinforce the propositions of the Trade-Off Theory by demonstrating that </w:t>
      </w:r>
      <w:r w:rsidRPr="00AF59AE">
        <w:lastRenderedPageBreak/>
        <w:t xml:space="preserve">although debt financing offers tax advantages, excessive leverage ultimately increases financial distress. The study further shows that financing and investment decisions constitute more important determinants of financial health than conventional tax planning measures, thereby refining the understanding of how corporate tax </w:t>
      </w:r>
      <w:proofErr w:type="spellStart"/>
      <w:r w:rsidRPr="00AF59AE">
        <w:t>optimisation</w:t>
      </w:r>
      <w:proofErr w:type="spellEnd"/>
      <w:r w:rsidRPr="00AF59AE">
        <w:t xml:space="preserve"> influences financial stability in emerging markets.</w:t>
      </w:r>
    </w:p>
    <w:p w14:paraId="5B4BA495" w14:textId="77777777" w:rsidR="002C11DD" w:rsidRDefault="002C11DD" w:rsidP="00302BD8">
      <w:pPr>
        <w:pStyle w:val="NoSpacing"/>
        <w:ind w:left="720"/>
        <w:jc w:val="both"/>
      </w:pPr>
    </w:p>
    <w:p w14:paraId="13A334F2" w14:textId="77777777" w:rsidR="002C11DD" w:rsidRDefault="002C11DD" w:rsidP="00302BD8">
      <w:pPr>
        <w:pStyle w:val="NoSpacing"/>
        <w:ind w:left="720"/>
        <w:jc w:val="both"/>
      </w:pPr>
    </w:p>
    <w:p w14:paraId="7520B12D" w14:textId="77777777" w:rsidR="002C11DD" w:rsidRDefault="002C11DD" w:rsidP="002C11DD">
      <w:pPr>
        <w:pStyle w:val="NoSpacing"/>
        <w:ind w:left="720"/>
        <w:jc w:val="both"/>
      </w:pPr>
      <w:r>
        <w:t>Declaration of AI Use</w:t>
      </w:r>
    </w:p>
    <w:p w14:paraId="783C38C9" w14:textId="023A0CC1" w:rsidR="002C11DD" w:rsidRDefault="002C11DD" w:rsidP="002C11DD">
      <w:pPr>
        <w:pStyle w:val="NoSpacing"/>
        <w:ind w:left="720"/>
        <w:jc w:val="both"/>
      </w:pPr>
      <w: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6BB6149E" w14:textId="77777777" w:rsidR="005A7239" w:rsidRDefault="005A7239" w:rsidP="005A7239">
      <w:pPr>
        <w:spacing w:before="100" w:beforeAutospacing="1" w:after="100" w:afterAutospacing="1" w:line="240" w:lineRule="auto"/>
        <w:jc w:val="center"/>
        <w:outlineLvl w:val="0"/>
        <w:rPr>
          <w:rFonts w:ascii="Times New Roman" w:eastAsia="Times New Roman" w:hAnsi="Times New Roman" w:cs="Times New Roman"/>
          <w:b/>
          <w:bCs/>
          <w:kern w:val="36"/>
          <w:sz w:val="24"/>
          <w:szCs w:val="24"/>
        </w:rPr>
      </w:pPr>
      <w:r w:rsidRPr="001A5AA8">
        <w:rPr>
          <w:rFonts w:ascii="Times New Roman" w:eastAsia="Times New Roman" w:hAnsi="Times New Roman" w:cs="Times New Roman"/>
          <w:b/>
          <w:bCs/>
          <w:kern w:val="36"/>
          <w:sz w:val="24"/>
          <w:szCs w:val="24"/>
        </w:rPr>
        <w:t>REFERENCES</w:t>
      </w:r>
    </w:p>
    <w:p w14:paraId="351764E7" w14:textId="5F016A4A" w:rsidR="003B659A" w:rsidRPr="003B659A" w:rsidRDefault="003B659A" w:rsidP="003B659A">
      <w:pPr>
        <w:spacing w:after="0" w:line="240" w:lineRule="auto"/>
        <w:ind w:left="540" w:hanging="540"/>
        <w:jc w:val="both"/>
        <w:rPr>
          <w:rFonts w:ascii="Times New Roman" w:eastAsia="Times New Roman" w:hAnsi="Times New Roman" w:cs="Times New Roman"/>
          <w:sz w:val="24"/>
          <w:szCs w:val="24"/>
        </w:rPr>
      </w:pPr>
      <w:proofErr w:type="spellStart"/>
      <w:r w:rsidRPr="003B659A">
        <w:rPr>
          <w:rFonts w:ascii="Times New Roman" w:eastAsia="Times New Roman" w:hAnsi="Times New Roman" w:cs="Times New Roman"/>
          <w:sz w:val="24"/>
          <w:szCs w:val="24"/>
        </w:rPr>
        <w:t>Adigwe</w:t>
      </w:r>
      <w:proofErr w:type="spellEnd"/>
      <w:r w:rsidRPr="003B659A">
        <w:rPr>
          <w:rFonts w:ascii="Times New Roman" w:eastAsia="Times New Roman" w:hAnsi="Times New Roman" w:cs="Times New Roman"/>
          <w:sz w:val="24"/>
          <w:szCs w:val="24"/>
        </w:rPr>
        <w:t xml:space="preserve">, O. P. (2023). Policies and practices in Nigeria’s pharmaceutical sector: A mixed methods exploration of stakeholders’ perspectives on strategic reforms. </w:t>
      </w:r>
      <w:r w:rsidRPr="003B659A">
        <w:rPr>
          <w:rFonts w:ascii="Times New Roman" w:eastAsia="Times New Roman" w:hAnsi="Times New Roman" w:cs="Times New Roman"/>
          <w:i/>
          <w:iCs/>
          <w:sz w:val="24"/>
          <w:szCs w:val="24"/>
        </w:rPr>
        <w:t>Health Policy Open, 4</w:t>
      </w:r>
      <w:r w:rsidRPr="003B659A">
        <w:rPr>
          <w:rFonts w:ascii="Times New Roman" w:eastAsia="Times New Roman" w:hAnsi="Times New Roman" w:cs="Times New Roman"/>
          <w:sz w:val="24"/>
          <w:szCs w:val="24"/>
        </w:rPr>
        <w:t xml:space="preserve">, Article 100091. </w:t>
      </w:r>
      <w:hyperlink r:id="rId8" w:tgtFrame="_new" w:history="1">
        <w:r w:rsidRPr="003B659A">
          <w:rPr>
            <w:rFonts w:ascii="Times New Roman" w:eastAsia="Times New Roman" w:hAnsi="Times New Roman" w:cs="Times New Roman"/>
            <w:color w:val="0000FF"/>
            <w:sz w:val="24"/>
            <w:szCs w:val="24"/>
            <w:u w:val="single"/>
          </w:rPr>
          <w:t>https://doi.org/10.1016/j.hpopen.2023.100091</w:t>
        </w:r>
      </w:hyperlink>
      <w:r w:rsidRPr="003B659A">
        <w:rPr>
          <w:rFonts w:ascii="Times New Roman" w:eastAsia="Times New Roman" w:hAnsi="Times New Roman" w:cs="Times New Roman"/>
          <w:sz w:val="24"/>
          <w:szCs w:val="24"/>
        </w:rPr>
        <w:t xml:space="preserve"> </w:t>
      </w:r>
    </w:p>
    <w:p w14:paraId="5D86B102" w14:textId="1069D6C1" w:rsidR="003B659A" w:rsidRPr="003B659A" w:rsidRDefault="003B659A" w:rsidP="003B659A">
      <w:pPr>
        <w:spacing w:after="0" w:line="240" w:lineRule="auto"/>
        <w:ind w:left="540" w:hanging="540"/>
        <w:jc w:val="both"/>
        <w:rPr>
          <w:rFonts w:ascii="Times New Roman" w:eastAsia="Times New Roman" w:hAnsi="Times New Roman" w:cs="Times New Roman"/>
          <w:sz w:val="24"/>
          <w:szCs w:val="24"/>
        </w:rPr>
      </w:pPr>
      <w:r w:rsidRPr="003B659A">
        <w:rPr>
          <w:rFonts w:ascii="Times New Roman" w:eastAsia="Times New Roman" w:hAnsi="Times New Roman" w:cs="Times New Roman"/>
          <w:sz w:val="24"/>
          <w:szCs w:val="24"/>
        </w:rPr>
        <w:t xml:space="preserve">Ajijola, L. A., </w:t>
      </w:r>
      <w:proofErr w:type="spellStart"/>
      <w:r w:rsidRPr="003B659A">
        <w:rPr>
          <w:rFonts w:ascii="Times New Roman" w:eastAsia="Times New Roman" w:hAnsi="Times New Roman" w:cs="Times New Roman"/>
          <w:sz w:val="24"/>
          <w:szCs w:val="24"/>
        </w:rPr>
        <w:t>Ajape</w:t>
      </w:r>
      <w:proofErr w:type="spellEnd"/>
      <w:r w:rsidRPr="003B659A">
        <w:rPr>
          <w:rFonts w:ascii="Times New Roman" w:eastAsia="Times New Roman" w:hAnsi="Times New Roman" w:cs="Times New Roman"/>
          <w:sz w:val="24"/>
          <w:szCs w:val="24"/>
        </w:rPr>
        <w:t xml:space="preserve">, M. K., Fa-Yusuf, H. S., &amp; </w:t>
      </w:r>
      <w:proofErr w:type="spellStart"/>
      <w:r w:rsidRPr="003B659A">
        <w:rPr>
          <w:rFonts w:ascii="Times New Roman" w:eastAsia="Times New Roman" w:hAnsi="Times New Roman" w:cs="Times New Roman"/>
          <w:sz w:val="24"/>
          <w:szCs w:val="24"/>
        </w:rPr>
        <w:t>Oyelade</w:t>
      </w:r>
      <w:proofErr w:type="spellEnd"/>
      <w:r w:rsidRPr="003B659A">
        <w:rPr>
          <w:rFonts w:ascii="Times New Roman" w:eastAsia="Times New Roman" w:hAnsi="Times New Roman" w:cs="Times New Roman"/>
          <w:sz w:val="24"/>
          <w:szCs w:val="24"/>
        </w:rPr>
        <w:t xml:space="preserve">, O. D. (2024). An analysis of potential financial distress of selected Nigerian banks using the Altman Z-score model. </w:t>
      </w:r>
      <w:r w:rsidRPr="003B659A">
        <w:rPr>
          <w:rFonts w:ascii="Times New Roman" w:eastAsia="Times New Roman" w:hAnsi="Times New Roman" w:cs="Times New Roman"/>
          <w:i/>
          <w:iCs/>
          <w:sz w:val="24"/>
          <w:szCs w:val="24"/>
        </w:rPr>
        <w:t>Lagos Journal of Banking, Finance &amp; Economic Issues, 5</w:t>
      </w:r>
      <w:r w:rsidRPr="003B659A">
        <w:rPr>
          <w:rFonts w:ascii="Times New Roman" w:eastAsia="Times New Roman" w:hAnsi="Times New Roman" w:cs="Times New Roman"/>
          <w:sz w:val="24"/>
          <w:szCs w:val="24"/>
        </w:rPr>
        <w:t xml:space="preserve">(1), 257–270. </w:t>
      </w:r>
      <w:hyperlink r:id="rId9" w:tgtFrame="_new" w:history="1">
        <w:r w:rsidRPr="003B659A">
          <w:rPr>
            <w:rFonts w:ascii="Times New Roman" w:eastAsia="Times New Roman" w:hAnsi="Times New Roman" w:cs="Times New Roman"/>
            <w:color w:val="0000FF"/>
            <w:sz w:val="24"/>
            <w:szCs w:val="24"/>
            <w:u w:val="single"/>
          </w:rPr>
          <w:t>https://crj.unilag.edu.ng/index.php/LJBFEI/article/view/2339</w:t>
        </w:r>
      </w:hyperlink>
      <w:r w:rsidRPr="003B659A">
        <w:rPr>
          <w:rFonts w:ascii="Times New Roman" w:eastAsia="Times New Roman" w:hAnsi="Times New Roman" w:cs="Times New Roman"/>
          <w:sz w:val="24"/>
          <w:szCs w:val="24"/>
        </w:rPr>
        <w:t xml:space="preserve"> </w:t>
      </w:r>
    </w:p>
    <w:p w14:paraId="13417152" w14:textId="1C4DA72A" w:rsidR="003B659A" w:rsidRPr="003B659A" w:rsidRDefault="003B659A" w:rsidP="003B659A">
      <w:pPr>
        <w:spacing w:after="0" w:line="240" w:lineRule="auto"/>
        <w:ind w:left="540" w:hanging="540"/>
        <w:jc w:val="both"/>
        <w:rPr>
          <w:rFonts w:ascii="Times New Roman" w:eastAsia="Times New Roman" w:hAnsi="Times New Roman" w:cs="Times New Roman"/>
          <w:sz w:val="24"/>
          <w:szCs w:val="24"/>
        </w:rPr>
      </w:pPr>
      <w:r w:rsidRPr="003B659A">
        <w:rPr>
          <w:rFonts w:ascii="Times New Roman" w:eastAsia="Times New Roman" w:hAnsi="Times New Roman" w:cs="Times New Roman"/>
          <w:sz w:val="24"/>
          <w:szCs w:val="24"/>
        </w:rPr>
        <w:t xml:space="preserve">Altman, E. I. (1968). Financial ratios, discriminant analysis and the prediction of corporate bankruptcy. </w:t>
      </w:r>
      <w:r w:rsidRPr="003B659A">
        <w:rPr>
          <w:rFonts w:ascii="Times New Roman" w:eastAsia="Times New Roman" w:hAnsi="Times New Roman" w:cs="Times New Roman"/>
          <w:i/>
          <w:iCs/>
          <w:sz w:val="24"/>
          <w:szCs w:val="24"/>
        </w:rPr>
        <w:t>The Journal of Finance, 23</w:t>
      </w:r>
      <w:r w:rsidRPr="003B659A">
        <w:rPr>
          <w:rFonts w:ascii="Times New Roman" w:eastAsia="Times New Roman" w:hAnsi="Times New Roman" w:cs="Times New Roman"/>
          <w:sz w:val="24"/>
          <w:szCs w:val="24"/>
        </w:rPr>
        <w:t xml:space="preserve">(4), 589–609. </w:t>
      </w:r>
      <w:hyperlink r:id="rId10" w:tgtFrame="_new" w:history="1">
        <w:r w:rsidRPr="003B659A">
          <w:rPr>
            <w:rFonts w:ascii="Times New Roman" w:eastAsia="Times New Roman" w:hAnsi="Times New Roman" w:cs="Times New Roman"/>
            <w:color w:val="0000FF"/>
            <w:sz w:val="24"/>
            <w:szCs w:val="24"/>
            <w:u w:val="single"/>
          </w:rPr>
          <w:t>https://doi.org/10.1111/j.1540-6261.1968.tb00843.x</w:t>
        </w:r>
      </w:hyperlink>
      <w:r w:rsidRPr="003B659A">
        <w:rPr>
          <w:rFonts w:ascii="Times New Roman" w:eastAsia="Times New Roman" w:hAnsi="Times New Roman" w:cs="Times New Roman"/>
          <w:sz w:val="24"/>
          <w:szCs w:val="24"/>
        </w:rPr>
        <w:t xml:space="preserve"> </w:t>
      </w:r>
    </w:p>
    <w:p w14:paraId="50A5173A" w14:textId="2E2F07C9" w:rsidR="003B659A" w:rsidRPr="003B659A" w:rsidRDefault="003B659A" w:rsidP="003B659A">
      <w:pPr>
        <w:spacing w:after="0" w:line="240" w:lineRule="auto"/>
        <w:ind w:left="540" w:hanging="540"/>
        <w:jc w:val="both"/>
        <w:rPr>
          <w:rFonts w:ascii="Times New Roman" w:eastAsia="Times New Roman" w:hAnsi="Times New Roman" w:cs="Times New Roman"/>
          <w:sz w:val="24"/>
          <w:szCs w:val="24"/>
        </w:rPr>
      </w:pPr>
      <w:r w:rsidRPr="003B659A">
        <w:rPr>
          <w:rFonts w:ascii="Times New Roman" w:eastAsia="Times New Roman" w:hAnsi="Times New Roman" w:cs="Times New Roman"/>
          <w:sz w:val="24"/>
          <w:szCs w:val="24"/>
        </w:rPr>
        <w:t xml:space="preserve">Altman, E. I. (2013). Predicting financial distress of companies: Revisiting the Z-score and ZETA® models. In A. R. Bell, C. Brooks, &amp; M. </w:t>
      </w:r>
      <w:proofErr w:type="spellStart"/>
      <w:r w:rsidRPr="003B659A">
        <w:rPr>
          <w:rFonts w:ascii="Times New Roman" w:eastAsia="Times New Roman" w:hAnsi="Times New Roman" w:cs="Times New Roman"/>
          <w:sz w:val="24"/>
          <w:szCs w:val="24"/>
        </w:rPr>
        <w:t>Prokopczuk</w:t>
      </w:r>
      <w:proofErr w:type="spellEnd"/>
      <w:r w:rsidRPr="003B659A">
        <w:rPr>
          <w:rFonts w:ascii="Times New Roman" w:eastAsia="Times New Roman" w:hAnsi="Times New Roman" w:cs="Times New Roman"/>
          <w:sz w:val="24"/>
          <w:szCs w:val="24"/>
        </w:rPr>
        <w:t xml:space="preserve"> (Eds.), </w:t>
      </w:r>
      <w:r w:rsidRPr="003B659A">
        <w:rPr>
          <w:rFonts w:ascii="Times New Roman" w:eastAsia="Times New Roman" w:hAnsi="Times New Roman" w:cs="Times New Roman"/>
          <w:i/>
          <w:iCs/>
          <w:sz w:val="24"/>
          <w:szCs w:val="24"/>
        </w:rPr>
        <w:t>Handbook of research methods and applications in empirical finance</w:t>
      </w:r>
      <w:r w:rsidRPr="003B659A">
        <w:rPr>
          <w:rFonts w:ascii="Times New Roman" w:eastAsia="Times New Roman" w:hAnsi="Times New Roman" w:cs="Times New Roman"/>
          <w:sz w:val="24"/>
          <w:szCs w:val="24"/>
        </w:rPr>
        <w:t xml:space="preserve"> (pp. 428–456). Edward Elgar Publishing. </w:t>
      </w:r>
      <w:hyperlink r:id="rId11" w:tgtFrame="_new" w:history="1">
        <w:r w:rsidRPr="003B659A">
          <w:rPr>
            <w:rFonts w:ascii="Times New Roman" w:eastAsia="Times New Roman" w:hAnsi="Times New Roman" w:cs="Times New Roman"/>
            <w:color w:val="0000FF"/>
            <w:sz w:val="24"/>
            <w:szCs w:val="24"/>
            <w:u w:val="single"/>
          </w:rPr>
          <w:t>https://doi.org/10.4337/9780857936097.00027</w:t>
        </w:r>
      </w:hyperlink>
      <w:r w:rsidRPr="003B659A">
        <w:rPr>
          <w:rFonts w:ascii="Times New Roman" w:eastAsia="Times New Roman" w:hAnsi="Times New Roman" w:cs="Times New Roman"/>
          <w:sz w:val="24"/>
          <w:szCs w:val="24"/>
        </w:rPr>
        <w:t xml:space="preserve"> </w:t>
      </w:r>
    </w:p>
    <w:p w14:paraId="6878EE00" w14:textId="3A24112B" w:rsidR="003B659A" w:rsidRPr="003B659A" w:rsidRDefault="003B659A" w:rsidP="003B659A">
      <w:pPr>
        <w:spacing w:after="0" w:line="240" w:lineRule="auto"/>
        <w:ind w:left="540" w:hanging="540"/>
        <w:jc w:val="both"/>
        <w:rPr>
          <w:rFonts w:ascii="Times New Roman" w:eastAsia="Times New Roman" w:hAnsi="Times New Roman" w:cs="Times New Roman"/>
          <w:sz w:val="24"/>
          <w:szCs w:val="24"/>
        </w:rPr>
      </w:pPr>
      <w:r w:rsidRPr="003B659A">
        <w:rPr>
          <w:rFonts w:ascii="Times New Roman" w:eastAsia="Times New Roman" w:hAnsi="Times New Roman" w:cs="Times New Roman"/>
          <w:sz w:val="24"/>
          <w:szCs w:val="24"/>
        </w:rPr>
        <w:t xml:space="preserve">Ariff, A. M., Wan Ismail, W. A., Kamarudin, K. A., &amp; Mohd Suffian, M. T. (2023). Financial distress and tax avoidance: The moderating effect of the COVID-19 pandemic. </w:t>
      </w:r>
      <w:r w:rsidRPr="003B659A">
        <w:rPr>
          <w:rFonts w:ascii="Times New Roman" w:eastAsia="Times New Roman" w:hAnsi="Times New Roman" w:cs="Times New Roman"/>
          <w:i/>
          <w:iCs/>
          <w:sz w:val="24"/>
          <w:szCs w:val="24"/>
        </w:rPr>
        <w:t>Asian Journal of Accounting Research, 8</w:t>
      </w:r>
      <w:r w:rsidRPr="003B659A">
        <w:rPr>
          <w:rFonts w:ascii="Times New Roman" w:eastAsia="Times New Roman" w:hAnsi="Times New Roman" w:cs="Times New Roman"/>
          <w:sz w:val="24"/>
          <w:szCs w:val="24"/>
        </w:rPr>
        <w:t xml:space="preserve">(3), 279–292. </w:t>
      </w:r>
      <w:hyperlink r:id="rId12" w:tgtFrame="_new" w:history="1">
        <w:r w:rsidRPr="003B659A">
          <w:rPr>
            <w:rFonts w:ascii="Times New Roman" w:eastAsia="Times New Roman" w:hAnsi="Times New Roman" w:cs="Times New Roman"/>
            <w:color w:val="0000FF"/>
            <w:sz w:val="24"/>
            <w:szCs w:val="24"/>
            <w:u w:val="single"/>
          </w:rPr>
          <w:t>https://doi.org/10.1108/AJAR-10-2022-0347</w:t>
        </w:r>
      </w:hyperlink>
      <w:r w:rsidRPr="003B659A">
        <w:rPr>
          <w:rFonts w:ascii="Times New Roman" w:eastAsia="Times New Roman" w:hAnsi="Times New Roman" w:cs="Times New Roman"/>
          <w:sz w:val="24"/>
          <w:szCs w:val="24"/>
        </w:rPr>
        <w:t xml:space="preserve"> </w:t>
      </w:r>
    </w:p>
    <w:p w14:paraId="024F5F5A" w14:textId="7EE73C1F" w:rsidR="003B659A" w:rsidRPr="003B659A" w:rsidRDefault="003B659A" w:rsidP="003B659A">
      <w:pPr>
        <w:spacing w:after="0" w:line="240" w:lineRule="auto"/>
        <w:ind w:left="540" w:hanging="540"/>
        <w:jc w:val="both"/>
        <w:rPr>
          <w:rFonts w:ascii="Times New Roman" w:eastAsia="Times New Roman" w:hAnsi="Times New Roman" w:cs="Times New Roman"/>
          <w:sz w:val="24"/>
          <w:szCs w:val="24"/>
        </w:rPr>
      </w:pPr>
      <w:r w:rsidRPr="003B659A">
        <w:rPr>
          <w:rFonts w:ascii="Times New Roman" w:eastAsia="Times New Roman" w:hAnsi="Times New Roman" w:cs="Times New Roman"/>
          <w:sz w:val="24"/>
          <w:szCs w:val="24"/>
          <w:lang w:val="nl-BE"/>
        </w:rPr>
        <w:t xml:space="preserve">Atwood, T. J., &amp; Lewellen, C. (2019). </w:t>
      </w:r>
      <w:r w:rsidRPr="003B659A">
        <w:rPr>
          <w:rFonts w:ascii="Times New Roman" w:eastAsia="Times New Roman" w:hAnsi="Times New Roman" w:cs="Times New Roman"/>
          <w:sz w:val="24"/>
          <w:szCs w:val="24"/>
        </w:rPr>
        <w:t xml:space="preserve">The complementarity between tax avoidance and manager diversion: Evidence from tax haven firms. </w:t>
      </w:r>
      <w:r w:rsidRPr="003B659A">
        <w:rPr>
          <w:rFonts w:ascii="Times New Roman" w:eastAsia="Times New Roman" w:hAnsi="Times New Roman" w:cs="Times New Roman"/>
          <w:i/>
          <w:iCs/>
          <w:sz w:val="24"/>
          <w:szCs w:val="24"/>
        </w:rPr>
        <w:t>Contemporary Accounting Research, 36</w:t>
      </w:r>
      <w:r w:rsidRPr="003B659A">
        <w:rPr>
          <w:rFonts w:ascii="Times New Roman" w:eastAsia="Times New Roman" w:hAnsi="Times New Roman" w:cs="Times New Roman"/>
          <w:sz w:val="24"/>
          <w:szCs w:val="24"/>
        </w:rPr>
        <w:t xml:space="preserve">(1), 259–294. </w:t>
      </w:r>
      <w:hyperlink r:id="rId13" w:tgtFrame="_new" w:history="1">
        <w:r w:rsidRPr="003B659A">
          <w:rPr>
            <w:rFonts w:ascii="Times New Roman" w:eastAsia="Times New Roman" w:hAnsi="Times New Roman" w:cs="Times New Roman"/>
            <w:color w:val="0000FF"/>
            <w:sz w:val="24"/>
            <w:szCs w:val="24"/>
            <w:u w:val="single"/>
          </w:rPr>
          <w:t>https://doi.org/10.1111/1911-3846.12421</w:t>
        </w:r>
      </w:hyperlink>
      <w:r w:rsidRPr="003B659A">
        <w:rPr>
          <w:rFonts w:ascii="Times New Roman" w:eastAsia="Times New Roman" w:hAnsi="Times New Roman" w:cs="Times New Roman"/>
          <w:sz w:val="24"/>
          <w:szCs w:val="24"/>
        </w:rPr>
        <w:t xml:space="preserve"> </w:t>
      </w:r>
    </w:p>
    <w:p w14:paraId="3A09C202" w14:textId="58A1BD5C" w:rsidR="003B659A" w:rsidRPr="003B659A" w:rsidRDefault="003B659A" w:rsidP="003B659A">
      <w:pPr>
        <w:spacing w:after="0" w:line="240" w:lineRule="auto"/>
        <w:ind w:left="540" w:hanging="540"/>
        <w:jc w:val="both"/>
        <w:rPr>
          <w:rFonts w:ascii="Times New Roman" w:eastAsia="Times New Roman" w:hAnsi="Times New Roman" w:cs="Times New Roman"/>
          <w:sz w:val="24"/>
          <w:szCs w:val="24"/>
        </w:rPr>
      </w:pPr>
      <w:r w:rsidRPr="003B659A">
        <w:rPr>
          <w:rFonts w:ascii="Times New Roman" w:eastAsia="Times New Roman" w:hAnsi="Times New Roman" w:cs="Times New Roman"/>
          <w:sz w:val="24"/>
          <w:szCs w:val="24"/>
        </w:rPr>
        <w:t xml:space="preserve">Blouin, J. (2014). Defining and measuring tax planning aggressiveness. </w:t>
      </w:r>
      <w:r w:rsidRPr="003B659A">
        <w:rPr>
          <w:rFonts w:ascii="Times New Roman" w:eastAsia="Times New Roman" w:hAnsi="Times New Roman" w:cs="Times New Roman"/>
          <w:i/>
          <w:iCs/>
          <w:sz w:val="24"/>
          <w:szCs w:val="24"/>
        </w:rPr>
        <w:t>National Tax Journal, 67</w:t>
      </w:r>
      <w:r w:rsidRPr="003B659A">
        <w:rPr>
          <w:rFonts w:ascii="Times New Roman" w:eastAsia="Times New Roman" w:hAnsi="Times New Roman" w:cs="Times New Roman"/>
          <w:sz w:val="24"/>
          <w:szCs w:val="24"/>
        </w:rPr>
        <w:t xml:space="preserve">(4), 875–900. </w:t>
      </w:r>
      <w:hyperlink r:id="rId14" w:tgtFrame="_new" w:history="1">
        <w:r w:rsidRPr="003B659A">
          <w:rPr>
            <w:rFonts w:ascii="Times New Roman" w:eastAsia="Times New Roman" w:hAnsi="Times New Roman" w:cs="Times New Roman"/>
            <w:color w:val="0000FF"/>
            <w:sz w:val="24"/>
            <w:szCs w:val="24"/>
            <w:u w:val="single"/>
          </w:rPr>
          <w:t>https://doi.org/10.17310/ntj.2014.4.06</w:t>
        </w:r>
      </w:hyperlink>
      <w:r w:rsidRPr="003B659A">
        <w:rPr>
          <w:rFonts w:ascii="Times New Roman" w:eastAsia="Times New Roman" w:hAnsi="Times New Roman" w:cs="Times New Roman"/>
          <w:sz w:val="24"/>
          <w:szCs w:val="24"/>
        </w:rPr>
        <w:t xml:space="preserve"> </w:t>
      </w:r>
    </w:p>
    <w:p w14:paraId="2364970E" w14:textId="6C5C9B7A" w:rsidR="003B659A" w:rsidRPr="003B659A" w:rsidRDefault="003B659A" w:rsidP="003B659A">
      <w:pPr>
        <w:spacing w:after="0" w:line="240" w:lineRule="auto"/>
        <w:ind w:left="540" w:hanging="540"/>
        <w:jc w:val="both"/>
        <w:rPr>
          <w:rFonts w:ascii="Times New Roman" w:eastAsia="Times New Roman" w:hAnsi="Times New Roman" w:cs="Times New Roman"/>
          <w:sz w:val="24"/>
          <w:szCs w:val="24"/>
        </w:rPr>
      </w:pPr>
      <w:r w:rsidRPr="003B659A">
        <w:rPr>
          <w:rFonts w:ascii="Times New Roman" w:eastAsia="Times New Roman" w:hAnsi="Times New Roman" w:cs="Times New Roman"/>
          <w:sz w:val="24"/>
          <w:szCs w:val="24"/>
        </w:rPr>
        <w:t xml:space="preserve">Boubaker, S., Cellier, A., Manita, R., &amp; Toumi, N. (2020). Ownership structure and long-run performance of French IPO firms. </w:t>
      </w:r>
      <w:r w:rsidRPr="003B659A">
        <w:rPr>
          <w:rFonts w:ascii="Times New Roman" w:eastAsia="Times New Roman" w:hAnsi="Times New Roman" w:cs="Times New Roman"/>
          <w:i/>
          <w:iCs/>
          <w:sz w:val="24"/>
          <w:szCs w:val="24"/>
        </w:rPr>
        <w:t xml:space="preserve">Management International / International Management / </w:t>
      </w:r>
      <w:proofErr w:type="spellStart"/>
      <w:r w:rsidRPr="003B659A">
        <w:rPr>
          <w:rFonts w:ascii="Times New Roman" w:eastAsia="Times New Roman" w:hAnsi="Times New Roman" w:cs="Times New Roman"/>
          <w:i/>
          <w:iCs/>
          <w:sz w:val="24"/>
          <w:szCs w:val="24"/>
        </w:rPr>
        <w:t>Gestión</w:t>
      </w:r>
      <w:proofErr w:type="spellEnd"/>
      <w:r w:rsidRPr="003B659A">
        <w:rPr>
          <w:rFonts w:ascii="Times New Roman" w:eastAsia="Times New Roman" w:hAnsi="Times New Roman" w:cs="Times New Roman"/>
          <w:i/>
          <w:iCs/>
          <w:sz w:val="24"/>
          <w:szCs w:val="24"/>
        </w:rPr>
        <w:t xml:space="preserve"> Internacional, 24</w:t>
      </w:r>
      <w:r w:rsidRPr="003B659A">
        <w:rPr>
          <w:rFonts w:ascii="Times New Roman" w:eastAsia="Times New Roman" w:hAnsi="Times New Roman" w:cs="Times New Roman"/>
          <w:sz w:val="24"/>
          <w:szCs w:val="24"/>
        </w:rPr>
        <w:t xml:space="preserve">(5), 135–152. </w:t>
      </w:r>
      <w:hyperlink r:id="rId15" w:tgtFrame="_new" w:history="1">
        <w:r w:rsidRPr="003B659A">
          <w:rPr>
            <w:rFonts w:ascii="Times New Roman" w:eastAsia="Times New Roman" w:hAnsi="Times New Roman" w:cs="Times New Roman"/>
            <w:color w:val="0000FF"/>
            <w:sz w:val="24"/>
            <w:szCs w:val="24"/>
            <w:u w:val="single"/>
          </w:rPr>
          <w:t>https://doi.org/10.7202/1075486ar</w:t>
        </w:r>
      </w:hyperlink>
      <w:r w:rsidRPr="003B659A">
        <w:rPr>
          <w:rFonts w:ascii="Times New Roman" w:eastAsia="Times New Roman" w:hAnsi="Times New Roman" w:cs="Times New Roman"/>
          <w:sz w:val="24"/>
          <w:szCs w:val="24"/>
        </w:rPr>
        <w:t xml:space="preserve"> </w:t>
      </w:r>
    </w:p>
    <w:p w14:paraId="6503B3C6" w14:textId="5AA04A5B" w:rsidR="003B659A" w:rsidRPr="003B659A" w:rsidRDefault="003B659A" w:rsidP="003B659A">
      <w:pPr>
        <w:spacing w:after="0" w:line="240" w:lineRule="auto"/>
        <w:ind w:left="540" w:hanging="540"/>
        <w:jc w:val="both"/>
        <w:rPr>
          <w:rFonts w:ascii="Times New Roman" w:eastAsia="Times New Roman" w:hAnsi="Times New Roman" w:cs="Times New Roman"/>
          <w:sz w:val="24"/>
          <w:szCs w:val="24"/>
        </w:rPr>
      </w:pPr>
      <w:r w:rsidRPr="003B659A">
        <w:rPr>
          <w:rFonts w:ascii="Times New Roman" w:eastAsia="Times New Roman" w:hAnsi="Times New Roman" w:cs="Times New Roman"/>
          <w:sz w:val="24"/>
          <w:szCs w:val="24"/>
        </w:rPr>
        <w:t xml:space="preserve">Central Bank of Nigeria. (2024). </w:t>
      </w:r>
      <w:r w:rsidRPr="003B659A">
        <w:rPr>
          <w:rFonts w:ascii="Times New Roman" w:eastAsia="Times New Roman" w:hAnsi="Times New Roman" w:cs="Times New Roman"/>
          <w:i/>
          <w:iCs/>
          <w:sz w:val="24"/>
          <w:szCs w:val="24"/>
        </w:rPr>
        <w:t>Central Bank of Nigeria annual report and statement of accounts for the year ended 31 December 2024.</w:t>
      </w:r>
      <w:r w:rsidRPr="003B659A">
        <w:rPr>
          <w:rFonts w:ascii="Times New Roman" w:eastAsia="Times New Roman" w:hAnsi="Times New Roman" w:cs="Times New Roman"/>
          <w:sz w:val="24"/>
          <w:szCs w:val="24"/>
        </w:rPr>
        <w:t xml:space="preserve"> </w:t>
      </w:r>
      <w:hyperlink r:id="rId16" w:tgtFrame="_new" w:history="1">
        <w:r w:rsidRPr="003B659A">
          <w:rPr>
            <w:rFonts w:ascii="Times New Roman" w:eastAsia="Times New Roman" w:hAnsi="Times New Roman" w:cs="Times New Roman"/>
            <w:color w:val="0000FF"/>
            <w:sz w:val="24"/>
            <w:szCs w:val="24"/>
            <w:u w:val="single"/>
          </w:rPr>
          <w:t>https://www.cbn.gov.ng/Documents/cbnannualreports.html</w:t>
        </w:r>
      </w:hyperlink>
      <w:r w:rsidRPr="003B659A">
        <w:rPr>
          <w:rFonts w:ascii="Times New Roman" w:eastAsia="Times New Roman" w:hAnsi="Times New Roman" w:cs="Times New Roman"/>
          <w:sz w:val="24"/>
          <w:szCs w:val="24"/>
        </w:rPr>
        <w:t xml:space="preserve"> </w:t>
      </w:r>
    </w:p>
    <w:p w14:paraId="5A149BE7" w14:textId="4E00D171" w:rsidR="003B659A" w:rsidRPr="003B659A" w:rsidRDefault="003B659A" w:rsidP="003B659A">
      <w:pPr>
        <w:spacing w:after="0" w:line="240" w:lineRule="auto"/>
        <w:ind w:left="540" w:hanging="540"/>
        <w:jc w:val="both"/>
        <w:rPr>
          <w:rFonts w:ascii="Times New Roman" w:eastAsia="Times New Roman" w:hAnsi="Times New Roman" w:cs="Times New Roman"/>
          <w:sz w:val="24"/>
          <w:szCs w:val="24"/>
        </w:rPr>
      </w:pPr>
      <w:r w:rsidRPr="003B659A">
        <w:rPr>
          <w:rFonts w:ascii="Times New Roman" w:eastAsia="Times New Roman" w:hAnsi="Times New Roman" w:cs="Times New Roman"/>
          <w:sz w:val="24"/>
          <w:szCs w:val="24"/>
        </w:rPr>
        <w:lastRenderedPageBreak/>
        <w:t xml:space="preserve">Chukwuma, J. N. (2023). Implementing health policy in Nigeria: The Basic Health Care Provision Fund as a catalyst for achieving universal health coverage? </w:t>
      </w:r>
      <w:r w:rsidRPr="003B659A">
        <w:rPr>
          <w:rFonts w:ascii="Times New Roman" w:eastAsia="Times New Roman" w:hAnsi="Times New Roman" w:cs="Times New Roman"/>
          <w:i/>
          <w:iCs/>
          <w:sz w:val="24"/>
          <w:szCs w:val="24"/>
        </w:rPr>
        <w:t>Development and Change, 54</w:t>
      </w:r>
      <w:r w:rsidRPr="003B659A">
        <w:rPr>
          <w:rFonts w:ascii="Times New Roman" w:eastAsia="Times New Roman" w:hAnsi="Times New Roman" w:cs="Times New Roman"/>
          <w:sz w:val="24"/>
          <w:szCs w:val="24"/>
        </w:rPr>
        <w:t xml:space="preserve">(6), 1480–1503. </w:t>
      </w:r>
      <w:hyperlink r:id="rId17" w:tgtFrame="_new" w:history="1">
        <w:r w:rsidRPr="003B659A">
          <w:rPr>
            <w:rFonts w:ascii="Times New Roman" w:eastAsia="Times New Roman" w:hAnsi="Times New Roman" w:cs="Times New Roman"/>
            <w:color w:val="0000FF"/>
            <w:sz w:val="24"/>
            <w:szCs w:val="24"/>
            <w:u w:val="single"/>
          </w:rPr>
          <w:t>https://doi.org/10.1111/dech.12808</w:t>
        </w:r>
      </w:hyperlink>
      <w:r w:rsidRPr="003B659A">
        <w:rPr>
          <w:rFonts w:ascii="Times New Roman" w:eastAsia="Times New Roman" w:hAnsi="Times New Roman" w:cs="Times New Roman"/>
          <w:sz w:val="24"/>
          <w:szCs w:val="24"/>
        </w:rPr>
        <w:t xml:space="preserve"> </w:t>
      </w:r>
    </w:p>
    <w:p w14:paraId="63ADD91D" w14:textId="097CB5B6" w:rsidR="003B659A" w:rsidRPr="003B659A" w:rsidRDefault="003B659A" w:rsidP="003B659A">
      <w:pPr>
        <w:spacing w:after="0" w:line="240" w:lineRule="auto"/>
        <w:ind w:left="540" w:hanging="540"/>
        <w:jc w:val="both"/>
        <w:rPr>
          <w:rFonts w:ascii="Times New Roman" w:eastAsia="Times New Roman" w:hAnsi="Times New Roman" w:cs="Times New Roman"/>
          <w:sz w:val="24"/>
          <w:szCs w:val="24"/>
        </w:rPr>
      </w:pPr>
      <w:r w:rsidRPr="003B659A">
        <w:rPr>
          <w:rFonts w:ascii="Times New Roman" w:eastAsia="Times New Roman" w:hAnsi="Times New Roman" w:cs="Times New Roman"/>
          <w:sz w:val="24"/>
          <w:szCs w:val="24"/>
        </w:rPr>
        <w:t xml:space="preserve">Cook, T. D., &amp; Campbell, D. T. (1979). </w:t>
      </w:r>
      <w:r w:rsidRPr="003B659A">
        <w:rPr>
          <w:rFonts w:ascii="Times New Roman" w:eastAsia="Times New Roman" w:hAnsi="Times New Roman" w:cs="Times New Roman"/>
          <w:i/>
          <w:iCs/>
          <w:sz w:val="24"/>
          <w:szCs w:val="24"/>
        </w:rPr>
        <w:t>Quasi-experimentation: Design &amp; analysis issues for field settings.</w:t>
      </w:r>
      <w:r w:rsidRPr="003B659A">
        <w:rPr>
          <w:rFonts w:ascii="Times New Roman" w:eastAsia="Times New Roman" w:hAnsi="Times New Roman" w:cs="Times New Roman"/>
          <w:sz w:val="24"/>
          <w:szCs w:val="24"/>
        </w:rPr>
        <w:t xml:space="preserve"> Houghton Mifflin. </w:t>
      </w:r>
      <w:hyperlink r:id="rId18" w:tgtFrame="_new" w:history="1">
        <w:r w:rsidRPr="003B659A">
          <w:rPr>
            <w:rFonts w:ascii="Times New Roman" w:eastAsia="Times New Roman" w:hAnsi="Times New Roman" w:cs="Times New Roman"/>
            <w:color w:val="0000FF"/>
            <w:sz w:val="24"/>
            <w:szCs w:val="24"/>
            <w:u w:val="single"/>
          </w:rPr>
          <w:t>https://searchworks.stanford.edu/view/1032089</w:t>
        </w:r>
      </w:hyperlink>
      <w:r w:rsidRPr="003B659A">
        <w:rPr>
          <w:rFonts w:ascii="Times New Roman" w:eastAsia="Times New Roman" w:hAnsi="Times New Roman" w:cs="Times New Roman"/>
          <w:sz w:val="24"/>
          <w:szCs w:val="24"/>
        </w:rPr>
        <w:t xml:space="preserve"> </w:t>
      </w:r>
    </w:p>
    <w:p w14:paraId="1F6F1277" w14:textId="359C0B72" w:rsidR="003B659A" w:rsidRPr="003B659A" w:rsidRDefault="003B659A" w:rsidP="003B659A">
      <w:pPr>
        <w:spacing w:after="0" w:line="240" w:lineRule="auto"/>
        <w:ind w:left="540" w:hanging="540"/>
        <w:jc w:val="both"/>
        <w:rPr>
          <w:rFonts w:ascii="Times New Roman" w:eastAsia="Times New Roman" w:hAnsi="Times New Roman" w:cs="Times New Roman"/>
          <w:sz w:val="24"/>
          <w:szCs w:val="24"/>
        </w:rPr>
      </w:pPr>
      <w:r w:rsidRPr="003B659A">
        <w:rPr>
          <w:rFonts w:ascii="Times New Roman" w:eastAsia="Times New Roman" w:hAnsi="Times New Roman" w:cs="Times New Roman"/>
          <w:sz w:val="24"/>
          <w:szCs w:val="24"/>
        </w:rPr>
        <w:t xml:space="preserve">Damodaran, A. (2014). </w:t>
      </w:r>
      <w:r w:rsidRPr="003B659A">
        <w:rPr>
          <w:rFonts w:ascii="Times New Roman" w:eastAsia="Times New Roman" w:hAnsi="Times New Roman" w:cs="Times New Roman"/>
          <w:i/>
          <w:iCs/>
          <w:sz w:val="24"/>
          <w:szCs w:val="24"/>
        </w:rPr>
        <w:t>Applied corporate finance</w:t>
      </w:r>
      <w:r w:rsidRPr="003B659A">
        <w:rPr>
          <w:rFonts w:ascii="Times New Roman" w:eastAsia="Times New Roman" w:hAnsi="Times New Roman" w:cs="Times New Roman"/>
          <w:sz w:val="24"/>
          <w:szCs w:val="24"/>
        </w:rPr>
        <w:t xml:space="preserve"> (4th ed.). Wiley. </w:t>
      </w:r>
      <w:hyperlink r:id="rId19" w:tgtFrame="_new" w:history="1">
        <w:r w:rsidRPr="003B659A">
          <w:rPr>
            <w:rFonts w:ascii="Times New Roman" w:eastAsia="Times New Roman" w:hAnsi="Times New Roman" w:cs="Times New Roman"/>
            <w:color w:val="0000FF"/>
            <w:sz w:val="24"/>
            <w:szCs w:val="24"/>
            <w:u w:val="single"/>
          </w:rPr>
          <w:t>https://pages.stern.nyu.edu/~adamodar/New_Home_Page/ACF4E/appldCF4E.htm</w:t>
        </w:r>
      </w:hyperlink>
      <w:r w:rsidRPr="003B659A">
        <w:rPr>
          <w:rFonts w:ascii="Times New Roman" w:eastAsia="Times New Roman" w:hAnsi="Times New Roman" w:cs="Times New Roman"/>
          <w:sz w:val="24"/>
          <w:szCs w:val="24"/>
        </w:rPr>
        <w:t xml:space="preserve"> </w:t>
      </w:r>
    </w:p>
    <w:p w14:paraId="03242C69" w14:textId="528D511A" w:rsidR="003B659A" w:rsidRPr="003B659A" w:rsidRDefault="003B659A" w:rsidP="003B659A">
      <w:pPr>
        <w:spacing w:after="0" w:line="240" w:lineRule="auto"/>
        <w:ind w:left="540" w:hanging="540"/>
        <w:jc w:val="both"/>
        <w:rPr>
          <w:rFonts w:ascii="Times New Roman" w:eastAsia="Times New Roman" w:hAnsi="Times New Roman" w:cs="Times New Roman"/>
          <w:sz w:val="24"/>
          <w:szCs w:val="24"/>
        </w:rPr>
      </w:pPr>
      <w:r w:rsidRPr="003B659A">
        <w:rPr>
          <w:rFonts w:ascii="Times New Roman" w:eastAsia="Times New Roman" w:hAnsi="Times New Roman" w:cs="Times New Roman"/>
          <w:sz w:val="24"/>
          <w:szCs w:val="24"/>
        </w:rPr>
        <w:t xml:space="preserve">DeAngelo, H., &amp; </w:t>
      </w:r>
      <w:proofErr w:type="spellStart"/>
      <w:r w:rsidRPr="003B659A">
        <w:rPr>
          <w:rFonts w:ascii="Times New Roman" w:eastAsia="Times New Roman" w:hAnsi="Times New Roman" w:cs="Times New Roman"/>
          <w:sz w:val="24"/>
          <w:szCs w:val="24"/>
        </w:rPr>
        <w:t>Masulis</w:t>
      </w:r>
      <w:proofErr w:type="spellEnd"/>
      <w:r w:rsidRPr="003B659A">
        <w:rPr>
          <w:rFonts w:ascii="Times New Roman" w:eastAsia="Times New Roman" w:hAnsi="Times New Roman" w:cs="Times New Roman"/>
          <w:sz w:val="24"/>
          <w:szCs w:val="24"/>
        </w:rPr>
        <w:t xml:space="preserve">, R. W. (1980). Optimal capital structure under corporate and personal taxation. </w:t>
      </w:r>
      <w:r w:rsidRPr="003B659A">
        <w:rPr>
          <w:rFonts w:ascii="Times New Roman" w:eastAsia="Times New Roman" w:hAnsi="Times New Roman" w:cs="Times New Roman"/>
          <w:i/>
          <w:iCs/>
          <w:sz w:val="24"/>
          <w:szCs w:val="24"/>
        </w:rPr>
        <w:t>Journal of Financial Economics, 8</w:t>
      </w:r>
      <w:r w:rsidRPr="003B659A">
        <w:rPr>
          <w:rFonts w:ascii="Times New Roman" w:eastAsia="Times New Roman" w:hAnsi="Times New Roman" w:cs="Times New Roman"/>
          <w:sz w:val="24"/>
          <w:szCs w:val="24"/>
        </w:rPr>
        <w:t xml:space="preserve">(1), 3–29. </w:t>
      </w:r>
      <w:hyperlink r:id="rId20" w:tgtFrame="_new" w:history="1">
        <w:r w:rsidRPr="003B659A">
          <w:rPr>
            <w:rFonts w:ascii="Times New Roman" w:eastAsia="Times New Roman" w:hAnsi="Times New Roman" w:cs="Times New Roman"/>
            <w:color w:val="0000FF"/>
            <w:sz w:val="24"/>
            <w:szCs w:val="24"/>
            <w:u w:val="single"/>
          </w:rPr>
          <w:t>https://doi.org/10.1016/0304-405X(80)90019-7</w:t>
        </w:r>
      </w:hyperlink>
      <w:r w:rsidRPr="003B659A">
        <w:rPr>
          <w:rFonts w:ascii="Times New Roman" w:eastAsia="Times New Roman" w:hAnsi="Times New Roman" w:cs="Times New Roman"/>
          <w:sz w:val="24"/>
          <w:szCs w:val="24"/>
        </w:rPr>
        <w:t xml:space="preserve"> </w:t>
      </w:r>
    </w:p>
    <w:p w14:paraId="1DC86F12" w14:textId="45B35711" w:rsidR="003B659A" w:rsidRPr="003B659A" w:rsidRDefault="003B659A" w:rsidP="003B659A">
      <w:pPr>
        <w:spacing w:after="0" w:line="240" w:lineRule="auto"/>
        <w:ind w:left="540" w:hanging="540"/>
        <w:jc w:val="both"/>
        <w:rPr>
          <w:rFonts w:ascii="Times New Roman" w:eastAsia="Times New Roman" w:hAnsi="Times New Roman" w:cs="Times New Roman"/>
          <w:sz w:val="24"/>
          <w:szCs w:val="24"/>
        </w:rPr>
      </w:pPr>
      <w:r w:rsidRPr="003B659A">
        <w:rPr>
          <w:rFonts w:ascii="Times New Roman" w:eastAsia="Times New Roman" w:hAnsi="Times New Roman" w:cs="Times New Roman"/>
          <w:sz w:val="24"/>
          <w:szCs w:val="24"/>
        </w:rPr>
        <w:t xml:space="preserve">Desai, M. A., &amp; Dharmapala, D. (2006). Corporate tax avoidance and high-powered incentives. </w:t>
      </w:r>
      <w:r w:rsidRPr="003B659A">
        <w:rPr>
          <w:rFonts w:ascii="Times New Roman" w:eastAsia="Times New Roman" w:hAnsi="Times New Roman" w:cs="Times New Roman"/>
          <w:i/>
          <w:iCs/>
          <w:sz w:val="24"/>
          <w:szCs w:val="24"/>
        </w:rPr>
        <w:t>Journal of Financial Economics, 79</w:t>
      </w:r>
      <w:r w:rsidRPr="003B659A">
        <w:rPr>
          <w:rFonts w:ascii="Times New Roman" w:eastAsia="Times New Roman" w:hAnsi="Times New Roman" w:cs="Times New Roman"/>
          <w:sz w:val="24"/>
          <w:szCs w:val="24"/>
        </w:rPr>
        <w:t xml:space="preserve">(1), 145–179. </w:t>
      </w:r>
      <w:hyperlink r:id="rId21" w:tgtFrame="_new" w:history="1">
        <w:r w:rsidRPr="003B659A">
          <w:rPr>
            <w:rFonts w:ascii="Times New Roman" w:eastAsia="Times New Roman" w:hAnsi="Times New Roman" w:cs="Times New Roman"/>
            <w:color w:val="0000FF"/>
            <w:sz w:val="24"/>
            <w:szCs w:val="24"/>
            <w:u w:val="single"/>
          </w:rPr>
          <w:t>https://doi.org/10.1016/j.jfineco.2005.02.002</w:t>
        </w:r>
      </w:hyperlink>
    </w:p>
    <w:p w14:paraId="2D59BE7D" w14:textId="2906B995" w:rsidR="003B659A" w:rsidRPr="003B659A" w:rsidRDefault="003B659A" w:rsidP="003B659A">
      <w:pPr>
        <w:spacing w:after="0" w:line="240" w:lineRule="auto"/>
        <w:ind w:left="540" w:hanging="540"/>
        <w:jc w:val="both"/>
        <w:rPr>
          <w:rFonts w:ascii="Times New Roman" w:eastAsia="Times New Roman" w:hAnsi="Times New Roman" w:cs="Times New Roman"/>
          <w:sz w:val="24"/>
          <w:szCs w:val="24"/>
        </w:rPr>
      </w:pPr>
      <w:r w:rsidRPr="003B659A">
        <w:rPr>
          <w:rFonts w:ascii="Times New Roman" w:eastAsia="Times New Roman" w:hAnsi="Times New Roman" w:cs="Times New Roman"/>
          <w:sz w:val="24"/>
          <w:szCs w:val="24"/>
        </w:rPr>
        <w:t xml:space="preserve">Desai, M. A., &amp; Dharmapala, D. (2009). Corporate tax avoidance and firm value. </w:t>
      </w:r>
      <w:r w:rsidRPr="003B659A">
        <w:rPr>
          <w:rFonts w:ascii="Times New Roman" w:eastAsia="Times New Roman" w:hAnsi="Times New Roman" w:cs="Times New Roman"/>
          <w:i/>
          <w:iCs/>
          <w:sz w:val="24"/>
          <w:szCs w:val="24"/>
        </w:rPr>
        <w:t>The Review of Economics and Statistics, 91</w:t>
      </w:r>
      <w:r w:rsidRPr="003B659A">
        <w:rPr>
          <w:rFonts w:ascii="Times New Roman" w:eastAsia="Times New Roman" w:hAnsi="Times New Roman" w:cs="Times New Roman"/>
          <w:sz w:val="24"/>
          <w:szCs w:val="24"/>
        </w:rPr>
        <w:t xml:space="preserve">(3), 537–546. </w:t>
      </w:r>
      <w:hyperlink r:id="rId22" w:tgtFrame="_new" w:history="1">
        <w:r w:rsidRPr="003B659A">
          <w:rPr>
            <w:rFonts w:ascii="Times New Roman" w:eastAsia="Times New Roman" w:hAnsi="Times New Roman" w:cs="Times New Roman"/>
            <w:color w:val="0000FF"/>
            <w:sz w:val="24"/>
            <w:szCs w:val="24"/>
            <w:u w:val="single"/>
          </w:rPr>
          <w:t>https://doi.org/10.1162/rest.91.3.537</w:t>
        </w:r>
      </w:hyperlink>
      <w:r w:rsidRPr="003B659A">
        <w:rPr>
          <w:rFonts w:ascii="Times New Roman" w:eastAsia="Times New Roman" w:hAnsi="Times New Roman" w:cs="Times New Roman"/>
          <w:sz w:val="24"/>
          <w:szCs w:val="24"/>
        </w:rPr>
        <w:t xml:space="preserve"> </w:t>
      </w:r>
    </w:p>
    <w:p w14:paraId="66ED8DAF" w14:textId="398FB255" w:rsidR="003B659A" w:rsidRPr="003B659A" w:rsidRDefault="003B659A" w:rsidP="003B659A">
      <w:pPr>
        <w:spacing w:after="0" w:line="240" w:lineRule="auto"/>
        <w:ind w:left="540" w:hanging="540"/>
        <w:jc w:val="both"/>
        <w:rPr>
          <w:rFonts w:ascii="Times New Roman" w:eastAsia="Times New Roman" w:hAnsi="Times New Roman" w:cs="Times New Roman"/>
          <w:sz w:val="24"/>
          <w:szCs w:val="24"/>
        </w:rPr>
      </w:pPr>
      <w:r w:rsidRPr="003B659A">
        <w:rPr>
          <w:rFonts w:ascii="Times New Roman" w:eastAsia="Times New Roman" w:hAnsi="Times New Roman" w:cs="Times New Roman"/>
          <w:sz w:val="24"/>
          <w:szCs w:val="24"/>
        </w:rPr>
        <w:t xml:space="preserve">De Vito, A., &amp; Jacob, M. (2023). The role of creditor protection in lending and tax avoidance. </w:t>
      </w:r>
      <w:r w:rsidRPr="003B659A">
        <w:rPr>
          <w:rFonts w:ascii="Times New Roman" w:eastAsia="Times New Roman" w:hAnsi="Times New Roman" w:cs="Times New Roman"/>
          <w:i/>
          <w:iCs/>
          <w:sz w:val="24"/>
          <w:szCs w:val="24"/>
        </w:rPr>
        <w:t>Journal of Financial and Quantitative Analysis, 58</w:t>
      </w:r>
      <w:r w:rsidRPr="003B659A">
        <w:rPr>
          <w:rFonts w:ascii="Times New Roman" w:eastAsia="Times New Roman" w:hAnsi="Times New Roman" w:cs="Times New Roman"/>
          <w:sz w:val="24"/>
          <w:szCs w:val="24"/>
        </w:rPr>
        <w:t xml:space="preserve">(5), 2096–2130. </w:t>
      </w:r>
      <w:hyperlink r:id="rId23" w:tgtFrame="_new" w:history="1">
        <w:r w:rsidRPr="003B659A">
          <w:rPr>
            <w:rFonts w:ascii="Times New Roman" w:eastAsia="Times New Roman" w:hAnsi="Times New Roman" w:cs="Times New Roman"/>
            <w:color w:val="0000FF"/>
            <w:sz w:val="24"/>
            <w:szCs w:val="24"/>
            <w:u w:val="single"/>
          </w:rPr>
          <w:t>https://doi.org/10.1017/S0022109022001144</w:t>
        </w:r>
      </w:hyperlink>
      <w:r w:rsidRPr="003B659A">
        <w:rPr>
          <w:rFonts w:ascii="Times New Roman" w:eastAsia="Times New Roman" w:hAnsi="Times New Roman" w:cs="Times New Roman"/>
          <w:sz w:val="24"/>
          <w:szCs w:val="24"/>
        </w:rPr>
        <w:t xml:space="preserve"> </w:t>
      </w:r>
    </w:p>
    <w:p w14:paraId="42616F54" w14:textId="7FB58A19" w:rsidR="003B659A" w:rsidRPr="003B659A" w:rsidRDefault="003B659A" w:rsidP="003B659A">
      <w:pPr>
        <w:spacing w:after="0" w:line="240" w:lineRule="auto"/>
        <w:ind w:left="540" w:hanging="540"/>
        <w:jc w:val="both"/>
        <w:rPr>
          <w:rFonts w:ascii="Times New Roman" w:eastAsia="Times New Roman" w:hAnsi="Times New Roman" w:cs="Times New Roman"/>
          <w:sz w:val="24"/>
          <w:szCs w:val="24"/>
          <w:lang w:val="nl-BE"/>
        </w:rPr>
      </w:pPr>
      <w:r w:rsidRPr="003B659A">
        <w:rPr>
          <w:rFonts w:ascii="Times New Roman" w:eastAsia="Times New Roman" w:hAnsi="Times New Roman" w:cs="Times New Roman"/>
          <w:sz w:val="24"/>
          <w:szCs w:val="24"/>
          <w:lang w:val="nl-BE"/>
        </w:rPr>
        <w:t xml:space="preserve">Drake, K. D., Hamilton, R., &amp; Lusch, S. J. (2020). </w:t>
      </w:r>
      <w:r w:rsidRPr="003B659A">
        <w:rPr>
          <w:rFonts w:ascii="Times New Roman" w:eastAsia="Times New Roman" w:hAnsi="Times New Roman" w:cs="Times New Roman"/>
          <w:sz w:val="24"/>
          <w:szCs w:val="24"/>
        </w:rPr>
        <w:t xml:space="preserve">Are declining effective tax rates indicative of tax avoidance? Insight from effective tax rate reconciliations. </w:t>
      </w:r>
      <w:r w:rsidRPr="003B659A">
        <w:rPr>
          <w:rFonts w:ascii="Times New Roman" w:eastAsia="Times New Roman" w:hAnsi="Times New Roman" w:cs="Times New Roman"/>
          <w:i/>
          <w:iCs/>
          <w:sz w:val="24"/>
          <w:szCs w:val="24"/>
        </w:rPr>
        <w:t>Journal of Accounting and Economics, 70</w:t>
      </w:r>
      <w:r w:rsidRPr="003B659A">
        <w:rPr>
          <w:rFonts w:ascii="Times New Roman" w:eastAsia="Times New Roman" w:hAnsi="Times New Roman" w:cs="Times New Roman"/>
          <w:sz w:val="24"/>
          <w:szCs w:val="24"/>
        </w:rPr>
        <w:t xml:space="preserve">(1), Article 101317. </w:t>
      </w:r>
      <w:hyperlink r:id="rId24" w:tgtFrame="_new" w:history="1">
        <w:r w:rsidRPr="003B659A">
          <w:rPr>
            <w:rFonts w:ascii="Times New Roman" w:eastAsia="Times New Roman" w:hAnsi="Times New Roman" w:cs="Times New Roman"/>
            <w:color w:val="0000FF"/>
            <w:sz w:val="24"/>
            <w:szCs w:val="24"/>
            <w:u w:val="single"/>
            <w:lang w:val="nl-BE"/>
          </w:rPr>
          <w:t>https://doi.org/10.1016/j.jacceco.2020.101317</w:t>
        </w:r>
      </w:hyperlink>
      <w:r w:rsidRPr="003B659A">
        <w:rPr>
          <w:rFonts w:ascii="Times New Roman" w:eastAsia="Times New Roman" w:hAnsi="Times New Roman" w:cs="Times New Roman"/>
          <w:sz w:val="24"/>
          <w:szCs w:val="24"/>
          <w:lang w:val="nl-BE"/>
        </w:rPr>
        <w:t xml:space="preserve"> </w:t>
      </w:r>
    </w:p>
    <w:p w14:paraId="2EF8D3EA" w14:textId="2D91DC3C" w:rsidR="003B659A" w:rsidRPr="003B659A" w:rsidRDefault="003B659A" w:rsidP="003B659A">
      <w:pPr>
        <w:spacing w:after="0" w:line="240" w:lineRule="auto"/>
        <w:ind w:left="540" w:hanging="540"/>
        <w:jc w:val="both"/>
        <w:rPr>
          <w:rFonts w:ascii="Times New Roman" w:eastAsia="Times New Roman" w:hAnsi="Times New Roman" w:cs="Times New Roman"/>
          <w:sz w:val="24"/>
          <w:szCs w:val="24"/>
        </w:rPr>
      </w:pPr>
      <w:r w:rsidRPr="003B659A">
        <w:rPr>
          <w:rFonts w:ascii="Times New Roman" w:eastAsia="Times New Roman" w:hAnsi="Times New Roman" w:cs="Times New Roman"/>
          <w:sz w:val="24"/>
          <w:szCs w:val="24"/>
          <w:lang w:val="nl-BE"/>
        </w:rPr>
        <w:t xml:space="preserve">Driscoll, J. C., &amp; Kraay, A. C. (1998). </w:t>
      </w:r>
      <w:r w:rsidRPr="003B659A">
        <w:rPr>
          <w:rFonts w:ascii="Times New Roman" w:eastAsia="Times New Roman" w:hAnsi="Times New Roman" w:cs="Times New Roman"/>
          <w:sz w:val="24"/>
          <w:szCs w:val="24"/>
        </w:rPr>
        <w:t xml:space="preserve">Consistent covariance matrix estimation with spatially dependent panel data. </w:t>
      </w:r>
      <w:r w:rsidRPr="003B659A">
        <w:rPr>
          <w:rFonts w:ascii="Times New Roman" w:eastAsia="Times New Roman" w:hAnsi="Times New Roman" w:cs="Times New Roman"/>
          <w:i/>
          <w:iCs/>
          <w:sz w:val="24"/>
          <w:szCs w:val="24"/>
        </w:rPr>
        <w:t>The Review of Economics and Statistics, 80</w:t>
      </w:r>
      <w:r w:rsidRPr="003B659A">
        <w:rPr>
          <w:rFonts w:ascii="Times New Roman" w:eastAsia="Times New Roman" w:hAnsi="Times New Roman" w:cs="Times New Roman"/>
          <w:sz w:val="24"/>
          <w:szCs w:val="24"/>
        </w:rPr>
        <w:t xml:space="preserve">(4), 549–560. </w:t>
      </w:r>
      <w:hyperlink r:id="rId25" w:tgtFrame="_new" w:history="1">
        <w:r w:rsidRPr="003B659A">
          <w:rPr>
            <w:rFonts w:ascii="Times New Roman" w:eastAsia="Times New Roman" w:hAnsi="Times New Roman" w:cs="Times New Roman"/>
            <w:color w:val="0000FF"/>
            <w:sz w:val="24"/>
            <w:szCs w:val="24"/>
            <w:u w:val="single"/>
          </w:rPr>
          <w:t>https://doi.org/10.1162/003465398557825</w:t>
        </w:r>
      </w:hyperlink>
      <w:r w:rsidRPr="003B659A">
        <w:rPr>
          <w:rFonts w:ascii="Times New Roman" w:eastAsia="Times New Roman" w:hAnsi="Times New Roman" w:cs="Times New Roman"/>
          <w:sz w:val="24"/>
          <w:szCs w:val="24"/>
        </w:rPr>
        <w:t xml:space="preserve"> </w:t>
      </w:r>
    </w:p>
    <w:p w14:paraId="1AE68F27" w14:textId="3D46CC11" w:rsidR="003B659A" w:rsidRPr="003B659A" w:rsidRDefault="003B659A" w:rsidP="003B659A">
      <w:pPr>
        <w:spacing w:after="0" w:line="240" w:lineRule="auto"/>
        <w:ind w:left="540" w:hanging="540"/>
        <w:jc w:val="both"/>
        <w:rPr>
          <w:rFonts w:ascii="Times New Roman" w:eastAsia="Times New Roman" w:hAnsi="Times New Roman" w:cs="Times New Roman"/>
          <w:sz w:val="24"/>
          <w:szCs w:val="24"/>
        </w:rPr>
      </w:pPr>
      <w:r w:rsidRPr="003B659A">
        <w:rPr>
          <w:rFonts w:ascii="Times New Roman" w:eastAsia="Times New Roman" w:hAnsi="Times New Roman" w:cs="Times New Roman"/>
          <w:sz w:val="24"/>
          <w:szCs w:val="24"/>
        </w:rPr>
        <w:t xml:space="preserve">George, O. B., &amp; Okolie, A. O. (2025). Corporate tax planning and financial performance of listed oil and gas companies in Nigeria. </w:t>
      </w:r>
      <w:r w:rsidRPr="003B659A">
        <w:rPr>
          <w:rFonts w:ascii="Times New Roman" w:eastAsia="Times New Roman" w:hAnsi="Times New Roman" w:cs="Times New Roman"/>
          <w:i/>
          <w:iCs/>
          <w:sz w:val="24"/>
          <w:szCs w:val="24"/>
        </w:rPr>
        <w:t>Journal of Accounting and Financial Management, 11</w:t>
      </w:r>
      <w:r w:rsidRPr="003B659A">
        <w:rPr>
          <w:rFonts w:ascii="Times New Roman" w:eastAsia="Times New Roman" w:hAnsi="Times New Roman" w:cs="Times New Roman"/>
          <w:sz w:val="24"/>
          <w:szCs w:val="24"/>
        </w:rPr>
        <w:t xml:space="preserve">(6), 367–383. </w:t>
      </w:r>
      <w:hyperlink r:id="rId26" w:tgtFrame="_new" w:history="1">
        <w:r w:rsidRPr="003B659A">
          <w:rPr>
            <w:rFonts w:ascii="Times New Roman" w:eastAsia="Times New Roman" w:hAnsi="Times New Roman" w:cs="Times New Roman"/>
            <w:color w:val="0000FF"/>
            <w:sz w:val="24"/>
            <w:szCs w:val="24"/>
            <w:u w:val="single"/>
          </w:rPr>
          <w:t>https://doi.org/10.56201/jafm.vol.11.no6.2025.pg367.383</w:t>
        </w:r>
      </w:hyperlink>
      <w:r w:rsidRPr="003B659A">
        <w:rPr>
          <w:rFonts w:ascii="Times New Roman" w:eastAsia="Times New Roman" w:hAnsi="Times New Roman" w:cs="Times New Roman"/>
          <w:sz w:val="24"/>
          <w:szCs w:val="24"/>
        </w:rPr>
        <w:t xml:space="preserve"> </w:t>
      </w:r>
    </w:p>
    <w:p w14:paraId="1A0E882A" w14:textId="6B66EC18" w:rsidR="003B659A" w:rsidRPr="003B659A" w:rsidRDefault="003B659A" w:rsidP="003B659A">
      <w:pPr>
        <w:spacing w:after="0" w:line="240" w:lineRule="auto"/>
        <w:ind w:left="540" w:hanging="540"/>
        <w:jc w:val="both"/>
        <w:rPr>
          <w:rFonts w:ascii="Times New Roman" w:eastAsia="Times New Roman" w:hAnsi="Times New Roman" w:cs="Times New Roman"/>
          <w:sz w:val="24"/>
          <w:szCs w:val="24"/>
        </w:rPr>
      </w:pPr>
      <w:r w:rsidRPr="003B659A">
        <w:rPr>
          <w:rFonts w:ascii="Times New Roman" w:eastAsia="Times New Roman" w:hAnsi="Times New Roman" w:cs="Times New Roman"/>
          <w:sz w:val="24"/>
          <w:szCs w:val="24"/>
        </w:rPr>
        <w:t xml:space="preserve">Graham, J. R. (2003). Taxes and corporate finance: A review. </w:t>
      </w:r>
      <w:r w:rsidRPr="003B659A">
        <w:rPr>
          <w:rFonts w:ascii="Times New Roman" w:eastAsia="Times New Roman" w:hAnsi="Times New Roman" w:cs="Times New Roman"/>
          <w:i/>
          <w:iCs/>
          <w:sz w:val="24"/>
          <w:szCs w:val="24"/>
        </w:rPr>
        <w:t>The Review of Financial Studies, 16</w:t>
      </w:r>
      <w:r w:rsidRPr="003B659A">
        <w:rPr>
          <w:rFonts w:ascii="Times New Roman" w:eastAsia="Times New Roman" w:hAnsi="Times New Roman" w:cs="Times New Roman"/>
          <w:sz w:val="24"/>
          <w:szCs w:val="24"/>
        </w:rPr>
        <w:t xml:space="preserve">(4), 1075–1129. </w:t>
      </w:r>
      <w:hyperlink r:id="rId27" w:tgtFrame="_new" w:history="1">
        <w:r w:rsidRPr="003B659A">
          <w:rPr>
            <w:rFonts w:ascii="Times New Roman" w:eastAsia="Times New Roman" w:hAnsi="Times New Roman" w:cs="Times New Roman"/>
            <w:color w:val="0000FF"/>
            <w:sz w:val="24"/>
            <w:szCs w:val="24"/>
            <w:u w:val="single"/>
          </w:rPr>
          <w:t>https://doi.org/10.1093/rfs/hhg033</w:t>
        </w:r>
      </w:hyperlink>
      <w:r w:rsidRPr="003B659A">
        <w:rPr>
          <w:rFonts w:ascii="Times New Roman" w:eastAsia="Times New Roman" w:hAnsi="Times New Roman" w:cs="Times New Roman"/>
          <w:sz w:val="24"/>
          <w:szCs w:val="24"/>
        </w:rPr>
        <w:t xml:space="preserve"> </w:t>
      </w:r>
    </w:p>
    <w:p w14:paraId="3A8A6131" w14:textId="767068E6" w:rsidR="003B659A" w:rsidRPr="003B659A" w:rsidRDefault="003B659A" w:rsidP="003B659A">
      <w:pPr>
        <w:spacing w:after="0" w:line="240" w:lineRule="auto"/>
        <w:ind w:left="540" w:hanging="540"/>
        <w:jc w:val="both"/>
        <w:rPr>
          <w:rFonts w:ascii="Times New Roman" w:eastAsia="Times New Roman" w:hAnsi="Times New Roman" w:cs="Times New Roman"/>
          <w:sz w:val="24"/>
          <w:szCs w:val="24"/>
        </w:rPr>
      </w:pPr>
      <w:r w:rsidRPr="003B659A">
        <w:rPr>
          <w:rFonts w:ascii="Times New Roman" w:eastAsia="Times New Roman" w:hAnsi="Times New Roman" w:cs="Times New Roman"/>
          <w:sz w:val="24"/>
          <w:szCs w:val="24"/>
        </w:rPr>
        <w:t xml:space="preserve">Habib, A., D’Costa, M., Huang, H. J., Bhuiyan, M. B. U., &amp; Sun, L. (2020). Determinants and consequences of financial distress: Review of the empirical literature. </w:t>
      </w:r>
      <w:r w:rsidRPr="003B659A">
        <w:rPr>
          <w:rFonts w:ascii="Times New Roman" w:eastAsia="Times New Roman" w:hAnsi="Times New Roman" w:cs="Times New Roman"/>
          <w:i/>
          <w:iCs/>
          <w:sz w:val="24"/>
          <w:szCs w:val="24"/>
        </w:rPr>
        <w:t>Accounting &amp; Finance, 60</w:t>
      </w:r>
      <w:r w:rsidRPr="003B659A">
        <w:rPr>
          <w:rFonts w:ascii="Times New Roman" w:eastAsia="Times New Roman" w:hAnsi="Times New Roman" w:cs="Times New Roman"/>
          <w:sz w:val="24"/>
          <w:szCs w:val="24"/>
        </w:rPr>
        <w:t xml:space="preserve">(S1), 1023–1075. </w:t>
      </w:r>
      <w:hyperlink r:id="rId28" w:tgtFrame="_new" w:history="1">
        <w:r w:rsidRPr="003B659A">
          <w:rPr>
            <w:rFonts w:ascii="Times New Roman" w:eastAsia="Times New Roman" w:hAnsi="Times New Roman" w:cs="Times New Roman"/>
            <w:color w:val="0000FF"/>
            <w:sz w:val="24"/>
            <w:szCs w:val="24"/>
            <w:u w:val="single"/>
          </w:rPr>
          <w:t>https://doi.org/10.1111/acfi.12400</w:t>
        </w:r>
      </w:hyperlink>
      <w:r w:rsidRPr="003B659A">
        <w:rPr>
          <w:rFonts w:ascii="Times New Roman" w:eastAsia="Times New Roman" w:hAnsi="Times New Roman" w:cs="Times New Roman"/>
          <w:sz w:val="24"/>
          <w:szCs w:val="24"/>
        </w:rPr>
        <w:t xml:space="preserve"> </w:t>
      </w:r>
    </w:p>
    <w:p w14:paraId="69BF5589" w14:textId="58CC628E" w:rsidR="003B659A" w:rsidRPr="003B659A" w:rsidRDefault="003B659A" w:rsidP="003B659A">
      <w:pPr>
        <w:spacing w:after="0" w:line="240" w:lineRule="auto"/>
        <w:ind w:left="540" w:hanging="540"/>
        <w:jc w:val="both"/>
        <w:rPr>
          <w:rFonts w:ascii="Times New Roman" w:eastAsia="Times New Roman" w:hAnsi="Times New Roman" w:cs="Times New Roman"/>
          <w:sz w:val="24"/>
          <w:szCs w:val="24"/>
        </w:rPr>
      </w:pPr>
      <w:r w:rsidRPr="003B659A">
        <w:rPr>
          <w:rFonts w:ascii="Times New Roman" w:eastAsia="Times New Roman" w:hAnsi="Times New Roman" w:cs="Times New Roman"/>
          <w:sz w:val="24"/>
          <w:szCs w:val="24"/>
        </w:rPr>
        <w:t xml:space="preserve">Habib, A., &amp; Hasan, M. M. (2021). Business strategy and labor investment efficiency. </w:t>
      </w:r>
      <w:r w:rsidRPr="003B659A">
        <w:rPr>
          <w:rFonts w:ascii="Times New Roman" w:eastAsia="Times New Roman" w:hAnsi="Times New Roman" w:cs="Times New Roman"/>
          <w:i/>
          <w:iCs/>
          <w:sz w:val="24"/>
          <w:szCs w:val="24"/>
        </w:rPr>
        <w:t>International Review of Finance, 21</w:t>
      </w:r>
      <w:r w:rsidRPr="003B659A">
        <w:rPr>
          <w:rFonts w:ascii="Times New Roman" w:eastAsia="Times New Roman" w:hAnsi="Times New Roman" w:cs="Times New Roman"/>
          <w:sz w:val="24"/>
          <w:szCs w:val="24"/>
        </w:rPr>
        <w:t xml:space="preserve">(1), 58–96. </w:t>
      </w:r>
      <w:hyperlink r:id="rId29" w:tgtFrame="_new" w:history="1">
        <w:r w:rsidRPr="003B659A">
          <w:rPr>
            <w:rFonts w:ascii="Times New Roman" w:eastAsia="Times New Roman" w:hAnsi="Times New Roman" w:cs="Times New Roman"/>
            <w:color w:val="0000FF"/>
            <w:sz w:val="24"/>
            <w:szCs w:val="24"/>
            <w:u w:val="single"/>
          </w:rPr>
          <w:t>https://doi.org/10.1111/irfi.12254</w:t>
        </w:r>
      </w:hyperlink>
      <w:r w:rsidRPr="003B659A">
        <w:rPr>
          <w:rFonts w:ascii="Times New Roman" w:eastAsia="Times New Roman" w:hAnsi="Times New Roman" w:cs="Times New Roman"/>
          <w:sz w:val="24"/>
          <w:szCs w:val="24"/>
        </w:rPr>
        <w:t xml:space="preserve"> </w:t>
      </w:r>
    </w:p>
    <w:p w14:paraId="6C416692" w14:textId="7394A311" w:rsidR="003B659A" w:rsidRPr="003B659A" w:rsidRDefault="003B659A" w:rsidP="003B659A">
      <w:pPr>
        <w:spacing w:after="0" w:line="240" w:lineRule="auto"/>
        <w:ind w:left="540" w:hanging="540"/>
        <w:jc w:val="both"/>
        <w:rPr>
          <w:rFonts w:ascii="Times New Roman" w:eastAsia="Times New Roman" w:hAnsi="Times New Roman" w:cs="Times New Roman"/>
          <w:sz w:val="24"/>
          <w:szCs w:val="24"/>
        </w:rPr>
      </w:pPr>
      <w:r w:rsidRPr="003B659A">
        <w:rPr>
          <w:rFonts w:ascii="Times New Roman" w:eastAsia="Times New Roman" w:hAnsi="Times New Roman" w:cs="Times New Roman"/>
          <w:sz w:val="24"/>
          <w:szCs w:val="24"/>
        </w:rPr>
        <w:t xml:space="preserve">Hanlon, M., &amp; Heitzman, S. (2022). Corporate debt and taxes. </w:t>
      </w:r>
      <w:r w:rsidRPr="003B659A">
        <w:rPr>
          <w:rFonts w:ascii="Times New Roman" w:eastAsia="Times New Roman" w:hAnsi="Times New Roman" w:cs="Times New Roman"/>
          <w:i/>
          <w:iCs/>
          <w:sz w:val="24"/>
          <w:szCs w:val="24"/>
        </w:rPr>
        <w:t>Annual Review of Financial Economics, 14</w:t>
      </w:r>
      <w:r w:rsidRPr="003B659A">
        <w:rPr>
          <w:rFonts w:ascii="Times New Roman" w:eastAsia="Times New Roman" w:hAnsi="Times New Roman" w:cs="Times New Roman"/>
          <w:sz w:val="24"/>
          <w:szCs w:val="24"/>
        </w:rPr>
        <w:t xml:space="preserve">, 509–534. </w:t>
      </w:r>
      <w:hyperlink r:id="rId30" w:tgtFrame="_new" w:history="1">
        <w:r w:rsidRPr="003B659A">
          <w:rPr>
            <w:rFonts w:ascii="Times New Roman" w:eastAsia="Times New Roman" w:hAnsi="Times New Roman" w:cs="Times New Roman"/>
            <w:color w:val="0000FF"/>
            <w:sz w:val="24"/>
            <w:szCs w:val="24"/>
            <w:u w:val="single"/>
          </w:rPr>
          <w:t>https://doi.org/10.1146/annurev-financial-101221-103806</w:t>
        </w:r>
      </w:hyperlink>
      <w:r w:rsidRPr="003B659A">
        <w:rPr>
          <w:rFonts w:ascii="Times New Roman" w:eastAsia="Times New Roman" w:hAnsi="Times New Roman" w:cs="Times New Roman"/>
          <w:sz w:val="24"/>
          <w:szCs w:val="24"/>
        </w:rPr>
        <w:t xml:space="preserve"> </w:t>
      </w:r>
    </w:p>
    <w:p w14:paraId="2408EE45" w14:textId="7E72A4CB" w:rsidR="003B659A" w:rsidRPr="003B659A" w:rsidRDefault="003B659A" w:rsidP="003B659A">
      <w:pPr>
        <w:spacing w:after="0" w:line="240" w:lineRule="auto"/>
        <w:ind w:left="540" w:hanging="540"/>
        <w:jc w:val="both"/>
        <w:rPr>
          <w:rFonts w:ascii="Times New Roman" w:eastAsia="Times New Roman" w:hAnsi="Times New Roman" w:cs="Times New Roman"/>
          <w:sz w:val="24"/>
          <w:szCs w:val="24"/>
        </w:rPr>
      </w:pPr>
      <w:proofErr w:type="spellStart"/>
      <w:r w:rsidRPr="003B659A">
        <w:rPr>
          <w:rFonts w:ascii="Times New Roman" w:eastAsia="Times New Roman" w:hAnsi="Times New Roman" w:cs="Times New Roman"/>
          <w:sz w:val="24"/>
          <w:szCs w:val="24"/>
        </w:rPr>
        <w:t>Hoechle</w:t>
      </w:r>
      <w:proofErr w:type="spellEnd"/>
      <w:r w:rsidRPr="003B659A">
        <w:rPr>
          <w:rFonts w:ascii="Times New Roman" w:eastAsia="Times New Roman" w:hAnsi="Times New Roman" w:cs="Times New Roman"/>
          <w:sz w:val="24"/>
          <w:szCs w:val="24"/>
        </w:rPr>
        <w:t xml:space="preserve">, D. (2007). Robust standard errors for panel regressions with cross-sectional dependence. </w:t>
      </w:r>
      <w:r w:rsidRPr="003B659A">
        <w:rPr>
          <w:rFonts w:ascii="Times New Roman" w:eastAsia="Times New Roman" w:hAnsi="Times New Roman" w:cs="Times New Roman"/>
          <w:i/>
          <w:iCs/>
          <w:sz w:val="24"/>
          <w:szCs w:val="24"/>
        </w:rPr>
        <w:t>The Stata Journal, 7</w:t>
      </w:r>
      <w:r w:rsidRPr="003B659A">
        <w:rPr>
          <w:rFonts w:ascii="Times New Roman" w:eastAsia="Times New Roman" w:hAnsi="Times New Roman" w:cs="Times New Roman"/>
          <w:sz w:val="24"/>
          <w:szCs w:val="24"/>
        </w:rPr>
        <w:t xml:space="preserve">(3), 281–312. </w:t>
      </w:r>
      <w:hyperlink r:id="rId31" w:tgtFrame="_new" w:history="1">
        <w:r w:rsidRPr="003B659A">
          <w:rPr>
            <w:rFonts w:ascii="Times New Roman" w:eastAsia="Times New Roman" w:hAnsi="Times New Roman" w:cs="Times New Roman"/>
            <w:color w:val="0000FF"/>
            <w:sz w:val="24"/>
            <w:szCs w:val="24"/>
            <w:u w:val="single"/>
          </w:rPr>
          <w:t>https://doi.org/10.1177/1536867X0700700301</w:t>
        </w:r>
      </w:hyperlink>
      <w:r w:rsidRPr="003B659A">
        <w:rPr>
          <w:rFonts w:ascii="Times New Roman" w:eastAsia="Times New Roman" w:hAnsi="Times New Roman" w:cs="Times New Roman"/>
          <w:sz w:val="24"/>
          <w:szCs w:val="24"/>
        </w:rPr>
        <w:t xml:space="preserve"> </w:t>
      </w:r>
    </w:p>
    <w:p w14:paraId="05A99108" w14:textId="04730144" w:rsidR="003B659A" w:rsidRPr="003B659A" w:rsidRDefault="003B659A" w:rsidP="003B659A">
      <w:pPr>
        <w:spacing w:after="0" w:line="240" w:lineRule="auto"/>
        <w:ind w:left="540" w:hanging="540"/>
        <w:jc w:val="both"/>
        <w:rPr>
          <w:rFonts w:ascii="Times New Roman" w:eastAsia="Times New Roman" w:hAnsi="Times New Roman" w:cs="Times New Roman"/>
          <w:sz w:val="24"/>
          <w:szCs w:val="24"/>
        </w:rPr>
      </w:pPr>
      <w:r w:rsidRPr="003B659A">
        <w:rPr>
          <w:rFonts w:ascii="Times New Roman" w:eastAsia="Times New Roman" w:hAnsi="Times New Roman" w:cs="Times New Roman"/>
          <w:sz w:val="24"/>
          <w:szCs w:val="24"/>
        </w:rPr>
        <w:t xml:space="preserve">International Monetary Fund. (2024). </w:t>
      </w:r>
      <w:r w:rsidRPr="003B659A">
        <w:rPr>
          <w:rFonts w:ascii="Times New Roman" w:eastAsia="Times New Roman" w:hAnsi="Times New Roman" w:cs="Times New Roman"/>
          <w:i/>
          <w:iCs/>
          <w:sz w:val="24"/>
          <w:szCs w:val="24"/>
        </w:rPr>
        <w:t>Nigeria: 2024 Article IV consultation—Press release; staff report; staff statement; and statement by the Executive Director for Nigeria</w:t>
      </w:r>
      <w:r w:rsidRPr="003B659A">
        <w:rPr>
          <w:rFonts w:ascii="Times New Roman" w:eastAsia="Times New Roman" w:hAnsi="Times New Roman" w:cs="Times New Roman"/>
          <w:sz w:val="24"/>
          <w:szCs w:val="24"/>
        </w:rPr>
        <w:t xml:space="preserve"> (IMF Country Report No. 24/102). </w:t>
      </w:r>
      <w:hyperlink r:id="rId32" w:tgtFrame="_new" w:history="1">
        <w:r w:rsidRPr="003B659A">
          <w:rPr>
            <w:rFonts w:ascii="Times New Roman" w:eastAsia="Times New Roman" w:hAnsi="Times New Roman" w:cs="Times New Roman"/>
            <w:color w:val="0000FF"/>
            <w:sz w:val="24"/>
            <w:szCs w:val="24"/>
            <w:u w:val="single"/>
          </w:rPr>
          <w:t>https://doi.org/10.5089/9798400275074.002</w:t>
        </w:r>
      </w:hyperlink>
      <w:r w:rsidRPr="003B659A">
        <w:rPr>
          <w:rFonts w:ascii="Times New Roman" w:eastAsia="Times New Roman" w:hAnsi="Times New Roman" w:cs="Times New Roman"/>
          <w:sz w:val="24"/>
          <w:szCs w:val="24"/>
        </w:rPr>
        <w:t xml:space="preserve"> </w:t>
      </w:r>
    </w:p>
    <w:p w14:paraId="552D89B7" w14:textId="4A909657" w:rsidR="003B659A" w:rsidRPr="003B659A" w:rsidRDefault="003B659A" w:rsidP="003B659A">
      <w:pPr>
        <w:spacing w:after="0" w:line="240" w:lineRule="auto"/>
        <w:ind w:left="540" w:hanging="540"/>
        <w:jc w:val="both"/>
        <w:rPr>
          <w:rFonts w:ascii="Times New Roman" w:eastAsia="Times New Roman" w:hAnsi="Times New Roman" w:cs="Times New Roman"/>
          <w:sz w:val="24"/>
          <w:szCs w:val="24"/>
        </w:rPr>
      </w:pPr>
      <w:r w:rsidRPr="003B659A">
        <w:rPr>
          <w:rFonts w:ascii="Times New Roman" w:eastAsia="Times New Roman" w:hAnsi="Times New Roman" w:cs="Times New Roman"/>
          <w:sz w:val="24"/>
          <w:szCs w:val="24"/>
          <w:lang w:val="nl-BE"/>
        </w:rPr>
        <w:t xml:space="preserve">Jensen, M. C., &amp; Meckling, W. H. (1976). </w:t>
      </w:r>
      <w:r w:rsidRPr="003B659A">
        <w:rPr>
          <w:rFonts w:ascii="Times New Roman" w:eastAsia="Times New Roman" w:hAnsi="Times New Roman" w:cs="Times New Roman"/>
          <w:sz w:val="24"/>
          <w:szCs w:val="24"/>
        </w:rPr>
        <w:t xml:space="preserve">Theory of the firm: Managerial behavior, agency costs and ownership structure. </w:t>
      </w:r>
      <w:r w:rsidRPr="003B659A">
        <w:rPr>
          <w:rFonts w:ascii="Times New Roman" w:eastAsia="Times New Roman" w:hAnsi="Times New Roman" w:cs="Times New Roman"/>
          <w:i/>
          <w:iCs/>
          <w:sz w:val="24"/>
          <w:szCs w:val="24"/>
        </w:rPr>
        <w:t>Journal of Financial Economics, 3</w:t>
      </w:r>
      <w:r w:rsidRPr="003B659A">
        <w:rPr>
          <w:rFonts w:ascii="Times New Roman" w:eastAsia="Times New Roman" w:hAnsi="Times New Roman" w:cs="Times New Roman"/>
          <w:sz w:val="24"/>
          <w:szCs w:val="24"/>
        </w:rPr>
        <w:t xml:space="preserve">(4), 305–360. </w:t>
      </w:r>
      <w:hyperlink r:id="rId33" w:tgtFrame="_new" w:history="1">
        <w:r w:rsidRPr="003B659A">
          <w:rPr>
            <w:rFonts w:ascii="Times New Roman" w:eastAsia="Times New Roman" w:hAnsi="Times New Roman" w:cs="Times New Roman"/>
            <w:color w:val="0000FF"/>
            <w:sz w:val="24"/>
            <w:szCs w:val="24"/>
            <w:u w:val="single"/>
          </w:rPr>
          <w:t>https://doi.org/10.1016/0304-405X(76)90026-X</w:t>
        </w:r>
      </w:hyperlink>
      <w:r w:rsidRPr="003B659A">
        <w:rPr>
          <w:rFonts w:ascii="Times New Roman" w:eastAsia="Times New Roman" w:hAnsi="Times New Roman" w:cs="Times New Roman"/>
          <w:sz w:val="24"/>
          <w:szCs w:val="24"/>
        </w:rPr>
        <w:t xml:space="preserve"> </w:t>
      </w:r>
    </w:p>
    <w:p w14:paraId="4F0918F5" w14:textId="041B39B5" w:rsidR="003B659A" w:rsidRPr="003B659A" w:rsidRDefault="003B659A" w:rsidP="003B659A">
      <w:pPr>
        <w:spacing w:after="0" w:line="240" w:lineRule="auto"/>
        <w:ind w:left="540" w:hanging="540"/>
        <w:jc w:val="both"/>
        <w:rPr>
          <w:rFonts w:ascii="Times New Roman" w:eastAsia="Times New Roman" w:hAnsi="Times New Roman" w:cs="Times New Roman"/>
          <w:sz w:val="24"/>
          <w:szCs w:val="24"/>
        </w:rPr>
      </w:pPr>
      <w:r w:rsidRPr="003B659A">
        <w:rPr>
          <w:rFonts w:ascii="Times New Roman" w:eastAsia="Times New Roman" w:hAnsi="Times New Roman" w:cs="Times New Roman"/>
          <w:sz w:val="24"/>
          <w:szCs w:val="24"/>
        </w:rPr>
        <w:t xml:space="preserve">Kovermann, J., &amp; Velte, P. (2021). CSR and tax avoidance: A review of empirical research. </w:t>
      </w:r>
      <w:r w:rsidRPr="003B659A">
        <w:rPr>
          <w:rFonts w:ascii="Times New Roman" w:eastAsia="Times New Roman" w:hAnsi="Times New Roman" w:cs="Times New Roman"/>
          <w:i/>
          <w:iCs/>
          <w:sz w:val="24"/>
          <w:szCs w:val="24"/>
        </w:rPr>
        <w:t>Corporate Ownership &amp; Control, 18</w:t>
      </w:r>
      <w:r w:rsidRPr="003B659A">
        <w:rPr>
          <w:rFonts w:ascii="Times New Roman" w:eastAsia="Times New Roman" w:hAnsi="Times New Roman" w:cs="Times New Roman"/>
          <w:sz w:val="24"/>
          <w:szCs w:val="24"/>
        </w:rPr>
        <w:t xml:space="preserve">(2), 20–39. </w:t>
      </w:r>
      <w:hyperlink r:id="rId34" w:tgtFrame="_new" w:history="1">
        <w:r w:rsidRPr="003B659A">
          <w:rPr>
            <w:rFonts w:ascii="Times New Roman" w:eastAsia="Times New Roman" w:hAnsi="Times New Roman" w:cs="Times New Roman"/>
            <w:color w:val="0000FF"/>
            <w:sz w:val="24"/>
            <w:szCs w:val="24"/>
            <w:u w:val="single"/>
          </w:rPr>
          <w:t>https://doi.org/10.22495/cocv18i2art2</w:t>
        </w:r>
      </w:hyperlink>
      <w:r w:rsidRPr="003B659A">
        <w:rPr>
          <w:rFonts w:ascii="Times New Roman" w:eastAsia="Times New Roman" w:hAnsi="Times New Roman" w:cs="Times New Roman"/>
          <w:sz w:val="24"/>
          <w:szCs w:val="24"/>
        </w:rPr>
        <w:t xml:space="preserve"> </w:t>
      </w:r>
    </w:p>
    <w:p w14:paraId="2B0F42ED" w14:textId="5D4A62F5" w:rsidR="003B659A" w:rsidRPr="003B659A" w:rsidRDefault="003B659A" w:rsidP="003B659A">
      <w:pPr>
        <w:spacing w:after="0" w:line="240" w:lineRule="auto"/>
        <w:ind w:left="540" w:hanging="540"/>
        <w:jc w:val="both"/>
        <w:rPr>
          <w:rFonts w:ascii="Times New Roman" w:eastAsia="Times New Roman" w:hAnsi="Times New Roman" w:cs="Times New Roman"/>
          <w:sz w:val="24"/>
          <w:szCs w:val="24"/>
        </w:rPr>
      </w:pPr>
      <w:r w:rsidRPr="003B659A">
        <w:rPr>
          <w:rFonts w:ascii="Times New Roman" w:eastAsia="Times New Roman" w:hAnsi="Times New Roman" w:cs="Times New Roman"/>
          <w:sz w:val="24"/>
          <w:szCs w:val="24"/>
        </w:rPr>
        <w:lastRenderedPageBreak/>
        <w:t xml:space="preserve">KPMG. (2024). </w:t>
      </w:r>
      <w:r w:rsidRPr="003B659A">
        <w:rPr>
          <w:rFonts w:ascii="Times New Roman" w:eastAsia="Times New Roman" w:hAnsi="Times New Roman" w:cs="Times New Roman"/>
          <w:i/>
          <w:iCs/>
          <w:sz w:val="24"/>
          <w:szCs w:val="24"/>
        </w:rPr>
        <w:t>Macroeconomic review 2023 and outlook for 2024: The steep climb to Goldilocks.</w:t>
      </w:r>
      <w:r w:rsidRPr="003B659A">
        <w:rPr>
          <w:rFonts w:ascii="Times New Roman" w:eastAsia="Times New Roman" w:hAnsi="Times New Roman" w:cs="Times New Roman"/>
          <w:sz w:val="24"/>
          <w:szCs w:val="24"/>
        </w:rPr>
        <w:t xml:space="preserve"> </w:t>
      </w:r>
      <w:hyperlink r:id="rId35" w:tgtFrame="_new" w:history="1">
        <w:r w:rsidRPr="003B659A">
          <w:rPr>
            <w:rFonts w:ascii="Times New Roman" w:eastAsia="Times New Roman" w:hAnsi="Times New Roman" w:cs="Times New Roman"/>
            <w:color w:val="0000FF"/>
            <w:sz w:val="24"/>
            <w:szCs w:val="24"/>
            <w:u w:val="single"/>
          </w:rPr>
          <w:t>https://kpmg.com/ng/en/insights/2024/01/macroeconomic-review-2023-and-outlook-for-2024.html</w:t>
        </w:r>
      </w:hyperlink>
      <w:r w:rsidRPr="003B659A">
        <w:rPr>
          <w:rFonts w:ascii="Times New Roman" w:eastAsia="Times New Roman" w:hAnsi="Times New Roman" w:cs="Times New Roman"/>
          <w:sz w:val="24"/>
          <w:szCs w:val="24"/>
        </w:rPr>
        <w:t xml:space="preserve"> </w:t>
      </w:r>
    </w:p>
    <w:p w14:paraId="0387425D" w14:textId="58C07355" w:rsidR="003B659A" w:rsidRPr="003B659A" w:rsidRDefault="003B659A" w:rsidP="003B659A">
      <w:pPr>
        <w:spacing w:after="0" w:line="240" w:lineRule="auto"/>
        <w:ind w:left="540" w:hanging="540"/>
        <w:jc w:val="both"/>
        <w:rPr>
          <w:rFonts w:ascii="Times New Roman" w:eastAsia="Times New Roman" w:hAnsi="Times New Roman" w:cs="Times New Roman"/>
          <w:sz w:val="24"/>
          <w:szCs w:val="24"/>
        </w:rPr>
      </w:pPr>
      <w:r w:rsidRPr="003B659A">
        <w:rPr>
          <w:rFonts w:ascii="Times New Roman" w:eastAsia="Times New Roman" w:hAnsi="Times New Roman" w:cs="Times New Roman"/>
          <w:sz w:val="24"/>
          <w:szCs w:val="24"/>
          <w:lang w:val="nl-BE"/>
        </w:rPr>
        <w:t xml:space="preserve">Kraus, A., &amp; Litzenberger, R. H. (1973). </w:t>
      </w:r>
      <w:r w:rsidRPr="003B659A">
        <w:rPr>
          <w:rFonts w:ascii="Times New Roman" w:eastAsia="Times New Roman" w:hAnsi="Times New Roman" w:cs="Times New Roman"/>
          <w:sz w:val="24"/>
          <w:szCs w:val="24"/>
        </w:rPr>
        <w:t xml:space="preserve">A state-preference model of optimal financial leverage. </w:t>
      </w:r>
      <w:r w:rsidRPr="003B659A">
        <w:rPr>
          <w:rFonts w:ascii="Times New Roman" w:eastAsia="Times New Roman" w:hAnsi="Times New Roman" w:cs="Times New Roman"/>
          <w:i/>
          <w:iCs/>
          <w:sz w:val="24"/>
          <w:szCs w:val="24"/>
        </w:rPr>
        <w:t>The Journal of Finance, 28</w:t>
      </w:r>
      <w:r w:rsidRPr="003B659A">
        <w:rPr>
          <w:rFonts w:ascii="Times New Roman" w:eastAsia="Times New Roman" w:hAnsi="Times New Roman" w:cs="Times New Roman"/>
          <w:sz w:val="24"/>
          <w:szCs w:val="24"/>
        </w:rPr>
        <w:t xml:space="preserve">(4), 911–922. </w:t>
      </w:r>
      <w:hyperlink r:id="rId36" w:tgtFrame="_new" w:history="1">
        <w:r w:rsidRPr="003B659A">
          <w:rPr>
            <w:rFonts w:ascii="Times New Roman" w:eastAsia="Times New Roman" w:hAnsi="Times New Roman" w:cs="Times New Roman"/>
            <w:color w:val="0000FF"/>
            <w:sz w:val="24"/>
            <w:szCs w:val="24"/>
            <w:u w:val="single"/>
          </w:rPr>
          <w:t>https://doi.org/10.1111/j.1540-6261.1973.tb01415.x</w:t>
        </w:r>
      </w:hyperlink>
      <w:r w:rsidRPr="003B659A">
        <w:rPr>
          <w:rFonts w:ascii="Times New Roman" w:eastAsia="Times New Roman" w:hAnsi="Times New Roman" w:cs="Times New Roman"/>
          <w:sz w:val="24"/>
          <w:szCs w:val="24"/>
        </w:rPr>
        <w:t xml:space="preserve"> </w:t>
      </w:r>
    </w:p>
    <w:p w14:paraId="7709891A" w14:textId="77DDDFCF" w:rsidR="003B659A" w:rsidRPr="003B659A" w:rsidRDefault="003B659A" w:rsidP="003B659A">
      <w:pPr>
        <w:spacing w:after="0" w:line="240" w:lineRule="auto"/>
        <w:ind w:left="540" w:hanging="540"/>
        <w:jc w:val="both"/>
        <w:rPr>
          <w:rFonts w:ascii="Times New Roman" w:eastAsia="Times New Roman" w:hAnsi="Times New Roman" w:cs="Times New Roman"/>
          <w:sz w:val="24"/>
          <w:szCs w:val="24"/>
        </w:rPr>
      </w:pPr>
      <w:r w:rsidRPr="003B659A">
        <w:rPr>
          <w:rFonts w:ascii="Times New Roman" w:eastAsia="Times New Roman" w:hAnsi="Times New Roman" w:cs="Times New Roman"/>
          <w:sz w:val="24"/>
          <w:szCs w:val="24"/>
        </w:rPr>
        <w:t xml:space="preserve">Leland, H. E. (1994). Corporate debt value, bond covenants, and optimal capital structure. </w:t>
      </w:r>
      <w:r w:rsidRPr="003B659A">
        <w:rPr>
          <w:rFonts w:ascii="Times New Roman" w:eastAsia="Times New Roman" w:hAnsi="Times New Roman" w:cs="Times New Roman"/>
          <w:i/>
          <w:iCs/>
          <w:sz w:val="24"/>
          <w:szCs w:val="24"/>
        </w:rPr>
        <w:t>The Journal of Finance, 49</w:t>
      </w:r>
      <w:r w:rsidRPr="003B659A">
        <w:rPr>
          <w:rFonts w:ascii="Times New Roman" w:eastAsia="Times New Roman" w:hAnsi="Times New Roman" w:cs="Times New Roman"/>
          <w:sz w:val="24"/>
          <w:szCs w:val="24"/>
        </w:rPr>
        <w:t xml:space="preserve">(4), 1213–1252. </w:t>
      </w:r>
      <w:hyperlink r:id="rId37" w:tgtFrame="_new" w:history="1">
        <w:r w:rsidRPr="003B659A">
          <w:rPr>
            <w:rFonts w:ascii="Times New Roman" w:eastAsia="Times New Roman" w:hAnsi="Times New Roman" w:cs="Times New Roman"/>
            <w:color w:val="0000FF"/>
            <w:sz w:val="24"/>
            <w:szCs w:val="24"/>
            <w:u w:val="single"/>
          </w:rPr>
          <w:t>https://doi.org/10.1111/j.1540-6261.1994.tb02452.x</w:t>
        </w:r>
      </w:hyperlink>
      <w:r w:rsidRPr="003B659A">
        <w:rPr>
          <w:rFonts w:ascii="Times New Roman" w:eastAsia="Times New Roman" w:hAnsi="Times New Roman" w:cs="Times New Roman"/>
          <w:sz w:val="24"/>
          <w:szCs w:val="24"/>
        </w:rPr>
        <w:t xml:space="preserve"> </w:t>
      </w:r>
    </w:p>
    <w:p w14:paraId="43DDA7CD" w14:textId="7D06E6F7" w:rsidR="003B659A" w:rsidRPr="003B659A" w:rsidRDefault="003B659A" w:rsidP="003B659A">
      <w:pPr>
        <w:spacing w:after="0" w:line="240" w:lineRule="auto"/>
        <w:ind w:left="540" w:hanging="540"/>
        <w:jc w:val="both"/>
        <w:rPr>
          <w:rFonts w:ascii="Times New Roman" w:eastAsia="Times New Roman" w:hAnsi="Times New Roman" w:cs="Times New Roman"/>
          <w:sz w:val="24"/>
          <w:szCs w:val="24"/>
        </w:rPr>
      </w:pPr>
      <w:r w:rsidRPr="003B659A">
        <w:rPr>
          <w:rFonts w:ascii="Times New Roman" w:eastAsia="Times New Roman" w:hAnsi="Times New Roman" w:cs="Times New Roman"/>
          <w:sz w:val="24"/>
          <w:szCs w:val="24"/>
        </w:rPr>
        <w:t xml:space="preserve">Liu, C., Deng, Z., Ruan, G., &amp; Tan, K. (2026). Effects of financial risk on tax avoidance: Mechanisms and moderating effects. </w:t>
      </w:r>
      <w:r w:rsidRPr="003B659A">
        <w:rPr>
          <w:rFonts w:ascii="Times New Roman" w:eastAsia="Times New Roman" w:hAnsi="Times New Roman" w:cs="Times New Roman"/>
          <w:i/>
          <w:iCs/>
          <w:sz w:val="24"/>
          <w:szCs w:val="24"/>
        </w:rPr>
        <w:t>Finance Research Letters, 93</w:t>
      </w:r>
      <w:r w:rsidRPr="003B659A">
        <w:rPr>
          <w:rFonts w:ascii="Times New Roman" w:eastAsia="Times New Roman" w:hAnsi="Times New Roman" w:cs="Times New Roman"/>
          <w:sz w:val="24"/>
          <w:szCs w:val="24"/>
        </w:rPr>
        <w:t xml:space="preserve">, Article 109645. </w:t>
      </w:r>
      <w:hyperlink r:id="rId38" w:tgtFrame="_new" w:history="1">
        <w:r w:rsidRPr="003B659A">
          <w:rPr>
            <w:rFonts w:ascii="Times New Roman" w:eastAsia="Times New Roman" w:hAnsi="Times New Roman" w:cs="Times New Roman"/>
            <w:color w:val="0000FF"/>
            <w:sz w:val="24"/>
            <w:szCs w:val="24"/>
            <w:u w:val="single"/>
          </w:rPr>
          <w:t>https://doi.org/10.1016/j.frl.2026.109645</w:t>
        </w:r>
      </w:hyperlink>
      <w:r w:rsidRPr="003B659A">
        <w:rPr>
          <w:rFonts w:ascii="Times New Roman" w:eastAsia="Times New Roman" w:hAnsi="Times New Roman" w:cs="Times New Roman"/>
          <w:sz w:val="24"/>
          <w:szCs w:val="24"/>
        </w:rPr>
        <w:t xml:space="preserve"> </w:t>
      </w:r>
    </w:p>
    <w:p w14:paraId="297B38F8" w14:textId="6ECAE8E0" w:rsidR="003B659A" w:rsidRPr="003B659A" w:rsidRDefault="003B659A" w:rsidP="003B659A">
      <w:pPr>
        <w:spacing w:after="0" w:line="240" w:lineRule="auto"/>
        <w:ind w:left="540" w:hanging="540"/>
        <w:jc w:val="both"/>
        <w:rPr>
          <w:rFonts w:ascii="Times New Roman" w:eastAsia="Times New Roman" w:hAnsi="Times New Roman" w:cs="Times New Roman"/>
          <w:sz w:val="24"/>
          <w:szCs w:val="24"/>
        </w:rPr>
      </w:pPr>
      <w:r w:rsidRPr="003B659A">
        <w:rPr>
          <w:rFonts w:ascii="Times New Roman" w:eastAsia="Times New Roman" w:hAnsi="Times New Roman" w:cs="Times New Roman"/>
          <w:sz w:val="24"/>
          <w:szCs w:val="24"/>
        </w:rPr>
        <w:t xml:space="preserve">Myers, S. C. (1984). </w:t>
      </w:r>
      <w:r w:rsidRPr="003B659A">
        <w:rPr>
          <w:rFonts w:ascii="Times New Roman" w:eastAsia="Times New Roman" w:hAnsi="Times New Roman" w:cs="Times New Roman"/>
          <w:i/>
          <w:iCs/>
          <w:sz w:val="24"/>
          <w:szCs w:val="24"/>
        </w:rPr>
        <w:t>The capital structure puzzle</w:t>
      </w:r>
      <w:r w:rsidRPr="003B659A">
        <w:rPr>
          <w:rFonts w:ascii="Times New Roman" w:eastAsia="Times New Roman" w:hAnsi="Times New Roman" w:cs="Times New Roman"/>
          <w:sz w:val="24"/>
          <w:szCs w:val="24"/>
        </w:rPr>
        <w:t xml:space="preserve"> (NBER Working Paper No. 1393). National Bureau of Economic Research. </w:t>
      </w:r>
      <w:hyperlink r:id="rId39" w:tgtFrame="_new" w:history="1">
        <w:r w:rsidRPr="003B659A">
          <w:rPr>
            <w:rFonts w:ascii="Times New Roman" w:eastAsia="Times New Roman" w:hAnsi="Times New Roman" w:cs="Times New Roman"/>
            <w:color w:val="0000FF"/>
            <w:sz w:val="24"/>
            <w:szCs w:val="24"/>
            <w:u w:val="single"/>
          </w:rPr>
          <w:t>https://doi.org/10.3386/w1393</w:t>
        </w:r>
      </w:hyperlink>
      <w:r w:rsidRPr="003B659A">
        <w:rPr>
          <w:rFonts w:ascii="Times New Roman" w:eastAsia="Times New Roman" w:hAnsi="Times New Roman" w:cs="Times New Roman"/>
          <w:sz w:val="24"/>
          <w:szCs w:val="24"/>
        </w:rPr>
        <w:t xml:space="preserve"> </w:t>
      </w:r>
    </w:p>
    <w:p w14:paraId="77453F3B" w14:textId="5CB6CB38" w:rsidR="003B659A" w:rsidRPr="003B659A" w:rsidRDefault="003B659A" w:rsidP="003B659A">
      <w:pPr>
        <w:spacing w:after="0" w:line="240" w:lineRule="auto"/>
        <w:ind w:left="540" w:hanging="540"/>
        <w:jc w:val="both"/>
        <w:rPr>
          <w:rFonts w:ascii="Times New Roman" w:eastAsia="Times New Roman" w:hAnsi="Times New Roman" w:cs="Times New Roman"/>
          <w:sz w:val="24"/>
          <w:szCs w:val="24"/>
        </w:rPr>
      </w:pPr>
      <w:proofErr w:type="spellStart"/>
      <w:r w:rsidRPr="003B659A">
        <w:rPr>
          <w:rFonts w:ascii="Times New Roman" w:eastAsia="Times New Roman" w:hAnsi="Times New Roman" w:cs="Times New Roman"/>
          <w:sz w:val="24"/>
          <w:szCs w:val="24"/>
        </w:rPr>
        <w:t>Nwokoye</w:t>
      </w:r>
      <w:proofErr w:type="spellEnd"/>
      <w:r w:rsidRPr="003B659A">
        <w:rPr>
          <w:rFonts w:ascii="Times New Roman" w:eastAsia="Times New Roman" w:hAnsi="Times New Roman" w:cs="Times New Roman"/>
          <w:sz w:val="24"/>
          <w:szCs w:val="24"/>
        </w:rPr>
        <w:t xml:space="preserve">, E. S., </w:t>
      </w:r>
      <w:proofErr w:type="spellStart"/>
      <w:r w:rsidRPr="003B659A">
        <w:rPr>
          <w:rFonts w:ascii="Times New Roman" w:eastAsia="Times New Roman" w:hAnsi="Times New Roman" w:cs="Times New Roman"/>
          <w:sz w:val="24"/>
          <w:szCs w:val="24"/>
        </w:rPr>
        <w:t>Igbanugo</w:t>
      </w:r>
      <w:proofErr w:type="spellEnd"/>
      <w:r w:rsidRPr="003B659A">
        <w:rPr>
          <w:rFonts w:ascii="Times New Roman" w:eastAsia="Times New Roman" w:hAnsi="Times New Roman" w:cs="Times New Roman"/>
          <w:sz w:val="24"/>
          <w:szCs w:val="24"/>
        </w:rPr>
        <w:t xml:space="preserve">, C. I., Ekesiobi, C., &amp; </w:t>
      </w:r>
      <w:proofErr w:type="spellStart"/>
      <w:r w:rsidRPr="003B659A">
        <w:rPr>
          <w:rFonts w:ascii="Times New Roman" w:eastAsia="Times New Roman" w:hAnsi="Times New Roman" w:cs="Times New Roman"/>
          <w:sz w:val="24"/>
          <w:szCs w:val="24"/>
        </w:rPr>
        <w:t>Dimnwobi</w:t>
      </w:r>
      <w:proofErr w:type="spellEnd"/>
      <w:r w:rsidRPr="003B659A">
        <w:rPr>
          <w:rFonts w:ascii="Times New Roman" w:eastAsia="Times New Roman" w:hAnsi="Times New Roman" w:cs="Times New Roman"/>
          <w:sz w:val="24"/>
          <w:szCs w:val="24"/>
        </w:rPr>
        <w:t xml:space="preserve">, S. K. (2023). Fiscal incentives and tax compliance </w:t>
      </w:r>
      <w:proofErr w:type="spellStart"/>
      <w:r w:rsidRPr="003B659A">
        <w:rPr>
          <w:rFonts w:ascii="Times New Roman" w:eastAsia="Times New Roman" w:hAnsi="Times New Roman" w:cs="Times New Roman"/>
          <w:sz w:val="24"/>
          <w:szCs w:val="24"/>
        </w:rPr>
        <w:t>behaviour</w:t>
      </w:r>
      <w:proofErr w:type="spellEnd"/>
      <w:r w:rsidRPr="003B659A">
        <w:rPr>
          <w:rFonts w:ascii="Times New Roman" w:eastAsia="Times New Roman" w:hAnsi="Times New Roman" w:cs="Times New Roman"/>
          <w:sz w:val="24"/>
          <w:szCs w:val="24"/>
        </w:rPr>
        <w:t xml:space="preserve"> in industrial clusters: A survey of clusters in South-east Nigeria. </w:t>
      </w:r>
      <w:r w:rsidRPr="003B659A">
        <w:rPr>
          <w:rFonts w:ascii="Times New Roman" w:eastAsia="Times New Roman" w:hAnsi="Times New Roman" w:cs="Times New Roman"/>
          <w:i/>
          <w:iCs/>
          <w:sz w:val="24"/>
          <w:szCs w:val="24"/>
        </w:rPr>
        <w:t>Journal of African Business, 24</w:t>
      </w:r>
      <w:r w:rsidRPr="003B659A">
        <w:rPr>
          <w:rFonts w:ascii="Times New Roman" w:eastAsia="Times New Roman" w:hAnsi="Times New Roman" w:cs="Times New Roman"/>
          <w:sz w:val="24"/>
          <w:szCs w:val="24"/>
        </w:rPr>
        <w:t xml:space="preserve">(1), 147–166. </w:t>
      </w:r>
      <w:hyperlink r:id="rId40" w:tgtFrame="_new" w:history="1">
        <w:r w:rsidRPr="003B659A">
          <w:rPr>
            <w:rFonts w:ascii="Times New Roman" w:eastAsia="Times New Roman" w:hAnsi="Times New Roman" w:cs="Times New Roman"/>
            <w:color w:val="0000FF"/>
            <w:sz w:val="24"/>
            <w:szCs w:val="24"/>
            <w:u w:val="single"/>
          </w:rPr>
          <w:t>https://doi.org/10.1080/15228916.2022.2031827</w:t>
        </w:r>
      </w:hyperlink>
      <w:r w:rsidRPr="003B659A">
        <w:rPr>
          <w:rFonts w:ascii="Times New Roman" w:eastAsia="Times New Roman" w:hAnsi="Times New Roman" w:cs="Times New Roman"/>
          <w:sz w:val="24"/>
          <w:szCs w:val="24"/>
        </w:rPr>
        <w:t xml:space="preserve"> </w:t>
      </w:r>
    </w:p>
    <w:p w14:paraId="3697C307" w14:textId="65B98EFF" w:rsidR="003B659A" w:rsidRPr="003B659A" w:rsidRDefault="003B659A" w:rsidP="003B659A">
      <w:pPr>
        <w:spacing w:after="0" w:line="240" w:lineRule="auto"/>
        <w:ind w:left="540" w:hanging="540"/>
        <w:jc w:val="both"/>
        <w:rPr>
          <w:rFonts w:ascii="Times New Roman" w:eastAsia="Times New Roman" w:hAnsi="Times New Roman" w:cs="Times New Roman"/>
          <w:sz w:val="24"/>
          <w:szCs w:val="24"/>
        </w:rPr>
      </w:pPr>
      <w:proofErr w:type="spellStart"/>
      <w:r w:rsidRPr="003B659A">
        <w:rPr>
          <w:rFonts w:ascii="Times New Roman" w:eastAsia="Times New Roman" w:hAnsi="Times New Roman" w:cs="Times New Roman"/>
          <w:sz w:val="24"/>
          <w:szCs w:val="24"/>
        </w:rPr>
        <w:t>Organisation</w:t>
      </w:r>
      <w:proofErr w:type="spellEnd"/>
      <w:r w:rsidRPr="003B659A">
        <w:rPr>
          <w:rFonts w:ascii="Times New Roman" w:eastAsia="Times New Roman" w:hAnsi="Times New Roman" w:cs="Times New Roman"/>
          <w:sz w:val="24"/>
          <w:szCs w:val="24"/>
        </w:rPr>
        <w:t xml:space="preserve"> for Economic Co-operation and Development. (2021). </w:t>
      </w:r>
      <w:r w:rsidRPr="003B659A">
        <w:rPr>
          <w:rFonts w:ascii="Times New Roman" w:eastAsia="Times New Roman" w:hAnsi="Times New Roman" w:cs="Times New Roman"/>
          <w:i/>
          <w:iCs/>
          <w:sz w:val="24"/>
          <w:szCs w:val="24"/>
        </w:rPr>
        <w:t xml:space="preserve">Statement on a two-pillar solution to address the tax challenges arising from the </w:t>
      </w:r>
      <w:proofErr w:type="spellStart"/>
      <w:r w:rsidRPr="003B659A">
        <w:rPr>
          <w:rFonts w:ascii="Times New Roman" w:eastAsia="Times New Roman" w:hAnsi="Times New Roman" w:cs="Times New Roman"/>
          <w:i/>
          <w:iCs/>
          <w:sz w:val="24"/>
          <w:szCs w:val="24"/>
        </w:rPr>
        <w:t>digitalisation</w:t>
      </w:r>
      <w:proofErr w:type="spellEnd"/>
      <w:r w:rsidRPr="003B659A">
        <w:rPr>
          <w:rFonts w:ascii="Times New Roman" w:eastAsia="Times New Roman" w:hAnsi="Times New Roman" w:cs="Times New Roman"/>
          <w:i/>
          <w:iCs/>
          <w:sz w:val="24"/>
          <w:szCs w:val="24"/>
        </w:rPr>
        <w:t xml:space="preserve"> of the economy.</w:t>
      </w:r>
      <w:r w:rsidRPr="003B659A">
        <w:rPr>
          <w:rFonts w:ascii="Times New Roman" w:eastAsia="Times New Roman" w:hAnsi="Times New Roman" w:cs="Times New Roman"/>
          <w:sz w:val="24"/>
          <w:szCs w:val="24"/>
        </w:rPr>
        <w:t xml:space="preserve"> </w:t>
      </w:r>
      <w:hyperlink r:id="rId41" w:tgtFrame="_new" w:history="1">
        <w:r w:rsidRPr="003B659A">
          <w:rPr>
            <w:rFonts w:ascii="Times New Roman" w:eastAsia="Times New Roman" w:hAnsi="Times New Roman" w:cs="Times New Roman"/>
            <w:color w:val="0000FF"/>
            <w:sz w:val="24"/>
            <w:szCs w:val="24"/>
            <w:u w:val="single"/>
          </w:rPr>
          <w:t>https://www.oecd.org/en/about/news/announcements/2021/10/statement-on-a-two-pillar-solution-to-address-the-tax-challenges-arising-from-the-digitalisation-of-the-economy-october-2021.html</w:t>
        </w:r>
      </w:hyperlink>
      <w:r w:rsidRPr="003B659A">
        <w:rPr>
          <w:rFonts w:ascii="Times New Roman" w:eastAsia="Times New Roman" w:hAnsi="Times New Roman" w:cs="Times New Roman"/>
          <w:sz w:val="24"/>
          <w:szCs w:val="24"/>
        </w:rPr>
        <w:t xml:space="preserve"> </w:t>
      </w:r>
    </w:p>
    <w:p w14:paraId="7721C279" w14:textId="2FF637DB" w:rsidR="003B659A" w:rsidRPr="003B659A" w:rsidRDefault="003B659A" w:rsidP="003B659A">
      <w:pPr>
        <w:spacing w:after="0" w:line="240" w:lineRule="auto"/>
        <w:ind w:left="540" w:hanging="540"/>
        <w:jc w:val="both"/>
        <w:rPr>
          <w:rFonts w:ascii="Times New Roman" w:eastAsia="Times New Roman" w:hAnsi="Times New Roman" w:cs="Times New Roman"/>
          <w:sz w:val="24"/>
          <w:szCs w:val="24"/>
        </w:rPr>
      </w:pPr>
      <w:r w:rsidRPr="003B659A">
        <w:rPr>
          <w:rFonts w:ascii="Times New Roman" w:eastAsia="Times New Roman" w:hAnsi="Times New Roman" w:cs="Times New Roman"/>
          <w:sz w:val="24"/>
          <w:szCs w:val="24"/>
        </w:rPr>
        <w:t xml:space="preserve">Ohlson, J. A. (1980). Financial ratios and the probabilistic prediction of bankruptcy. </w:t>
      </w:r>
      <w:r w:rsidRPr="003B659A">
        <w:rPr>
          <w:rFonts w:ascii="Times New Roman" w:eastAsia="Times New Roman" w:hAnsi="Times New Roman" w:cs="Times New Roman"/>
          <w:i/>
          <w:iCs/>
          <w:sz w:val="24"/>
          <w:szCs w:val="24"/>
        </w:rPr>
        <w:t>Journal of Accounting Research, 18</w:t>
      </w:r>
      <w:r w:rsidRPr="003B659A">
        <w:rPr>
          <w:rFonts w:ascii="Times New Roman" w:eastAsia="Times New Roman" w:hAnsi="Times New Roman" w:cs="Times New Roman"/>
          <w:sz w:val="24"/>
          <w:szCs w:val="24"/>
        </w:rPr>
        <w:t xml:space="preserve">(1), 109–131. </w:t>
      </w:r>
      <w:hyperlink r:id="rId42" w:tgtFrame="_new" w:history="1">
        <w:r w:rsidRPr="003B659A">
          <w:rPr>
            <w:rFonts w:ascii="Times New Roman" w:eastAsia="Times New Roman" w:hAnsi="Times New Roman" w:cs="Times New Roman"/>
            <w:color w:val="0000FF"/>
            <w:sz w:val="24"/>
            <w:szCs w:val="24"/>
            <w:u w:val="single"/>
          </w:rPr>
          <w:t>https://doi.org/10.2307/2490395</w:t>
        </w:r>
      </w:hyperlink>
      <w:r w:rsidRPr="003B659A">
        <w:rPr>
          <w:rFonts w:ascii="Times New Roman" w:eastAsia="Times New Roman" w:hAnsi="Times New Roman" w:cs="Times New Roman"/>
          <w:sz w:val="24"/>
          <w:szCs w:val="24"/>
        </w:rPr>
        <w:t xml:space="preserve"> </w:t>
      </w:r>
    </w:p>
    <w:p w14:paraId="652EA17A" w14:textId="503E9FCA" w:rsidR="003B659A" w:rsidRPr="003B659A" w:rsidRDefault="003B659A" w:rsidP="003B659A">
      <w:pPr>
        <w:spacing w:after="0" w:line="240" w:lineRule="auto"/>
        <w:ind w:left="540" w:hanging="540"/>
        <w:jc w:val="both"/>
        <w:rPr>
          <w:rFonts w:ascii="Times New Roman" w:eastAsia="Times New Roman" w:hAnsi="Times New Roman" w:cs="Times New Roman"/>
          <w:sz w:val="24"/>
          <w:szCs w:val="24"/>
        </w:rPr>
      </w:pPr>
      <w:r w:rsidRPr="003B659A">
        <w:rPr>
          <w:rFonts w:ascii="Times New Roman" w:eastAsia="Times New Roman" w:hAnsi="Times New Roman" w:cs="Times New Roman"/>
          <w:sz w:val="24"/>
          <w:szCs w:val="24"/>
          <w:lang w:val="nl-BE"/>
        </w:rPr>
        <w:t xml:space="preserve">Olanisebe, M. B., Oladele, O. O., &amp; Akinlo, O. O. (2026). </w:t>
      </w:r>
      <w:r w:rsidRPr="003B659A">
        <w:rPr>
          <w:rFonts w:ascii="Times New Roman" w:eastAsia="Times New Roman" w:hAnsi="Times New Roman" w:cs="Times New Roman"/>
          <w:sz w:val="24"/>
          <w:szCs w:val="24"/>
        </w:rPr>
        <w:t xml:space="preserve">Capital structure and tax planning of listed consumer goods firms in Nigeria: Moderating effects of institutional ownership. </w:t>
      </w:r>
      <w:r w:rsidRPr="003B659A">
        <w:rPr>
          <w:rFonts w:ascii="Times New Roman" w:eastAsia="Times New Roman" w:hAnsi="Times New Roman" w:cs="Times New Roman"/>
          <w:i/>
          <w:iCs/>
          <w:sz w:val="24"/>
          <w:szCs w:val="24"/>
        </w:rPr>
        <w:t>Asian Journal of Economics, Business and Accounting, 26</w:t>
      </w:r>
      <w:r w:rsidRPr="003B659A">
        <w:rPr>
          <w:rFonts w:ascii="Times New Roman" w:eastAsia="Times New Roman" w:hAnsi="Times New Roman" w:cs="Times New Roman"/>
          <w:sz w:val="24"/>
          <w:szCs w:val="24"/>
        </w:rPr>
        <w:t xml:space="preserve">(5), 257–271. </w:t>
      </w:r>
      <w:hyperlink r:id="rId43" w:tgtFrame="_new" w:history="1">
        <w:r w:rsidRPr="003B659A">
          <w:rPr>
            <w:rFonts w:ascii="Times New Roman" w:eastAsia="Times New Roman" w:hAnsi="Times New Roman" w:cs="Times New Roman"/>
            <w:color w:val="0000FF"/>
            <w:sz w:val="24"/>
            <w:szCs w:val="24"/>
            <w:u w:val="single"/>
          </w:rPr>
          <w:t>https://doi.org/10.9734/ajeba/2026/v26i52268</w:t>
        </w:r>
      </w:hyperlink>
      <w:r w:rsidRPr="003B659A">
        <w:rPr>
          <w:rFonts w:ascii="Times New Roman" w:eastAsia="Times New Roman" w:hAnsi="Times New Roman" w:cs="Times New Roman"/>
          <w:sz w:val="24"/>
          <w:szCs w:val="24"/>
        </w:rPr>
        <w:t xml:space="preserve"> </w:t>
      </w:r>
    </w:p>
    <w:p w14:paraId="48F5B989" w14:textId="1C9FDB79" w:rsidR="003B659A" w:rsidRPr="003B659A" w:rsidRDefault="003B659A" w:rsidP="003B659A">
      <w:pPr>
        <w:spacing w:after="0" w:line="240" w:lineRule="auto"/>
        <w:ind w:left="540" w:hanging="540"/>
        <w:jc w:val="both"/>
        <w:rPr>
          <w:rFonts w:ascii="Times New Roman" w:eastAsia="Times New Roman" w:hAnsi="Times New Roman" w:cs="Times New Roman"/>
          <w:sz w:val="24"/>
          <w:szCs w:val="24"/>
        </w:rPr>
      </w:pPr>
      <w:proofErr w:type="spellStart"/>
      <w:r w:rsidRPr="003B659A">
        <w:rPr>
          <w:rFonts w:ascii="Times New Roman" w:eastAsia="Times New Roman" w:hAnsi="Times New Roman" w:cs="Times New Roman"/>
          <w:sz w:val="24"/>
          <w:szCs w:val="24"/>
        </w:rPr>
        <w:t>Omesi</w:t>
      </w:r>
      <w:proofErr w:type="spellEnd"/>
      <w:r w:rsidRPr="003B659A">
        <w:rPr>
          <w:rFonts w:ascii="Times New Roman" w:eastAsia="Times New Roman" w:hAnsi="Times New Roman" w:cs="Times New Roman"/>
          <w:sz w:val="24"/>
          <w:szCs w:val="24"/>
        </w:rPr>
        <w:t xml:space="preserve">, I., &amp; </w:t>
      </w:r>
      <w:proofErr w:type="spellStart"/>
      <w:r w:rsidRPr="003B659A">
        <w:rPr>
          <w:rFonts w:ascii="Times New Roman" w:eastAsia="Times New Roman" w:hAnsi="Times New Roman" w:cs="Times New Roman"/>
          <w:sz w:val="24"/>
          <w:szCs w:val="24"/>
        </w:rPr>
        <w:t>Maccarthy</w:t>
      </w:r>
      <w:proofErr w:type="spellEnd"/>
      <w:r w:rsidRPr="003B659A">
        <w:rPr>
          <w:rFonts w:ascii="Times New Roman" w:eastAsia="Times New Roman" w:hAnsi="Times New Roman" w:cs="Times New Roman"/>
          <w:sz w:val="24"/>
          <w:szCs w:val="24"/>
        </w:rPr>
        <w:t xml:space="preserve">, M. I.-T. (2022). Tax incentives and financial performance of listed consumer goods manufacturing companies in Nigeria. </w:t>
      </w:r>
      <w:r w:rsidRPr="003B659A">
        <w:rPr>
          <w:rFonts w:ascii="Times New Roman" w:eastAsia="Times New Roman" w:hAnsi="Times New Roman" w:cs="Times New Roman"/>
          <w:i/>
          <w:iCs/>
          <w:sz w:val="24"/>
          <w:szCs w:val="24"/>
        </w:rPr>
        <w:t>BW Academic Journal, 1</w:t>
      </w:r>
      <w:r w:rsidRPr="003B659A">
        <w:rPr>
          <w:rFonts w:ascii="Times New Roman" w:eastAsia="Times New Roman" w:hAnsi="Times New Roman" w:cs="Times New Roman"/>
          <w:sz w:val="24"/>
          <w:szCs w:val="24"/>
        </w:rPr>
        <w:t xml:space="preserve">(1). </w:t>
      </w:r>
      <w:hyperlink r:id="rId44" w:tgtFrame="_new" w:history="1">
        <w:r w:rsidRPr="003B659A">
          <w:rPr>
            <w:rFonts w:ascii="Times New Roman" w:eastAsia="Times New Roman" w:hAnsi="Times New Roman" w:cs="Times New Roman"/>
            <w:color w:val="0000FF"/>
            <w:sz w:val="24"/>
            <w:szCs w:val="24"/>
            <w:u w:val="single"/>
          </w:rPr>
          <w:t>https://bwjournal.org/index.php/bsjournal/article/view/149</w:t>
        </w:r>
      </w:hyperlink>
      <w:r w:rsidRPr="003B659A">
        <w:rPr>
          <w:rFonts w:ascii="Times New Roman" w:eastAsia="Times New Roman" w:hAnsi="Times New Roman" w:cs="Times New Roman"/>
          <w:sz w:val="24"/>
          <w:szCs w:val="24"/>
        </w:rPr>
        <w:t xml:space="preserve"> </w:t>
      </w:r>
    </w:p>
    <w:p w14:paraId="15DB8C0C" w14:textId="2ABC35E3" w:rsidR="003B659A" w:rsidRPr="003B659A" w:rsidRDefault="003B659A" w:rsidP="003B659A">
      <w:pPr>
        <w:spacing w:after="0" w:line="240" w:lineRule="auto"/>
        <w:ind w:left="540" w:hanging="540"/>
        <w:jc w:val="both"/>
        <w:rPr>
          <w:rFonts w:ascii="Times New Roman" w:eastAsia="Times New Roman" w:hAnsi="Times New Roman" w:cs="Times New Roman"/>
          <w:sz w:val="24"/>
          <w:szCs w:val="24"/>
        </w:rPr>
      </w:pPr>
      <w:r w:rsidRPr="003B659A">
        <w:rPr>
          <w:rFonts w:ascii="Times New Roman" w:eastAsia="Times New Roman" w:hAnsi="Times New Roman" w:cs="Times New Roman"/>
          <w:sz w:val="24"/>
          <w:szCs w:val="24"/>
        </w:rPr>
        <w:t xml:space="preserve">Onyango, D. K., &amp; Warui, F. (2025). Tax policies and financial performance of selected registered manufacturing firms in Kenya. </w:t>
      </w:r>
      <w:r w:rsidRPr="003B659A">
        <w:rPr>
          <w:rFonts w:ascii="Times New Roman" w:eastAsia="Times New Roman" w:hAnsi="Times New Roman" w:cs="Times New Roman"/>
          <w:i/>
          <w:iCs/>
          <w:sz w:val="24"/>
          <w:szCs w:val="24"/>
        </w:rPr>
        <w:t>Asian Journal of Economics, Finance and Management, 7</w:t>
      </w:r>
      <w:r w:rsidRPr="003B659A">
        <w:rPr>
          <w:rFonts w:ascii="Times New Roman" w:eastAsia="Times New Roman" w:hAnsi="Times New Roman" w:cs="Times New Roman"/>
          <w:sz w:val="24"/>
          <w:szCs w:val="24"/>
        </w:rPr>
        <w:t xml:space="preserve">(1), 1235–1250. </w:t>
      </w:r>
      <w:hyperlink r:id="rId45" w:tgtFrame="_new" w:history="1">
        <w:r w:rsidRPr="003B659A">
          <w:rPr>
            <w:rFonts w:ascii="Times New Roman" w:eastAsia="Times New Roman" w:hAnsi="Times New Roman" w:cs="Times New Roman"/>
            <w:color w:val="0000FF"/>
            <w:sz w:val="24"/>
            <w:szCs w:val="24"/>
            <w:u w:val="single"/>
          </w:rPr>
          <w:t>https://doi.org/10.56557/ajefm/2025/v7i1344</w:t>
        </w:r>
      </w:hyperlink>
      <w:r w:rsidRPr="003B659A">
        <w:rPr>
          <w:rFonts w:ascii="Times New Roman" w:eastAsia="Times New Roman" w:hAnsi="Times New Roman" w:cs="Times New Roman"/>
          <w:sz w:val="24"/>
          <w:szCs w:val="24"/>
        </w:rPr>
        <w:t xml:space="preserve"> </w:t>
      </w:r>
    </w:p>
    <w:p w14:paraId="22986295" w14:textId="5DD4D6C5" w:rsidR="003B659A" w:rsidRPr="003B659A" w:rsidRDefault="003B659A" w:rsidP="003B659A">
      <w:pPr>
        <w:spacing w:after="0" w:line="240" w:lineRule="auto"/>
        <w:ind w:left="540" w:hanging="540"/>
        <w:jc w:val="both"/>
        <w:rPr>
          <w:rFonts w:ascii="Times New Roman" w:eastAsia="Times New Roman" w:hAnsi="Times New Roman" w:cs="Times New Roman"/>
          <w:sz w:val="24"/>
          <w:szCs w:val="24"/>
        </w:rPr>
      </w:pPr>
      <w:r w:rsidRPr="003B659A">
        <w:rPr>
          <w:rFonts w:ascii="Times New Roman" w:eastAsia="Times New Roman" w:hAnsi="Times New Roman" w:cs="Times New Roman"/>
          <w:sz w:val="24"/>
          <w:szCs w:val="24"/>
        </w:rPr>
        <w:t xml:space="preserve">Öztekin, Ö. (2022). Systemic banking crises, institutional environment, and corporate leverage. </w:t>
      </w:r>
      <w:r w:rsidRPr="003B659A">
        <w:rPr>
          <w:rFonts w:ascii="Times New Roman" w:eastAsia="Times New Roman" w:hAnsi="Times New Roman" w:cs="Times New Roman"/>
          <w:i/>
          <w:iCs/>
          <w:sz w:val="24"/>
          <w:szCs w:val="24"/>
        </w:rPr>
        <w:t>Journal of Financial and Quantitative Analysis, 57</w:t>
      </w:r>
      <w:r w:rsidRPr="003B659A">
        <w:rPr>
          <w:rFonts w:ascii="Times New Roman" w:eastAsia="Times New Roman" w:hAnsi="Times New Roman" w:cs="Times New Roman"/>
          <w:sz w:val="24"/>
          <w:szCs w:val="24"/>
        </w:rPr>
        <w:t xml:space="preserve">(3), 1115–1141. </w:t>
      </w:r>
      <w:hyperlink r:id="rId46" w:tgtFrame="_new" w:history="1">
        <w:r w:rsidRPr="003B659A">
          <w:rPr>
            <w:rFonts w:ascii="Times New Roman" w:eastAsia="Times New Roman" w:hAnsi="Times New Roman" w:cs="Times New Roman"/>
            <w:color w:val="0000FF"/>
            <w:sz w:val="24"/>
            <w:szCs w:val="24"/>
            <w:u w:val="single"/>
          </w:rPr>
          <w:t>https://doi.org/10.1017/S0022109020000861</w:t>
        </w:r>
      </w:hyperlink>
      <w:r w:rsidRPr="003B659A">
        <w:rPr>
          <w:rFonts w:ascii="Times New Roman" w:eastAsia="Times New Roman" w:hAnsi="Times New Roman" w:cs="Times New Roman"/>
          <w:sz w:val="24"/>
          <w:szCs w:val="24"/>
        </w:rPr>
        <w:t xml:space="preserve"> </w:t>
      </w:r>
    </w:p>
    <w:p w14:paraId="4B0AA6C6" w14:textId="61F528A5" w:rsidR="003B659A" w:rsidRPr="003B659A" w:rsidRDefault="003B659A" w:rsidP="003B659A">
      <w:pPr>
        <w:spacing w:after="0" w:line="240" w:lineRule="auto"/>
        <w:ind w:left="540" w:hanging="540"/>
        <w:jc w:val="both"/>
        <w:rPr>
          <w:rFonts w:ascii="Times New Roman" w:eastAsia="Times New Roman" w:hAnsi="Times New Roman" w:cs="Times New Roman"/>
          <w:sz w:val="24"/>
          <w:szCs w:val="24"/>
        </w:rPr>
      </w:pPr>
      <w:r w:rsidRPr="003B659A">
        <w:rPr>
          <w:rFonts w:ascii="Times New Roman" w:eastAsia="Times New Roman" w:hAnsi="Times New Roman" w:cs="Times New Roman"/>
          <w:sz w:val="24"/>
          <w:szCs w:val="24"/>
        </w:rPr>
        <w:t xml:space="preserve">Pratiwi, Y. W., &amp; </w:t>
      </w:r>
      <w:proofErr w:type="spellStart"/>
      <w:r w:rsidRPr="003B659A">
        <w:rPr>
          <w:rFonts w:ascii="Times New Roman" w:eastAsia="Times New Roman" w:hAnsi="Times New Roman" w:cs="Times New Roman"/>
          <w:sz w:val="24"/>
          <w:szCs w:val="24"/>
        </w:rPr>
        <w:t>Khoirunurrofik</w:t>
      </w:r>
      <w:proofErr w:type="spellEnd"/>
      <w:r w:rsidRPr="003B659A">
        <w:rPr>
          <w:rFonts w:ascii="Times New Roman" w:eastAsia="Times New Roman" w:hAnsi="Times New Roman" w:cs="Times New Roman"/>
          <w:sz w:val="24"/>
          <w:szCs w:val="24"/>
        </w:rPr>
        <w:t xml:space="preserve">, K. (2023). The effect of the effective corporate tax rate toward investment decision in Indonesian public company. </w:t>
      </w:r>
      <w:r w:rsidRPr="003B659A">
        <w:rPr>
          <w:rFonts w:ascii="Times New Roman" w:eastAsia="Times New Roman" w:hAnsi="Times New Roman" w:cs="Times New Roman"/>
          <w:i/>
          <w:iCs/>
          <w:sz w:val="24"/>
          <w:szCs w:val="24"/>
        </w:rPr>
        <w:t>Journal of Indonesian Applied Economics, 11</w:t>
      </w:r>
      <w:r w:rsidRPr="003B659A">
        <w:rPr>
          <w:rFonts w:ascii="Times New Roman" w:eastAsia="Times New Roman" w:hAnsi="Times New Roman" w:cs="Times New Roman"/>
          <w:sz w:val="24"/>
          <w:szCs w:val="24"/>
        </w:rPr>
        <w:t xml:space="preserve">(1), 60–74. </w:t>
      </w:r>
      <w:hyperlink r:id="rId47" w:tgtFrame="_new" w:history="1">
        <w:r w:rsidRPr="003B659A">
          <w:rPr>
            <w:rFonts w:ascii="Times New Roman" w:eastAsia="Times New Roman" w:hAnsi="Times New Roman" w:cs="Times New Roman"/>
            <w:color w:val="0000FF"/>
            <w:sz w:val="24"/>
            <w:szCs w:val="24"/>
            <w:u w:val="single"/>
          </w:rPr>
          <w:t>https://doi.org/10.21776/ub.jiae.2023.011.01.5</w:t>
        </w:r>
      </w:hyperlink>
      <w:r w:rsidRPr="003B659A">
        <w:rPr>
          <w:rFonts w:ascii="Times New Roman" w:eastAsia="Times New Roman" w:hAnsi="Times New Roman" w:cs="Times New Roman"/>
          <w:sz w:val="24"/>
          <w:szCs w:val="24"/>
        </w:rPr>
        <w:t xml:space="preserve"> </w:t>
      </w:r>
    </w:p>
    <w:p w14:paraId="72ACE00E" w14:textId="769581EF" w:rsidR="003B659A" w:rsidRPr="003B659A" w:rsidRDefault="003B659A" w:rsidP="003B659A">
      <w:pPr>
        <w:spacing w:after="0" w:line="240" w:lineRule="auto"/>
        <w:ind w:left="540" w:hanging="540"/>
        <w:jc w:val="both"/>
        <w:rPr>
          <w:rFonts w:ascii="Times New Roman" w:eastAsia="Times New Roman" w:hAnsi="Times New Roman" w:cs="Times New Roman"/>
          <w:sz w:val="24"/>
          <w:szCs w:val="24"/>
        </w:rPr>
      </w:pPr>
      <w:r w:rsidRPr="003B659A">
        <w:rPr>
          <w:rFonts w:ascii="Times New Roman" w:eastAsia="Times New Roman" w:hAnsi="Times New Roman" w:cs="Times New Roman"/>
          <w:sz w:val="24"/>
          <w:szCs w:val="24"/>
        </w:rPr>
        <w:t xml:space="preserve">PricewaterhouseCoopers. (2023). </w:t>
      </w:r>
      <w:r w:rsidRPr="003B659A">
        <w:rPr>
          <w:rFonts w:ascii="Times New Roman" w:eastAsia="Times New Roman" w:hAnsi="Times New Roman" w:cs="Times New Roman"/>
          <w:i/>
          <w:iCs/>
          <w:sz w:val="24"/>
          <w:szCs w:val="24"/>
        </w:rPr>
        <w:t>Guide to VAT and indirect taxes in Africa 2023.</w:t>
      </w:r>
      <w:r w:rsidRPr="003B659A">
        <w:rPr>
          <w:rFonts w:ascii="Times New Roman" w:eastAsia="Times New Roman" w:hAnsi="Times New Roman" w:cs="Times New Roman"/>
          <w:sz w:val="24"/>
          <w:szCs w:val="24"/>
        </w:rPr>
        <w:t xml:space="preserve"> https://knowledgenavigator.pwc.com/vat-gst-global/news/guide-to-vat-and-indirect-taxes-in-africa-2023/ </w:t>
      </w:r>
    </w:p>
    <w:p w14:paraId="6D1C6907" w14:textId="085B3797" w:rsidR="003B659A" w:rsidRPr="003B659A" w:rsidRDefault="003B659A" w:rsidP="003B659A">
      <w:pPr>
        <w:spacing w:after="0" w:line="240" w:lineRule="auto"/>
        <w:ind w:left="540" w:hanging="540"/>
        <w:jc w:val="both"/>
        <w:rPr>
          <w:rFonts w:ascii="Times New Roman" w:eastAsia="Times New Roman" w:hAnsi="Times New Roman" w:cs="Times New Roman"/>
          <w:sz w:val="24"/>
          <w:szCs w:val="24"/>
        </w:rPr>
      </w:pPr>
      <w:r w:rsidRPr="003B659A">
        <w:rPr>
          <w:rFonts w:ascii="Times New Roman" w:eastAsia="Times New Roman" w:hAnsi="Times New Roman" w:cs="Times New Roman"/>
          <w:sz w:val="24"/>
          <w:szCs w:val="24"/>
        </w:rPr>
        <w:t xml:space="preserve">Ricca, L. T., </w:t>
      </w:r>
      <w:proofErr w:type="spellStart"/>
      <w:r w:rsidRPr="003B659A">
        <w:rPr>
          <w:rFonts w:ascii="Times New Roman" w:eastAsia="Times New Roman" w:hAnsi="Times New Roman" w:cs="Times New Roman"/>
          <w:sz w:val="24"/>
          <w:szCs w:val="24"/>
        </w:rPr>
        <w:t>Jucá</w:t>
      </w:r>
      <w:proofErr w:type="spellEnd"/>
      <w:r w:rsidRPr="003B659A">
        <w:rPr>
          <w:rFonts w:ascii="Times New Roman" w:eastAsia="Times New Roman" w:hAnsi="Times New Roman" w:cs="Times New Roman"/>
          <w:sz w:val="24"/>
          <w:szCs w:val="24"/>
        </w:rPr>
        <w:t xml:space="preserve">, M. N., &amp; Hadad Junior, E. (2021). Tax benefit and bankruptcy cost of debt. </w:t>
      </w:r>
      <w:r w:rsidRPr="003B659A">
        <w:rPr>
          <w:rFonts w:ascii="Times New Roman" w:eastAsia="Times New Roman" w:hAnsi="Times New Roman" w:cs="Times New Roman"/>
          <w:i/>
          <w:iCs/>
          <w:sz w:val="24"/>
          <w:szCs w:val="24"/>
        </w:rPr>
        <w:t>The Quarterly Review of Economics and Finance, 81</w:t>
      </w:r>
      <w:r w:rsidRPr="003B659A">
        <w:rPr>
          <w:rFonts w:ascii="Times New Roman" w:eastAsia="Times New Roman" w:hAnsi="Times New Roman" w:cs="Times New Roman"/>
          <w:sz w:val="24"/>
          <w:szCs w:val="24"/>
        </w:rPr>
        <w:t xml:space="preserve">, 82–92. </w:t>
      </w:r>
      <w:hyperlink r:id="rId48" w:tgtFrame="_new" w:history="1">
        <w:r w:rsidRPr="003B659A">
          <w:rPr>
            <w:rFonts w:ascii="Times New Roman" w:eastAsia="Times New Roman" w:hAnsi="Times New Roman" w:cs="Times New Roman"/>
            <w:color w:val="0000FF"/>
            <w:sz w:val="24"/>
            <w:szCs w:val="24"/>
            <w:u w:val="single"/>
          </w:rPr>
          <w:t>https://doi.org/10.1016/j.qref.2021.05.003</w:t>
        </w:r>
      </w:hyperlink>
      <w:r w:rsidRPr="003B659A">
        <w:rPr>
          <w:rFonts w:ascii="Times New Roman" w:eastAsia="Times New Roman" w:hAnsi="Times New Roman" w:cs="Times New Roman"/>
          <w:sz w:val="24"/>
          <w:szCs w:val="24"/>
        </w:rPr>
        <w:t xml:space="preserve"> </w:t>
      </w:r>
    </w:p>
    <w:p w14:paraId="75F619C4" w14:textId="6BE39BAF" w:rsidR="003B659A" w:rsidRPr="003B659A" w:rsidRDefault="003B659A" w:rsidP="003B659A">
      <w:pPr>
        <w:spacing w:after="0" w:line="240" w:lineRule="auto"/>
        <w:ind w:left="540" w:hanging="540"/>
        <w:jc w:val="both"/>
        <w:rPr>
          <w:rFonts w:ascii="Times New Roman" w:eastAsia="Times New Roman" w:hAnsi="Times New Roman" w:cs="Times New Roman"/>
          <w:sz w:val="24"/>
          <w:szCs w:val="24"/>
        </w:rPr>
      </w:pPr>
      <w:r w:rsidRPr="003B659A">
        <w:rPr>
          <w:rFonts w:ascii="Times New Roman" w:eastAsia="Times New Roman" w:hAnsi="Times New Roman" w:cs="Times New Roman"/>
          <w:sz w:val="24"/>
          <w:szCs w:val="24"/>
        </w:rPr>
        <w:lastRenderedPageBreak/>
        <w:t xml:space="preserve">Shackelford, D. A., &amp; Shevlin, T. (2001). Empirical tax research in accounting. </w:t>
      </w:r>
      <w:r w:rsidRPr="003B659A">
        <w:rPr>
          <w:rFonts w:ascii="Times New Roman" w:eastAsia="Times New Roman" w:hAnsi="Times New Roman" w:cs="Times New Roman"/>
          <w:i/>
          <w:iCs/>
          <w:sz w:val="24"/>
          <w:szCs w:val="24"/>
        </w:rPr>
        <w:t>Journal of Accounting and Economics, 31</w:t>
      </w:r>
      <w:r w:rsidRPr="003B659A">
        <w:rPr>
          <w:rFonts w:ascii="Times New Roman" w:eastAsia="Times New Roman" w:hAnsi="Times New Roman" w:cs="Times New Roman"/>
          <w:sz w:val="24"/>
          <w:szCs w:val="24"/>
        </w:rPr>
        <w:t xml:space="preserve">(1–3), 321–387. </w:t>
      </w:r>
      <w:hyperlink r:id="rId49" w:tgtFrame="_new" w:history="1">
        <w:r w:rsidRPr="003B659A">
          <w:rPr>
            <w:rFonts w:ascii="Times New Roman" w:eastAsia="Times New Roman" w:hAnsi="Times New Roman" w:cs="Times New Roman"/>
            <w:color w:val="0000FF"/>
            <w:sz w:val="24"/>
            <w:szCs w:val="24"/>
            <w:u w:val="single"/>
          </w:rPr>
          <w:t>https://doi.org/10.1016/S0165-4101(01)00022-2</w:t>
        </w:r>
      </w:hyperlink>
      <w:r w:rsidRPr="003B659A">
        <w:rPr>
          <w:rFonts w:ascii="Times New Roman" w:eastAsia="Times New Roman" w:hAnsi="Times New Roman" w:cs="Times New Roman"/>
          <w:sz w:val="24"/>
          <w:szCs w:val="24"/>
        </w:rPr>
        <w:t xml:space="preserve"> </w:t>
      </w:r>
    </w:p>
    <w:p w14:paraId="7D476784" w14:textId="18352F0F" w:rsidR="003B659A" w:rsidRPr="003B659A" w:rsidRDefault="003B659A" w:rsidP="003B659A">
      <w:pPr>
        <w:spacing w:after="0" w:line="240" w:lineRule="auto"/>
        <w:ind w:left="540" w:hanging="540"/>
        <w:jc w:val="both"/>
        <w:rPr>
          <w:rFonts w:ascii="Times New Roman" w:eastAsia="Times New Roman" w:hAnsi="Times New Roman" w:cs="Times New Roman"/>
          <w:sz w:val="24"/>
          <w:szCs w:val="24"/>
        </w:rPr>
      </w:pPr>
      <w:proofErr w:type="spellStart"/>
      <w:r w:rsidRPr="003B659A">
        <w:rPr>
          <w:rFonts w:ascii="Times New Roman" w:eastAsia="Times New Roman" w:hAnsi="Times New Roman" w:cs="Times New Roman"/>
          <w:sz w:val="24"/>
          <w:szCs w:val="24"/>
        </w:rPr>
        <w:t>Slemrod</w:t>
      </w:r>
      <w:proofErr w:type="spellEnd"/>
      <w:r w:rsidRPr="003B659A">
        <w:rPr>
          <w:rFonts w:ascii="Times New Roman" w:eastAsia="Times New Roman" w:hAnsi="Times New Roman" w:cs="Times New Roman"/>
          <w:sz w:val="24"/>
          <w:szCs w:val="24"/>
        </w:rPr>
        <w:t xml:space="preserve">, J. (2004). The economics of corporate tax selfishness. </w:t>
      </w:r>
      <w:r w:rsidRPr="003B659A">
        <w:rPr>
          <w:rFonts w:ascii="Times New Roman" w:eastAsia="Times New Roman" w:hAnsi="Times New Roman" w:cs="Times New Roman"/>
          <w:i/>
          <w:iCs/>
          <w:sz w:val="24"/>
          <w:szCs w:val="24"/>
        </w:rPr>
        <w:t>National Tax Journal, 57</w:t>
      </w:r>
      <w:r w:rsidRPr="003B659A">
        <w:rPr>
          <w:rFonts w:ascii="Times New Roman" w:eastAsia="Times New Roman" w:hAnsi="Times New Roman" w:cs="Times New Roman"/>
          <w:sz w:val="24"/>
          <w:szCs w:val="24"/>
        </w:rPr>
        <w:t xml:space="preserve">(4), 877–899. </w:t>
      </w:r>
      <w:hyperlink r:id="rId50" w:tgtFrame="_new" w:history="1">
        <w:r w:rsidRPr="003B659A">
          <w:rPr>
            <w:rFonts w:ascii="Times New Roman" w:eastAsia="Times New Roman" w:hAnsi="Times New Roman" w:cs="Times New Roman"/>
            <w:color w:val="0000FF"/>
            <w:sz w:val="24"/>
            <w:szCs w:val="24"/>
            <w:u w:val="single"/>
          </w:rPr>
          <w:t>https://doi.org/10.17310/ntj.2004.4.06</w:t>
        </w:r>
      </w:hyperlink>
      <w:r w:rsidRPr="003B659A">
        <w:rPr>
          <w:rFonts w:ascii="Times New Roman" w:eastAsia="Times New Roman" w:hAnsi="Times New Roman" w:cs="Times New Roman"/>
          <w:sz w:val="24"/>
          <w:szCs w:val="24"/>
        </w:rPr>
        <w:t xml:space="preserve"> </w:t>
      </w:r>
    </w:p>
    <w:p w14:paraId="375B21C6" w14:textId="0334DCD6" w:rsidR="003B659A" w:rsidRPr="003B659A" w:rsidRDefault="003B659A" w:rsidP="003B659A">
      <w:pPr>
        <w:spacing w:after="0" w:line="240" w:lineRule="auto"/>
        <w:ind w:left="540" w:hanging="540"/>
        <w:jc w:val="both"/>
        <w:rPr>
          <w:rFonts w:ascii="Times New Roman" w:eastAsia="Times New Roman" w:hAnsi="Times New Roman" w:cs="Times New Roman"/>
          <w:sz w:val="24"/>
          <w:szCs w:val="24"/>
        </w:rPr>
      </w:pPr>
      <w:r w:rsidRPr="003B659A">
        <w:rPr>
          <w:rFonts w:ascii="Times New Roman" w:eastAsia="Times New Roman" w:hAnsi="Times New Roman" w:cs="Times New Roman"/>
          <w:sz w:val="24"/>
          <w:szCs w:val="24"/>
        </w:rPr>
        <w:t xml:space="preserve">Sun, J., Makosa, L., Yang, J., Yin, F., &amp; </w:t>
      </w:r>
      <w:proofErr w:type="spellStart"/>
      <w:r w:rsidRPr="003B659A">
        <w:rPr>
          <w:rFonts w:ascii="Times New Roman" w:eastAsia="Times New Roman" w:hAnsi="Times New Roman" w:cs="Times New Roman"/>
          <w:sz w:val="24"/>
          <w:szCs w:val="24"/>
        </w:rPr>
        <w:t>Sitsha</w:t>
      </w:r>
      <w:proofErr w:type="spellEnd"/>
      <w:r w:rsidRPr="003B659A">
        <w:rPr>
          <w:rFonts w:ascii="Times New Roman" w:eastAsia="Times New Roman" w:hAnsi="Times New Roman" w:cs="Times New Roman"/>
          <w:sz w:val="24"/>
          <w:szCs w:val="24"/>
        </w:rPr>
        <w:t xml:space="preserve">, L. (2023). Does corporate tax planning mitigate financial constraints? Evidence from China. </w:t>
      </w:r>
      <w:r w:rsidRPr="003B659A">
        <w:rPr>
          <w:rFonts w:ascii="Times New Roman" w:eastAsia="Times New Roman" w:hAnsi="Times New Roman" w:cs="Times New Roman"/>
          <w:i/>
          <w:iCs/>
          <w:sz w:val="24"/>
          <w:szCs w:val="24"/>
        </w:rPr>
        <w:t>International Journal of Finance &amp; Economics, 28</w:t>
      </w:r>
      <w:r w:rsidRPr="003B659A">
        <w:rPr>
          <w:rFonts w:ascii="Times New Roman" w:eastAsia="Times New Roman" w:hAnsi="Times New Roman" w:cs="Times New Roman"/>
          <w:sz w:val="24"/>
          <w:szCs w:val="24"/>
        </w:rPr>
        <w:t xml:space="preserve">(1), 510–527. </w:t>
      </w:r>
      <w:hyperlink r:id="rId51" w:tgtFrame="_new" w:history="1">
        <w:r w:rsidRPr="003B659A">
          <w:rPr>
            <w:rFonts w:ascii="Times New Roman" w:eastAsia="Times New Roman" w:hAnsi="Times New Roman" w:cs="Times New Roman"/>
            <w:color w:val="0000FF"/>
            <w:sz w:val="24"/>
            <w:szCs w:val="24"/>
            <w:u w:val="single"/>
          </w:rPr>
          <w:t>https://doi.org/10.1002/ijfe.2433</w:t>
        </w:r>
      </w:hyperlink>
      <w:r w:rsidRPr="003B659A">
        <w:rPr>
          <w:rFonts w:ascii="Times New Roman" w:eastAsia="Times New Roman" w:hAnsi="Times New Roman" w:cs="Times New Roman"/>
          <w:sz w:val="24"/>
          <w:szCs w:val="24"/>
        </w:rPr>
        <w:t xml:space="preserve"> </w:t>
      </w:r>
    </w:p>
    <w:p w14:paraId="3E2B7548" w14:textId="5942C7AE" w:rsidR="003B659A" w:rsidRPr="003B659A" w:rsidRDefault="003B659A" w:rsidP="003B659A">
      <w:pPr>
        <w:spacing w:after="0" w:line="240" w:lineRule="auto"/>
        <w:ind w:left="540" w:hanging="540"/>
        <w:jc w:val="both"/>
        <w:rPr>
          <w:rFonts w:ascii="Times New Roman" w:eastAsia="Times New Roman" w:hAnsi="Times New Roman" w:cs="Times New Roman"/>
          <w:sz w:val="24"/>
          <w:szCs w:val="24"/>
        </w:rPr>
      </w:pPr>
      <w:r w:rsidRPr="003B659A">
        <w:rPr>
          <w:rFonts w:ascii="Times New Roman" w:eastAsia="Times New Roman" w:hAnsi="Times New Roman" w:cs="Times New Roman"/>
          <w:sz w:val="24"/>
          <w:szCs w:val="24"/>
        </w:rPr>
        <w:t xml:space="preserve">Wooldridge, J. M. (2010). </w:t>
      </w:r>
      <w:r w:rsidRPr="003B659A">
        <w:rPr>
          <w:rFonts w:ascii="Times New Roman" w:eastAsia="Times New Roman" w:hAnsi="Times New Roman" w:cs="Times New Roman"/>
          <w:i/>
          <w:iCs/>
          <w:sz w:val="24"/>
          <w:szCs w:val="24"/>
        </w:rPr>
        <w:t>Econometric analysis of cross section and panel data</w:t>
      </w:r>
      <w:r w:rsidRPr="003B659A">
        <w:rPr>
          <w:rFonts w:ascii="Times New Roman" w:eastAsia="Times New Roman" w:hAnsi="Times New Roman" w:cs="Times New Roman"/>
          <w:sz w:val="24"/>
          <w:szCs w:val="24"/>
        </w:rPr>
        <w:t xml:space="preserve"> (2nd ed.). MIT Press. </w:t>
      </w:r>
      <w:hyperlink r:id="rId52" w:tgtFrame="_new" w:history="1">
        <w:r w:rsidRPr="003B659A">
          <w:rPr>
            <w:rFonts w:ascii="Times New Roman" w:eastAsia="Times New Roman" w:hAnsi="Times New Roman" w:cs="Times New Roman"/>
            <w:color w:val="0000FF"/>
            <w:sz w:val="24"/>
            <w:szCs w:val="24"/>
            <w:u w:val="single"/>
          </w:rPr>
          <w:t>https://mitpress.mit.edu/9780262232586/econometric-analysis-of-cross-section-and-panel-data/</w:t>
        </w:r>
      </w:hyperlink>
      <w:r w:rsidRPr="003B659A">
        <w:rPr>
          <w:rFonts w:ascii="Times New Roman" w:eastAsia="Times New Roman" w:hAnsi="Times New Roman" w:cs="Times New Roman"/>
          <w:sz w:val="24"/>
          <w:szCs w:val="24"/>
        </w:rPr>
        <w:t xml:space="preserve"> </w:t>
      </w:r>
    </w:p>
    <w:p w14:paraId="243F2885" w14:textId="224A9B10" w:rsidR="003B659A" w:rsidRPr="003B659A" w:rsidRDefault="003B659A" w:rsidP="003B659A">
      <w:pPr>
        <w:spacing w:after="0" w:line="240" w:lineRule="auto"/>
        <w:ind w:left="540" w:hanging="540"/>
        <w:jc w:val="both"/>
        <w:rPr>
          <w:rFonts w:ascii="Times New Roman" w:eastAsia="Times New Roman" w:hAnsi="Times New Roman" w:cs="Times New Roman"/>
          <w:sz w:val="24"/>
          <w:szCs w:val="24"/>
          <w:lang w:val="nl-BE"/>
        </w:rPr>
      </w:pPr>
      <w:r w:rsidRPr="003B659A">
        <w:rPr>
          <w:rFonts w:ascii="Times New Roman" w:eastAsia="Times New Roman" w:hAnsi="Times New Roman" w:cs="Times New Roman"/>
          <w:sz w:val="24"/>
          <w:szCs w:val="24"/>
        </w:rPr>
        <w:t xml:space="preserve">World Bank. (2023). </w:t>
      </w:r>
      <w:r w:rsidRPr="003B659A">
        <w:rPr>
          <w:rFonts w:ascii="Times New Roman" w:eastAsia="Times New Roman" w:hAnsi="Times New Roman" w:cs="Times New Roman"/>
          <w:i/>
          <w:iCs/>
          <w:sz w:val="24"/>
          <w:szCs w:val="24"/>
        </w:rPr>
        <w:t>Nigeria development update: Turning the corner—From reforms and renewed hope to results.</w:t>
      </w:r>
      <w:r w:rsidRPr="003B659A">
        <w:rPr>
          <w:rFonts w:ascii="Times New Roman" w:eastAsia="Times New Roman" w:hAnsi="Times New Roman" w:cs="Times New Roman"/>
          <w:sz w:val="24"/>
          <w:szCs w:val="24"/>
        </w:rPr>
        <w:t xml:space="preserve"> </w:t>
      </w:r>
      <w:hyperlink r:id="rId53" w:tgtFrame="_new" w:history="1">
        <w:r w:rsidRPr="003B659A">
          <w:rPr>
            <w:rFonts w:ascii="Times New Roman" w:eastAsia="Times New Roman" w:hAnsi="Times New Roman" w:cs="Times New Roman"/>
            <w:color w:val="0000FF"/>
            <w:sz w:val="24"/>
            <w:szCs w:val="24"/>
            <w:u w:val="single"/>
            <w:lang w:val="nl-BE"/>
          </w:rPr>
          <w:t>https://documents.worldbank.org/en/publication/documents-reports/documentdetail/099121223114542074</w:t>
        </w:r>
      </w:hyperlink>
      <w:r w:rsidRPr="003B659A">
        <w:rPr>
          <w:rFonts w:ascii="Times New Roman" w:eastAsia="Times New Roman" w:hAnsi="Times New Roman" w:cs="Times New Roman"/>
          <w:sz w:val="24"/>
          <w:szCs w:val="24"/>
          <w:lang w:val="nl-BE"/>
        </w:rPr>
        <w:t xml:space="preserve"> </w:t>
      </w:r>
    </w:p>
    <w:p w14:paraId="5A8D1550" w14:textId="0F73B33D" w:rsidR="006B70AA" w:rsidRPr="003B659A" w:rsidRDefault="003B659A" w:rsidP="003B659A">
      <w:pPr>
        <w:spacing w:before="100" w:beforeAutospacing="1" w:after="100" w:afterAutospacing="1" w:line="240" w:lineRule="auto"/>
        <w:ind w:left="540" w:hanging="540"/>
        <w:jc w:val="both"/>
        <w:outlineLvl w:val="0"/>
        <w:rPr>
          <w:rFonts w:ascii="Times New Roman" w:eastAsia="Times New Roman" w:hAnsi="Times New Roman" w:cs="Times New Roman"/>
          <w:b/>
          <w:bCs/>
          <w:kern w:val="36"/>
          <w:sz w:val="24"/>
          <w:szCs w:val="24"/>
        </w:rPr>
      </w:pPr>
      <w:r w:rsidRPr="003B659A">
        <w:rPr>
          <w:rFonts w:ascii="Times New Roman" w:eastAsia="Times New Roman" w:hAnsi="Times New Roman" w:cs="Times New Roman"/>
          <w:sz w:val="24"/>
          <w:szCs w:val="24"/>
          <w:lang w:val="nl-BE"/>
        </w:rPr>
        <w:t xml:space="preserve">Xu, Z., Chen, Z., Deng, L., &amp; Yu, Y. (2022). </w:t>
      </w:r>
      <w:r w:rsidRPr="003B659A">
        <w:rPr>
          <w:rFonts w:ascii="Times New Roman" w:eastAsia="Times New Roman" w:hAnsi="Times New Roman" w:cs="Times New Roman"/>
          <w:sz w:val="24"/>
          <w:szCs w:val="24"/>
        </w:rPr>
        <w:t xml:space="preserve">The impact of mandatory deleveraging on corporate tax avoidance: Evidence from a quasi-experiment in China. </w:t>
      </w:r>
      <w:r w:rsidRPr="003B659A">
        <w:rPr>
          <w:rFonts w:ascii="Times New Roman" w:eastAsia="Times New Roman" w:hAnsi="Times New Roman" w:cs="Times New Roman"/>
          <w:i/>
          <w:iCs/>
          <w:sz w:val="24"/>
          <w:szCs w:val="24"/>
        </w:rPr>
        <w:t>Australian Accounting Review, 32</w:t>
      </w:r>
      <w:r w:rsidRPr="003B659A">
        <w:rPr>
          <w:rFonts w:ascii="Times New Roman" w:eastAsia="Times New Roman" w:hAnsi="Times New Roman" w:cs="Times New Roman"/>
          <w:sz w:val="24"/>
          <w:szCs w:val="24"/>
        </w:rPr>
        <w:t xml:space="preserve">(3), 352–366. </w:t>
      </w:r>
      <w:hyperlink r:id="rId54" w:tgtFrame="_new" w:history="1">
        <w:r w:rsidRPr="003B659A">
          <w:rPr>
            <w:rFonts w:ascii="Times New Roman" w:eastAsia="Times New Roman" w:hAnsi="Times New Roman" w:cs="Times New Roman"/>
            <w:color w:val="0000FF"/>
            <w:sz w:val="24"/>
            <w:szCs w:val="24"/>
            <w:u w:val="single"/>
          </w:rPr>
          <w:t>https://doi.org/10.1111/auar.12383</w:t>
        </w:r>
      </w:hyperlink>
    </w:p>
    <w:sectPr w:rsidR="006B70AA" w:rsidRPr="003B659A" w:rsidSect="008B4605">
      <w:footerReference w:type="default" r:id="rId5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41A45E" w14:textId="77777777" w:rsidR="006049A0" w:rsidRDefault="006049A0" w:rsidP="008F3C03">
      <w:pPr>
        <w:spacing w:after="0" w:line="240" w:lineRule="auto"/>
      </w:pPr>
      <w:r>
        <w:separator/>
      </w:r>
    </w:p>
  </w:endnote>
  <w:endnote w:type="continuationSeparator" w:id="0">
    <w:p w14:paraId="4C892D47" w14:textId="77777777" w:rsidR="006049A0" w:rsidRDefault="006049A0" w:rsidP="008F3C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haris SIL">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2963525"/>
      <w:docPartObj>
        <w:docPartGallery w:val="Page Numbers (Bottom of Page)"/>
        <w:docPartUnique/>
      </w:docPartObj>
    </w:sdtPr>
    <w:sdtEndPr>
      <w:rPr>
        <w:noProof/>
      </w:rPr>
    </w:sdtEndPr>
    <w:sdtContent>
      <w:p w14:paraId="6BDD9A7A" w14:textId="77777777" w:rsidR="007C2B6A" w:rsidRDefault="007C2B6A">
        <w:pPr>
          <w:pStyle w:val="Footer"/>
          <w:jc w:val="center"/>
        </w:pPr>
        <w:r>
          <w:fldChar w:fldCharType="begin"/>
        </w:r>
        <w:r>
          <w:instrText xml:space="preserve"> PAGE   \* MERGEFORMAT </w:instrText>
        </w:r>
        <w:r>
          <w:fldChar w:fldCharType="separate"/>
        </w:r>
        <w:r w:rsidR="00887046">
          <w:rPr>
            <w:noProof/>
          </w:rPr>
          <w:t>23</w:t>
        </w:r>
        <w:r>
          <w:rPr>
            <w:noProof/>
          </w:rPr>
          <w:fldChar w:fldCharType="end"/>
        </w:r>
      </w:p>
    </w:sdtContent>
  </w:sdt>
  <w:p w14:paraId="2F7C2B63" w14:textId="77777777" w:rsidR="007C2B6A" w:rsidRDefault="007C2B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A8811" w14:textId="77777777" w:rsidR="006049A0" w:rsidRDefault="006049A0" w:rsidP="008F3C03">
      <w:pPr>
        <w:spacing w:after="0" w:line="240" w:lineRule="auto"/>
      </w:pPr>
      <w:r>
        <w:separator/>
      </w:r>
    </w:p>
  </w:footnote>
  <w:footnote w:type="continuationSeparator" w:id="0">
    <w:p w14:paraId="57F0A27D" w14:textId="77777777" w:rsidR="006049A0" w:rsidRDefault="006049A0" w:rsidP="008F3C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34204"/>
    <w:multiLevelType w:val="hybridMultilevel"/>
    <w:tmpl w:val="04DA8AE6"/>
    <w:lvl w:ilvl="0" w:tplc="9126DA8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926A4D"/>
    <w:multiLevelType w:val="multilevel"/>
    <w:tmpl w:val="C504B1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7F54D6"/>
    <w:multiLevelType w:val="hybridMultilevel"/>
    <w:tmpl w:val="FF7AA11A"/>
    <w:lvl w:ilvl="0" w:tplc="FD821C46">
      <w:start w:val="1"/>
      <w:numFmt w:val="lowerRoman"/>
      <w:lvlText w:val="%1."/>
      <w:lvlJc w:val="left"/>
      <w:pPr>
        <w:ind w:left="1170" w:hanging="72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14E24934"/>
    <w:multiLevelType w:val="multilevel"/>
    <w:tmpl w:val="35A67E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AF37727"/>
    <w:multiLevelType w:val="multilevel"/>
    <w:tmpl w:val="EFD41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AF54719"/>
    <w:multiLevelType w:val="hybridMultilevel"/>
    <w:tmpl w:val="D5D848F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DB16F9"/>
    <w:multiLevelType w:val="hybridMultilevel"/>
    <w:tmpl w:val="247C30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B85F1F"/>
    <w:multiLevelType w:val="hybridMultilevel"/>
    <w:tmpl w:val="7F7E6916"/>
    <w:lvl w:ilvl="0" w:tplc="D11A506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E4330A9"/>
    <w:multiLevelType w:val="multilevel"/>
    <w:tmpl w:val="0B366F74"/>
    <w:lvl w:ilvl="0">
      <w:start w:val="2"/>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920" w:hanging="1800"/>
      </w:pPr>
      <w:rPr>
        <w:rFonts w:hint="default"/>
      </w:rPr>
    </w:lvl>
  </w:abstractNum>
  <w:abstractNum w:abstractNumId="9" w15:restartNumberingAfterBreak="0">
    <w:nsid w:val="4FC508E6"/>
    <w:multiLevelType w:val="multilevel"/>
    <w:tmpl w:val="25F0C016"/>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5F3D6063"/>
    <w:multiLevelType w:val="hybridMultilevel"/>
    <w:tmpl w:val="29368A4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EC5F1E"/>
    <w:multiLevelType w:val="multilevel"/>
    <w:tmpl w:val="86225D0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72B1B49"/>
    <w:multiLevelType w:val="multilevel"/>
    <w:tmpl w:val="DD62764C"/>
    <w:lvl w:ilvl="0">
      <w:start w:val="1"/>
      <w:numFmt w:val="lowerRoman"/>
      <w:lvlText w:val="%1."/>
      <w:lvlJc w:val="righ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6E487F29"/>
    <w:multiLevelType w:val="multilevel"/>
    <w:tmpl w:val="2C96BF2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15:restartNumberingAfterBreak="0">
    <w:nsid w:val="6EBB51F4"/>
    <w:multiLevelType w:val="multilevel"/>
    <w:tmpl w:val="8BFCD1F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FD2088A"/>
    <w:multiLevelType w:val="multilevel"/>
    <w:tmpl w:val="404E843A"/>
    <w:lvl w:ilvl="0">
      <w:start w:val="1"/>
      <w:numFmt w:val="decimal"/>
      <w:lvlText w:val="%1."/>
      <w:lvlJc w:val="left"/>
      <w:pPr>
        <w:tabs>
          <w:tab w:val="num" w:pos="720"/>
        </w:tabs>
        <w:ind w:left="720" w:hanging="360"/>
      </w:pPr>
    </w:lvl>
    <w:lvl w:ilvl="1">
      <w:start w:val="3"/>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BFE2567"/>
    <w:multiLevelType w:val="multilevel"/>
    <w:tmpl w:val="DD42D632"/>
    <w:lvl w:ilvl="0">
      <w:start w:val="1"/>
      <w:numFmt w:val="decimal"/>
      <w:lvlText w:val="%1."/>
      <w:lvlJc w:val="left"/>
      <w:pPr>
        <w:ind w:left="360" w:hanging="360"/>
      </w:pPr>
      <w:rPr>
        <w:rFonts w:hint="default"/>
        <w:b w:val="0"/>
        <w:vertAlign w:val="superscript"/>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1073553603">
    <w:abstractNumId w:val="4"/>
  </w:num>
  <w:num w:numId="2" w16cid:durableId="1228884456">
    <w:abstractNumId w:val="15"/>
  </w:num>
  <w:num w:numId="3" w16cid:durableId="158930162">
    <w:abstractNumId w:val="13"/>
  </w:num>
  <w:num w:numId="4" w16cid:durableId="1726291586">
    <w:abstractNumId w:val="1"/>
  </w:num>
  <w:num w:numId="5" w16cid:durableId="1815178475">
    <w:abstractNumId w:val="10"/>
  </w:num>
  <w:num w:numId="6" w16cid:durableId="997852473">
    <w:abstractNumId w:val="16"/>
  </w:num>
  <w:num w:numId="7" w16cid:durableId="631902647">
    <w:abstractNumId w:val="9"/>
  </w:num>
  <w:num w:numId="8" w16cid:durableId="462043891">
    <w:abstractNumId w:val="14"/>
  </w:num>
  <w:num w:numId="9" w16cid:durableId="29159970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00990122">
    <w:abstractNumId w:val="7"/>
  </w:num>
  <w:num w:numId="11" w16cid:durableId="1124158515">
    <w:abstractNumId w:val="3"/>
  </w:num>
  <w:num w:numId="12" w16cid:durableId="21975523">
    <w:abstractNumId w:val="11"/>
  </w:num>
  <w:num w:numId="13" w16cid:durableId="627515059">
    <w:abstractNumId w:val="0"/>
  </w:num>
  <w:num w:numId="14" w16cid:durableId="1335104766">
    <w:abstractNumId w:val="2"/>
  </w:num>
  <w:num w:numId="15" w16cid:durableId="1010448489">
    <w:abstractNumId w:val="8"/>
  </w:num>
  <w:num w:numId="16" w16cid:durableId="1649744134">
    <w:abstractNumId w:val="6"/>
  </w:num>
  <w:num w:numId="17" w16cid:durableId="4537177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sjQ2MbQ0N7C0NDU3NjVQ0lEKTi0uzszPAykwrAUA+tyINCwAAAA="/>
  </w:docVars>
  <w:rsids>
    <w:rsidRoot w:val="00C17286"/>
    <w:rsid w:val="00052A67"/>
    <w:rsid w:val="00057707"/>
    <w:rsid w:val="00076373"/>
    <w:rsid w:val="000976C4"/>
    <w:rsid w:val="000A5D48"/>
    <w:rsid w:val="000A77CD"/>
    <w:rsid w:val="000B0FA1"/>
    <w:rsid w:val="000B529C"/>
    <w:rsid w:val="000B6641"/>
    <w:rsid w:val="000C4AC4"/>
    <w:rsid w:val="000C60E5"/>
    <w:rsid w:val="000F1BD9"/>
    <w:rsid w:val="000F3E03"/>
    <w:rsid w:val="000F6A6E"/>
    <w:rsid w:val="00100DB9"/>
    <w:rsid w:val="00112E3B"/>
    <w:rsid w:val="00114234"/>
    <w:rsid w:val="00114F8F"/>
    <w:rsid w:val="0012276E"/>
    <w:rsid w:val="0014769C"/>
    <w:rsid w:val="00152A6E"/>
    <w:rsid w:val="001A5AA8"/>
    <w:rsid w:val="001C5155"/>
    <w:rsid w:val="001D0DDC"/>
    <w:rsid w:val="001D3A58"/>
    <w:rsid w:val="001E5538"/>
    <w:rsid w:val="001F5E99"/>
    <w:rsid w:val="0020368B"/>
    <w:rsid w:val="00231CB2"/>
    <w:rsid w:val="002753D2"/>
    <w:rsid w:val="002C11DD"/>
    <w:rsid w:val="002C27E5"/>
    <w:rsid w:val="002D11EF"/>
    <w:rsid w:val="002D3613"/>
    <w:rsid w:val="002D4F1A"/>
    <w:rsid w:val="00302BD8"/>
    <w:rsid w:val="003142C0"/>
    <w:rsid w:val="00392FD4"/>
    <w:rsid w:val="003A726F"/>
    <w:rsid w:val="003B659A"/>
    <w:rsid w:val="003C2768"/>
    <w:rsid w:val="003E7A3B"/>
    <w:rsid w:val="0040161B"/>
    <w:rsid w:val="00405B41"/>
    <w:rsid w:val="00412D1E"/>
    <w:rsid w:val="00426BB7"/>
    <w:rsid w:val="004321D3"/>
    <w:rsid w:val="00473CED"/>
    <w:rsid w:val="004741C9"/>
    <w:rsid w:val="00485699"/>
    <w:rsid w:val="00496D64"/>
    <w:rsid w:val="004A3E51"/>
    <w:rsid w:val="004A3F9C"/>
    <w:rsid w:val="004A4DE7"/>
    <w:rsid w:val="004A7708"/>
    <w:rsid w:val="004B22A8"/>
    <w:rsid w:val="004B4346"/>
    <w:rsid w:val="004F114D"/>
    <w:rsid w:val="004F1EA0"/>
    <w:rsid w:val="004F3EF8"/>
    <w:rsid w:val="005021B5"/>
    <w:rsid w:val="00517944"/>
    <w:rsid w:val="00522EB5"/>
    <w:rsid w:val="0053302D"/>
    <w:rsid w:val="0054427A"/>
    <w:rsid w:val="00554458"/>
    <w:rsid w:val="00560D27"/>
    <w:rsid w:val="00566B28"/>
    <w:rsid w:val="0057287D"/>
    <w:rsid w:val="005811D2"/>
    <w:rsid w:val="00582440"/>
    <w:rsid w:val="005904E0"/>
    <w:rsid w:val="005933E3"/>
    <w:rsid w:val="005A1B67"/>
    <w:rsid w:val="005A7239"/>
    <w:rsid w:val="005B5100"/>
    <w:rsid w:val="005B7B59"/>
    <w:rsid w:val="005D3057"/>
    <w:rsid w:val="005F576F"/>
    <w:rsid w:val="006049A0"/>
    <w:rsid w:val="00622809"/>
    <w:rsid w:val="00625158"/>
    <w:rsid w:val="00630B57"/>
    <w:rsid w:val="00632C60"/>
    <w:rsid w:val="00634CAC"/>
    <w:rsid w:val="0064287D"/>
    <w:rsid w:val="0065246A"/>
    <w:rsid w:val="006820C1"/>
    <w:rsid w:val="00690257"/>
    <w:rsid w:val="00691F8B"/>
    <w:rsid w:val="006A2507"/>
    <w:rsid w:val="006B02B8"/>
    <w:rsid w:val="006B6733"/>
    <w:rsid w:val="006B70AA"/>
    <w:rsid w:val="006D5B3D"/>
    <w:rsid w:val="006F3FC5"/>
    <w:rsid w:val="00713A12"/>
    <w:rsid w:val="007543E3"/>
    <w:rsid w:val="00770A4A"/>
    <w:rsid w:val="0077689C"/>
    <w:rsid w:val="007A1F5F"/>
    <w:rsid w:val="007B7E8D"/>
    <w:rsid w:val="007C2B6A"/>
    <w:rsid w:val="007C45B9"/>
    <w:rsid w:val="007E49F7"/>
    <w:rsid w:val="00802AF3"/>
    <w:rsid w:val="0082752F"/>
    <w:rsid w:val="0084106B"/>
    <w:rsid w:val="008502BC"/>
    <w:rsid w:val="008850C8"/>
    <w:rsid w:val="00887046"/>
    <w:rsid w:val="008B4605"/>
    <w:rsid w:val="008D0C47"/>
    <w:rsid w:val="008E0405"/>
    <w:rsid w:val="008F3C03"/>
    <w:rsid w:val="009016D5"/>
    <w:rsid w:val="0096793A"/>
    <w:rsid w:val="0099698C"/>
    <w:rsid w:val="009D51FD"/>
    <w:rsid w:val="009D7A03"/>
    <w:rsid w:val="009F0CDF"/>
    <w:rsid w:val="00A10E4F"/>
    <w:rsid w:val="00A23DF0"/>
    <w:rsid w:val="00A25643"/>
    <w:rsid w:val="00A452CE"/>
    <w:rsid w:val="00A5532F"/>
    <w:rsid w:val="00A856A8"/>
    <w:rsid w:val="00A92111"/>
    <w:rsid w:val="00AC7886"/>
    <w:rsid w:val="00AD7A1E"/>
    <w:rsid w:val="00AE10EA"/>
    <w:rsid w:val="00AE6077"/>
    <w:rsid w:val="00AF59AE"/>
    <w:rsid w:val="00B03FFA"/>
    <w:rsid w:val="00B303A9"/>
    <w:rsid w:val="00B42B19"/>
    <w:rsid w:val="00B51AE9"/>
    <w:rsid w:val="00B541DA"/>
    <w:rsid w:val="00B70460"/>
    <w:rsid w:val="00B906C1"/>
    <w:rsid w:val="00BA1404"/>
    <w:rsid w:val="00BA1D51"/>
    <w:rsid w:val="00BA2CE2"/>
    <w:rsid w:val="00BE275C"/>
    <w:rsid w:val="00BE4460"/>
    <w:rsid w:val="00BF52B8"/>
    <w:rsid w:val="00C17286"/>
    <w:rsid w:val="00C338FB"/>
    <w:rsid w:val="00C366DF"/>
    <w:rsid w:val="00C70ACE"/>
    <w:rsid w:val="00C750DA"/>
    <w:rsid w:val="00C815FB"/>
    <w:rsid w:val="00C84465"/>
    <w:rsid w:val="00CA0FAF"/>
    <w:rsid w:val="00CB38EF"/>
    <w:rsid w:val="00CB52FF"/>
    <w:rsid w:val="00CF4CF5"/>
    <w:rsid w:val="00D024B3"/>
    <w:rsid w:val="00D03A87"/>
    <w:rsid w:val="00D060C7"/>
    <w:rsid w:val="00D16360"/>
    <w:rsid w:val="00D50437"/>
    <w:rsid w:val="00D570EE"/>
    <w:rsid w:val="00D6342C"/>
    <w:rsid w:val="00D63A4F"/>
    <w:rsid w:val="00D92B8F"/>
    <w:rsid w:val="00D9754F"/>
    <w:rsid w:val="00DA26E4"/>
    <w:rsid w:val="00DA6D75"/>
    <w:rsid w:val="00DB115C"/>
    <w:rsid w:val="00DB236D"/>
    <w:rsid w:val="00DB6723"/>
    <w:rsid w:val="00DC1509"/>
    <w:rsid w:val="00DD36F5"/>
    <w:rsid w:val="00DD65E4"/>
    <w:rsid w:val="00DE3709"/>
    <w:rsid w:val="00DF18B1"/>
    <w:rsid w:val="00E01671"/>
    <w:rsid w:val="00E02AF5"/>
    <w:rsid w:val="00E478BE"/>
    <w:rsid w:val="00E53FF4"/>
    <w:rsid w:val="00E576B0"/>
    <w:rsid w:val="00E70CBB"/>
    <w:rsid w:val="00E71A40"/>
    <w:rsid w:val="00EC15FA"/>
    <w:rsid w:val="00ED6D51"/>
    <w:rsid w:val="00F078F9"/>
    <w:rsid w:val="00F16460"/>
    <w:rsid w:val="00F3421B"/>
    <w:rsid w:val="00F360A5"/>
    <w:rsid w:val="00F5286A"/>
    <w:rsid w:val="00F5491C"/>
    <w:rsid w:val="00F65B54"/>
    <w:rsid w:val="00F66503"/>
    <w:rsid w:val="00F75D83"/>
    <w:rsid w:val="00F97FFC"/>
    <w:rsid w:val="00FA6917"/>
    <w:rsid w:val="00FB4CFB"/>
    <w:rsid w:val="00FC08EF"/>
    <w:rsid w:val="00FC222E"/>
    <w:rsid w:val="00FC4BCC"/>
    <w:rsid w:val="00FD3D99"/>
    <w:rsid w:val="00FD5862"/>
    <w:rsid w:val="00FE6A35"/>
    <w:rsid w:val="00FF5B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E7270"/>
  <w15:chartTrackingRefBased/>
  <w15:docId w15:val="{BEF46296-B4A7-4965-AF8D-9A22F8042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8850C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8850C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sselectedend">
    <w:name w:val="isselectedend"/>
    <w:basedOn w:val="Normal"/>
    <w:rsid w:val="00C17286"/>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C17286"/>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8F3C03"/>
    <w:pPr>
      <w:spacing w:after="0" w:line="240" w:lineRule="auto"/>
    </w:pPr>
  </w:style>
  <w:style w:type="paragraph" w:styleId="Header">
    <w:name w:val="header"/>
    <w:basedOn w:val="Normal"/>
    <w:link w:val="HeaderChar"/>
    <w:uiPriority w:val="99"/>
    <w:unhideWhenUsed/>
    <w:rsid w:val="008F3C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3C03"/>
  </w:style>
  <w:style w:type="paragraph" w:styleId="Footer">
    <w:name w:val="footer"/>
    <w:basedOn w:val="Normal"/>
    <w:link w:val="FooterChar"/>
    <w:uiPriority w:val="99"/>
    <w:unhideWhenUsed/>
    <w:rsid w:val="008F3C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3C03"/>
  </w:style>
  <w:style w:type="paragraph" w:styleId="ListParagraph">
    <w:name w:val="List Paragraph"/>
    <w:basedOn w:val="Normal"/>
    <w:uiPriority w:val="34"/>
    <w:qFormat/>
    <w:rsid w:val="001D0DDC"/>
    <w:pPr>
      <w:ind w:left="720"/>
      <w:contextualSpacing/>
    </w:pPr>
  </w:style>
  <w:style w:type="table" w:styleId="TableGrid">
    <w:name w:val="Table Grid"/>
    <w:basedOn w:val="TableNormal"/>
    <w:uiPriority w:val="59"/>
    <w:rsid w:val="00DD65E4"/>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5A1B67"/>
    <w:rPr>
      <w:b/>
      <w:bCs/>
    </w:rPr>
  </w:style>
  <w:style w:type="paragraph" w:customStyle="1" w:styleId="Default">
    <w:name w:val="Default"/>
    <w:rsid w:val="00052A67"/>
    <w:pPr>
      <w:autoSpaceDE w:val="0"/>
      <w:autoSpaceDN w:val="0"/>
      <w:adjustRightInd w:val="0"/>
      <w:spacing w:after="0" w:line="240" w:lineRule="auto"/>
    </w:pPr>
    <w:rPr>
      <w:rFonts w:ascii="Charis SIL" w:hAnsi="Charis SIL" w:cs="Charis SIL"/>
      <w:color w:val="000000"/>
      <w:sz w:val="24"/>
      <w:szCs w:val="24"/>
    </w:rPr>
  </w:style>
  <w:style w:type="character" w:styleId="Hyperlink">
    <w:name w:val="Hyperlink"/>
    <w:basedOn w:val="DefaultParagraphFont"/>
    <w:uiPriority w:val="99"/>
    <w:unhideWhenUsed/>
    <w:rsid w:val="00C366DF"/>
    <w:rPr>
      <w:color w:val="0563C1" w:themeColor="hyperlink"/>
      <w:u w:val="single"/>
    </w:rPr>
  </w:style>
  <w:style w:type="paragraph" w:styleId="BalloonText">
    <w:name w:val="Balloon Text"/>
    <w:basedOn w:val="Normal"/>
    <w:link w:val="BalloonTextChar"/>
    <w:uiPriority w:val="99"/>
    <w:semiHidden/>
    <w:unhideWhenUsed/>
    <w:rsid w:val="00F97F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7FFC"/>
    <w:rPr>
      <w:rFonts w:ascii="Segoe UI" w:hAnsi="Segoe UI" w:cs="Segoe UI"/>
      <w:sz w:val="18"/>
      <w:szCs w:val="18"/>
    </w:rPr>
  </w:style>
  <w:style w:type="table" w:styleId="PlainTable5">
    <w:name w:val="Plain Table 5"/>
    <w:basedOn w:val="TableNormal"/>
    <w:uiPriority w:val="45"/>
    <w:rsid w:val="00D1636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CB38E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2Char">
    <w:name w:val="Heading 2 Char"/>
    <w:basedOn w:val="DefaultParagraphFont"/>
    <w:link w:val="Heading2"/>
    <w:uiPriority w:val="9"/>
    <w:rsid w:val="008850C8"/>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8850C8"/>
    <w:rPr>
      <w:rFonts w:ascii="Times New Roman" w:eastAsia="Times New Roman" w:hAnsi="Times New Roman" w:cs="Times New Roman"/>
      <w:b/>
      <w:bCs/>
      <w:sz w:val="27"/>
      <w:szCs w:val="27"/>
    </w:rPr>
  </w:style>
  <w:style w:type="paragraph" w:customStyle="1" w:styleId="pdq2pgselectionanchorcontainer">
    <w:name w:val="pdq2pg_selectionanchorcontainer"/>
    <w:basedOn w:val="Normal"/>
    <w:rsid w:val="008850C8"/>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F5286A"/>
    <w:rPr>
      <w:i/>
      <w:iCs/>
    </w:rPr>
  </w:style>
  <w:style w:type="table" w:styleId="PlainTable3">
    <w:name w:val="Plain Table 3"/>
    <w:basedOn w:val="TableNormal"/>
    <w:uiPriority w:val="43"/>
    <w:rsid w:val="000976C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049666">
      <w:bodyDiv w:val="1"/>
      <w:marLeft w:val="0"/>
      <w:marRight w:val="0"/>
      <w:marTop w:val="0"/>
      <w:marBottom w:val="0"/>
      <w:divBdr>
        <w:top w:val="none" w:sz="0" w:space="0" w:color="auto"/>
        <w:left w:val="none" w:sz="0" w:space="0" w:color="auto"/>
        <w:bottom w:val="none" w:sz="0" w:space="0" w:color="auto"/>
        <w:right w:val="none" w:sz="0" w:space="0" w:color="auto"/>
      </w:divBdr>
    </w:div>
    <w:div w:id="53701917">
      <w:bodyDiv w:val="1"/>
      <w:marLeft w:val="0"/>
      <w:marRight w:val="0"/>
      <w:marTop w:val="0"/>
      <w:marBottom w:val="0"/>
      <w:divBdr>
        <w:top w:val="none" w:sz="0" w:space="0" w:color="auto"/>
        <w:left w:val="none" w:sz="0" w:space="0" w:color="auto"/>
        <w:bottom w:val="none" w:sz="0" w:space="0" w:color="auto"/>
        <w:right w:val="none" w:sz="0" w:space="0" w:color="auto"/>
      </w:divBdr>
    </w:div>
    <w:div w:id="81529371">
      <w:bodyDiv w:val="1"/>
      <w:marLeft w:val="0"/>
      <w:marRight w:val="0"/>
      <w:marTop w:val="0"/>
      <w:marBottom w:val="0"/>
      <w:divBdr>
        <w:top w:val="none" w:sz="0" w:space="0" w:color="auto"/>
        <w:left w:val="none" w:sz="0" w:space="0" w:color="auto"/>
        <w:bottom w:val="none" w:sz="0" w:space="0" w:color="auto"/>
        <w:right w:val="none" w:sz="0" w:space="0" w:color="auto"/>
      </w:divBdr>
      <w:divsChild>
        <w:div w:id="305084891">
          <w:marLeft w:val="0"/>
          <w:marRight w:val="0"/>
          <w:marTop w:val="0"/>
          <w:marBottom w:val="0"/>
          <w:divBdr>
            <w:top w:val="none" w:sz="0" w:space="0" w:color="auto"/>
            <w:left w:val="none" w:sz="0" w:space="0" w:color="auto"/>
            <w:bottom w:val="none" w:sz="0" w:space="0" w:color="auto"/>
            <w:right w:val="none" w:sz="0" w:space="0" w:color="auto"/>
          </w:divBdr>
          <w:divsChild>
            <w:div w:id="1826971161">
              <w:marLeft w:val="0"/>
              <w:marRight w:val="0"/>
              <w:marTop w:val="0"/>
              <w:marBottom w:val="0"/>
              <w:divBdr>
                <w:top w:val="none" w:sz="0" w:space="0" w:color="auto"/>
                <w:left w:val="none" w:sz="0" w:space="0" w:color="auto"/>
                <w:bottom w:val="none" w:sz="0" w:space="0" w:color="auto"/>
                <w:right w:val="none" w:sz="0" w:space="0" w:color="auto"/>
              </w:divBdr>
            </w:div>
          </w:divsChild>
        </w:div>
        <w:div w:id="870726915">
          <w:marLeft w:val="0"/>
          <w:marRight w:val="0"/>
          <w:marTop w:val="0"/>
          <w:marBottom w:val="0"/>
          <w:divBdr>
            <w:top w:val="none" w:sz="0" w:space="0" w:color="auto"/>
            <w:left w:val="none" w:sz="0" w:space="0" w:color="auto"/>
            <w:bottom w:val="none" w:sz="0" w:space="0" w:color="auto"/>
            <w:right w:val="none" w:sz="0" w:space="0" w:color="auto"/>
          </w:divBdr>
          <w:divsChild>
            <w:div w:id="2050955981">
              <w:marLeft w:val="0"/>
              <w:marRight w:val="0"/>
              <w:marTop w:val="0"/>
              <w:marBottom w:val="0"/>
              <w:divBdr>
                <w:top w:val="none" w:sz="0" w:space="0" w:color="auto"/>
                <w:left w:val="none" w:sz="0" w:space="0" w:color="auto"/>
                <w:bottom w:val="none" w:sz="0" w:space="0" w:color="auto"/>
                <w:right w:val="none" w:sz="0" w:space="0" w:color="auto"/>
              </w:divBdr>
            </w:div>
          </w:divsChild>
        </w:div>
        <w:div w:id="1028750845">
          <w:marLeft w:val="0"/>
          <w:marRight w:val="0"/>
          <w:marTop w:val="0"/>
          <w:marBottom w:val="0"/>
          <w:divBdr>
            <w:top w:val="none" w:sz="0" w:space="0" w:color="auto"/>
            <w:left w:val="none" w:sz="0" w:space="0" w:color="auto"/>
            <w:bottom w:val="none" w:sz="0" w:space="0" w:color="auto"/>
            <w:right w:val="none" w:sz="0" w:space="0" w:color="auto"/>
          </w:divBdr>
          <w:divsChild>
            <w:div w:id="122699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13155">
      <w:bodyDiv w:val="1"/>
      <w:marLeft w:val="0"/>
      <w:marRight w:val="0"/>
      <w:marTop w:val="0"/>
      <w:marBottom w:val="0"/>
      <w:divBdr>
        <w:top w:val="none" w:sz="0" w:space="0" w:color="auto"/>
        <w:left w:val="none" w:sz="0" w:space="0" w:color="auto"/>
        <w:bottom w:val="none" w:sz="0" w:space="0" w:color="auto"/>
        <w:right w:val="none" w:sz="0" w:space="0" w:color="auto"/>
      </w:divBdr>
    </w:div>
    <w:div w:id="263149029">
      <w:bodyDiv w:val="1"/>
      <w:marLeft w:val="0"/>
      <w:marRight w:val="0"/>
      <w:marTop w:val="0"/>
      <w:marBottom w:val="0"/>
      <w:divBdr>
        <w:top w:val="none" w:sz="0" w:space="0" w:color="auto"/>
        <w:left w:val="none" w:sz="0" w:space="0" w:color="auto"/>
        <w:bottom w:val="none" w:sz="0" w:space="0" w:color="auto"/>
        <w:right w:val="none" w:sz="0" w:space="0" w:color="auto"/>
      </w:divBdr>
    </w:div>
    <w:div w:id="292633705">
      <w:bodyDiv w:val="1"/>
      <w:marLeft w:val="0"/>
      <w:marRight w:val="0"/>
      <w:marTop w:val="0"/>
      <w:marBottom w:val="0"/>
      <w:divBdr>
        <w:top w:val="none" w:sz="0" w:space="0" w:color="auto"/>
        <w:left w:val="none" w:sz="0" w:space="0" w:color="auto"/>
        <w:bottom w:val="none" w:sz="0" w:space="0" w:color="auto"/>
        <w:right w:val="none" w:sz="0" w:space="0" w:color="auto"/>
      </w:divBdr>
    </w:div>
    <w:div w:id="361632462">
      <w:bodyDiv w:val="1"/>
      <w:marLeft w:val="0"/>
      <w:marRight w:val="0"/>
      <w:marTop w:val="0"/>
      <w:marBottom w:val="0"/>
      <w:divBdr>
        <w:top w:val="none" w:sz="0" w:space="0" w:color="auto"/>
        <w:left w:val="none" w:sz="0" w:space="0" w:color="auto"/>
        <w:bottom w:val="none" w:sz="0" w:space="0" w:color="auto"/>
        <w:right w:val="none" w:sz="0" w:space="0" w:color="auto"/>
      </w:divBdr>
    </w:div>
    <w:div w:id="437986995">
      <w:bodyDiv w:val="1"/>
      <w:marLeft w:val="0"/>
      <w:marRight w:val="0"/>
      <w:marTop w:val="0"/>
      <w:marBottom w:val="0"/>
      <w:divBdr>
        <w:top w:val="none" w:sz="0" w:space="0" w:color="auto"/>
        <w:left w:val="none" w:sz="0" w:space="0" w:color="auto"/>
        <w:bottom w:val="none" w:sz="0" w:space="0" w:color="auto"/>
        <w:right w:val="none" w:sz="0" w:space="0" w:color="auto"/>
      </w:divBdr>
    </w:div>
    <w:div w:id="651521062">
      <w:bodyDiv w:val="1"/>
      <w:marLeft w:val="0"/>
      <w:marRight w:val="0"/>
      <w:marTop w:val="0"/>
      <w:marBottom w:val="0"/>
      <w:divBdr>
        <w:top w:val="none" w:sz="0" w:space="0" w:color="auto"/>
        <w:left w:val="none" w:sz="0" w:space="0" w:color="auto"/>
        <w:bottom w:val="none" w:sz="0" w:space="0" w:color="auto"/>
        <w:right w:val="none" w:sz="0" w:space="0" w:color="auto"/>
      </w:divBdr>
    </w:div>
    <w:div w:id="670568190">
      <w:bodyDiv w:val="1"/>
      <w:marLeft w:val="0"/>
      <w:marRight w:val="0"/>
      <w:marTop w:val="0"/>
      <w:marBottom w:val="0"/>
      <w:divBdr>
        <w:top w:val="none" w:sz="0" w:space="0" w:color="auto"/>
        <w:left w:val="none" w:sz="0" w:space="0" w:color="auto"/>
        <w:bottom w:val="none" w:sz="0" w:space="0" w:color="auto"/>
        <w:right w:val="none" w:sz="0" w:space="0" w:color="auto"/>
      </w:divBdr>
    </w:div>
    <w:div w:id="873536443">
      <w:bodyDiv w:val="1"/>
      <w:marLeft w:val="0"/>
      <w:marRight w:val="0"/>
      <w:marTop w:val="0"/>
      <w:marBottom w:val="0"/>
      <w:divBdr>
        <w:top w:val="none" w:sz="0" w:space="0" w:color="auto"/>
        <w:left w:val="none" w:sz="0" w:space="0" w:color="auto"/>
        <w:bottom w:val="none" w:sz="0" w:space="0" w:color="auto"/>
        <w:right w:val="none" w:sz="0" w:space="0" w:color="auto"/>
      </w:divBdr>
    </w:div>
    <w:div w:id="890264448">
      <w:bodyDiv w:val="1"/>
      <w:marLeft w:val="0"/>
      <w:marRight w:val="0"/>
      <w:marTop w:val="0"/>
      <w:marBottom w:val="0"/>
      <w:divBdr>
        <w:top w:val="none" w:sz="0" w:space="0" w:color="auto"/>
        <w:left w:val="none" w:sz="0" w:space="0" w:color="auto"/>
        <w:bottom w:val="none" w:sz="0" w:space="0" w:color="auto"/>
        <w:right w:val="none" w:sz="0" w:space="0" w:color="auto"/>
      </w:divBdr>
    </w:div>
    <w:div w:id="965238613">
      <w:bodyDiv w:val="1"/>
      <w:marLeft w:val="0"/>
      <w:marRight w:val="0"/>
      <w:marTop w:val="0"/>
      <w:marBottom w:val="0"/>
      <w:divBdr>
        <w:top w:val="none" w:sz="0" w:space="0" w:color="auto"/>
        <w:left w:val="none" w:sz="0" w:space="0" w:color="auto"/>
        <w:bottom w:val="none" w:sz="0" w:space="0" w:color="auto"/>
        <w:right w:val="none" w:sz="0" w:space="0" w:color="auto"/>
      </w:divBdr>
    </w:div>
    <w:div w:id="981809042">
      <w:bodyDiv w:val="1"/>
      <w:marLeft w:val="0"/>
      <w:marRight w:val="0"/>
      <w:marTop w:val="0"/>
      <w:marBottom w:val="0"/>
      <w:divBdr>
        <w:top w:val="none" w:sz="0" w:space="0" w:color="auto"/>
        <w:left w:val="none" w:sz="0" w:space="0" w:color="auto"/>
        <w:bottom w:val="none" w:sz="0" w:space="0" w:color="auto"/>
        <w:right w:val="none" w:sz="0" w:space="0" w:color="auto"/>
      </w:divBdr>
    </w:div>
    <w:div w:id="1035541324">
      <w:bodyDiv w:val="1"/>
      <w:marLeft w:val="0"/>
      <w:marRight w:val="0"/>
      <w:marTop w:val="0"/>
      <w:marBottom w:val="0"/>
      <w:divBdr>
        <w:top w:val="none" w:sz="0" w:space="0" w:color="auto"/>
        <w:left w:val="none" w:sz="0" w:space="0" w:color="auto"/>
        <w:bottom w:val="none" w:sz="0" w:space="0" w:color="auto"/>
        <w:right w:val="none" w:sz="0" w:space="0" w:color="auto"/>
      </w:divBdr>
    </w:div>
    <w:div w:id="1087270856">
      <w:bodyDiv w:val="1"/>
      <w:marLeft w:val="0"/>
      <w:marRight w:val="0"/>
      <w:marTop w:val="0"/>
      <w:marBottom w:val="0"/>
      <w:divBdr>
        <w:top w:val="none" w:sz="0" w:space="0" w:color="auto"/>
        <w:left w:val="none" w:sz="0" w:space="0" w:color="auto"/>
        <w:bottom w:val="none" w:sz="0" w:space="0" w:color="auto"/>
        <w:right w:val="none" w:sz="0" w:space="0" w:color="auto"/>
      </w:divBdr>
    </w:div>
    <w:div w:id="1134325433">
      <w:bodyDiv w:val="1"/>
      <w:marLeft w:val="0"/>
      <w:marRight w:val="0"/>
      <w:marTop w:val="0"/>
      <w:marBottom w:val="0"/>
      <w:divBdr>
        <w:top w:val="none" w:sz="0" w:space="0" w:color="auto"/>
        <w:left w:val="none" w:sz="0" w:space="0" w:color="auto"/>
        <w:bottom w:val="none" w:sz="0" w:space="0" w:color="auto"/>
        <w:right w:val="none" w:sz="0" w:space="0" w:color="auto"/>
      </w:divBdr>
    </w:div>
    <w:div w:id="1584605558">
      <w:bodyDiv w:val="1"/>
      <w:marLeft w:val="0"/>
      <w:marRight w:val="0"/>
      <w:marTop w:val="0"/>
      <w:marBottom w:val="0"/>
      <w:divBdr>
        <w:top w:val="none" w:sz="0" w:space="0" w:color="auto"/>
        <w:left w:val="none" w:sz="0" w:space="0" w:color="auto"/>
        <w:bottom w:val="none" w:sz="0" w:space="0" w:color="auto"/>
        <w:right w:val="none" w:sz="0" w:space="0" w:color="auto"/>
      </w:divBdr>
    </w:div>
    <w:div w:id="1716811524">
      <w:bodyDiv w:val="1"/>
      <w:marLeft w:val="0"/>
      <w:marRight w:val="0"/>
      <w:marTop w:val="0"/>
      <w:marBottom w:val="0"/>
      <w:divBdr>
        <w:top w:val="none" w:sz="0" w:space="0" w:color="auto"/>
        <w:left w:val="none" w:sz="0" w:space="0" w:color="auto"/>
        <w:bottom w:val="none" w:sz="0" w:space="0" w:color="auto"/>
        <w:right w:val="none" w:sz="0" w:space="0" w:color="auto"/>
      </w:divBdr>
    </w:div>
    <w:div w:id="1770734119">
      <w:bodyDiv w:val="1"/>
      <w:marLeft w:val="0"/>
      <w:marRight w:val="0"/>
      <w:marTop w:val="0"/>
      <w:marBottom w:val="0"/>
      <w:divBdr>
        <w:top w:val="none" w:sz="0" w:space="0" w:color="auto"/>
        <w:left w:val="none" w:sz="0" w:space="0" w:color="auto"/>
        <w:bottom w:val="none" w:sz="0" w:space="0" w:color="auto"/>
        <w:right w:val="none" w:sz="0" w:space="0" w:color="auto"/>
      </w:divBdr>
    </w:div>
    <w:div w:id="2077363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111/1911-3846.12421" TargetMode="External"/><Relationship Id="rId18" Type="http://schemas.openxmlformats.org/officeDocument/2006/relationships/hyperlink" Target="https://searchworks.stanford.edu/view/1032089?utm_source=chatgpt.com" TargetMode="External"/><Relationship Id="rId26" Type="http://schemas.openxmlformats.org/officeDocument/2006/relationships/hyperlink" Target="https://doi.org/10.56201/jafm.vol.11.no6.2025.pg367.383" TargetMode="External"/><Relationship Id="rId39" Type="http://schemas.openxmlformats.org/officeDocument/2006/relationships/hyperlink" Target="https://doi.org/10.3386/w1393" TargetMode="External"/><Relationship Id="rId21" Type="http://schemas.openxmlformats.org/officeDocument/2006/relationships/hyperlink" Target="https://doi.org/10.1016/j.jfineco.2005.02.002" TargetMode="External"/><Relationship Id="rId34" Type="http://schemas.openxmlformats.org/officeDocument/2006/relationships/hyperlink" Target="https://doi.org/10.22495/cocv18i2art2" TargetMode="External"/><Relationship Id="rId42" Type="http://schemas.openxmlformats.org/officeDocument/2006/relationships/hyperlink" Target="https://doi.org/10.2307/2490395" TargetMode="External"/><Relationship Id="rId47" Type="http://schemas.openxmlformats.org/officeDocument/2006/relationships/hyperlink" Target="https://doi.org/10.21776/ub.jiae.2023.011.01.5" TargetMode="External"/><Relationship Id="rId50" Type="http://schemas.openxmlformats.org/officeDocument/2006/relationships/hyperlink" Target="https://doi.org/10.17310/ntj.2004.4.06" TargetMode="External"/><Relationship Id="rId55"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cbn.gov.ng/Documents/cbnannualreports.html?utm_source=chatgpt.com" TargetMode="External"/><Relationship Id="rId29" Type="http://schemas.openxmlformats.org/officeDocument/2006/relationships/hyperlink" Target="https://doi.org/10.1111/irfi.12254" TargetMode="External"/><Relationship Id="rId11" Type="http://schemas.openxmlformats.org/officeDocument/2006/relationships/hyperlink" Target="https://doi.org/10.4337/9780857936097.00027" TargetMode="External"/><Relationship Id="rId24" Type="http://schemas.openxmlformats.org/officeDocument/2006/relationships/hyperlink" Target="https://doi.org/10.1016/j.jacceco.2020.101317" TargetMode="External"/><Relationship Id="rId32" Type="http://schemas.openxmlformats.org/officeDocument/2006/relationships/hyperlink" Target="https://doi.org/10.5089/9798400275074.002" TargetMode="External"/><Relationship Id="rId37" Type="http://schemas.openxmlformats.org/officeDocument/2006/relationships/hyperlink" Target="https://doi.org/10.1111/j.1540-6261.1994.tb02452.x" TargetMode="External"/><Relationship Id="rId40" Type="http://schemas.openxmlformats.org/officeDocument/2006/relationships/hyperlink" Target="https://doi.org/10.1080/15228916.2022.2031827" TargetMode="External"/><Relationship Id="rId45" Type="http://schemas.openxmlformats.org/officeDocument/2006/relationships/hyperlink" Target="https://doi.org/10.56557/ajefm/2025/v7i1344" TargetMode="External"/><Relationship Id="rId53" Type="http://schemas.openxmlformats.org/officeDocument/2006/relationships/hyperlink" Target="https://documents.worldbank.org/en/publication/documents-reports/documentdetail/099121223114542074" TargetMode="External"/><Relationship Id="rId5" Type="http://schemas.openxmlformats.org/officeDocument/2006/relationships/webSettings" Target="webSettings.xml"/><Relationship Id="rId19" Type="http://schemas.openxmlformats.org/officeDocument/2006/relationships/hyperlink" Target="https://pages.stern.nyu.edu/~adamodar/New_Home_Page/ACF4E/appldCF4E.htm" TargetMode="External"/><Relationship Id="rId4" Type="http://schemas.openxmlformats.org/officeDocument/2006/relationships/settings" Target="settings.xml"/><Relationship Id="rId9" Type="http://schemas.openxmlformats.org/officeDocument/2006/relationships/hyperlink" Target="https://crj.unilag.edu.ng/index.php/LJBFEI/article/view/2339?utm_source=chatgpt.com" TargetMode="External"/><Relationship Id="rId14" Type="http://schemas.openxmlformats.org/officeDocument/2006/relationships/hyperlink" Target="https://doi.org/10.17310/ntj.2014.4.06" TargetMode="External"/><Relationship Id="rId22" Type="http://schemas.openxmlformats.org/officeDocument/2006/relationships/hyperlink" Target="https://doi.org/10.1162/rest.91.3.537" TargetMode="External"/><Relationship Id="rId27" Type="http://schemas.openxmlformats.org/officeDocument/2006/relationships/hyperlink" Target="https://doi.org/10.1093/rfs/hhg033" TargetMode="External"/><Relationship Id="rId30" Type="http://schemas.openxmlformats.org/officeDocument/2006/relationships/hyperlink" Target="https://doi.org/10.1146/annurev-financial-101221-103806" TargetMode="External"/><Relationship Id="rId35" Type="http://schemas.openxmlformats.org/officeDocument/2006/relationships/hyperlink" Target="https://kpmg.com/ng/en/insights/2024/01/macroeconomic-review-2023-and-outlook-for-2024.html?utm_source=chatgpt.com" TargetMode="External"/><Relationship Id="rId43" Type="http://schemas.openxmlformats.org/officeDocument/2006/relationships/hyperlink" Target="https://doi.org/10.9734/ajeba/2026/v26i52268" TargetMode="External"/><Relationship Id="rId48" Type="http://schemas.openxmlformats.org/officeDocument/2006/relationships/hyperlink" Target="https://doi.org/10.1016/j.qref.2021.05.003" TargetMode="External"/><Relationship Id="rId56" Type="http://schemas.openxmlformats.org/officeDocument/2006/relationships/fontTable" Target="fontTable.xml"/><Relationship Id="rId8" Type="http://schemas.openxmlformats.org/officeDocument/2006/relationships/hyperlink" Target="https://doi.org/10.1016/j.hpopen.2023.100091" TargetMode="External"/><Relationship Id="rId51" Type="http://schemas.openxmlformats.org/officeDocument/2006/relationships/hyperlink" Target="https://doi.org/10.1002/ijfe.2433" TargetMode="External"/><Relationship Id="rId3" Type="http://schemas.openxmlformats.org/officeDocument/2006/relationships/styles" Target="styles.xml"/><Relationship Id="rId12" Type="http://schemas.openxmlformats.org/officeDocument/2006/relationships/hyperlink" Target="https://doi.org/10.1108/AJAR-10-2022-0347" TargetMode="External"/><Relationship Id="rId17" Type="http://schemas.openxmlformats.org/officeDocument/2006/relationships/hyperlink" Target="https://doi.org/10.1111/dech.12808" TargetMode="External"/><Relationship Id="rId25" Type="http://schemas.openxmlformats.org/officeDocument/2006/relationships/hyperlink" Target="https://doi.org/10.1162/003465398557825" TargetMode="External"/><Relationship Id="rId33" Type="http://schemas.openxmlformats.org/officeDocument/2006/relationships/hyperlink" Target="https://doi.org/10.1016/0304-405X(76)90026-X" TargetMode="External"/><Relationship Id="rId38" Type="http://schemas.openxmlformats.org/officeDocument/2006/relationships/hyperlink" Target="https://doi.org/10.1016/j.frl.2026.109645" TargetMode="External"/><Relationship Id="rId46" Type="http://schemas.openxmlformats.org/officeDocument/2006/relationships/hyperlink" Target="https://doi.org/10.1017/S0022109020000861" TargetMode="External"/><Relationship Id="rId20" Type="http://schemas.openxmlformats.org/officeDocument/2006/relationships/hyperlink" Target="https://doi.org/10.1016/0304-405X(80)90019-7" TargetMode="External"/><Relationship Id="rId41" Type="http://schemas.openxmlformats.org/officeDocument/2006/relationships/hyperlink" Target="https://www.oecd.org/en/about/news/announcements/2021/10/statement-on-a-two-pillar-solution-to-address-the-tax-challenges-arising-from-the-digitalisation-of-the-economy-october-2021.html" TargetMode="External"/><Relationship Id="rId54" Type="http://schemas.openxmlformats.org/officeDocument/2006/relationships/hyperlink" Target="https://doi.org/10.1111/auar.12383"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7202/1075486ar" TargetMode="External"/><Relationship Id="rId23" Type="http://schemas.openxmlformats.org/officeDocument/2006/relationships/hyperlink" Target="https://doi.org/10.1017/S0022109022001144" TargetMode="External"/><Relationship Id="rId28" Type="http://schemas.openxmlformats.org/officeDocument/2006/relationships/hyperlink" Target="https://doi.org/10.1111/acfi.12400" TargetMode="External"/><Relationship Id="rId36" Type="http://schemas.openxmlformats.org/officeDocument/2006/relationships/hyperlink" Target="https://doi.org/10.1111/j.1540-6261.1973.tb01415.x" TargetMode="External"/><Relationship Id="rId49" Type="http://schemas.openxmlformats.org/officeDocument/2006/relationships/hyperlink" Target="https://doi.org/10.1016/S0165-4101(01)00022-2" TargetMode="External"/><Relationship Id="rId57" Type="http://schemas.openxmlformats.org/officeDocument/2006/relationships/theme" Target="theme/theme1.xml"/><Relationship Id="rId10" Type="http://schemas.openxmlformats.org/officeDocument/2006/relationships/hyperlink" Target="https://doi.org/10.1111/j.1540-6261.1968.tb00843.x" TargetMode="External"/><Relationship Id="rId31" Type="http://schemas.openxmlformats.org/officeDocument/2006/relationships/hyperlink" Target="https://doi.org/10.1177/1536867X0700700301" TargetMode="External"/><Relationship Id="rId44" Type="http://schemas.openxmlformats.org/officeDocument/2006/relationships/hyperlink" Target="https://bwjournal.org/index.php/bsjournal/article/view/149?utm_source=chatgpt.com" TargetMode="External"/><Relationship Id="rId52" Type="http://schemas.openxmlformats.org/officeDocument/2006/relationships/hyperlink" Target="https://mitpress.mit.edu/9780262232586/econometric-analysis-of-cross-section-and-panel-da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3E6329-034C-477F-868D-9129E10B25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23</Pages>
  <Words>9533</Words>
  <Characters>54341</Characters>
  <Application>Microsoft Office Word</Application>
  <DocSecurity>0</DocSecurity>
  <Lines>452</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Editor-90</cp:lastModifiedBy>
  <cp:revision>26</cp:revision>
  <cp:lastPrinted>2026-07-16T16:41:00Z</cp:lastPrinted>
  <dcterms:created xsi:type="dcterms:W3CDTF">2026-07-20T18:12:00Z</dcterms:created>
  <dcterms:modified xsi:type="dcterms:W3CDTF">2026-07-28T10:51:00Z</dcterms:modified>
</cp:coreProperties>
</file>