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3DC7" w14:textId="77777777" w:rsidR="00F45ADA" w:rsidRPr="00F45ADA" w:rsidRDefault="00F45ADA" w:rsidP="00F45ADA">
      <w:pPr>
        <w:pStyle w:val="Title"/>
        <w:jc w:val="center"/>
        <w:rPr>
          <w:bCs/>
          <w:i/>
          <w:iCs/>
          <w:u w:val="single"/>
        </w:rPr>
      </w:pPr>
      <w:r w:rsidRPr="00F45ADA">
        <w:rPr>
          <w:bCs/>
          <w:i/>
          <w:iCs/>
          <w:u w:val="single"/>
        </w:rPr>
        <w:t>Review Article</w:t>
      </w:r>
    </w:p>
    <w:p w14:paraId="7A4DFCB1" w14:textId="77777777" w:rsidR="00BF7E27" w:rsidRDefault="00000000">
      <w:pPr>
        <w:pStyle w:val="Title"/>
        <w:jc w:val="center"/>
      </w:pPr>
      <w:r>
        <w:t xml:space="preserve">Revisiting Rice Parboiling: Emerging Processing Technologies, Multi-Objective </w:t>
      </w:r>
      <w:proofErr w:type="spellStart"/>
      <w:r>
        <w:t>Optimisation</w:t>
      </w:r>
      <w:proofErr w:type="spellEnd"/>
      <w:r>
        <w:t xml:space="preserve"> and Future Directions</w:t>
      </w:r>
    </w:p>
    <w:p w14:paraId="1CE406D1" w14:textId="77777777" w:rsidR="00BF7E27" w:rsidRDefault="00000000">
      <w:r>
        <w:rPr>
          <w:b/>
          <w:sz w:val="23"/>
        </w:rPr>
        <w:t>Abstract</w:t>
      </w:r>
    </w:p>
    <w:p w14:paraId="72E644C8" w14:textId="77777777" w:rsidR="00BF7E27" w:rsidRDefault="00000000">
      <w:pPr>
        <w:jc w:val="both"/>
      </w:pPr>
      <w:r>
        <w:t xml:space="preserve">Parboiling is a hydrothermal treatment of paddy that couples water uptake, starch </w:t>
      </w:r>
      <w:proofErr w:type="spellStart"/>
      <w:r>
        <w:t>gelatinisation</w:t>
      </w:r>
      <w:proofErr w:type="spellEnd"/>
      <w:r>
        <w:t xml:space="preserve">, solute redistribution and controlled drying before milling. Its longstanding value lies in strengthening kernels and improving head-rice recovery, yet the conventional sequence of prolonged soaking, steam treatment and multi-stage drying is resource intensive and can intensify </w:t>
      </w:r>
      <w:proofErr w:type="spellStart"/>
      <w:r>
        <w:t>colour</w:t>
      </w:r>
      <w:proofErr w:type="spellEnd"/>
      <w:r>
        <w:t xml:space="preserve">, texture and safety trade-offs. This critical narrative review revisits parboiling as an integrated process rather than a fixed recipe, with emphasis on emerging technologies, process </w:t>
      </w:r>
      <w:proofErr w:type="spellStart"/>
      <w:r>
        <w:t>optimisation</w:t>
      </w:r>
      <w:proofErr w:type="spellEnd"/>
      <w:r>
        <w:t xml:space="preserve"> and translational priorities. Literature published principally from 1 January 2000 to 9 June 2026 was identified through live scholarly searching of accessible bibliographic and institutional sources, supplemented by citation chasing and verification against DOI and journal records; seminal earlier work was retained where necessary. The evidence shows that process performance is governed by interactions among cultivar-dependent hydration, heat and mass transfer, starch phase transitions, thermal history and moisture-stress relaxation. Response-surface methods have clarified local operating windows, but their transferability is limited when genotype, equipment geometry or downstream drying changes. Microwave, infrared, ohmic, ultrasound, radiofrequency, vacuum-assisted soaking, </w:t>
      </w:r>
      <w:proofErr w:type="spellStart"/>
      <w:r>
        <w:t>fluidised</w:t>
      </w:r>
      <w:proofErr w:type="spellEnd"/>
      <w:r>
        <w:t xml:space="preserve">-bed and superheated-steam approaches can accelerate individual steps or combine </w:t>
      </w:r>
      <w:proofErr w:type="spellStart"/>
      <w:r>
        <w:t>gelatinisation</w:t>
      </w:r>
      <w:proofErr w:type="spellEnd"/>
      <w:r>
        <w:t xml:space="preserve"> with drying, but most evidence remains laboratory or pilot scale and is not directly comparable across energy, water, quality and cost metrics. Nutritional effects are similarly conditional: parboiling can alter resistant starch and mineral distribution, while also redistributing inorganic arsenic if contaminated water or paddy is used. The most defensible future strategy is therefore multi-objective </w:t>
      </w:r>
      <w:proofErr w:type="spellStart"/>
      <w:r>
        <w:t>optimisation</w:t>
      </w:r>
      <w:proofErr w:type="spellEnd"/>
      <w:r>
        <w:t xml:space="preserve"> that treats milling yield, sensory quality, nutritional functionality, contaminant control, energy, water and effluent as simultaneous constraints. Industrial progress will depend on cultivar-aware models, validated scale-up, </w:t>
      </w:r>
      <w:proofErr w:type="spellStart"/>
      <w:r>
        <w:t>harmonised</w:t>
      </w:r>
      <w:proofErr w:type="spellEnd"/>
      <w:r>
        <w:t xml:space="preserve"> reporting, inline sensing and techno-economic and environmental assessment under realistic operating conditions.</w:t>
      </w:r>
    </w:p>
    <w:p w14:paraId="06E9AA17" w14:textId="77777777" w:rsidR="00BF7E27" w:rsidRDefault="00000000">
      <w:r>
        <w:rPr>
          <w:i/>
        </w:rPr>
        <w:t xml:space="preserve">Keywords: hydrothermal processing; rice quality; starch </w:t>
      </w:r>
      <w:proofErr w:type="spellStart"/>
      <w:r>
        <w:rPr>
          <w:i/>
        </w:rPr>
        <w:t>gelatinisation</w:t>
      </w:r>
      <w:proofErr w:type="spellEnd"/>
      <w:r>
        <w:rPr>
          <w:i/>
        </w:rPr>
        <w:t xml:space="preserve">; process intensification; response surface methodology; microwave heating; ohmic heating; </w:t>
      </w:r>
      <w:proofErr w:type="spellStart"/>
      <w:r>
        <w:rPr>
          <w:i/>
        </w:rPr>
        <w:t>fluidised</w:t>
      </w:r>
      <w:proofErr w:type="spellEnd"/>
      <w:r>
        <w:rPr>
          <w:i/>
        </w:rPr>
        <w:t>-bed drying</w:t>
      </w:r>
    </w:p>
    <w:p w14:paraId="4D2EEA87" w14:textId="77777777" w:rsidR="00BF7E27" w:rsidRDefault="00000000">
      <w:pPr>
        <w:pStyle w:val="Heading1"/>
      </w:pPr>
      <w:r>
        <w:t>1. Introduction</w:t>
      </w:r>
    </w:p>
    <w:p w14:paraId="1BE82366" w14:textId="77777777" w:rsidR="00BF7E27" w:rsidRDefault="00000000">
      <w:pPr>
        <w:jc w:val="both"/>
      </w:pPr>
      <w:r>
        <w:t xml:space="preserve">Rice parboiling is one of the most consequential pre-milling transformations applied to paddy. In its conventional form, rough rice is hydrated, heated sufficiently to </w:t>
      </w:r>
      <w:proofErr w:type="spellStart"/>
      <w:r>
        <w:t>gelatinise</w:t>
      </w:r>
      <w:proofErr w:type="spellEnd"/>
      <w:r>
        <w:t xml:space="preserve"> all or part of the endosperm starch, and then dried to a moisture content compatible with storage and milling. The sequence looks simple, but its outcomes emerge from coupled transport and phase-transition phenomena. Water must penetrate through husk, bran and endosperm; heat must be delivered without excessive thermal damage; </w:t>
      </w:r>
      <w:proofErr w:type="spellStart"/>
      <w:r>
        <w:t>gelatinised</w:t>
      </w:r>
      <w:proofErr w:type="spellEnd"/>
      <w:r>
        <w:t xml:space="preserve"> regions must consolidate during cooling and drying; and moisture gradients must be relaxed sufficiently to avoid fissuring. The resulting grain is therefore not merely cooked and redried rice. It is a structurally </w:t>
      </w:r>
      <w:proofErr w:type="spellStart"/>
      <w:r>
        <w:t>reorganised</w:t>
      </w:r>
      <w:proofErr w:type="spellEnd"/>
      <w:r>
        <w:t xml:space="preserve"> biological composite whose mechanical, optical, cooking and nutritional properties reflect the entire thermal-moisture history (Bakshi &amp; Singh, 1980; Oli et al., 2014).</w:t>
      </w:r>
    </w:p>
    <w:p w14:paraId="33A2B82D" w14:textId="77777777" w:rsidR="00BF7E27" w:rsidRDefault="00000000">
      <w:pPr>
        <w:jc w:val="both"/>
      </w:pPr>
      <w:r>
        <w:t xml:space="preserve">The industrial rationale for parboiling has historically </w:t>
      </w:r>
      <w:proofErr w:type="spellStart"/>
      <w:r>
        <w:t>centred</w:t>
      </w:r>
      <w:proofErr w:type="spellEnd"/>
      <w:r>
        <w:t xml:space="preserve"> on milling performance. Hot soaking and subsequent </w:t>
      </w:r>
      <w:proofErr w:type="spellStart"/>
      <w:r>
        <w:t>gelatinisation</w:t>
      </w:r>
      <w:proofErr w:type="spellEnd"/>
      <w:r>
        <w:t xml:space="preserve"> can fill voids and heal pre-existing fissures, while thermal consolidation increases kernel resistance to fracture. Classical experiments established that hydration temperature and time strongly affect water uptake and subsequent breakage, and that continuous steaming can improve throughput while reducing steam demand relative to less controlled batch practice (</w:t>
      </w:r>
      <w:proofErr w:type="spellStart"/>
      <w:r>
        <w:t>Adhikaritanayake</w:t>
      </w:r>
      <w:proofErr w:type="spellEnd"/>
      <w:r>
        <w:t xml:space="preserve"> &amp; </w:t>
      </w:r>
      <w:proofErr w:type="spellStart"/>
      <w:r>
        <w:t>Noomhorm</w:t>
      </w:r>
      <w:proofErr w:type="spellEnd"/>
      <w:r>
        <w:t xml:space="preserve">, 1998; Miah </w:t>
      </w:r>
      <w:r>
        <w:lastRenderedPageBreak/>
        <w:t xml:space="preserve">et al., 2002). Yet the same process severity that improves structural integrity can darken the grain, increase hardness and cooking time, or create heterogeneity between the surface and core. During soaking and steaming, pigments and soluble constituents migrate, while Maillard reaction precursors and products change with temperature, time and cultivar. </w:t>
      </w:r>
      <w:proofErr w:type="spellStart"/>
      <w:r>
        <w:t>Colour</w:t>
      </w:r>
      <w:proofErr w:type="spellEnd"/>
      <w:r>
        <w:t xml:space="preserve"> is therefore a process-history marker as well as a consumer-quality attribute (Lamberts et al., 2006, 2008).</w:t>
      </w:r>
    </w:p>
    <w:p w14:paraId="04807210" w14:textId="77777777" w:rsidR="00BF7E27" w:rsidRDefault="00000000">
      <w:pPr>
        <w:jc w:val="both"/>
      </w:pPr>
      <w:r>
        <w:t>Modern parboiling research has consequently shifted from asking whether the process improves rice to asking how the hydrothermal pathway can be engineered for a specified product and resource context. This change is visible in three developments. First, response-surface and related modelling approaches have been used to define operating windows for soaking and steaming rather than relying on inherited recipes (</w:t>
      </w:r>
      <w:proofErr w:type="spellStart"/>
      <w:r>
        <w:t>Taghinezhad</w:t>
      </w:r>
      <w:proofErr w:type="spellEnd"/>
      <w:r>
        <w:t xml:space="preserve"> &amp; Brenner, 2017; Yousaf et al., 2017). Second, electromagnetic and electrically driven technologies, including microwave, infrared, ohmic, radiofrequency and ultrasound-assisted treatments, have been explored to intensify hydration or </w:t>
      </w:r>
      <w:proofErr w:type="spellStart"/>
      <w:r>
        <w:t>gelatinisation</w:t>
      </w:r>
      <w:proofErr w:type="spellEnd"/>
      <w:r>
        <w:t xml:space="preserve"> and to reduce dependence on conventional boilers (D'cruz et al., 2023; Gokul Devi et al., 2025; </w:t>
      </w:r>
      <w:proofErr w:type="spellStart"/>
      <w:r>
        <w:t>Rockembach</w:t>
      </w:r>
      <w:proofErr w:type="spellEnd"/>
      <w:r>
        <w:t xml:space="preserve"> et al., 2019). Third, </w:t>
      </w:r>
      <w:proofErr w:type="spellStart"/>
      <w:r>
        <w:t>fluidised</w:t>
      </w:r>
      <w:proofErr w:type="spellEnd"/>
      <w:r>
        <w:t xml:space="preserve">-bed and superheated-steam systems have attempted to integrate heating, </w:t>
      </w:r>
      <w:proofErr w:type="spellStart"/>
      <w:r>
        <w:t>gelatinisation</w:t>
      </w:r>
      <w:proofErr w:type="spellEnd"/>
      <w:r>
        <w:t xml:space="preserve"> and drying, potentially removing unit operations and shortening residence time (</w:t>
      </w:r>
      <w:proofErr w:type="spellStart"/>
      <w:r>
        <w:t>Saniso</w:t>
      </w:r>
      <w:proofErr w:type="spellEnd"/>
      <w:r>
        <w:t xml:space="preserve"> et al., 2020, 2022; </w:t>
      </w:r>
      <w:proofErr w:type="spellStart"/>
      <w:r>
        <w:t>Swasdisevi</w:t>
      </w:r>
      <w:proofErr w:type="spellEnd"/>
      <w:r>
        <w:t xml:space="preserve"> et al., 2010).</w:t>
      </w:r>
    </w:p>
    <w:p w14:paraId="4EA48FE0" w14:textId="77777777" w:rsidR="00BF7E27" w:rsidRDefault="00000000">
      <w:pPr>
        <w:jc w:val="both"/>
      </w:pPr>
      <w:r>
        <w:t xml:space="preserve">These innovations do not remove the central difficulty of parboiling; they redistribute it. Rapid volumetric or surface heating may shorten processing but can create local thermal non-uniformity. More intense </w:t>
      </w:r>
      <w:proofErr w:type="spellStart"/>
      <w:r>
        <w:t>gelatinisation</w:t>
      </w:r>
      <w:proofErr w:type="spellEnd"/>
      <w:r>
        <w:t xml:space="preserve"> may increase kernel strength but deepen browning or produce an undesirably firm cooked texture. Accelerated drying may reduce equipment occupancy but increase internal stresses if moisture is removed faster than it can redistribute. Energy savings measured at one unit operation may be offset by electrical demand, auxiliary air movement, tempering, or the embodied cost of </w:t>
      </w:r>
      <w:proofErr w:type="spellStart"/>
      <w:r>
        <w:t>specialised</w:t>
      </w:r>
      <w:proofErr w:type="spellEnd"/>
      <w:r>
        <w:t xml:space="preserve"> equipment. Likewise, nutritional claims cannot be </w:t>
      </w:r>
      <w:proofErr w:type="spellStart"/>
      <w:r>
        <w:t>generalised</w:t>
      </w:r>
      <w:proofErr w:type="spellEnd"/>
      <w:r>
        <w:t xml:space="preserve"> from a single variety or a single </w:t>
      </w:r>
      <w:r w:rsidRPr="00974353">
        <w:rPr>
          <w:i/>
          <w:iCs/>
        </w:rPr>
        <w:t>in vitro</w:t>
      </w:r>
      <w:r>
        <w:t xml:space="preserve"> digestibility test because starch response depends on amylose content, retrogradation conditions and milling extent (Gunaratne et al., 2013; Kumar et al., 2022; </w:t>
      </w:r>
      <w:proofErr w:type="spellStart"/>
      <w:r>
        <w:t>Sivakamasundari</w:t>
      </w:r>
      <w:proofErr w:type="spellEnd"/>
      <w:r>
        <w:t xml:space="preserve"> et al., 2020).</w:t>
      </w:r>
    </w:p>
    <w:p w14:paraId="1A3069D5" w14:textId="77777777" w:rsidR="006D68F0" w:rsidRPr="00974353" w:rsidRDefault="00000000">
      <w:pPr>
        <w:jc w:val="both"/>
        <w:rPr>
          <w:bCs/>
        </w:rPr>
      </w:pPr>
      <w:r w:rsidRPr="00974353">
        <w:rPr>
          <w:bCs/>
          <w:highlight w:val="yellow"/>
        </w:rPr>
        <w:t xml:space="preserve">Recent experimental evidence further reinforces the need to treat parboiling severity as a multi-response process variable: gelatinisation, water migration, and treatment duration have been associated with changes in hardness, cooking behaviour, pasting properties, and composition across different rice materials (Xu et al., 2024; Mudgal &amp; Singh, 2024). Likewise, recent studies show that modifications to the hydrothermal and drying pathway can influence milling performance and </w:t>
      </w:r>
      <w:r w:rsidRPr="00974353">
        <w:rPr>
          <w:bCs/>
          <w:i/>
          <w:iCs/>
          <w:highlight w:val="yellow"/>
        </w:rPr>
        <w:t>in vitro</w:t>
      </w:r>
      <w:r w:rsidRPr="00974353">
        <w:rPr>
          <w:bCs/>
          <w:highlight w:val="yellow"/>
        </w:rPr>
        <w:t xml:space="preserve"> starch digestibility, while changes in parboiling procedures can alter nutrient and inorganic toxicant profiles, supporting simultaneous consideration of quality, nutrition and safety outcomes (Meharg et al., 2025; Wang et al., 2026).</w:t>
      </w:r>
    </w:p>
    <w:p w14:paraId="4E58C19B" w14:textId="77777777" w:rsidR="00BF7E27" w:rsidRDefault="00000000">
      <w:pPr>
        <w:jc w:val="both"/>
      </w:pPr>
      <w:r>
        <w:t xml:space="preserve">Recent reviews have addressed important parts of this field. Oli et al. (2014) interpreted parboiled rice through a materials-science lens, while Behera and Sutar (2018) </w:t>
      </w:r>
      <w:proofErr w:type="spellStart"/>
      <w:r>
        <w:t>synthesised</w:t>
      </w:r>
      <w:proofErr w:type="spellEnd"/>
      <w:r>
        <w:t xml:space="preserve"> mathematical modelling of hydration, </w:t>
      </w:r>
      <w:proofErr w:type="spellStart"/>
      <w:r>
        <w:t>gelatinisation</w:t>
      </w:r>
      <w:proofErr w:type="spellEnd"/>
      <w:r>
        <w:t xml:space="preserve"> and drying. Figueiredo et al. (2026) reviewed chemical additives and emerging technologies for improving parboiled-rice quality and </w:t>
      </w:r>
      <w:proofErr w:type="spellStart"/>
      <w:r>
        <w:t>emphasised</w:t>
      </w:r>
      <w:proofErr w:type="spellEnd"/>
      <w:r>
        <w:t xml:space="preserve"> the continuing need for industrial scale-up. These contributions provide strong foundations, but the practical problem now extends beyond identifying promising technologies. A useful contemporary synthesis must ask how emerging treatments alter the coupled process, how </w:t>
      </w:r>
      <w:proofErr w:type="spellStart"/>
      <w:r>
        <w:t>optimisation</w:t>
      </w:r>
      <w:proofErr w:type="spellEnd"/>
      <w:r>
        <w:t xml:space="preserve"> objectives should be defined, what evidence is transferable across cultivars and scales, and how energy, water, effluent, nutrition and contaminant </w:t>
      </w:r>
      <w:proofErr w:type="spellStart"/>
      <w:r>
        <w:t>behaviour</w:t>
      </w:r>
      <w:proofErr w:type="spellEnd"/>
      <w:r>
        <w:t xml:space="preserve"> should be incorporated into decisions rather than treated as secondary outcomes.</w:t>
      </w:r>
    </w:p>
    <w:p w14:paraId="3E083E1C" w14:textId="77777777" w:rsidR="00BF7E27" w:rsidRDefault="00000000">
      <w:pPr>
        <w:pStyle w:val="Heading2"/>
      </w:pPr>
      <w:r>
        <w:t>1.1 Scope, Research Gap and Objectives</w:t>
      </w:r>
    </w:p>
    <w:p w14:paraId="5D439A1A" w14:textId="77777777" w:rsidR="00BF7E27" w:rsidRDefault="00000000">
      <w:pPr>
        <w:jc w:val="both"/>
      </w:pPr>
      <w:r>
        <w:t xml:space="preserve">This review evaluates rice parboiling as a coupled hydrothermal and drying system, with primary attention to soaking, steaming or alternative </w:t>
      </w:r>
      <w:proofErr w:type="spellStart"/>
      <w:r>
        <w:t>gelatinisation</w:t>
      </w:r>
      <w:proofErr w:type="spellEnd"/>
      <w:r>
        <w:t xml:space="preserve">, tempering, drying, milling quality, sensory-related attributes, </w:t>
      </w:r>
      <w:r>
        <w:lastRenderedPageBreak/>
        <w:t xml:space="preserve">nutritional functionality, contaminant redistribution and resource use. The central gap is the absence of an integrated critical account that connects process intensification with multi-objective </w:t>
      </w:r>
      <w:proofErr w:type="spellStart"/>
      <w:r>
        <w:t>optimisation</w:t>
      </w:r>
      <w:proofErr w:type="spellEnd"/>
      <w:r>
        <w:t xml:space="preserve"> and industrial translation. The objectives are to clarify the governing mechanisms, compare emerging technologies against conventional processing, evaluate the strengths and limitations of current </w:t>
      </w:r>
      <w:proofErr w:type="spellStart"/>
      <w:r>
        <w:t>optimisation</w:t>
      </w:r>
      <w:proofErr w:type="spellEnd"/>
      <w:r>
        <w:t xml:space="preserve"> evidence, identify quality-safety-resource trade-offs, and propose research priorities for robust scale-up. Chemical additives are considered only where necessary to </w:t>
      </w:r>
      <w:proofErr w:type="spellStart"/>
      <w:r>
        <w:t>contextualise</w:t>
      </w:r>
      <w:proofErr w:type="spellEnd"/>
      <w:r>
        <w:t xml:space="preserve"> recent reviews; the emphasis is on physical and process-engineering interventions rather than formulation chemistry.</w:t>
      </w:r>
    </w:p>
    <w:p w14:paraId="057BC0CC" w14:textId="77777777" w:rsidR="00BF7E27" w:rsidRDefault="00000000">
      <w:pPr>
        <w:pStyle w:val="Heading1"/>
      </w:pPr>
      <w:r>
        <w:t>2. Methods for Literature Selection</w:t>
      </w:r>
    </w:p>
    <w:p w14:paraId="77A0146B" w14:textId="77777777" w:rsidR="00BF7E27" w:rsidRDefault="00000000">
      <w:pPr>
        <w:pStyle w:val="Heading2"/>
      </w:pPr>
      <w:r>
        <w:t>2.1 Review Design and Rationale</w:t>
      </w:r>
    </w:p>
    <w:p w14:paraId="533C438F" w14:textId="77777777" w:rsidR="00BF7E27" w:rsidRDefault="00000000">
      <w:pPr>
        <w:jc w:val="both"/>
      </w:pPr>
      <w:r>
        <w:t xml:space="preserve">A critical narrative review design was selected because the evidence base is heterogeneous in intervention, equipment scale, rice genotype, endpoint definition and reporting practice. The literature includes diffusion and </w:t>
      </w:r>
      <w:proofErr w:type="spellStart"/>
      <w:r>
        <w:t>gelatinisation</w:t>
      </w:r>
      <w:proofErr w:type="spellEnd"/>
      <w:r>
        <w:t xml:space="preserve"> studies, single-kernel and batch experiments, response-surface </w:t>
      </w:r>
      <w:proofErr w:type="spellStart"/>
      <w:r>
        <w:t>optimisation</w:t>
      </w:r>
      <w:proofErr w:type="spellEnd"/>
      <w:r>
        <w:t xml:space="preserve">, pilot dryers, energy and exergy assessments, nutritional analyses, contaminant studies and recent comparative technology experiments. These designs do not share a common intervention or outcome structure suitable for a defensible pooled effect estimate. The narrative format was therefore used to integrate mechanisms, methods, contradictions and translational constraints. Transparency and critical appraisal were retained as explicit requirements, consistent with the quality principles represented by the Scale for the Assessment of Narrative Review Articles (SANRA), which </w:t>
      </w:r>
      <w:proofErr w:type="spellStart"/>
      <w:r>
        <w:t>emphasises</w:t>
      </w:r>
      <w:proofErr w:type="spellEnd"/>
      <w:r>
        <w:t xml:space="preserve"> justification of review importance, clear aims, appropriate literature searching, referencing, scientific reasoning and presentation (</w:t>
      </w:r>
      <w:proofErr w:type="spellStart"/>
      <w:r>
        <w:t>Baethge</w:t>
      </w:r>
      <w:proofErr w:type="spellEnd"/>
      <w:r>
        <w:t xml:space="preserve"> et al., 2019).</w:t>
      </w:r>
    </w:p>
    <w:p w14:paraId="49F89400" w14:textId="77777777" w:rsidR="00BF7E27" w:rsidRDefault="00000000">
      <w:pPr>
        <w:pStyle w:val="Heading2"/>
      </w:pPr>
      <w:r>
        <w:t>2.2 Information Sources</w:t>
      </w:r>
    </w:p>
    <w:p w14:paraId="60528FAD" w14:textId="77777777" w:rsidR="00BF7E27" w:rsidRDefault="00000000">
      <w:pPr>
        <w:jc w:val="both"/>
      </w:pPr>
      <w:r>
        <w:t xml:space="preserve">Live scholarly web searching was used to retrieve records from PubMed and PubMed Central where relevant, the Directory of Open Access Journals, the Food and Agriculture Organization AGRIS index, institutional research repositories, and accessible scholarly journal records and DOI landing pages. Searches were supplemented by backward citation examination from relevant reviews and primary studies, forward-linked related-record searching where available, and targeted searches for papers that were repeatedly cited as foundational for hydration, </w:t>
      </w:r>
      <w:proofErr w:type="spellStart"/>
      <w:r>
        <w:t>gelatinisation</w:t>
      </w:r>
      <w:proofErr w:type="spellEnd"/>
      <w:r>
        <w:t>, drying, quality, nutrition or energy. Subscription-only databases for which no complete export was available were not represented as having been comprehensively searched. Journal websites were used for bibliographic and DOI verification rather than described as literature databases.</w:t>
      </w:r>
    </w:p>
    <w:p w14:paraId="5A5ECB38" w14:textId="77777777" w:rsidR="00BF7E27" w:rsidRDefault="00000000">
      <w:pPr>
        <w:pStyle w:val="Heading2"/>
      </w:pPr>
      <w:r>
        <w:t>2.3 Search Strategy and Search Period</w:t>
      </w:r>
    </w:p>
    <w:p w14:paraId="01A7085A" w14:textId="77777777" w:rsidR="00BF7E27" w:rsidRDefault="00000000">
      <w:pPr>
        <w:jc w:val="both"/>
      </w:pPr>
      <w:r>
        <w:t xml:space="preserve">The principal search window was 1 January 2000 to 9 June 2026. Earlier publications were retained when they were necessary to establish process mechanisms or historically influential engineering observations. Search concepts combined the process and material terms 'rice parboiling', 'paddy parboiling', 'soaking', 'hydration', 'starch gelatinization' or 'starch </w:t>
      </w:r>
      <w:proofErr w:type="spellStart"/>
      <w:r>
        <w:t>gelatinisation</w:t>
      </w:r>
      <w:proofErr w:type="spellEnd"/>
      <w:r>
        <w:t>', 'steaming', 'tempering' and 'drying' with technology and outcome terms. Representative combinations included: (rice OR paddy) AND parboil</w:t>
      </w:r>
      <w:r>
        <w:rPr>
          <w:i/>
        </w:rPr>
        <w:t xml:space="preserve"> AND (microwave OR infrared OR ohmic OR ultrasound OR radiofrequency OR vacuum OR fluidized bed OR </w:t>
      </w:r>
      <w:proofErr w:type="spellStart"/>
      <w:r>
        <w:rPr>
          <w:i/>
        </w:rPr>
        <w:t>fluidised</w:t>
      </w:r>
      <w:proofErr w:type="spellEnd"/>
      <w:r>
        <w:rPr>
          <w:i/>
        </w:rPr>
        <w:t xml:space="preserve"> bed OR superheated steam); (parboil</w:t>
      </w:r>
      <w:r>
        <w:t xml:space="preserve"> AND rice) AND (response surface OR </w:t>
      </w:r>
      <w:proofErr w:type="spellStart"/>
      <w:r>
        <w:t>optimisation</w:t>
      </w:r>
      <w:proofErr w:type="spellEnd"/>
      <w:r>
        <w:t xml:space="preserve"> OR optimization OR model</w:t>
      </w:r>
      <w:r>
        <w:rPr>
          <w:i/>
        </w:rPr>
        <w:t xml:space="preserve"> OR artificial neural network); and (parboil</w:t>
      </w:r>
      <w:r>
        <w:t xml:space="preserve"> AND rice) AND (head rice yield OR </w:t>
      </w:r>
      <w:proofErr w:type="spellStart"/>
      <w:r>
        <w:t>colour</w:t>
      </w:r>
      <w:proofErr w:type="spellEnd"/>
      <w:r>
        <w:t xml:space="preserve"> OR hardness OR digestibility OR resistant starch OR mineral OR arsenic OR energy OR water OR wastewater). Searches were iteratively narrowed to exact article titles and DOI strings during bibliographic verification.</w:t>
      </w:r>
    </w:p>
    <w:p w14:paraId="7FF81279" w14:textId="77777777" w:rsidR="00BF7E27" w:rsidRDefault="00000000">
      <w:pPr>
        <w:pStyle w:val="Heading2"/>
      </w:pPr>
      <w:r>
        <w:lastRenderedPageBreak/>
        <w:t>2.4 Eligibility Criteria</w:t>
      </w:r>
    </w:p>
    <w:p w14:paraId="6AE9AB7C" w14:textId="77777777" w:rsidR="00BF7E27" w:rsidRDefault="00000000">
      <w:pPr>
        <w:jc w:val="both"/>
      </w:pPr>
      <w:r>
        <w:t xml:space="preserve">Eligible evidence comprised peer-reviewed original studies and high-quality reviews directly addressing rice or paddy parboiling, associated hydration, </w:t>
      </w:r>
      <w:proofErr w:type="spellStart"/>
      <w:r>
        <w:t>gelatinisation</w:t>
      </w:r>
      <w:proofErr w:type="spellEnd"/>
      <w:r>
        <w:t xml:space="preserve">, tempering or drying operations, or consequences that arise specifically from the parboiling pathway. Studies were </w:t>
      </w:r>
      <w:proofErr w:type="spellStart"/>
      <w:r>
        <w:t>prioritised</w:t>
      </w:r>
      <w:proofErr w:type="spellEnd"/>
      <w:r>
        <w:t xml:space="preserve"> when they reported sufficiently clear process conditions, comparison treatments, quality outcomes, transport or thermal responses, resource metrics, or analytical methods. English-language papers were used because complete verification and interpretation of non-English full records were not consistently available. Studies on unrelated grain hydrothermal processing, consumer rice cooking that used the word 'parboiling' in a non-industrial sense, promotional claims, patents used as effectiveness evidence, unverifiable records and sources with incomplete bibliographic identity were excluded. Foundational pre-2000 studies were used selectively when later work depended on the mechanism or process concept.</w:t>
      </w:r>
    </w:p>
    <w:p w14:paraId="21649F45" w14:textId="77777777" w:rsidR="00BF7E27" w:rsidRDefault="00000000">
      <w:pPr>
        <w:pStyle w:val="Heading2"/>
      </w:pPr>
      <w:r>
        <w:t>2.5 Screening, Duplicate Handling and Study Selection</w:t>
      </w:r>
    </w:p>
    <w:p w14:paraId="2C3EF136" w14:textId="77777777" w:rsidR="00BF7E27" w:rsidRDefault="00000000">
      <w:pPr>
        <w:jc w:val="both"/>
      </w:pPr>
      <w:r>
        <w:t>Titles and abstracts were assessed for direct relevance to the review questions, after which the available full record or article page was checked for study design, process conditions, outcomes and bibliographic completeness. Duplicate records encountered across bibliographic indexes, repositories and journal pages were reconciled by DOI and title rather than counted as separate studies. Selection was purposive and critical rather than designed as a PRISMA-style systematic screening exercise, so record counts are not reported. Papers whose DOI, author list, publication year, journal identity or relevance could not be verified were not retained in the final evidence base. The review also checked for conflicting findings rather than selecting only studies that supported process intensification.</w:t>
      </w:r>
    </w:p>
    <w:p w14:paraId="05B8619D" w14:textId="77777777" w:rsidR="00BF7E27" w:rsidRDefault="00000000">
      <w:pPr>
        <w:pStyle w:val="Heading2"/>
      </w:pPr>
      <w:r>
        <w:t>2.6 Critical Appraisal and Evidence Synthesis</w:t>
      </w:r>
    </w:p>
    <w:p w14:paraId="0D8571F8" w14:textId="77777777" w:rsidR="00BF7E27" w:rsidRDefault="00000000">
      <w:pPr>
        <w:jc w:val="both"/>
      </w:pPr>
      <w:r>
        <w:t xml:space="preserve">Evidence was appraised with attention to process scale, cultivar number, control treatment, temperature and moisture measurement, endpoint definition, replication, statistical design, analytical validity, comparability of energy accounting and relevance to industrial operation. Particular caution was applied to single-cultivar </w:t>
      </w:r>
      <w:proofErr w:type="spellStart"/>
      <w:r>
        <w:t>optimisation</w:t>
      </w:r>
      <w:proofErr w:type="spellEnd"/>
      <w:r>
        <w:t xml:space="preserve"> studies, because an apparent optimum can be conditional on amylose content, grain dimensions, initial moisture, equipment geometry and the downstream drying schedule. Mechanistic evidence was separated from performance claims, and </w:t>
      </w:r>
      <w:r w:rsidRPr="00974353">
        <w:rPr>
          <w:i/>
          <w:iCs/>
        </w:rPr>
        <w:t>in vitro</w:t>
      </w:r>
      <w:r>
        <w:t xml:space="preserve"> nutritional outcomes were not treated as equivalent to human metabolic outcomes. Themes were developed around the coupled process, </w:t>
      </w:r>
      <w:proofErr w:type="spellStart"/>
      <w:r>
        <w:t>optimisation</w:t>
      </w:r>
      <w:proofErr w:type="spellEnd"/>
      <w:r>
        <w:t xml:space="preserve"> methodology, emerging technologies, quality-nutrition-safety co-objectives, and resource and scale-up constraints. Where studies disagreed, the synthesis considered differences in cultivar, severity, heating mode, moisture history and outcome definition as possible explanations rather than forcing a single pooled conclusion.</w:t>
      </w:r>
    </w:p>
    <w:p w14:paraId="5371F7D5" w14:textId="77777777" w:rsidR="00BF7E27" w:rsidRDefault="00000000">
      <w:pPr>
        <w:pStyle w:val="Heading1"/>
      </w:pPr>
      <w:r>
        <w:t>3. Parboiling as a Coupled Hydration-</w:t>
      </w:r>
      <w:proofErr w:type="spellStart"/>
      <w:r>
        <w:t>Gelatinisation</w:t>
      </w:r>
      <w:proofErr w:type="spellEnd"/>
      <w:r>
        <w:t>-Drying Transformation</w:t>
      </w:r>
    </w:p>
    <w:p w14:paraId="563D7DD2" w14:textId="77777777" w:rsidR="00BF7E27" w:rsidRDefault="00000000">
      <w:pPr>
        <w:pStyle w:val="Heading2"/>
      </w:pPr>
      <w:r>
        <w:t>3.1 Hydration as the first control point</w:t>
      </w:r>
    </w:p>
    <w:p w14:paraId="1010BA28" w14:textId="77777777" w:rsidR="00BF7E27" w:rsidRDefault="00000000">
      <w:pPr>
        <w:jc w:val="both"/>
      </w:pPr>
      <w:r>
        <w:t xml:space="preserve">Hydration determines whether subsequent heating can </w:t>
      </w:r>
      <w:proofErr w:type="spellStart"/>
      <w:r>
        <w:t>gelatinise</w:t>
      </w:r>
      <w:proofErr w:type="spellEnd"/>
      <w:r>
        <w:t xml:space="preserve"> the endosperm uniformly. Water must traverse the husk and bran and then move through a heterogeneous starch-protein matrix. The classical kinetic interpretation is that the rate-limiting mechanism changes with temperature: below a sufficiently high temperature, starch-water interaction can dominate, whereas at higher temperatures transport can become diffusion limited (Bakshi &amp; Singh, 1980). This matters because simply increasing soaking temperature does not guarantee uniformity. If the surface becomes overhydrated or begins to </w:t>
      </w:r>
      <w:proofErr w:type="spellStart"/>
      <w:r>
        <w:t>gelatinise</w:t>
      </w:r>
      <w:proofErr w:type="spellEnd"/>
      <w:r>
        <w:t xml:space="preserve"> while the core remains underhydrated, later steaming must compensate for a radial moisture gradient, increasing the probability of white belly, husk splitting, leaching or non-uniform texture.</w:t>
      </w:r>
    </w:p>
    <w:p w14:paraId="6CC25457" w14:textId="77777777" w:rsidR="00BF7E27" w:rsidRDefault="00000000">
      <w:pPr>
        <w:jc w:val="both"/>
      </w:pPr>
      <w:r>
        <w:lastRenderedPageBreak/>
        <w:t>Hot-water soaking can shorten hydration substantially, but the interaction between time and temperature is nonlinear. Early work showed that soaking above the starch-</w:t>
      </w:r>
      <w:proofErr w:type="spellStart"/>
      <w:r>
        <w:t>gelatinisation</w:t>
      </w:r>
      <w:proofErr w:type="spellEnd"/>
      <w:r>
        <w:t xml:space="preserve"> range without an intermediate tempering step could produce over-imbibition at the exterior before water reached the core; draining and tempering allowed internal redistribution and reduced visible defects (Unnikrishnan et al., 1982). More recent cultivar comparisons confirm that hydration kinetics differ between hybrid and pure-line materials and are associated with differences in pasting temperature and composition (Saleh et al., 2018). The practical implication is that soaking cannot be prescribed by a universal temperature-time pair. A robust process must target a sufficiently uniform internal moisture state while avoiding unnecessary exposure time and solute loss.</w:t>
      </w:r>
    </w:p>
    <w:p w14:paraId="762A7634" w14:textId="77777777" w:rsidR="00BF7E27" w:rsidRDefault="00000000">
      <w:pPr>
        <w:jc w:val="both"/>
      </w:pPr>
      <w:r>
        <w:t>Vacuum-assisted soaking illustrates how process intensification can act on the transport bottleneck rather than simply raise temperature. In japonica rice, vacuum soaking increased the rate of water uptake, altered water mobility and shortened subsequent steaming time, with microstructural evidence of a more porous surface (Li et al., 2021). Although this study was not designed as a full parboiling scale-up trial, it supports a broader principle: technologies that reduce gas entrapment or improve liquid penetration may lower the thermal burden required later. Their value should therefore be assessed across the whole process, not only by minutes saved during soaking.</w:t>
      </w:r>
    </w:p>
    <w:p w14:paraId="5605989C" w14:textId="77777777" w:rsidR="00BF7E27" w:rsidRDefault="00000000">
      <w:pPr>
        <w:pStyle w:val="Heading2"/>
      </w:pPr>
      <w:r>
        <w:t xml:space="preserve">3.2 </w:t>
      </w:r>
      <w:proofErr w:type="spellStart"/>
      <w:r>
        <w:t>Gelatinisation</w:t>
      </w:r>
      <w:proofErr w:type="spellEnd"/>
      <w:r>
        <w:t>, consolidation and milling resistance</w:t>
      </w:r>
    </w:p>
    <w:p w14:paraId="2FBC6BEB" w14:textId="77777777" w:rsidR="00BF7E27" w:rsidRDefault="00000000">
      <w:pPr>
        <w:jc w:val="both"/>
      </w:pPr>
      <w:r>
        <w:t xml:space="preserve">The defining hydrothermal transformation is loss of native starch order as hydrated granules </w:t>
      </w:r>
      <w:proofErr w:type="spellStart"/>
      <w:r>
        <w:t>gelatinise</w:t>
      </w:r>
      <w:proofErr w:type="spellEnd"/>
      <w:r>
        <w:t xml:space="preserve">. Complete </w:t>
      </w:r>
      <w:proofErr w:type="spellStart"/>
      <w:r>
        <w:t>gelatinisation</w:t>
      </w:r>
      <w:proofErr w:type="spellEnd"/>
      <w:r>
        <w:t xml:space="preserve"> is often treated as a quality goal because non-</w:t>
      </w:r>
      <w:proofErr w:type="spellStart"/>
      <w:r>
        <w:t>gelatinised</w:t>
      </w:r>
      <w:proofErr w:type="spellEnd"/>
      <w:r>
        <w:t xml:space="preserve"> white-belly regions are mechanically weak, yet evidence suggests that maximal </w:t>
      </w:r>
      <w:proofErr w:type="spellStart"/>
      <w:r>
        <w:t>gelatinisation</w:t>
      </w:r>
      <w:proofErr w:type="spellEnd"/>
      <w:r>
        <w:t xml:space="preserve"> is not always identical to maximal head-rice yield. In a controlled steaming study, increasing steam exposure increased degree of starch </w:t>
      </w:r>
      <w:proofErr w:type="spellStart"/>
      <w:r>
        <w:t>gelatinisation</w:t>
      </w:r>
      <w:proofErr w:type="spellEnd"/>
      <w:r>
        <w:t xml:space="preserve">, hardness and </w:t>
      </w:r>
      <w:proofErr w:type="spellStart"/>
      <w:r>
        <w:t>colour</w:t>
      </w:r>
      <w:proofErr w:type="spellEnd"/>
      <w:r>
        <w:t>, while head-rice yield rose to a maximum and then declined as steaming continued (</w:t>
      </w:r>
      <w:proofErr w:type="spellStart"/>
      <w:r>
        <w:t>Taghinezhad</w:t>
      </w:r>
      <w:proofErr w:type="spellEnd"/>
      <w:r>
        <w:t xml:space="preserve"> et al., 2016). The result is important conceptually: parboiling severity has an optimum region rather than a monotonic relationship with every quality attribute.</w:t>
      </w:r>
    </w:p>
    <w:p w14:paraId="6A84E8A4" w14:textId="77777777" w:rsidR="00BF7E27" w:rsidRDefault="00000000">
      <w:pPr>
        <w:jc w:val="both"/>
      </w:pPr>
      <w:r>
        <w:t xml:space="preserve">The mechanical benefit of parboiling is better explained by microstructural consolidation than by a simple 'harder is better' rule. </w:t>
      </w:r>
      <w:proofErr w:type="spellStart"/>
      <w:r>
        <w:t>Buggenhout</w:t>
      </w:r>
      <w:proofErr w:type="spellEnd"/>
      <w:r>
        <w:t xml:space="preserve"> et al. (2014) linked milling breakage susceptibility with the mechanical </w:t>
      </w:r>
      <w:proofErr w:type="spellStart"/>
      <w:r>
        <w:t>behaviour</w:t>
      </w:r>
      <w:proofErr w:type="spellEnd"/>
      <w:r>
        <w:t xml:space="preserve"> of individual parboiled brown-rice kernels and showed that white-belly and fissured kernels remained weak even after hydrothermal treatment. Miah et al. (2002) similarly interpreted improved milling performance after appropriate hot soaking as healing of voids and internal fissures. The evidence therefore supports a process target of spatially uniform, sufficient transformation combined with controlled stress history, rather than maximum thermal input.</w:t>
      </w:r>
    </w:p>
    <w:p w14:paraId="07DDC65B" w14:textId="77777777" w:rsidR="00BF7E27" w:rsidRDefault="00000000">
      <w:pPr>
        <w:pStyle w:val="Heading2"/>
      </w:pPr>
      <w:r>
        <w:t>3.3 Drying and tempering as determinants of whether parboiling succeeds</w:t>
      </w:r>
    </w:p>
    <w:p w14:paraId="620F3E50" w14:textId="77777777" w:rsidR="00BF7E27" w:rsidRDefault="00000000">
      <w:pPr>
        <w:jc w:val="both"/>
      </w:pPr>
      <w:r>
        <w:t xml:space="preserve">Drying is not a passive finishing step. Immediately after steaming, the kernel has high moisture and a thermally altered starch matrix. Rapid removal of water creates internal moisture and stress gradients that can induce fissures, whereas slow drying can sacrifice throughput and intensify </w:t>
      </w:r>
      <w:proofErr w:type="spellStart"/>
      <w:r>
        <w:t>colour</w:t>
      </w:r>
      <w:proofErr w:type="spellEnd"/>
      <w:r>
        <w:t xml:space="preserve"> changes. Two-stage drying with tempering remains mechanistically sound because the rest period permits moisture redistribution and stress relaxation before further removal. Elbert et al. (2001) showed that drying temperature and tempering time influenced head-rice yield and browning in different directions, demonstrating that milling integrity and </w:t>
      </w:r>
      <w:proofErr w:type="spellStart"/>
      <w:r>
        <w:t>colour</w:t>
      </w:r>
      <w:proofErr w:type="spellEnd"/>
      <w:r>
        <w:t xml:space="preserve"> cannot be </w:t>
      </w:r>
      <w:proofErr w:type="spellStart"/>
      <w:r>
        <w:t>optimised</w:t>
      </w:r>
      <w:proofErr w:type="spellEnd"/>
      <w:r>
        <w:t xml:space="preserve"> with a single severity axis.</w:t>
      </w:r>
    </w:p>
    <w:p w14:paraId="7DD6782C" w14:textId="77777777" w:rsidR="00BF7E27" w:rsidRDefault="00000000">
      <w:pPr>
        <w:jc w:val="both"/>
      </w:pPr>
      <w:r>
        <w:t xml:space="preserve">The need for tempering also explains why apparently fast dryers may not yield proportionate process-time savings at industrial scale. A high-rate dryer can remove surface moisture quickly, but if internal redistribution still requires time, the bottleneck shifts from evaporation to stress management. </w:t>
      </w:r>
      <w:proofErr w:type="spellStart"/>
      <w:r>
        <w:t>Fluidised</w:t>
      </w:r>
      <w:proofErr w:type="spellEnd"/>
      <w:r>
        <w:t xml:space="preserve">-bed approaches partially address this by improving heat and mass transfer and by enabling staged treatment. </w:t>
      </w:r>
      <w:proofErr w:type="spellStart"/>
      <w:r>
        <w:t>Swasdisevi</w:t>
      </w:r>
      <w:proofErr w:type="spellEnd"/>
      <w:r>
        <w:t xml:space="preserve"> et al. (2010) combined brief pre-steaming with high-temperature hot-air </w:t>
      </w:r>
      <w:proofErr w:type="spellStart"/>
      <w:r>
        <w:t>fluidisation</w:t>
      </w:r>
      <w:proofErr w:type="spellEnd"/>
      <w:r>
        <w:t xml:space="preserve"> and tempering to produce </w:t>
      </w:r>
      <w:r>
        <w:lastRenderedPageBreak/>
        <w:t>partially parboiled rice with improved head-rice yield. The result supports process integration, but it also reinforces that a tempering or equilibration function often remains necessary even when heating is intensified.</w:t>
      </w:r>
    </w:p>
    <w:p w14:paraId="27CD2C84" w14:textId="77777777" w:rsidR="00BF7E27" w:rsidRDefault="00000000">
      <w:pPr>
        <w:jc w:val="both"/>
      </w:pPr>
      <w:r>
        <w:t xml:space="preserve">Taken together, the evidence in Table 1 indicates that the major process variables do not act independently. Hydration controls the accessibility of starch to heat, </w:t>
      </w:r>
      <w:proofErr w:type="spellStart"/>
      <w:r>
        <w:t>gelatinisation</w:t>
      </w:r>
      <w:proofErr w:type="spellEnd"/>
      <w:r>
        <w:t xml:space="preserve"> changes mechanical and thermal </w:t>
      </w:r>
      <w:proofErr w:type="spellStart"/>
      <w:r>
        <w:t>behaviour</w:t>
      </w:r>
      <w:proofErr w:type="spellEnd"/>
      <w:r>
        <w:t xml:space="preserve">, and drying determines whether those structural changes are preserved or converted into fissuring and </w:t>
      </w:r>
      <w:proofErr w:type="spellStart"/>
      <w:r>
        <w:t>colour</w:t>
      </w:r>
      <w:proofErr w:type="spellEnd"/>
      <w:r>
        <w:t xml:space="preserve"> defects. This coupling is the principal reason that </w:t>
      </w:r>
      <w:proofErr w:type="spellStart"/>
      <w:r>
        <w:t>optimisation</w:t>
      </w:r>
      <w:proofErr w:type="spellEnd"/>
      <w:r>
        <w:t xml:space="preserve"> based on a single stage or single response has limited transferability.</w:t>
      </w:r>
    </w:p>
    <w:p w14:paraId="0531999A" w14:textId="77777777" w:rsidR="00BF7E27" w:rsidRDefault="00000000">
      <w:r>
        <w:rPr>
          <w:b/>
        </w:rPr>
        <w:t xml:space="preserve">Table 1. </w:t>
      </w:r>
      <w:r>
        <w:rPr>
          <w:i/>
        </w:rPr>
        <w:t>Process levers and coupled effects in conventional parboiling</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4FCD586B" w14:textId="77777777">
        <w:trPr>
          <w:tblHeader/>
          <w:jc w:val="center"/>
        </w:trPr>
        <w:tc>
          <w:tcPr>
            <w:tcW w:w="1512" w:type="dxa"/>
            <w:tcMar>
              <w:top w:w="90" w:type="dxa"/>
              <w:left w:w="90" w:type="dxa"/>
              <w:bottom w:w="90" w:type="dxa"/>
              <w:right w:w="90" w:type="dxa"/>
            </w:tcMar>
            <w:vAlign w:val="center"/>
          </w:tcPr>
          <w:p w14:paraId="5ADE4DA9" w14:textId="77777777" w:rsidR="00BF7E27" w:rsidRDefault="00000000">
            <w:pPr>
              <w:spacing w:after="20"/>
              <w:jc w:val="center"/>
            </w:pPr>
            <w:r>
              <w:rPr>
                <w:b/>
                <w:sz w:val="16"/>
              </w:rPr>
              <w:t>Process lever</w:t>
            </w:r>
          </w:p>
        </w:tc>
        <w:tc>
          <w:tcPr>
            <w:tcW w:w="1944" w:type="dxa"/>
            <w:tcMar>
              <w:top w:w="90" w:type="dxa"/>
              <w:left w:w="90" w:type="dxa"/>
              <w:bottom w:w="90" w:type="dxa"/>
              <w:right w:w="90" w:type="dxa"/>
            </w:tcMar>
            <w:vAlign w:val="center"/>
          </w:tcPr>
          <w:p w14:paraId="1D562663" w14:textId="77777777" w:rsidR="00BF7E27" w:rsidRDefault="00000000">
            <w:pPr>
              <w:spacing w:after="20"/>
              <w:jc w:val="center"/>
            </w:pPr>
            <w:r>
              <w:rPr>
                <w:b/>
                <w:sz w:val="16"/>
              </w:rPr>
              <w:t>Primary mechanism</w:t>
            </w:r>
          </w:p>
        </w:tc>
        <w:tc>
          <w:tcPr>
            <w:tcW w:w="1944" w:type="dxa"/>
            <w:tcMar>
              <w:top w:w="90" w:type="dxa"/>
              <w:left w:w="90" w:type="dxa"/>
              <w:bottom w:w="90" w:type="dxa"/>
              <w:right w:w="90" w:type="dxa"/>
            </w:tcMar>
            <w:vAlign w:val="center"/>
          </w:tcPr>
          <w:p w14:paraId="0D0B5D37" w14:textId="77777777" w:rsidR="00BF7E27" w:rsidRDefault="00000000">
            <w:pPr>
              <w:spacing w:after="20"/>
              <w:jc w:val="center"/>
            </w:pPr>
            <w:r>
              <w:rPr>
                <w:b/>
                <w:sz w:val="16"/>
              </w:rPr>
              <w:t>Potential benefit</w:t>
            </w:r>
          </w:p>
        </w:tc>
        <w:tc>
          <w:tcPr>
            <w:tcW w:w="2304" w:type="dxa"/>
            <w:tcMar>
              <w:top w:w="90" w:type="dxa"/>
              <w:left w:w="90" w:type="dxa"/>
              <w:bottom w:w="90" w:type="dxa"/>
              <w:right w:w="90" w:type="dxa"/>
            </w:tcMar>
            <w:vAlign w:val="center"/>
          </w:tcPr>
          <w:p w14:paraId="0803B1C5" w14:textId="77777777" w:rsidR="00BF7E27" w:rsidRDefault="00000000">
            <w:pPr>
              <w:spacing w:after="20"/>
              <w:jc w:val="center"/>
            </w:pPr>
            <w:r>
              <w:rPr>
                <w:b/>
                <w:sz w:val="16"/>
              </w:rPr>
              <w:t>Principal trade-off or failure mode</w:t>
            </w:r>
          </w:p>
        </w:tc>
        <w:tc>
          <w:tcPr>
            <w:tcW w:w="1944" w:type="dxa"/>
            <w:tcMar>
              <w:top w:w="90" w:type="dxa"/>
              <w:left w:w="90" w:type="dxa"/>
              <w:bottom w:w="90" w:type="dxa"/>
              <w:right w:w="90" w:type="dxa"/>
            </w:tcMar>
            <w:vAlign w:val="center"/>
          </w:tcPr>
          <w:p w14:paraId="10C77B2E" w14:textId="77777777" w:rsidR="00BF7E27" w:rsidRDefault="00000000">
            <w:pPr>
              <w:spacing w:after="20"/>
              <w:jc w:val="center"/>
            </w:pPr>
            <w:r>
              <w:rPr>
                <w:b/>
                <w:sz w:val="16"/>
              </w:rPr>
              <w:t>Supporting references</w:t>
            </w:r>
          </w:p>
        </w:tc>
      </w:tr>
      <w:tr w:rsidR="00BF7E27" w14:paraId="114A9F76" w14:textId="77777777">
        <w:trPr>
          <w:cantSplit/>
          <w:jc w:val="center"/>
        </w:trPr>
        <w:tc>
          <w:tcPr>
            <w:tcW w:w="1512" w:type="dxa"/>
            <w:tcMar>
              <w:top w:w="90" w:type="dxa"/>
              <w:left w:w="90" w:type="dxa"/>
              <w:bottom w:w="90" w:type="dxa"/>
              <w:right w:w="90" w:type="dxa"/>
            </w:tcMar>
            <w:vAlign w:val="center"/>
          </w:tcPr>
          <w:p w14:paraId="13C5F05E" w14:textId="77777777" w:rsidR="00BF7E27" w:rsidRDefault="00000000">
            <w:pPr>
              <w:spacing w:after="20"/>
              <w:jc w:val="center"/>
            </w:pPr>
            <w:r>
              <w:rPr>
                <w:sz w:val="16"/>
              </w:rPr>
              <w:t>Soaking temperature and time</w:t>
            </w:r>
          </w:p>
        </w:tc>
        <w:tc>
          <w:tcPr>
            <w:tcW w:w="1944" w:type="dxa"/>
            <w:tcMar>
              <w:top w:w="90" w:type="dxa"/>
              <w:left w:w="90" w:type="dxa"/>
              <w:bottom w:w="90" w:type="dxa"/>
              <w:right w:w="90" w:type="dxa"/>
            </w:tcMar>
            <w:vAlign w:val="center"/>
          </w:tcPr>
          <w:p w14:paraId="2BA3046A" w14:textId="77777777" w:rsidR="00BF7E27" w:rsidRDefault="00000000">
            <w:pPr>
              <w:spacing w:after="20"/>
            </w:pPr>
            <w:r>
              <w:rPr>
                <w:sz w:val="16"/>
              </w:rPr>
              <w:t>Controls water diffusion, swelling and pre-</w:t>
            </w:r>
            <w:proofErr w:type="spellStart"/>
            <w:r>
              <w:rPr>
                <w:sz w:val="16"/>
              </w:rPr>
              <w:t>gelatinisation</w:t>
            </w:r>
            <w:proofErr w:type="spellEnd"/>
            <w:r>
              <w:rPr>
                <w:sz w:val="16"/>
              </w:rPr>
              <w:t xml:space="preserve"> state</w:t>
            </w:r>
          </w:p>
        </w:tc>
        <w:tc>
          <w:tcPr>
            <w:tcW w:w="1944" w:type="dxa"/>
            <w:tcMar>
              <w:top w:w="90" w:type="dxa"/>
              <w:left w:w="90" w:type="dxa"/>
              <w:bottom w:w="90" w:type="dxa"/>
              <w:right w:w="90" w:type="dxa"/>
            </w:tcMar>
            <w:vAlign w:val="center"/>
          </w:tcPr>
          <w:p w14:paraId="27ED2E2D" w14:textId="77777777" w:rsidR="00BF7E27" w:rsidRDefault="00000000">
            <w:pPr>
              <w:spacing w:after="20"/>
            </w:pPr>
            <w:r>
              <w:rPr>
                <w:sz w:val="16"/>
              </w:rPr>
              <w:t>Faster hydration; improved crack healing before steaming</w:t>
            </w:r>
          </w:p>
        </w:tc>
        <w:tc>
          <w:tcPr>
            <w:tcW w:w="2304" w:type="dxa"/>
            <w:tcMar>
              <w:top w:w="90" w:type="dxa"/>
              <w:left w:w="90" w:type="dxa"/>
              <w:bottom w:w="90" w:type="dxa"/>
              <w:right w:w="90" w:type="dxa"/>
            </w:tcMar>
            <w:vAlign w:val="center"/>
          </w:tcPr>
          <w:p w14:paraId="51113BC1" w14:textId="77777777" w:rsidR="00BF7E27" w:rsidRDefault="00000000">
            <w:pPr>
              <w:spacing w:after="20"/>
            </w:pPr>
            <w:r>
              <w:rPr>
                <w:sz w:val="16"/>
              </w:rPr>
              <w:t>Surface overhydration, leaching, husk splitting or underhydrated core when non-uniform</w:t>
            </w:r>
          </w:p>
        </w:tc>
        <w:tc>
          <w:tcPr>
            <w:tcW w:w="1944" w:type="dxa"/>
            <w:tcMar>
              <w:top w:w="90" w:type="dxa"/>
              <w:left w:w="90" w:type="dxa"/>
              <w:bottom w:w="90" w:type="dxa"/>
              <w:right w:w="90" w:type="dxa"/>
            </w:tcMar>
            <w:vAlign w:val="center"/>
          </w:tcPr>
          <w:p w14:paraId="1D2E38ED" w14:textId="77777777" w:rsidR="00BF7E27" w:rsidRDefault="00000000">
            <w:pPr>
              <w:spacing w:after="20"/>
            </w:pPr>
            <w:r>
              <w:rPr>
                <w:sz w:val="16"/>
              </w:rPr>
              <w:t>Bakshi &amp; Singh, 1980; Miah et al., 2002; Saleh et al., 2018</w:t>
            </w:r>
          </w:p>
        </w:tc>
      </w:tr>
      <w:tr w:rsidR="00BF7E27" w14:paraId="1C9CEE8D" w14:textId="77777777">
        <w:trPr>
          <w:cantSplit/>
          <w:jc w:val="center"/>
        </w:trPr>
        <w:tc>
          <w:tcPr>
            <w:tcW w:w="1512" w:type="dxa"/>
            <w:tcMar>
              <w:top w:w="90" w:type="dxa"/>
              <w:left w:w="90" w:type="dxa"/>
              <w:bottom w:w="90" w:type="dxa"/>
              <w:right w:w="90" w:type="dxa"/>
            </w:tcMar>
            <w:vAlign w:val="center"/>
          </w:tcPr>
          <w:p w14:paraId="76D430A7" w14:textId="77777777" w:rsidR="00BF7E27" w:rsidRDefault="00000000">
            <w:pPr>
              <w:spacing w:after="20"/>
              <w:jc w:val="center"/>
            </w:pPr>
            <w:r>
              <w:rPr>
                <w:sz w:val="16"/>
              </w:rPr>
              <w:t>Vacuum-assisted hydration</w:t>
            </w:r>
          </w:p>
        </w:tc>
        <w:tc>
          <w:tcPr>
            <w:tcW w:w="1944" w:type="dxa"/>
            <w:tcMar>
              <w:top w:w="90" w:type="dxa"/>
              <w:left w:w="90" w:type="dxa"/>
              <w:bottom w:w="90" w:type="dxa"/>
              <w:right w:w="90" w:type="dxa"/>
            </w:tcMar>
            <w:vAlign w:val="center"/>
          </w:tcPr>
          <w:p w14:paraId="455B7F1D" w14:textId="77777777" w:rsidR="00BF7E27" w:rsidRDefault="00000000">
            <w:pPr>
              <w:spacing w:after="20"/>
            </w:pPr>
            <w:r>
              <w:rPr>
                <w:sz w:val="16"/>
              </w:rPr>
              <w:t>Removes entrapped gas and promotes liquid penetration</w:t>
            </w:r>
          </w:p>
        </w:tc>
        <w:tc>
          <w:tcPr>
            <w:tcW w:w="1944" w:type="dxa"/>
            <w:tcMar>
              <w:top w:w="90" w:type="dxa"/>
              <w:left w:w="90" w:type="dxa"/>
              <w:bottom w:w="90" w:type="dxa"/>
              <w:right w:w="90" w:type="dxa"/>
            </w:tcMar>
            <w:vAlign w:val="center"/>
          </w:tcPr>
          <w:p w14:paraId="62284C88" w14:textId="77777777" w:rsidR="00BF7E27" w:rsidRDefault="00000000">
            <w:pPr>
              <w:spacing w:after="20"/>
            </w:pPr>
            <w:r>
              <w:rPr>
                <w:sz w:val="16"/>
              </w:rPr>
              <w:t>Faster water uptake and reduced subsequent steaming requirement</w:t>
            </w:r>
          </w:p>
        </w:tc>
        <w:tc>
          <w:tcPr>
            <w:tcW w:w="2304" w:type="dxa"/>
            <w:tcMar>
              <w:top w:w="90" w:type="dxa"/>
              <w:left w:w="90" w:type="dxa"/>
              <w:bottom w:w="90" w:type="dxa"/>
              <w:right w:w="90" w:type="dxa"/>
            </w:tcMar>
            <w:vAlign w:val="center"/>
          </w:tcPr>
          <w:p w14:paraId="3F0CE4CF" w14:textId="77777777" w:rsidR="00BF7E27" w:rsidRDefault="00000000">
            <w:pPr>
              <w:spacing w:after="20"/>
            </w:pPr>
            <w:r>
              <w:rPr>
                <w:sz w:val="16"/>
              </w:rPr>
              <w:t>Evidence is limited for full industrial parboiling and cultivar transferability</w:t>
            </w:r>
          </w:p>
        </w:tc>
        <w:tc>
          <w:tcPr>
            <w:tcW w:w="1944" w:type="dxa"/>
            <w:tcMar>
              <w:top w:w="90" w:type="dxa"/>
              <w:left w:w="90" w:type="dxa"/>
              <w:bottom w:w="90" w:type="dxa"/>
              <w:right w:w="90" w:type="dxa"/>
            </w:tcMar>
            <w:vAlign w:val="center"/>
          </w:tcPr>
          <w:p w14:paraId="6CB2A626" w14:textId="77777777" w:rsidR="00BF7E27" w:rsidRDefault="00000000">
            <w:pPr>
              <w:spacing w:after="20"/>
            </w:pPr>
            <w:r>
              <w:rPr>
                <w:sz w:val="16"/>
              </w:rPr>
              <w:t>Li et al., 2021</w:t>
            </w:r>
          </w:p>
        </w:tc>
      </w:tr>
      <w:tr w:rsidR="00BF7E27" w14:paraId="2B1D6145" w14:textId="77777777">
        <w:trPr>
          <w:cantSplit/>
          <w:jc w:val="center"/>
        </w:trPr>
        <w:tc>
          <w:tcPr>
            <w:tcW w:w="1512" w:type="dxa"/>
            <w:tcMar>
              <w:top w:w="90" w:type="dxa"/>
              <w:left w:w="90" w:type="dxa"/>
              <w:bottom w:w="90" w:type="dxa"/>
              <w:right w:w="90" w:type="dxa"/>
            </w:tcMar>
            <w:vAlign w:val="center"/>
          </w:tcPr>
          <w:p w14:paraId="4B785CAE" w14:textId="77777777" w:rsidR="00BF7E27" w:rsidRDefault="00000000">
            <w:pPr>
              <w:spacing w:after="20"/>
              <w:jc w:val="center"/>
            </w:pPr>
            <w:r>
              <w:rPr>
                <w:sz w:val="16"/>
              </w:rPr>
              <w:t>Steam severity</w:t>
            </w:r>
          </w:p>
        </w:tc>
        <w:tc>
          <w:tcPr>
            <w:tcW w:w="1944" w:type="dxa"/>
            <w:tcMar>
              <w:top w:w="90" w:type="dxa"/>
              <w:left w:w="90" w:type="dxa"/>
              <w:bottom w:w="90" w:type="dxa"/>
              <w:right w:w="90" w:type="dxa"/>
            </w:tcMar>
            <w:vAlign w:val="center"/>
          </w:tcPr>
          <w:p w14:paraId="638867A9" w14:textId="77777777" w:rsidR="00BF7E27" w:rsidRDefault="00000000">
            <w:pPr>
              <w:spacing w:after="20"/>
            </w:pPr>
            <w:r>
              <w:rPr>
                <w:sz w:val="16"/>
              </w:rPr>
              <w:t xml:space="preserve">Drives starch </w:t>
            </w:r>
            <w:proofErr w:type="spellStart"/>
            <w:r>
              <w:rPr>
                <w:sz w:val="16"/>
              </w:rPr>
              <w:t>gelatinisation</w:t>
            </w:r>
            <w:proofErr w:type="spellEnd"/>
            <w:r>
              <w:rPr>
                <w:sz w:val="16"/>
              </w:rPr>
              <w:t xml:space="preserve"> and structural consolidation</w:t>
            </w:r>
          </w:p>
        </w:tc>
        <w:tc>
          <w:tcPr>
            <w:tcW w:w="1944" w:type="dxa"/>
            <w:tcMar>
              <w:top w:w="90" w:type="dxa"/>
              <w:left w:w="90" w:type="dxa"/>
              <w:bottom w:w="90" w:type="dxa"/>
              <w:right w:w="90" w:type="dxa"/>
            </w:tcMar>
            <w:vAlign w:val="center"/>
          </w:tcPr>
          <w:p w14:paraId="02FDA02E" w14:textId="77777777" w:rsidR="00BF7E27" w:rsidRDefault="00000000">
            <w:pPr>
              <w:spacing w:after="20"/>
            </w:pPr>
            <w:r>
              <w:rPr>
                <w:sz w:val="16"/>
              </w:rPr>
              <w:t>Reduced white belly and improved mechanical resistance</w:t>
            </w:r>
          </w:p>
        </w:tc>
        <w:tc>
          <w:tcPr>
            <w:tcW w:w="2304" w:type="dxa"/>
            <w:tcMar>
              <w:top w:w="90" w:type="dxa"/>
              <w:left w:w="90" w:type="dxa"/>
              <w:bottom w:w="90" w:type="dxa"/>
              <w:right w:w="90" w:type="dxa"/>
            </w:tcMar>
            <w:vAlign w:val="center"/>
          </w:tcPr>
          <w:p w14:paraId="56F6B9C2" w14:textId="77777777" w:rsidR="00BF7E27" w:rsidRDefault="00000000">
            <w:pPr>
              <w:spacing w:after="20"/>
            </w:pPr>
            <w:r>
              <w:rPr>
                <w:sz w:val="16"/>
              </w:rPr>
              <w:t xml:space="preserve">Excess severity can increase </w:t>
            </w:r>
            <w:proofErr w:type="spellStart"/>
            <w:r>
              <w:rPr>
                <w:sz w:val="16"/>
              </w:rPr>
              <w:t>colour</w:t>
            </w:r>
            <w:proofErr w:type="spellEnd"/>
            <w:r>
              <w:rPr>
                <w:sz w:val="16"/>
              </w:rPr>
              <w:t xml:space="preserve"> and hardness and may reduce head-rice yield</w:t>
            </w:r>
          </w:p>
        </w:tc>
        <w:tc>
          <w:tcPr>
            <w:tcW w:w="1944" w:type="dxa"/>
            <w:tcMar>
              <w:top w:w="90" w:type="dxa"/>
              <w:left w:w="90" w:type="dxa"/>
              <w:bottom w:w="90" w:type="dxa"/>
              <w:right w:w="90" w:type="dxa"/>
            </w:tcMar>
            <w:vAlign w:val="center"/>
          </w:tcPr>
          <w:p w14:paraId="52413865" w14:textId="77777777" w:rsidR="00BF7E27" w:rsidRDefault="00000000">
            <w:pPr>
              <w:spacing w:after="20"/>
            </w:pPr>
            <w:proofErr w:type="spellStart"/>
            <w:r>
              <w:rPr>
                <w:sz w:val="16"/>
              </w:rPr>
              <w:t>Adhikaritanayake</w:t>
            </w:r>
            <w:proofErr w:type="spellEnd"/>
            <w:r>
              <w:rPr>
                <w:sz w:val="16"/>
              </w:rPr>
              <w:t xml:space="preserve"> &amp; </w:t>
            </w:r>
            <w:proofErr w:type="spellStart"/>
            <w:r>
              <w:rPr>
                <w:sz w:val="16"/>
              </w:rPr>
              <w:t>Noomhorm</w:t>
            </w:r>
            <w:proofErr w:type="spellEnd"/>
            <w:r>
              <w:rPr>
                <w:sz w:val="16"/>
              </w:rPr>
              <w:t xml:space="preserve">, 1998; </w:t>
            </w:r>
            <w:proofErr w:type="spellStart"/>
            <w:r>
              <w:rPr>
                <w:sz w:val="16"/>
              </w:rPr>
              <w:t>Taghinezhad</w:t>
            </w:r>
            <w:proofErr w:type="spellEnd"/>
            <w:r>
              <w:rPr>
                <w:sz w:val="16"/>
              </w:rPr>
              <w:t xml:space="preserve"> et al., 2016</w:t>
            </w:r>
          </w:p>
        </w:tc>
      </w:tr>
      <w:tr w:rsidR="00BF7E27" w14:paraId="3CCE63C9" w14:textId="77777777">
        <w:trPr>
          <w:cantSplit/>
          <w:jc w:val="center"/>
        </w:trPr>
        <w:tc>
          <w:tcPr>
            <w:tcW w:w="1512" w:type="dxa"/>
            <w:tcMar>
              <w:top w:w="90" w:type="dxa"/>
              <w:left w:w="90" w:type="dxa"/>
              <w:bottom w:w="90" w:type="dxa"/>
              <w:right w:w="90" w:type="dxa"/>
            </w:tcMar>
            <w:vAlign w:val="center"/>
          </w:tcPr>
          <w:p w14:paraId="21296118" w14:textId="77777777" w:rsidR="00BF7E27" w:rsidRDefault="00000000">
            <w:pPr>
              <w:spacing w:after="20"/>
              <w:jc w:val="center"/>
            </w:pPr>
            <w:r>
              <w:rPr>
                <w:sz w:val="16"/>
              </w:rPr>
              <w:t>Drying temperature</w:t>
            </w:r>
          </w:p>
        </w:tc>
        <w:tc>
          <w:tcPr>
            <w:tcW w:w="1944" w:type="dxa"/>
            <w:tcMar>
              <w:top w:w="90" w:type="dxa"/>
              <w:left w:w="90" w:type="dxa"/>
              <w:bottom w:w="90" w:type="dxa"/>
              <w:right w:w="90" w:type="dxa"/>
            </w:tcMar>
            <w:vAlign w:val="center"/>
          </w:tcPr>
          <w:p w14:paraId="4B7EA511" w14:textId="77777777" w:rsidR="00BF7E27" w:rsidRDefault="00000000">
            <w:pPr>
              <w:spacing w:after="20"/>
            </w:pPr>
            <w:r>
              <w:rPr>
                <w:sz w:val="16"/>
              </w:rPr>
              <w:t>Sets evaporation rate and internal moisture-stress gradients</w:t>
            </w:r>
          </w:p>
        </w:tc>
        <w:tc>
          <w:tcPr>
            <w:tcW w:w="1944" w:type="dxa"/>
            <w:tcMar>
              <w:top w:w="90" w:type="dxa"/>
              <w:left w:w="90" w:type="dxa"/>
              <w:bottom w:w="90" w:type="dxa"/>
              <w:right w:w="90" w:type="dxa"/>
            </w:tcMar>
            <w:vAlign w:val="center"/>
          </w:tcPr>
          <w:p w14:paraId="548F64BA" w14:textId="77777777" w:rsidR="00BF7E27" w:rsidRDefault="00000000">
            <w:pPr>
              <w:spacing w:after="20"/>
            </w:pPr>
            <w:r>
              <w:rPr>
                <w:sz w:val="16"/>
              </w:rPr>
              <w:t>Higher throughput</w:t>
            </w:r>
          </w:p>
        </w:tc>
        <w:tc>
          <w:tcPr>
            <w:tcW w:w="2304" w:type="dxa"/>
            <w:tcMar>
              <w:top w:w="90" w:type="dxa"/>
              <w:left w:w="90" w:type="dxa"/>
              <w:bottom w:w="90" w:type="dxa"/>
              <w:right w:w="90" w:type="dxa"/>
            </w:tcMar>
            <w:vAlign w:val="center"/>
          </w:tcPr>
          <w:p w14:paraId="1C180E76" w14:textId="77777777" w:rsidR="00BF7E27" w:rsidRDefault="00000000">
            <w:pPr>
              <w:spacing w:after="20"/>
            </w:pPr>
            <w:r>
              <w:rPr>
                <w:sz w:val="16"/>
              </w:rPr>
              <w:t>Fissuring and browning increase if heat and mass transfer outrun relaxation</w:t>
            </w:r>
          </w:p>
        </w:tc>
        <w:tc>
          <w:tcPr>
            <w:tcW w:w="1944" w:type="dxa"/>
            <w:tcMar>
              <w:top w:w="90" w:type="dxa"/>
              <w:left w:w="90" w:type="dxa"/>
              <w:bottom w:w="90" w:type="dxa"/>
              <w:right w:w="90" w:type="dxa"/>
            </w:tcMar>
            <w:vAlign w:val="center"/>
          </w:tcPr>
          <w:p w14:paraId="61EF8501" w14:textId="77777777" w:rsidR="00BF7E27" w:rsidRDefault="00000000">
            <w:pPr>
              <w:spacing w:after="20"/>
            </w:pPr>
            <w:r>
              <w:rPr>
                <w:sz w:val="16"/>
              </w:rPr>
              <w:t>Elbert et al., 2001</w:t>
            </w:r>
          </w:p>
        </w:tc>
      </w:tr>
      <w:tr w:rsidR="00BF7E27" w14:paraId="1A115CA2" w14:textId="77777777">
        <w:trPr>
          <w:cantSplit/>
          <w:jc w:val="center"/>
        </w:trPr>
        <w:tc>
          <w:tcPr>
            <w:tcW w:w="1512" w:type="dxa"/>
            <w:tcMar>
              <w:top w:w="90" w:type="dxa"/>
              <w:left w:w="90" w:type="dxa"/>
              <w:bottom w:w="90" w:type="dxa"/>
              <w:right w:w="90" w:type="dxa"/>
            </w:tcMar>
            <w:vAlign w:val="center"/>
          </w:tcPr>
          <w:p w14:paraId="54D6E97D" w14:textId="77777777" w:rsidR="00BF7E27" w:rsidRDefault="00000000">
            <w:pPr>
              <w:spacing w:after="20"/>
              <w:jc w:val="center"/>
            </w:pPr>
            <w:r>
              <w:rPr>
                <w:sz w:val="16"/>
              </w:rPr>
              <w:t>Tempering between drying stages</w:t>
            </w:r>
          </w:p>
        </w:tc>
        <w:tc>
          <w:tcPr>
            <w:tcW w:w="1944" w:type="dxa"/>
            <w:tcMar>
              <w:top w:w="90" w:type="dxa"/>
              <w:left w:w="90" w:type="dxa"/>
              <w:bottom w:w="90" w:type="dxa"/>
              <w:right w:w="90" w:type="dxa"/>
            </w:tcMar>
            <w:vAlign w:val="center"/>
          </w:tcPr>
          <w:p w14:paraId="53C84796" w14:textId="77777777" w:rsidR="00BF7E27" w:rsidRDefault="00000000">
            <w:pPr>
              <w:spacing w:after="20"/>
            </w:pPr>
            <w:r>
              <w:rPr>
                <w:sz w:val="16"/>
              </w:rPr>
              <w:t>Allows moisture redistribution and stress relaxation</w:t>
            </w:r>
          </w:p>
        </w:tc>
        <w:tc>
          <w:tcPr>
            <w:tcW w:w="1944" w:type="dxa"/>
            <w:tcMar>
              <w:top w:w="90" w:type="dxa"/>
              <w:left w:w="90" w:type="dxa"/>
              <w:bottom w:w="90" w:type="dxa"/>
              <w:right w:w="90" w:type="dxa"/>
            </w:tcMar>
            <w:vAlign w:val="center"/>
          </w:tcPr>
          <w:p w14:paraId="456F23E7" w14:textId="77777777" w:rsidR="00BF7E27" w:rsidRDefault="00000000">
            <w:pPr>
              <w:spacing w:after="20"/>
            </w:pPr>
            <w:r>
              <w:rPr>
                <w:sz w:val="16"/>
              </w:rPr>
              <w:t>Protects kernel integrity during rapid multi-stage drying</w:t>
            </w:r>
          </w:p>
        </w:tc>
        <w:tc>
          <w:tcPr>
            <w:tcW w:w="2304" w:type="dxa"/>
            <w:tcMar>
              <w:top w:w="90" w:type="dxa"/>
              <w:left w:w="90" w:type="dxa"/>
              <w:bottom w:w="90" w:type="dxa"/>
              <w:right w:w="90" w:type="dxa"/>
            </w:tcMar>
            <w:vAlign w:val="center"/>
          </w:tcPr>
          <w:p w14:paraId="53C129A9" w14:textId="77777777" w:rsidR="00BF7E27" w:rsidRDefault="00000000">
            <w:pPr>
              <w:spacing w:after="20"/>
            </w:pPr>
            <w:r>
              <w:rPr>
                <w:sz w:val="16"/>
              </w:rPr>
              <w:t>Adds residence time and holding capacity requirements</w:t>
            </w:r>
          </w:p>
        </w:tc>
        <w:tc>
          <w:tcPr>
            <w:tcW w:w="1944" w:type="dxa"/>
            <w:tcMar>
              <w:top w:w="90" w:type="dxa"/>
              <w:left w:w="90" w:type="dxa"/>
              <w:bottom w:w="90" w:type="dxa"/>
              <w:right w:w="90" w:type="dxa"/>
            </w:tcMar>
            <w:vAlign w:val="center"/>
          </w:tcPr>
          <w:p w14:paraId="346822F2" w14:textId="77777777" w:rsidR="00BF7E27" w:rsidRDefault="00000000">
            <w:pPr>
              <w:spacing w:after="20"/>
            </w:pPr>
            <w:r>
              <w:rPr>
                <w:sz w:val="16"/>
              </w:rPr>
              <w:t xml:space="preserve">Elbert et al., 2001; </w:t>
            </w:r>
            <w:proofErr w:type="spellStart"/>
            <w:r>
              <w:rPr>
                <w:sz w:val="16"/>
              </w:rPr>
              <w:t>Swasdisevi</w:t>
            </w:r>
            <w:proofErr w:type="spellEnd"/>
            <w:r>
              <w:rPr>
                <w:sz w:val="16"/>
              </w:rPr>
              <w:t xml:space="preserve"> et al., 2010</w:t>
            </w:r>
          </w:p>
        </w:tc>
      </w:tr>
    </w:tbl>
    <w:p w14:paraId="271B679A"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616253FD" w14:textId="77777777" w:rsidR="00BF7E27" w:rsidRDefault="00000000">
      <w:pPr>
        <w:pStyle w:val="Heading1"/>
      </w:pPr>
      <w:r>
        <w:t xml:space="preserve">4. From Recipe Adjustment to Multi-Objective Process </w:t>
      </w:r>
      <w:proofErr w:type="spellStart"/>
      <w:r>
        <w:t>Optimisation</w:t>
      </w:r>
      <w:proofErr w:type="spellEnd"/>
    </w:p>
    <w:p w14:paraId="143CF0F9" w14:textId="77777777" w:rsidR="00BF7E27" w:rsidRDefault="00000000">
      <w:pPr>
        <w:pStyle w:val="Heading2"/>
      </w:pPr>
      <w:r>
        <w:t xml:space="preserve">4.1 Why one-factor </w:t>
      </w:r>
      <w:proofErr w:type="spellStart"/>
      <w:r>
        <w:t>optimisation</w:t>
      </w:r>
      <w:proofErr w:type="spellEnd"/>
      <w:r>
        <w:t xml:space="preserve"> is inadequate</w:t>
      </w:r>
    </w:p>
    <w:p w14:paraId="00F52EB1" w14:textId="77777777" w:rsidR="00BF7E27" w:rsidRDefault="00000000">
      <w:pPr>
        <w:jc w:val="both"/>
      </w:pPr>
      <w:r>
        <w:t xml:space="preserve">Traditional parboiling control frequently relies on fixed soaking temperatures, target times and steaming schedules that were established for a particular variety or plant. Such recipes can work reliably within a narrow operating envelope, but they do not reveal interactions. Hydration time required at one temperature depends on cultivar and initial moisture; steaming response depends on how uniformly the grain was hydrated; and drying tolerance depends on the degree of </w:t>
      </w:r>
      <w:proofErr w:type="spellStart"/>
      <w:r>
        <w:t>gelatinisation</w:t>
      </w:r>
      <w:proofErr w:type="spellEnd"/>
      <w:r>
        <w:t xml:space="preserve"> and moisture at transfer. The problem is therefore multivariate even before product preferences are considered.</w:t>
      </w:r>
    </w:p>
    <w:p w14:paraId="590CF28C" w14:textId="77777777" w:rsidR="00BF7E27" w:rsidRDefault="00000000">
      <w:pPr>
        <w:jc w:val="both"/>
      </w:pPr>
      <w:r>
        <w:t xml:space="preserve">Response-surface methodology (RSM) has been useful because it forces simultaneous consideration of several process variables and responses. Yousaf et al. (2017) modelled soaking temperature, soaking time and steaming time against head-rice yield, hardness, cooking time, lightness and </w:t>
      </w:r>
      <w:proofErr w:type="spellStart"/>
      <w:r>
        <w:t>colour</w:t>
      </w:r>
      <w:proofErr w:type="spellEnd"/>
      <w:r>
        <w:t xml:space="preserve">. </w:t>
      </w:r>
      <w:proofErr w:type="spellStart"/>
      <w:r>
        <w:t>Taghinezhad</w:t>
      </w:r>
      <w:proofErr w:type="spellEnd"/>
      <w:r>
        <w:t xml:space="preserve"> and Brenner (2017) similarly related soaking temperature and steaming time to degree of starch </w:t>
      </w:r>
      <w:proofErr w:type="spellStart"/>
      <w:r>
        <w:t>gelatinisation</w:t>
      </w:r>
      <w:proofErr w:type="spellEnd"/>
      <w:r>
        <w:t xml:space="preserve"> and multiple quality properties. Both studies demonstrated statistically useful local response surfaces and showed that quality attributes do not share the same optimum. Such models are valuable for process design because they convert qualitative trade-offs into an explicit operating region.</w:t>
      </w:r>
    </w:p>
    <w:p w14:paraId="60C1D22E" w14:textId="77777777" w:rsidR="00BF7E27" w:rsidRDefault="00000000">
      <w:pPr>
        <w:jc w:val="both"/>
      </w:pPr>
      <w:r>
        <w:t xml:space="preserve">The limitation is that RSM is primarily interpolative. A polynomial fitted to one rice variety, moisture range and equipment configuration can have excellent internal fit but poor external validity. The response surface </w:t>
      </w:r>
      <w:r>
        <w:lastRenderedPageBreak/>
        <w:t xml:space="preserve">does not encode the underlying transport physics unless mechanistic variables are deliberately included. The 2025 </w:t>
      </w:r>
      <w:proofErr w:type="spellStart"/>
      <w:r>
        <w:t>optimisation</w:t>
      </w:r>
      <w:proofErr w:type="spellEnd"/>
      <w:r>
        <w:t xml:space="preserve"> of MR297 rice illustrates both the strength and limitation: a central composite design identified a soaking condition that balanced head-rice yield, hardness and </w:t>
      </w:r>
      <w:proofErr w:type="spellStart"/>
      <w:r>
        <w:t>colour</w:t>
      </w:r>
      <w:proofErr w:type="spellEnd"/>
      <w:r>
        <w:t xml:space="preserve"> for that cultivar, but the optimum remains conditional on the subsequent fixed steaming and drying regime (</w:t>
      </w:r>
      <w:proofErr w:type="spellStart"/>
      <w:r>
        <w:t>Muchlisyiyah</w:t>
      </w:r>
      <w:proofErr w:type="spellEnd"/>
      <w:r>
        <w:t xml:space="preserve"> et al., 2025). A model that is statistically optimal for one genotype should not be promoted as a universal parboiling recipe.</w:t>
      </w:r>
    </w:p>
    <w:p w14:paraId="06A9148B" w14:textId="77777777" w:rsidR="00BF7E27" w:rsidRDefault="00000000">
      <w:pPr>
        <w:pStyle w:val="Heading2"/>
      </w:pPr>
      <w:r>
        <w:t xml:space="preserve">4.2 Reframing the </w:t>
      </w:r>
      <w:proofErr w:type="spellStart"/>
      <w:r>
        <w:t>optimisation</w:t>
      </w:r>
      <w:proofErr w:type="spellEnd"/>
      <w:r>
        <w:t xml:space="preserve"> objective</w:t>
      </w:r>
    </w:p>
    <w:p w14:paraId="1F85C634" w14:textId="77777777" w:rsidR="00BF7E27" w:rsidRDefault="00000000">
      <w:pPr>
        <w:jc w:val="both"/>
      </w:pPr>
      <w:r>
        <w:t xml:space="preserve">A more defensible objective function must include at least four classes of response: process efficiency, milling performance, consumer-relevant quality and resource burden. Process efficiency includes cycle time, capacity and energy. Milling performance includes head-rice yield and broken kernels. Consumer-related properties include </w:t>
      </w:r>
      <w:proofErr w:type="spellStart"/>
      <w:r>
        <w:t>colour</w:t>
      </w:r>
      <w:proofErr w:type="spellEnd"/>
      <w:r>
        <w:t xml:space="preserve">, hardness, cooking time and, where appropriate, sensory acceptance. Resource burden includes water demand, wastewater characteristics and emissions or electricity intensity. Nutritional functionality and contaminant redistribution should be added when they are material to the product or source paddy. </w:t>
      </w:r>
      <w:proofErr w:type="spellStart"/>
      <w:r>
        <w:t>Optimisation</w:t>
      </w:r>
      <w:proofErr w:type="spellEnd"/>
      <w:r>
        <w:t xml:space="preserve"> becomes a constrained decision problem rather than a search for the single maximum head-rice yield.</w:t>
      </w:r>
    </w:p>
    <w:p w14:paraId="6A118B16" w14:textId="77777777" w:rsidR="00BF7E27" w:rsidRDefault="00000000">
      <w:pPr>
        <w:jc w:val="both"/>
      </w:pPr>
      <w:r>
        <w:t xml:space="preserve">This reframing also changes how process severity should be interpreted. The peak head-rice yield observed at an intermediate degree of </w:t>
      </w:r>
      <w:proofErr w:type="spellStart"/>
      <w:r>
        <w:t>gelatinisation</w:t>
      </w:r>
      <w:proofErr w:type="spellEnd"/>
      <w:r>
        <w:t xml:space="preserve"> in </w:t>
      </w:r>
      <w:proofErr w:type="spellStart"/>
      <w:r>
        <w:t>Taghinezhad</w:t>
      </w:r>
      <w:proofErr w:type="spellEnd"/>
      <w:r>
        <w:t xml:space="preserve"> et al. (2016) means that greater heat input can move the product away from the mechanical optimum even before </w:t>
      </w:r>
      <w:proofErr w:type="spellStart"/>
      <w:r>
        <w:t>colour</w:t>
      </w:r>
      <w:proofErr w:type="spellEnd"/>
      <w:r>
        <w:t xml:space="preserve"> and energy are considered. Elbert et al. (2001) showed a similar divergence during drying: lower drying temperature </w:t>
      </w:r>
      <w:proofErr w:type="spellStart"/>
      <w:r>
        <w:t>favoured</w:t>
      </w:r>
      <w:proofErr w:type="spellEnd"/>
      <w:r>
        <w:t xml:space="preserve"> head yield, while browning was strongly temperature dependent and tempering altered the fracture response. These findings argue for desirability or Pareto-type approaches that identify non-dominated operating regions instead of a single scalar optimum defined by arbitrary weights.</w:t>
      </w:r>
    </w:p>
    <w:p w14:paraId="3E11AECC" w14:textId="77777777" w:rsidR="00BF7E27" w:rsidRDefault="00000000">
      <w:pPr>
        <w:pStyle w:val="Heading2"/>
      </w:pPr>
      <w:r>
        <w:t>4.3 Mechanistic and data-driven modelling</w:t>
      </w:r>
    </w:p>
    <w:p w14:paraId="476B9FDA" w14:textId="77777777" w:rsidR="00BF7E27" w:rsidRDefault="00000000">
      <w:pPr>
        <w:jc w:val="both"/>
      </w:pPr>
      <w:r>
        <w:t>Mechanistic modelling remains important because it provides variables that can transfer across equipment better than empirical time-temperature recipes. The foundational diffusion-</w:t>
      </w:r>
      <w:proofErr w:type="spellStart"/>
      <w:r>
        <w:t>gelatinisation</w:t>
      </w:r>
      <w:proofErr w:type="spellEnd"/>
      <w:r>
        <w:t xml:space="preserve"> model of Bakshi and Singh (1980) </w:t>
      </w:r>
      <w:proofErr w:type="spellStart"/>
      <w:r>
        <w:t>conceptualised</w:t>
      </w:r>
      <w:proofErr w:type="spellEnd"/>
      <w:r>
        <w:t xml:space="preserve"> parboiling as simultaneous water transport and reaction. Later reviews have catalogued diffusion, </w:t>
      </w:r>
      <w:proofErr w:type="spellStart"/>
      <w:r>
        <w:t>gelatinisation</w:t>
      </w:r>
      <w:proofErr w:type="spellEnd"/>
      <w:r>
        <w:t xml:space="preserve"> and drying models and </w:t>
      </w:r>
      <w:proofErr w:type="spellStart"/>
      <w:r>
        <w:t>emphasised</w:t>
      </w:r>
      <w:proofErr w:type="spellEnd"/>
      <w:r>
        <w:t xml:space="preserve"> the value of linking model parameters to material changes (Behera &amp; Sutar, 2018). The continuing challenge is to bridge those models with measurable plant signals such as grain temperature, outlet humidity, electrical properties, microwave power absorption or moisture distribution.</w:t>
      </w:r>
    </w:p>
    <w:p w14:paraId="06E03C93" w14:textId="77777777" w:rsidR="00BF7E27" w:rsidRDefault="00000000">
      <w:pPr>
        <w:jc w:val="both"/>
      </w:pPr>
      <w:r>
        <w:t xml:space="preserve">Data-driven approaches can complement but not replace this mechanistic layer. </w:t>
      </w:r>
      <w:proofErr w:type="spellStart"/>
      <w:r>
        <w:t>Taghinezhad</w:t>
      </w:r>
      <w:proofErr w:type="spellEnd"/>
      <w:r>
        <w:t xml:space="preserve"> et al. (2020) compared hybrid infrared-convective, microwave and combined drying systems and used artificial neural networks to model drying and quality responses. Such models can capture nonlinear relationships, but their predictive value outside the training domain depends on data diversity and sensor consistency. For industrial control, the most promising architecture is likely to be hybrid: conservation-based or transport-informed models to constrain the system, empirical or machine-learning components to account for cultivar and equipment effects, and inline measurements to update state estimates.</w:t>
      </w:r>
    </w:p>
    <w:p w14:paraId="638086BA" w14:textId="77777777" w:rsidR="00BF7E27" w:rsidRDefault="00000000">
      <w:pPr>
        <w:jc w:val="both"/>
      </w:pPr>
      <w:r>
        <w:t xml:space="preserve">A further weakness in much </w:t>
      </w:r>
      <w:proofErr w:type="spellStart"/>
      <w:r>
        <w:t>optimisation</w:t>
      </w:r>
      <w:proofErr w:type="spellEnd"/>
      <w:r>
        <w:t xml:space="preserve"> work is insufficient treatment of uncertainty. Measurements such as head-rice yield, </w:t>
      </w:r>
      <w:proofErr w:type="spellStart"/>
      <w:r>
        <w:t>colour</w:t>
      </w:r>
      <w:proofErr w:type="spellEnd"/>
      <w:r>
        <w:t xml:space="preserve">, hardness and degree of </w:t>
      </w:r>
      <w:proofErr w:type="spellStart"/>
      <w:r>
        <w:t>gelatinisation</w:t>
      </w:r>
      <w:proofErr w:type="spellEnd"/>
      <w:r>
        <w:t xml:space="preserve"> are themselves affected by sampling, instrument settings, milling configuration and the spatial heterogeneity of kernels within a batch. When a fitted optimum lies close to the edge of an experimental domain, small analytical or process errors can move the apparent best condition substantially. Replicate </w:t>
      </w:r>
      <w:proofErr w:type="spellStart"/>
      <w:r>
        <w:t>centre</w:t>
      </w:r>
      <w:proofErr w:type="spellEnd"/>
      <w:r>
        <w:t xml:space="preserve"> points and lack-of-fit tests improve statistical confidence, but they do not demonstrate robustness to cultivar, harvest year or equipment scale. For industrial decision-making, </w:t>
      </w:r>
      <w:proofErr w:type="spellStart"/>
      <w:r>
        <w:t>optimisation</w:t>
      </w:r>
      <w:proofErr w:type="spellEnd"/>
      <w:r>
        <w:t xml:space="preserve"> experiments should therefore distinguish predictive uncertainty from ordinary replicate error and </w:t>
      </w:r>
      <w:r>
        <w:lastRenderedPageBreak/>
        <w:t xml:space="preserve">should test candidate operating regions on independent batches. The value of a model lies not only in reproducing the design from which it was estimated, but in preserving acceptable product quality when feed conditions drift. This distinction is especially important for parboiling because hydration and </w:t>
      </w:r>
      <w:proofErr w:type="spellStart"/>
      <w:r>
        <w:t>gelatinisation</w:t>
      </w:r>
      <w:proofErr w:type="spellEnd"/>
      <w:r>
        <w:t xml:space="preserve"> amplify small differences in grain moisture and composition into later differences in drying stress and milling response (Behera &amp; Sutar, 2018; </w:t>
      </w:r>
      <w:proofErr w:type="spellStart"/>
      <w:r>
        <w:t>Muchlisyiyah</w:t>
      </w:r>
      <w:proofErr w:type="spellEnd"/>
      <w:r>
        <w:t xml:space="preserve"> et al., 2025; </w:t>
      </w:r>
      <w:proofErr w:type="spellStart"/>
      <w:r>
        <w:t>Taghinezhad</w:t>
      </w:r>
      <w:proofErr w:type="spellEnd"/>
      <w:r>
        <w:t xml:space="preserve"> &amp; Brenner, 2017).</w:t>
      </w:r>
    </w:p>
    <w:p w14:paraId="54BD77AB" w14:textId="77777777" w:rsidR="00BF7E27" w:rsidRDefault="00000000">
      <w:pPr>
        <w:jc w:val="both"/>
      </w:pPr>
      <w:r>
        <w:t xml:space="preserve">Table 2 </w:t>
      </w:r>
      <w:proofErr w:type="spellStart"/>
      <w:r>
        <w:t>summarises</w:t>
      </w:r>
      <w:proofErr w:type="spellEnd"/>
      <w:r>
        <w:t xml:space="preserve"> the evidence trajectory from empirical recipes toward integrated </w:t>
      </w:r>
      <w:proofErr w:type="spellStart"/>
      <w:r>
        <w:t>optimisation</w:t>
      </w:r>
      <w:proofErr w:type="spellEnd"/>
      <w:r>
        <w:t xml:space="preserve">. The central methodological weakness is not lack of statistical tools; it is the narrowness of most experimental domains. Few studies vary cultivar, hydration strategy, </w:t>
      </w:r>
      <w:proofErr w:type="spellStart"/>
      <w:r>
        <w:t>gelatinisation</w:t>
      </w:r>
      <w:proofErr w:type="spellEnd"/>
      <w:r>
        <w:t xml:space="preserve"> technology and drying schedule together, and fewer still include energy, water, effluent and nutritional outcomes in the same design.</w:t>
      </w:r>
    </w:p>
    <w:p w14:paraId="03A4BCC2" w14:textId="77777777" w:rsidR="00BF7E27" w:rsidRDefault="00000000">
      <w:r>
        <w:rPr>
          <w:b/>
        </w:rPr>
        <w:t xml:space="preserve">Table 2. </w:t>
      </w:r>
      <w:r>
        <w:rPr>
          <w:i/>
        </w:rPr>
        <w:t xml:space="preserve">Evolution of </w:t>
      </w:r>
      <w:proofErr w:type="spellStart"/>
      <w:r>
        <w:rPr>
          <w:i/>
        </w:rPr>
        <w:t>optimisation</w:t>
      </w:r>
      <w:proofErr w:type="spellEnd"/>
      <w:r>
        <w:rPr>
          <w:i/>
        </w:rPr>
        <w:t xml:space="preserve"> approaches for rice parboiling</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662CA455" w14:textId="77777777">
        <w:trPr>
          <w:tblHeader/>
          <w:jc w:val="center"/>
        </w:trPr>
        <w:tc>
          <w:tcPr>
            <w:tcW w:w="1512" w:type="dxa"/>
            <w:tcMar>
              <w:top w:w="90" w:type="dxa"/>
              <w:left w:w="90" w:type="dxa"/>
              <w:bottom w:w="90" w:type="dxa"/>
              <w:right w:w="90" w:type="dxa"/>
            </w:tcMar>
            <w:vAlign w:val="center"/>
          </w:tcPr>
          <w:p w14:paraId="61EA0596" w14:textId="77777777" w:rsidR="00BF7E27" w:rsidRDefault="00000000">
            <w:pPr>
              <w:spacing w:after="20"/>
              <w:jc w:val="center"/>
            </w:pPr>
            <w:proofErr w:type="spellStart"/>
            <w:r>
              <w:rPr>
                <w:b/>
                <w:sz w:val="16"/>
              </w:rPr>
              <w:t>Optimisation</w:t>
            </w:r>
            <w:proofErr w:type="spellEnd"/>
            <w:r>
              <w:rPr>
                <w:b/>
                <w:sz w:val="16"/>
              </w:rPr>
              <w:t xml:space="preserve"> approach</w:t>
            </w:r>
          </w:p>
        </w:tc>
        <w:tc>
          <w:tcPr>
            <w:tcW w:w="1944" w:type="dxa"/>
            <w:tcMar>
              <w:top w:w="90" w:type="dxa"/>
              <w:left w:w="90" w:type="dxa"/>
              <w:bottom w:w="90" w:type="dxa"/>
              <w:right w:w="90" w:type="dxa"/>
            </w:tcMar>
            <w:vAlign w:val="center"/>
          </w:tcPr>
          <w:p w14:paraId="69E544A6" w14:textId="77777777" w:rsidR="00BF7E27" w:rsidRDefault="00000000">
            <w:pPr>
              <w:spacing w:after="20"/>
              <w:jc w:val="center"/>
            </w:pPr>
            <w:r>
              <w:rPr>
                <w:b/>
                <w:sz w:val="16"/>
              </w:rPr>
              <w:t>What it resolves well</w:t>
            </w:r>
          </w:p>
        </w:tc>
        <w:tc>
          <w:tcPr>
            <w:tcW w:w="1944" w:type="dxa"/>
            <w:tcMar>
              <w:top w:w="90" w:type="dxa"/>
              <w:left w:w="90" w:type="dxa"/>
              <w:bottom w:w="90" w:type="dxa"/>
              <w:right w:w="90" w:type="dxa"/>
            </w:tcMar>
            <w:vAlign w:val="center"/>
          </w:tcPr>
          <w:p w14:paraId="1B87897F" w14:textId="77777777" w:rsidR="00BF7E27" w:rsidRDefault="00000000">
            <w:pPr>
              <w:spacing w:after="20"/>
              <w:jc w:val="center"/>
            </w:pPr>
            <w:r>
              <w:rPr>
                <w:b/>
                <w:sz w:val="16"/>
              </w:rPr>
              <w:t>Typical evidence base</w:t>
            </w:r>
          </w:p>
        </w:tc>
        <w:tc>
          <w:tcPr>
            <w:tcW w:w="2304" w:type="dxa"/>
            <w:tcMar>
              <w:top w:w="90" w:type="dxa"/>
              <w:left w:w="90" w:type="dxa"/>
              <w:bottom w:w="90" w:type="dxa"/>
              <w:right w:w="90" w:type="dxa"/>
            </w:tcMar>
            <w:vAlign w:val="center"/>
          </w:tcPr>
          <w:p w14:paraId="39B283E9" w14:textId="77777777" w:rsidR="00BF7E27" w:rsidRDefault="00000000">
            <w:pPr>
              <w:spacing w:after="20"/>
              <w:jc w:val="center"/>
            </w:pPr>
            <w:r>
              <w:rPr>
                <w:b/>
                <w:sz w:val="16"/>
              </w:rPr>
              <w:t>Main limitation</w:t>
            </w:r>
          </w:p>
        </w:tc>
        <w:tc>
          <w:tcPr>
            <w:tcW w:w="1944" w:type="dxa"/>
            <w:tcMar>
              <w:top w:w="90" w:type="dxa"/>
              <w:left w:w="90" w:type="dxa"/>
              <w:bottom w:w="90" w:type="dxa"/>
              <w:right w:w="90" w:type="dxa"/>
            </w:tcMar>
            <w:vAlign w:val="center"/>
          </w:tcPr>
          <w:p w14:paraId="107B5305" w14:textId="77777777" w:rsidR="00BF7E27" w:rsidRDefault="00000000">
            <w:pPr>
              <w:spacing w:after="20"/>
              <w:jc w:val="center"/>
            </w:pPr>
            <w:r>
              <w:rPr>
                <w:b/>
                <w:sz w:val="16"/>
              </w:rPr>
              <w:t>Supporting references</w:t>
            </w:r>
          </w:p>
        </w:tc>
      </w:tr>
      <w:tr w:rsidR="00BF7E27" w14:paraId="3D5E9E44" w14:textId="77777777">
        <w:trPr>
          <w:cantSplit/>
          <w:jc w:val="center"/>
        </w:trPr>
        <w:tc>
          <w:tcPr>
            <w:tcW w:w="1512" w:type="dxa"/>
            <w:tcMar>
              <w:top w:w="90" w:type="dxa"/>
              <w:left w:w="90" w:type="dxa"/>
              <w:bottom w:w="90" w:type="dxa"/>
              <w:right w:w="90" w:type="dxa"/>
            </w:tcMar>
            <w:vAlign w:val="center"/>
          </w:tcPr>
          <w:p w14:paraId="59A92F96" w14:textId="77777777" w:rsidR="00BF7E27" w:rsidRDefault="00000000">
            <w:pPr>
              <w:spacing w:after="20"/>
              <w:jc w:val="center"/>
            </w:pPr>
            <w:r>
              <w:rPr>
                <w:sz w:val="16"/>
              </w:rPr>
              <w:t>Classical kinetic modelling</w:t>
            </w:r>
          </w:p>
        </w:tc>
        <w:tc>
          <w:tcPr>
            <w:tcW w:w="1944" w:type="dxa"/>
            <w:tcMar>
              <w:top w:w="90" w:type="dxa"/>
              <w:left w:w="90" w:type="dxa"/>
              <w:bottom w:w="90" w:type="dxa"/>
              <w:right w:w="90" w:type="dxa"/>
            </w:tcMar>
            <w:vAlign w:val="center"/>
          </w:tcPr>
          <w:p w14:paraId="4A937E1C" w14:textId="77777777" w:rsidR="00BF7E27" w:rsidRDefault="00000000">
            <w:pPr>
              <w:spacing w:after="20"/>
            </w:pPr>
            <w:r>
              <w:rPr>
                <w:sz w:val="16"/>
              </w:rPr>
              <w:t>Water uptake, diffusion and temperature dependence</w:t>
            </w:r>
          </w:p>
        </w:tc>
        <w:tc>
          <w:tcPr>
            <w:tcW w:w="1944" w:type="dxa"/>
            <w:tcMar>
              <w:top w:w="90" w:type="dxa"/>
              <w:left w:w="90" w:type="dxa"/>
              <w:bottom w:w="90" w:type="dxa"/>
              <w:right w:w="90" w:type="dxa"/>
            </w:tcMar>
            <w:vAlign w:val="center"/>
          </w:tcPr>
          <w:p w14:paraId="1759D23D" w14:textId="77777777" w:rsidR="00BF7E27" w:rsidRDefault="00000000">
            <w:pPr>
              <w:spacing w:after="20"/>
            </w:pPr>
            <w:r>
              <w:rPr>
                <w:sz w:val="16"/>
              </w:rPr>
              <w:t>Controlled laboratory hydration and heating experiments</w:t>
            </w:r>
          </w:p>
        </w:tc>
        <w:tc>
          <w:tcPr>
            <w:tcW w:w="2304" w:type="dxa"/>
            <w:tcMar>
              <w:top w:w="90" w:type="dxa"/>
              <w:left w:w="90" w:type="dxa"/>
              <w:bottom w:w="90" w:type="dxa"/>
              <w:right w:w="90" w:type="dxa"/>
            </w:tcMar>
            <w:vAlign w:val="center"/>
          </w:tcPr>
          <w:p w14:paraId="6BE32E5F" w14:textId="77777777" w:rsidR="00BF7E27" w:rsidRDefault="00000000">
            <w:pPr>
              <w:spacing w:after="20"/>
            </w:pPr>
            <w:r>
              <w:rPr>
                <w:sz w:val="16"/>
              </w:rPr>
              <w:t>Requires simplifying geometry and material assumptions</w:t>
            </w:r>
          </w:p>
        </w:tc>
        <w:tc>
          <w:tcPr>
            <w:tcW w:w="1944" w:type="dxa"/>
            <w:tcMar>
              <w:top w:w="90" w:type="dxa"/>
              <w:left w:w="90" w:type="dxa"/>
              <w:bottom w:w="90" w:type="dxa"/>
              <w:right w:w="90" w:type="dxa"/>
            </w:tcMar>
            <w:vAlign w:val="center"/>
          </w:tcPr>
          <w:p w14:paraId="0576E5E8" w14:textId="77777777" w:rsidR="00BF7E27" w:rsidRDefault="00000000">
            <w:pPr>
              <w:spacing w:after="20"/>
            </w:pPr>
            <w:r>
              <w:rPr>
                <w:sz w:val="16"/>
              </w:rPr>
              <w:t>Bakshi &amp; Singh, 1980; Behera &amp; Sutar, 2018</w:t>
            </w:r>
          </w:p>
        </w:tc>
      </w:tr>
      <w:tr w:rsidR="00BF7E27" w14:paraId="0BEC5DC6" w14:textId="77777777">
        <w:trPr>
          <w:cantSplit/>
          <w:jc w:val="center"/>
        </w:trPr>
        <w:tc>
          <w:tcPr>
            <w:tcW w:w="1512" w:type="dxa"/>
            <w:tcMar>
              <w:top w:w="90" w:type="dxa"/>
              <w:left w:w="90" w:type="dxa"/>
              <w:bottom w:w="90" w:type="dxa"/>
              <w:right w:w="90" w:type="dxa"/>
            </w:tcMar>
            <w:vAlign w:val="center"/>
          </w:tcPr>
          <w:p w14:paraId="71EA7E40" w14:textId="77777777" w:rsidR="00BF7E27" w:rsidRDefault="00000000">
            <w:pPr>
              <w:spacing w:after="20"/>
              <w:jc w:val="center"/>
            </w:pPr>
            <w:r>
              <w:rPr>
                <w:sz w:val="16"/>
              </w:rPr>
              <w:t>Response-surface methodology</w:t>
            </w:r>
          </w:p>
        </w:tc>
        <w:tc>
          <w:tcPr>
            <w:tcW w:w="1944" w:type="dxa"/>
            <w:tcMar>
              <w:top w:w="90" w:type="dxa"/>
              <w:left w:w="90" w:type="dxa"/>
              <w:bottom w:w="90" w:type="dxa"/>
              <w:right w:w="90" w:type="dxa"/>
            </w:tcMar>
            <w:vAlign w:val="center"/>
          </w:tcPr>
          <w:p w14:paraId="4BFA5E80" w14:textId="77777777" w:rsidR="00BF7E27" w:rsidRDefault="00000000">
            <w:pPr>
              <w:spacing w:after="20"/>
            </w:pPr>
            <w:r>
              <w:rPr>
                <w:sz w:val="16"/>
              </w:rPr>
              <w:t>Local interactions and trade-offs among controllable variables</w:t>
            </w:r>
          </w:p>
        </w:tc>
        <w:tc>
          <w:tcPr>
            <w:tcW w:w="1944" w:type="dxa"/>
            <w:tcMar>
              <w:top w:w="90" w:type="dxa"/>
              <w:left w:w="90" w:type="dxa"/>
              <w:bottom w:w="90" w:type="dxa"/>
              <w:right w:w="90" w:type="dxa"/>
            </w:tcMar>
            <w:vAlign w:val="center"/>
          </w:tcPr>
          <w:p w14:paraId="5F083B13" w14:textId="77777777" w:rsidR="00BF7E27" w:rsidRDefault="00000000">
            <w:pPr>
              <w:spacing w:after="20"/>
            </w:pPr>
            <w:r>
              <w:rPr>
                <w:sz w:val="16"/>
              </w:rPr>
              <w:t>Designed experiments over bounded temperature-time ranges</w:t>
            </w:r>
          </w:p>
        </w:tc>
        <w:tc>
          <w:tcPr>
            <w:tcW w:w="2304" w:type="dxa"/>
            <w:tcMar>
              <w:top w:w="90" w:type="dxa"/>
              <w:left w:w="90" w:type="dxa"/>
              <w:bottom w:w="90" w:type="dxa"/>
              <w:right w:w="90" w:type="dxa"/>
            </w:tcMar>
            <w:vAlign w:val="center"/>
          </w:tcPr>
          <w:p w14:paraId="59CF3B4A" w14:textId="77777777" w:rsidR="00BF7E27" w:rsidRDefault="00000000">
            <w:pPr>
              <w:spacing w:after="20"/>
            </w:pPr>
            <w:r>
              <w:rPr>
                <w:sz w:val="16"/>
              </w:rPr>
              <w:t>Weak extrapolation and cultivar/equipment specificity</w:t>
            </w:r>
          </w:p>
        </w:tc>
        <w:tc>
          <w:tcPr>
            <w:tcW w:w="1944" w:type="dxa"/>
            <w:tcMar>
              <w:top w:w="90" w:type="dxa"/>
              <w:left w:w="90" w:type="dxa"/>
              <w:bottom w:w="90" w:type="dxa"/>
              <w:right w:w="90" w:type="dxa"/>
            </w:tcMar>
            <w:vAlign w:val="center"/>
          </w:tcPr>
          <w:p w14:paraId="7E227B97" w14:textId="77777777" w:rsidR="00BF7E27" w:rsidRDefault="00000000">
            <w:pPr>
              <w:spacing w:after="20"/>
            </w:pPr>
            <w:proofErr w:type="spellStart"/>
            <w:r>
              <w:rPr>
                <w:sz w:val="16"/>
              </w:rPr>
              <w:t>Taghinezhad</w:t>
            </w:r>
            <w:proofErr w:type="spellEnd"/>
            <w:r>
              <w:rPr>
                <w:sz w:val="16"/>
              </w:rPr>
              <w:t xml:space="preserve"> &amp; Brenner, 2017; Yousaf et al., 2017; </w:t>
            </w:r>
            <w:proofErr w:type="spellStart"/>
            <w:r>
              <w:rPr>
                <w:sz w:val="16"/>
              </w:rPr>
              <w:t>Muchlisyiyah</w:t>
            </w:r>
            <w:proofErr w:type="spellEnd"/>
            <w:r>
              <w:rPr>
                <w:sz w:val="16"/>
              </w:rPr>
              <w:t xml:space="preserve"> et al., 2025</w:t>
            </w:r>
          </w:p>
        </w:tc>
      </w:tr>
      <w:tr w:rsidR="00BF7E27" w14:paraId="6F5FEBC9" w14:textId="77777777">
        <w:trPr>
          <w:cantSplit/>
          <w:jc w:val="center"/>
        </w:trPr>
        <w:tc>
          <w:tcPr>
            <w:tcW w:w="1512" w:type="dxa"/>
            <w:tcMar>
              <w:top w:w="90" w:type="dxa"/>
              <w:left w:w="90" w:type="dxa"/>
              <w:bottom w:w="90" w:type="dxa"/>
              <w:right w:w="90" w:type="dxa"/>
            </w:tcMar>
            <w:vAlign w:val="center"/>
          </w:tcPr>
          <w:p w14:paraId="05D6299C" w14:textId="77777777" w:rsidR="00BF7E27" w:rsidRDefault="00000000">
            <w:pPr>
              <w:spacing w:after="20"/>
              <w:jc w:val="center"/>
            </w:pPr>
            <w:r>
              <w:rPr>
                <w:sz w:val="16"/>
              </w:rPr>
              <w:t>Quality-linked severity models</w:t>
            </w:r>
          </w:p>
        </w:tc>
        <w:tc>
          <w:tcPr>
            <w:tcW w:w="1944" w:type="dxa"/>
            <w:tcMar>
              <w:top w:w="90" w:type="dxa"/>
              <w:left w:w="90" w:type="dxa"/>
              <w:bottom w:w="90" w:type="dxa"/>
              <w:right w:w="90" w:type="dxa"/>
            </w:tcMar>
            <w:vAlign w:val="center"/>
          </w:tcPr>
          <w:p w14:paraId="0406ED63" w14:textId="77777777" w:rsidR="00BF7E27" w:rsidRDefault="00000000">
            <w:pPr>
              <w:spacing w:after="20"/>
            </w:pPr>
            <w:r>
              <w:rPr>
                <w:sz w:val="16"/>
              </w:rPr>
              <w:t xml:space="preserve">Relates </w:t>
            </w:r>
            <w:proofErr w:type="spellStart"/>
            <w:r>
              <w:rPr>
                <w:sz w:val="16"/>
              </w:rPr>
              <w:t>gelatinisation</w:t>
            </w:r>
            <w:proofErr w:type="spellEnd"/>
            <w:r>
              <w:rPr>
                <w:sz w:val="16"/>
              </w:rPr>
              <w:t xml:space="preserve"> to head yield, </w:t>
            </w:r>
            <w:proofErr w:type="spellStart"/>
            <w:r>
              <w:rPr>
                <w:sz w:val="16"/>
              </w:rPr>
              <w:t>colour</w:t>
            </w:r>
            <w:proofErr w:type="spellEnd"/>
            <w:r>
              <w:rPr>
                <w:sz w:val="16"/>
              </w:rPr>
              <w:t xml:space="preserve"> and hardness</w:t>
            </w:r>
          </w:p>
        </w:tc>
        <w:tc>
          <w:tcPr>
            <w:tcW w:w="1944" w:type="dxa"/>
            <w:tcMar>
              <w:top w:w="90" w:type="dxa"/>
              <w:left w:w="90" w:type="dxa"/>
              <w:bottom w:w="90" w:type="dxa"/>
              <w:right w:w="90" w:type="dxa"/>
            </w:tcMar>
            <w:vAlign w:val="center"/>
          </w:tcPr>
          <w:p w14:paraId="18CDACC9" w14:textId="77777777" w:rsidR="00BF7E27" w:rsidRDefault="00000000">
            <w:pPr>
              <w:spacing w:after="20"/>
            </w:pPr>
            <w:r>
              <w:rPr>
                <w:sz w:val="16"/>
              </w:rPr>
              <w:t xml:space="preserve">Measured degree of </w:t>
            </w:r>
            <w:proofErr w:type="spellStart"/>
            <w:r>
              <w:rPr>
                <w:sz w:val="16"/>
              </w:rPr>
              <w:t>gelatinisation</w:t>
            </w:r>
            <w:proofErr w:type="spellEnd"/>
            <w:r>
              <w:rPr>
                <w:sz w:val="16"/>
              </w:rPr>
              <w:t xml:space="preserve"> across steaming treatments</w:t>
            </w:r>
          </w:p>
        </w:tc>
        <w:tc>
          <w:tcPr>
            <w:tcW w:w="2304" w:type="dxa"/>
            <w:tcMar>
              <w:top w:w="90" w:type="dxa"/>
              <w:left w:w="90" w:type="dxa"/>
              <w:bottom w:w="90" w:type="dxa"/>
              <w:right w:w="90" w:type="dxa"/>
            </w:tcMar>
            <w:vAlign w:val="center"/>
          </w:tcPr>
          <w:p w14:paraId="256A48E1" w14:textId="77777777" w:rsidR="00BF7E27" w:rsidRDefault="00000000">
            <w:pPr>
              <w:spacing w:after="20"/>
            </w:pPr>
            <w:r>
              <w:rPr>
                <w:sz w:val="16"/>
              </w:rPr>
              <w:t>A single severity marker cannot capture all moisture-stress history</w:t>
            </w:r>
          </w:p>
        </w:tc>
        <w:tc>
          <w:tcPr>
            <w:tcW w:w="1944" w:type="dxa"/>
            <w:tcMar>
              <w:top w:w="90" w:type="dxa"/>
              <w:left w:w="90" w:type="dxa"/>
              <w:bottom w:w="90" w:type="dxa"/>
              <w:right w:w="90" w:type="dxa"/>
            </w:tcMar>
            <w:vAlign w:val="center"/>
          </w:tcPr>
          <w:p w14:paraId="797A9981" w14:textId="77777777" w:rsidR="00BF7E27" w:rsidRDefault="00000000">
            <w:pPr>
              <w:spacing w:after="20"/>
            </w:pPr>
            <w:proofErr w:type="spellStart"/>
            <w:r>
              <w:rPr>
                <w:sz w:val="16"/>
              </w:rPr>
              <w:t>Taghinezhad</w:t>
            </w:r>
            <w:proofErr w:type="spellEnd"/>
            <w:r>
              <w:rPr>
                <w:sz w:val="16"/>
              </w:rPr>
              <w:t xml:space="preserve"> et al., 2016</w:t>
            </w:r>
          </w:p>
        </w:tc>
      </w:tr>
      <w:tr w:rsidR="00BF7E27" w14:paraId="240B286C" w14:textId="77777777">
        <w:trPr>
          <w:cantSplit/>
          <w:jc w:val="center"/>
        </w:trPr>
        <w:tc>
          <w:tcPr>
            <w:tcW w:w="1512" w:type="dxa"/>
            <w:tcMar>
              <w:top w:w="90" w:type="dxa"/>
              <w:left w:w="90" w:type="dxa"/>
              <w:bottom w:w="90" w:type="dxa"/>
              <w:right w:w="90" w:type="dxa"/>
            </w:tcMar>
            <w:vAlign w:val="center"/>
          </w:tcPr>
          <w:p w14:paraId="4DE57D06" w14:textId="77777777" w:rsidR="00BF7E27" w:rsidRDefault="00000000">
            <w:pPr>
              <w:spacing w:after="20"/>
              <w:jc w:val="center"/>
            </w:pPr>
            <w:r>
              <w:rPr>
                <w:sz w:val="16"/>
              </w:rPr>
              <w:t>Artificial neural networks</w:t>
            </w:r>
          </w:p>
        </w:tc>
        <w:tc>
          <w:tcPr>
            <w:tcW w:w="1944" w:type="dxa"/>
            <w:tcMar>
              <w:top w:w="90" w:type="dxa"/>
              <w:left w:w="90" w:type="dxa"/>
              <w:bottom w:w="90" w:type="dxa"/>
              <w:right w:w="90" w:type="dxa"/>
            </w:tcMar>
            <w:vAlign w:val="center"/>
          </w:tcPr>
          <w:p w14:paraId="77FA2485" w14:textId="77777777" w:rsidR="00BF7E27" w:rsidRDefault="00000000">
            <w:pPr>
              <w:spacing w:after="20"/>
            </w:pPr>
            <w:r>
              <w:rPr>
                <w:sz w:val="16"/>
              </w:rPr>
              <w:t>Nonlinear prediction of drying and quality responses</w:t>
            </w:r>
          </w:p>
        </w:tc>
        <w:tc>
          <w:tcPr>
            <w:tcW w:w="1944" w:type="dxa"/>
            <w:tcMar>
              <w:top w:w="90" w:type="dxa"/>
              <w:left w:w="90" w:type="dxa"/>
              <w:bottom w:w="90" w:type="dxa"/>
              <w:right w:w="90" w:type="dxa"/>
            </w:tcMar>
            <w:vAlign w:val="center"/>
          </w:tcPr>
          <w:p w14:paraId="5257FE3F" w14:textId="77777777" w:rsidR="00BF7E27" w:rsidRDefault="00000000">
            <w:pPr>
              <w:spacing w:after="20"/>
            </w:pPr>
            <w:r>
              <w:rPr>
                <w:sz w:val="16"/>
              </w:rPr>
              <w:t>Multivariable dryer experiments</w:t>
            </w:r>
          </w:p>
        </w:tc>
        <w:tc>
          <w:tcPr>
            <w:tcW w:w="2304" w:type="dxa"/>
            <w:tcMar>
              <w:top w:w="90" w:type="dxa"/>
              <w:left w:w="90" w:type="dxa"/>
              <w:bottom w:w="90" w:type="dxa"/>
              <w:right w:w="90" w:type="dxa"/>
            </w:tcMar>
            <w:vAlign w:val="center"/>
          </w:tcPr>
          <w:p w14:paraId="14C1A183" w14:textId="77777777" w:rsidR="00BF7E27" w:rsidRDefault="00000000">
            <w:pPr>
              <w:spacing w:after="20"/>
            </w:pPr>
            <w:r>
              <w:rPr>
                <w:sz w:val="16"/>
              </w:rPr>
              <w:t>Data hungry and difficult to transfer without external validation</w:t>
            </w:r>
          </w:p>
        </w:tc>
        <w:tc>
          <w:tcPr>
            <w:tcW w:w="1944" w:type="dxa"/>
            <w:tcMar>
              <w:top w:w="90" w:type="dxa"/>
              <w:left w:w="90" w:type="dxa"/>
              <w:bottom w:w="90" w:type="dxa"/>
              <w:right w:w="90" w:type="dxa"/>
            </w:tcMar>
            <w:vAlign w:val="center"/>
          </w:tcPr>
          <w:p w14:paraId="635DE445" w14:textId="77777777" w:rsidR="00BF7E27" w:rsidRDefault="00000000">
            <w:pPr>
              <w:spacing w:after="20"/>
            </w:pPr>
            <w:proofErr w:type="spellStart"/>
            <w:r>
              <w:rPr>
                <w:sz w:val="16"/>
              </w:rPr>
              <w:t>Taghinezhad</w:t>
            </w:r>
            <w:proofErr w:type="spellEnd"/>
            <w:r>
              <w:rPr>
                <w:sz w:val="16"/>
              </w:rPr>
              <w:t xml:space="preserve"> et al., 2020</w:t>
            </w:r>
          </w:p>
        </w:tc>
      </w:tr>
      <w:tr w:rsidR="00BF7E27" w14:paraId="75D6CC1D" w14:textId="77777777">
        <w:trPr>
          <w:cantSplit/>
          <w:jc w:val="center"/>
        </w:trPr>
        <w:tc>
          <w:tcPr>
            <w:tcW w:w="1512" w:type="dxa"/>
            <w:tcMar>
              <w:top w:w="90" w:type="dxa"/>
              <w:left w:w="90" w:type="dxa"/>
              <w:bottom w:w="90" w:type="dxa"/>
              <w:right w:w="90" w:type="dxa"/>
            </w:tcMar>
            <w:vAlign w:val="center"/>
          </w:tcPr>
          <w:p w14:paraId="5B1A8CA7" w14:textId="77777777" w:rsidR="00BF7E27" w:rsidRDefault="00000000">
            <w:pPr>
              <w:spacing w:after="20"/>
              <w:jc w:val="center"/>
            </w:pPr>
            <w:r>
              <w:rPr>
                <w:sz w:val="16"/>
              </w:rPr>
              <w:t xml:space="preserve">Multi-objective </w:t>
            </w:r>
            <w:proofErr w:type="spellStart"/>
            <w:r>
              <w:rPr>
                <w:sz w:val="16"/>
              </w:rPr>
              <w:t>optimisation</w:t>
            </w:r>
            <w:proofErr w:type="spellEnd"/>
          </w:p>
        </w:tc>
        <w:tc>
          <w:tcPr>
            <w:tcW w:w="1944" w:type="dxa"/>
            <w:tcMar>
              <w:top w:w="90" w:type="dxa"/>
              <w:left w:w="90" w:type="dxa"/>
              <w:bottom w:w="90" w:type="dxa"/>
              <w:right w:w="90" w:type="dxa"/>
            </w:tcMar>
            <w:vAlign w:val="center"/>
          </w:tcPr>
          <w:p w14:paraId="2492BF35" w14:textId="77777777" w:rsidR="00BF7E27" w:rsidRDefault="00000000">
            <w:pPr>
              <w:spacing w:after="20"/>
            </w:pPr>
            <w:r>
              <w:rPr>
                <w:sz w:val="16"/>
              </w:rPr>
              <w:t>Can balance yield, appearance, energy, water and safety</w:t>
            </w:r>
          </w:p>
        </w:tc>
        <w:tc>
          <w:tcPr>
            <w:tcW w:w="1944" w:type="dxa"/>
            <w:tcMar>
              <w:top w:w="90" w:type="dxa"/>
              <w:left w:w="90" w:type="dxa"/>
              <w:bottom w:w="90" w:type="dxa"/>
              <w:right w:w="90" w:type="dxa"/>
            </w:tcMar>
            <w:vAlign w:val="center"/>
          </w:tcPr>
          <w:p w14:paraId="2CBE143F" w14:textId="77777777" w:rsidR="00BF7E27" w:rsidRDefault="00000000">
            <w:pPr>
              <w:spacing w:after="20"/>
            </w:pPr>
            <w:r>
              <w:rPr>
                <w:sz w:val="16"/>
              </w:rPr>
              <w:t>Conceptually supported by divergent response optima</w:t>
            </w:r>
          </w:p>
        </w:tc>
        <w:tc>
          <w:tcPr>
            <w:tcW w:w="2304" w:type="dxa"/>
            <w:tcMar>
              <w:top w:w="90" w:type="dxa"/>
              <w:left w:w="90" w:type="dxa"/>
              <w:bottom w:w="90" w:type="dxa"/>
              <w:right w:w="90" w:type="dxa"/>
            </w:tcMar>
            <w:vAlign w:val="center"/>
          </w:tcPr>
          <w:p w14:paraId="131B6D03" w14:textId="77777777" w:rsidR="00BF7E27" w:rsidRDefault="00000000">
            <w:pPr>
              <w:spacing w:after="20"/>
            </w:pPr>
            <w:r>
              <w:rPr>
                <w:sz w:val="16"/>
              </w:rPr>
              <w:t>Rarely implemented with all relevant co-objectives in one realistic-scale study</w:t>
            </w:r>
          </w:p>
        </w:tc>
        <w:tc>
          <w:tcPr>
            <w:tcW w:w="1944" w:type="dxa"/>
            <w:tcMar>
              <w:top w:w="90" w:type="dxa"/>
              <w:left w:w="90" w:type="dxa"/>
              <w:bottom w:w="90" w:type="dxa"/>
              <w:right w:w="90" w:type="dxa"/>
            </w:tcMar>
            <w:vAlign w:val="center"/>
          </w:tcPr>
          <w:p w14:paraId="1E31C171" w14:textId="77777777" w:rsidR="00BF7E27" w:rsidRDefault="00000000">
            <w:pPr>
              <w:spacing w:after="20"/>
            </w:pPr>
            <w:r>
              <w:rPr>
                <w:sz w:val="16"/>
              </w:rPr>
              <w:t>Elbert et al., 2001; Panda et al., 2021; Figueiredo et al., 2026</w:t>
            </w:r>
          </w:p>
        </w:tc>
      </w:tr>
    </w:tbl>
    <w:p w14:paraId="4C6159FD"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4DC616A7" w14:textId="77777777" w:rsidR="00BF7E27" w:rsidRDefault="00000000">
      <w:pPr>
        <w:pStyle w:val="Heading1"/>
      </w:pPr>
      <w:r>
        <w:t>5. Emerging Process-Intensification Technologies</w:t>
      </w:r>
    </w:p>
    <w:p w14:paraId="435FD30B" w14:textId="77777777" w:rsidR="00BF7E27" w:rsidRDefault="00000000">
      <w:pPr>
        <w:pStyle w:val="Heading2"/>
      </w:pPr>
      <w:r>
        <w:t>5.1 Microwave-assisted parboiling</w:t>
      </w:r>
    </w:p>
    <w:p w14:paraId="4E3026AF" w14:textId="77777777" w:rsidR="00BF7E27" w:rsidRDefault="00000000">
      <w:pPr>
        <w:jc w:val="both"/>
      </w:pPr>
      <w:r>
        <w:t xml:space="preserve">Microwave heating is attractive because electromagnetic energy can generate heat volumetrically within a hydrated grain or water-rich bed rather than relying exclusively on conduction and convection from the surface. </w:t>
      </w:r>
      <w:proofErr w:type="spellStart"/>
      <w:r>
        <w:t>Rockembach</w:t>
      </w:r>
      <w:proofErr w:type="spellEnd"/>
      <w:r>
        <w:t xml:space="preserve"> et al. (2019) applied microwave irradiation during soaking and </w:t>
      </w:r>
      <w:proofErr w:type="spellStart"/>
      <w:r>
        <w:t>gelatinisation</w:t>
      </w:r>
      <w:proofErr w:type="spellEnd"/>
      <w:r>
        <w:t xml:space="preserve"> and reported markedly shorter processing with </w:t>
      </w:r>
      <w:proofErr w:type="spellStart"/>
      <w:r>
        <w:t>favourable</w:t>
      </w:r>
      <w:proofErr w:type="spellEnd"/>
      <w:r>
        <w:t xml:space="preserve"> effects on breakage, </w:t>
      </w:r>
      <w:proofErr w:type="spellStart"/>
      <w:r>
        <w:t>colour</w:t>
      </w:r>
      <w:proofErr w:type="spellEnd"/>
      <w:r>
        <w:t xml:space="preserve"> and residual phosphorus in wastewater under selected conditions. Panda et al. (2021) replaced conventional hot-water soaking with microwave-assisted soaking of high-moisture freshly harvested paddy and reported lower overall energy use, shorter processing time and </w:t>
      </w:r>
      <w:proofErr w:type="spellStart"/>
      <w:r>
        <w:t>favourable</w:t>
      </w:r>
      <w:proofErr w:type="spellEnd"/>
      <w:r>
        <w:t xml:space="preserve"> milling attributes relative to their conventional comparator. These studies support microwave intensification, but they are not equivalent demonstrations: one targets the soaking and </w:t>
      </w:r>
      <w:proofErr w:type="spellStart"/>
      <w:r>
        <w:t>gelatinisation</w:t>
      </w:r>
      <w:proofErr w:type="spellEnd"/>
      <w:r>
        <w:t xml:space="preserve"> stages, while the other also changes the raw-material moisture state.</w:t>
      </w:r>
    </w:p>
    <w:p w14:paraId="2848F1AD" w14:textId="77777777" w:rsidR="00BF7E27" w:rsidRDefault="00000000">
      <w:pPr>
        <w:jc w:val="both"/>
      </w:pPr>
      <w:r>
        <w:t xml:space="preserve">That distinction is crucial for causal interpretation. When fresh high-moisture paddy is compared with stored lower-moisture grain, part of the energy saving arises from avoiding water removal and re-addition across the supply chain, not solely from the microwave field. Similarly, volumetric heating does not guarantee uniformity at larger bed depth because electromagnetic penetration, dielectric properties and field distribution change with </w:t>
      </w:r>
      <w:r>
        <w:lastRenderedPageBreak/>
        <w:t>geometry, moisture and temperature. The engineering question is therefore not whether microwaves heat quickly, but whether a scale-appropriate applicator can deliver uniform thermal histories without local overheating while maintaining acceptable electrical efficiency.</w:t>
      </w:r>
    </w:p>
    <w:p w14:paraId="116C351E" w14:textId="77777777" w:rsidR="00BF7E27" w:rsidRDefault="00000000">
      <w:pPr>
        <w:jc w:val="both"/>
      </w:pPr>
      <w:r>
        <w:t xml:space="preserve">Microwave-assisted drying also creates opportunities to alter product functionality. Huang et al. (2021) investigated parboiling followed by industrial-scale microwave drying of brown rice and reported changes in resistant starch, dietary </w:t>
      </w:r>
      <w:proofErr w:type="spellStart"/>
      <w:r>
        <w:t>fibre</w:t>
      </w:r>
      <w:proofErr w:type="spellEnd"/>
      <w:r>
        <w:t>, texture and storage stability. These outcomes are promising for product development but should not be conflated with the performance of a conventional parboiled white-rice line. The matrix, degree of milling and post-treatment storage all modify the nutritional and sensory endpoint.</w:t>
      </w:r>
    </w:p>
    <w:p w14:paraId="7F3E8D5F" w14:textId="77777777" w:rsidR="00BF7E27" w:rsidRDefault="00000000">
      <w:pPr>
        <w:pStyle w:val="Heading2"/>
      </w:pPr>
      <w:r>
        <w:t>5.2 Infrared and hybrid electromagnetic-convective drying</w:t>
      </w:r>
    </w:p>
    <w:p w14:paraId="1DC26EAC" w14:textId="77777777" w:rsidR="00BF7E27" w:rsidRDefault="00000000">
      <w:pPr>
        <w:jc w:val="both"/>
      </w:pPr>
      <w:r>
        <w:t xml:space="preserve">Infrared radiation delivers energy at the grain surface and near-surface region, where absorption can accelerate heating and moisture removal. Bualuang et al. (2013) compared hot-air, infrared and combined hot-air-infrared drying and found that drying strategy altered both kinetics and quality, with </w:t>
      </w:r>
      <w:proofErr w:type="spellStart"/>
      <w:r>
        <w:t>colour</w:t>
      </w:r>
      <w:proofErr w:type="spellEnd"/>
      <w:r>
        <w:t xml:space="preserve"> remaining a sensitivity. More recently, Neutzling et al. (2023) showed that infrared heating could itself contribute to starch </w:t>
      </w:r>
      <w:proofErr w:type="spellStart"/>
      <w:r>
        <w:t>gelatinisation</w:t>
      </w:r>
      <w:proofErr w:type="spellEnd"/>
      <w:r>
        <w:t xml:space="preserve">, linking increasing </w:t>
      </w:r>
      <w:proofErr w:type="spellStart"/>
      <w:r>
        <w:t>gelatinisation</w:t>
      </w:r>
      <w:proofErr w:type="spellEnd"/>
      <w:r>
        <w:t xml:space="preserve"> and reduced crystallinity with technological properties. This blurs the conventional boundary between the steaming and drying units: a suitably designed infrared stage can provide both thermal transformation and dehydration.</w:t>
      </w:r>
    </w:p>
    <w:p w14:paraId="471C8B62" w14:textId="77777777" w:rsidR="00BF7E27" w:rsidRDefault="00000000">
      <w:pPr>
        <w:jc w:val="both"/>
      </w:pPr>
      <w:r>
        <w:t xml:space="preserve">Hybrid systems exploit this overlap. </w:t>
      </w:r>
      <w:proofErr w:type="spellStart"/>
      <w:r>
        <w:t>Taghinezhad</w:t>
      </w:r>
      <w:proofErr w:type="spellEnd"/>
      <w:r>
        <w:t xml:space="preserve"> et al. (2020) compared infrared-convective, microwave and combined infrared-convective-microwave drying, demonstrating that dryer choice changes specific energy consumption, drying kinetics and head-rice quality simultaneously. </w:t>
      </w:r>
      <w:proofErr w:type="spellStart"/>
      <w:r>
        <w:t>Hybridisation</w:t>
      </w:r>
      <w:proofErr w:type="spellEnd"/>
      <w:r>
        <w:t xml:space="preserve"> is therefore not automatically more efficient; each added energy mode can improve transfer but also add conversion losses, controls and capital complexity. The correct comparator is total process performance at equivalent final moisture and product quality, not drying rate alone.</w:t>
      </w:r>
    </w:p>
    <w:p w14:paraId="2D1C12B5" w14:textId="77777777" w:rsidR="00BF7E27" w:rsidRDefault="00000000">
      <w:pPr>
        <w:pStyle w:val="Heading2"/>
      </w:pPr>
      <w:r>
        <w:t>5.3 Ohmic heating</w:t>
      </w:r>
    </w:p>
    <w:p w14:paraId="29067702" w14:textId="77777777" w:rsidR="00BF7E27" w:rsidRDefault="00000000">
      <w:pPr>
        <w:jc w:val="both"/>
      </w:pPr>
      <w:r>
        <w:t>Ohmic heating generates heat by passing electrical current through a conductive food-water system. For parboiling, its appeal lies in rapid internal heating and the possibility of replacing steam generation. Early experimental work suggested that ohmic treatment could produce milling and cooking properties comparable with conventional parboiling under selected high-temperature conditions (</w:t>
      </w:r>
      <w:proofErr w:type="spellStart"/>
      <w:r>
        <w:t>Sivashanmugam</w:t>
      </w:r>
      <w:proofErr w:type="spellEnd"/>
      <w:r>
        <w:t xml:space="preserve"> &amp; Arivazhagan, 2008). D'cruz et al. (2023) advanced the concept by examining voltage gradient and electrolyte concentration across two paddy varieties, showing that electrical conductivity and process response are strongly dependent on formulation and variety.</w:t>
      </w:r>
    </w:p>
    <w:p w14:paraId="7810459D" w14:textId="77777777" w:rsidR="00BF7E27" w:rsidRDefault="00000000">
      <w:pPr>
        <w:jc w:val="both"/>
      </w:pPr>
      <w:r>
        <w:t>The technology illustrates a general trade-off in process intensification. Electrical conductivity is both the mechanism and a source of variability. Electrolyte addition can improve heating rate, but it changes the process medium and may influence ion migration, corrosion risk or downstream water management. Electrode design, current density, fouling and electrical safety become scale-up variables that have no analogue in conventional steam systems. Consequently, claims of boiler elimination should be evaluated against whole-system electrical demand, equipment maintenance and water chemistry rather than treated as an inherent sustainability advantage.</w:t>
      </w:r>
    </w:p>
    <w:p w14:paraId="234B9997" w14:textId="77777777" w:rsidR="00BF7E27" w:rsidRDefault="00000000">
      <w:pPr>
        <w:pStyle w:val="Heading2"/>
      </w:pPr>
      <w:r>
        <w:t>5.4 Ultrasound, radiofrequency and vacuum-assisted hydration</w:t>
      </w:r>
    </w:p>
    <w:p w14:paraId="264FEB95" w14:textId="77777777" w:rsidR="00BF7E27" w:rsidRDefault="00000000">
      <w:pPr>
        <w:jc w:val="both"/>
      </w:pPr>
      <w:r>
        <w:t xml:space="preserve">Ultrasound primarily acts through cavitation and microstreaming in the soaking medium, which can disrupt surface resistance and accelerate mass transfer. Shah et al. (2023) demonstrated that ultrasound treatment during soaking altered rice microstructure, starch ordering and </w:t>
      </w:r>
      <w:r w:rsidRPr="00974353">
        <w:rPr>
          <w:i/>
          <w:iCs/>
        </w:rPr>
        <w:t>in vitro</w:t>
      </w:r>
      <w:r>
        <w:t xml:space="preserve"> digestibility in both indica and japonica </w:t>
      </w:r>
      <w:r>
        <w:lastRenderedPageBreak/>
        <w:t xml:space="preserve">materials. Because the study combined several time and amplitude conditions, it also showed that ultrasound is not a neutral accelerator: it can change the substrate that later undergoes </w:t>
      </w:r>
      <w:proofErr w:type="spellStart"/>
      <w:r>
        <w:t>gelatinisation</w:t>
      </w:r>
      <w:proofErr w:type="spellEnd"/>
      <w:r>
        <w:t xml:space="preserve">. Process </w:t>
      </w:r>
      <w:proofErr w:type="spellStart"/>
      <w:r>
        <w:t>optimisation</w:t>
      </w:r>
      <w:proofErr w:type="spellEnd"/>
      <w:r>
        <w:t xml:space="preserve"> should therefore treat ultrasound intensity as a product-structure variable rather than simply a means of shortening soaking.</w:t>
      </w:r>
    </w:p>
    <w:p w14:paraId="630D6FAB" w14:textId="77777777" w:rsidR="00BF7E27" w:rsidRDefault="00000000">
      <w:pPr>
        <w:jc w:val="both"/>
      </w:pPr>
      <w:r>
        <w:t>A recent head-to-head experiment comparing ohmic, radiofrequency, ultrasound-assisted and conventional parboiling is particularly informative because it reduces some cross-study comparability problems. Gokul Devi et al. (2025) found faster hydration with ultrasound and radiofrequency than with the conventional route under the tested conditions and evaluated milling outcomes after subsequent steaming. The strength of this work lies in common raw material and comparative conditions; its limitation is that the evidence remains early and does not yet establish industrial energy, maintenance or throughput superiority. Radiofrequency has promise for deeper electromagnetic penetration than microwave systems in some food geometries, but parboiling-specific scale-up evidence remains sparse.</w:t>
      </w:r>
    </w:p>
    <w:p w14:paraId="1581EA56" w14:textId="77777777" w:rsidR="00BF7E27" w:rsidRDefault="00000000">
      <w:pPr>
        <w:jc w:val="both"/>
      </w:pPr>
      <w:r>
        <w:t>Vacuum soaking, discussed earlier, belongs to the same transport-intensification family. It modifies the hydration step without necessarily introducing intense thermal energy. Li et al. (2021) showed reduced steaming requirement after vacuum soaking in japonica rice. The technique may therefore be attractive where existing steam systems are retained but soaking tanks are a throughput bottleneck. Its viability will depend on vacuum vessel cost, batch size, sealing and whether the accelerated hydration remains uniform in commercial paddy lots.</w:t>
      </w:r>
    </w:p>
    <w:p w14:paraId="34079858" w14:textId="77777777" w:rsidR="00BF7E27" w:rsidRDefault="00000000">
      <w:pPr>
        <w:pStyle w:val="Heading2"/>
      </w:pPr>
      <w:r>
        <w:t xml:space="preserve">5.5 </w:t>
      </w:r>
      <w:proofErr w:type="spellStart"/>
      <w:r>
        <w:t>Fluidised</w:t>
      </w:r>
      <w:proofErr w:type="spellEnd"/>
      <w:r>
        <w:t>-bed and superheated-steam integration</w:t>
      </w:r>
    </w:p>
    <w:p w14:paraId="226C3D2A" w14:textId="77777777" w:rsidR="00BF7E27" w:rsidRDefault="00000000">
      <w:pPr>
        <w:jc w:val="both"/>
      </w:pPr>
      <w:proofErr w:type="spellStart"/>
      <w:r>
        <w:t>Fluidised</w:t>
      </w:r>
      <w:proofErr w:type="spellEnd"/>
      <w:r>
        <w:t xml:space="preserve"> beds provide high rates of convective heat and mass transfer by suspending or vigorously mixing grains in an air or steam stream. Their relevance to parboiling is broader than drying. </w:t>
      </w:r>
      <w:proofErr w:type="spellStart"/>
      <w:r>
        <w:t>Swasdisevi</w:t>
      </w:r>
      <w:proofErr w:type="spellEnd"/>
      <w:r>
        <w:t xml:space="preserve"> et al. (2010) used pre-steaming followed by high-temperature </w:t>
      </w:r>
      <w:proofErr w:type="spellStart"/>
      <w:r>
        <w:t>fluidisation</w:t>
      </w:r>
      <w:proofErr w:type="spellEnd"/>
      <w:r>
        <w:t xml:space="preserve"> to produce partially parboiled rice, while </w:t>
      </w:r>
      <w:proofErr w:type="spellStart"/>
      <w:r>
        <w:t>Saniso</w:t>
      </w:r>
      <w:proofErr w:type="spellEnd"/>
      <w:r>
        <w:t xml:space="preserve"> et al. (2020) demonstrated a microwave-assisted hot-air </w:t>
      </w:r>
      <w:proofErr w:type="spellStart"/>
      <w:r>
        <w:t>fluidised</w:t>
      </w:r>
      <w:proofErr w:type="spellEnd"/>
      <w:r>
        <w:t xml:space="preserve">-bed route intended to produce parboiled rice without a separate steaming step. </w:t>
      </w:r>
      <w:proofErr w:type="spellStart"/>
      <w:r>
        <w:t>Saniso</w:t>
      </w:r>
      <w:proofErr w:type="spellEnd"/>
      <w:r>
        <w:t xml:space="preserve"> et al. (2022) further compared hot-air and microwave-hot-air </w:t>
      </w:r>
      <w:proofErr w:type="spellStart"/>
      <w:r>
        <w:t>fluidised</w:t>
      </w:r>
      <w:proofErr w:type="spellEnd"/>
      <w:r>
        <w:t xml:space="preserve">-bed approaches, finding that appropriate conditions could achieve complete </w:t>
      </w:r>
      <w:proofErr w:type="spellStart"/>
      <w:r>
        <w:t>gelatinisation</w:t>
      </w:r>
      <w:proofErr w:type="spellEnd"/>
      <w:r>
        <w:t xml:space="preserve"> but that energy performance differed between configurations. These studies show that unit-operation integration is technically possible.</w:t>
      </w:r>
    </w:p>
    <w:p w14:paraId="2D733BE4" w14:textId="77777777" w:rsidR="00BF7E27" w:rsidRDefault="00000000">
      <w:pPr>
        <w:jc w:val="both"/>
      </w:pPr>
      <w:r>
        <w:t xml:space="preserve">Superheated steam provides another route to simultaneous heat transfer and water removal after an initial condensation or high-humidity phase. </w:t>
      </w:r>
      <w:proofErr w:type="spellStart"/>
      <w:r>
        <w:t>Cheevitsopon</w:t>
      </w:r>
      <w:proofErr w:type="spellEnd"/>
      <w:r>
        <w:t xml:space="preserve"> and </w:t>
      </w:r>
      <w:proofErr w:type="spellStart"/>
      <w:r>
        <w:t>Noomhorm</w:t>
      </w:r>
      <w:proofErr w:type="spellEnd"/>
      <w:r>
        <w:t xml:space="preserve"> (2015) used superheated-steam </w:t>
      </w:r>
      <w:proofErr w:type="spellStart"/>
      <w:r>
        <w:t>fluidised</w:t>
      </w:r>
      <w:proofErr w:type="spellEnd"/>
      <w:r>
        <w:t xml:space="preserve">-bed drying for parboiled germinated brown rice and showed that temperature and residence time affected fissuring, </w:t>
      </w:r>
      <w:proofErr w:type="spellStart"/>
      <w:r>
        <w:t>colour</w:t>
      </w:r>
      <w:proofErr w:type="spellEnd"/>
      <w:r>
        <w:t xml:space="preserve"> and gamma-aminobutyric acid retention, with staged drying helping to protect quality. </w:t>
      </w:r>
      <w:proofErr w:type="spellStart"/>
      <w:r>
        <w:t>Jittanit</w:t>
      </w:r>
      <w:proofErr w:type="spellEnd"/>
      <w:r>
        <w:t xml:space="preserve"> and </w:t>
      </w:r>
      <w:proofErr w:type="spellStart"/>
      <w:r>
        <w:t>Angkaew</w:t>
      </w:r>
      <w:proofErr w:type="spellEnd"/>
      <w:r>
        <w:t xml:space="preserve"> (2021) used superheated steam and hot-air multi-stage drying to improve the milling quality of chalky rice. These examples are valuable because they treat low-quality or specialty raw materials, but they also illustrate why process success must be defined against the intended product rather than a generic parboiled-rice standard.</w:t>
      </w:r>
    </w:p>
    <w:p w14:paraId="38CD662E" w14:textId="77777777" w:rsidR="00BF7E27" w:rsidRDefault="00000000">
      <w:pPr>
        <w:jc w:val="both"/>
      </w:pPr>
      <w:r>
        <w:t xml:space="preserve">Technology maturity should also be judged by controllability rather than by heating rate alone. Conventional steam systems benefit from long industrial experience, simple utility integration and comparatively intuitive control variables. Newer systems may expose additional degrees of freedom, such as microwave power density, electrode spacing, electrical conductivity, infrared heat flux, ultrasound intensity or </w:t>
      </w:r>
      <w:proofErr w:type="spellStart"/>
      <w:r>
        <w:t>fluidisation</w:t>
      </w:r>
      <w:proofErr w:type="spellEnd"/>
      <w:r>
        <w:t xml:space="preserve"> velocity. These variables can create a larger feasible design space, but they also increase the burden of calibration and fault detection. A technology that shortens residence time while narrowing the safe operating window may require better sensors and faster feedback to be dependable at commercial throughput. The comparative experiments by Gokul Devi et al. (2025) are valuable because they place several emerging </w:t>
      </w:r>
      <w:r>
        <w:lastRenderedPageBreak/>
        <w:t xml:space="preserve">treatments beside conventional processing under one study framework, yet the broader literature still lacks repeated industrial campaigns that capture start-up, shut-down, fouling, seasonal variation and operator intervention. Evidence of process intensification should therefore be separated from evidence of manufacturing robustness. The latter requires stable product specifications over time, not merely a </w:t>
      </w:r>
      <w:proofErr w:type="spellStart"/>
      <w:r>
        <w:t>favourable</w:t>
      </w:r>
      <w:proofErr w:type="spellEnd"/>
      <w:r>
        <w:t xml:space="preserve"> mean response in controlled trials.</w:t>
      </w:r>
    </w:p>
    <w:p w14:paraId="3AD5D012" w14:textId="77777777" w:rsidR="00BF7E27" w:rsidRDefault="00000000">
      <w:pPr>
        <w:jc w:val="both"/>
      </w:pPr>
      <w:r>
        <w:t xml:space="preserve">Table 3 compares the emerging technologies on the basis of their dominant intensification mechanism, demonstrated strengths and unresolved scale-up constraints. Across technologies, evidence is strongest for faster heat or mass transfer and for the ability to manipulate </w:t>
      </w:r>
      <w:proofErr w:type="spellStart"/>
      <w:r>
        <w:t>gelatinisation</w:t>
      </w:r>
      <w:proofErr w:type="spellEnd"/>
      <w:r>
        <w:t xml:space="preserve"> and drying histories. Evidence is weaker for long-term industrial reliability, uniformity across large beds, full process water balances and lifecycle environmental performance.</w:t>
      </w:r>
    </w:p>
    <w:p w14:paraId="379C28D1" w14:textId="77777777" w:rsidR="00BF7E27" w:rsidRDefault="00000000">
      <w:r>
        <w:rPr>
          <w:b/>
        </w:rPr>
        <w:t xml:space="preserve">Table 3. </w:t>
      </w:r>
      <w:r>
        <w:rPr>
          <w:i/>
        </w:rPr>
        <w:t>Emerging process-intensification technologies and translational constraints</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4E4C4760" w14:textId="77777777">
        <w:trPr>
          <w:tblHeader/>
          <w:jc w:val="center"/>
        </w:trPr>
        <w:tc>
          <w:tcPr>
            <w:tcW w:w="1512" w:type="dxa"/>
            <w:tcMar>
              <w:top w:w="90" w:type="dxa"/>
              <w:left w:w="90" w:type="dxa"/>
              <w:bottom w:w="90" w:type="dxa"/>
              <w:right w:w="90" w:type="dxa"/>
            </w:tcMar>
            <w:vAlign w:val="center"/>
          </w:tcPr>
          <w:p w14:paraId="7CD6B170" w14:textId="77777777" w:rsidR="00BF7E27" w:rsidRDefault="00000000">
            <w:pPr>
              <w:spacing w:after="20"/>
              <w:jc w:val="center"/>
            </w:pPr>
            <w:r>
              <w:rPr>
                <w:b/>
                <w:sz w:val="16"/>
              </w:rPr>
              <w:t>Technology</w:t>
            </w:r>
          </w:p>
        </w:tc>
        <w:tc>
          <w:tcPr>
            <w:tcW w:w="1944" w:type="dxa"/>
            <w:tcMar>
              <w:top w:w="90" w:type="dxa"/>
              <w:left w:w="90" w:type="dxa"/>
              <w:bottom w:w="90" w:type="dxa"/>
              <w:right w:w="90" w:type="dxa"/>
            </w:tcMar>
            <w:vAlign w:val="center"/>
          </w:tcPr>
          <w:p w14:paraId="53621BE2" w14:textId="77777777" w:rsidR="00BF7E27" w:rsidRDefault="00000000">
            <w:pPr>
              <w:spacing w:after="20"/>
              <w:jc w:val="center"/>
            </w:pPr>
            <w:r>
              <w:rPr>
                <w:b/>
                <w:sz w:val="16"/>
              </w:rPr>
              <w:t>Dominant intensification mechanism</w:t>
            </w:r>
          </w:p>
        </w:tc>
        <w:tc>
          <w:tcPr>
            <w:tcW w:w="1944" w:type="dxa"/>
            <w:tcMar>
              <w:top w:w="90" w:type="dxa"/>
              <w:left w:w="90" w:type="dxa"/>
              <w:bottom w:w="90" w:type="dxa"/>
              <w:right w:w="90" w:type="dxa"/>
            </w:tcMar>
            <w:vAlign w:val="center"/>
          </w:tcPr>
          <w:p w14:paraId="75D4933A" w14:textId="77777777" w:rsidR="00BF7E27" w:rsidRDefault="00000000">
            <w:pPr>
              <w:spacing w:after="20"/>
              <w:jc w:val="center"/>
            </w:pPr>
            <w:r>
              <w:rPr>
                <w:b/>
                <w:sz w:val="16"/>
              </w:rPr>
              <w:t>Evidence-supported opportunity</w:t>
            </w:r>
          </w:p>
        </w:tc>
        <w:tc>
          <w:tcPr>
            <w:tcW w:w="2304" w:type="dxa"/>
            <w:tcMar>
              <w:top w:w="90" w:type="dxa"/>
              <w:left w:w="90" w:type="dxa"/>
              <w:bottom w:w="90" w:type="dxa"/>
              <w:right w:w="90" w:type="dxa"/>
            </w:tcMar>
            <w:vAlign w:val="center"/>
          </w:tcPr>
          <w:p w14:paraId="77210803" w14:textId="77777777" w:rsidR="00BF7E27" w:rsidRDefault="00000000">
            <w:pPr>
              <w:spacing w:after="20"/>
              <w:jc w:val="center"/>
            </w:pPr>
            <w:r>
              <w:rPr>
                <w:b/>
                <w:sz w:val="16"/>
              </w:rPr>
              <w:t>Key unresolved constraint</w:t>
            </w:r>
          </w:p>
        </w:tc>
        <w:tc>
          <w:tcPr>
            <w:tcW w:w="1944" w:type="dxa"/>
            <w:tcMar>
              <w:top w:w="90" w:type="dxa"/>
              <w:left w:w="90" w:type="dxa"/>
              <w:bottom w:w="90" w:type="dxa"/>
              <w:right w:w="90" w:type="dxa"/>
            </w:tcMar>
            <w:vAlign w:val="center"/>
          </w:tcPr>
          <w:p w14:paraId="493D4351" w14:textId="77777777" w:rsidR="00BF7E27" w:rsidRDefault="00000000">
            <w:pPr>
              <w:spacing w:after="20"/>
              <w:jc w:val="center"/>
            </w:pPr>
            <w:r>
              <w:rPr>
                <w:b/>
                <w:sz w:val="16"/>
              </w:rPr>
              <w:t>Supporting references</w:t>
            </w:r>
          </w:p>
        </w:tc>
      </w:tr>
      <w:tr w:rsidR="00BF7E27" w14:paraId="1B244831" w14:textId="77777777">
        <w:trPr>
          <w:cantSplit/>
          <w:jc w:val="center"/>
        </w:trPr>
        <w:tc>
          <w:tcPr>
            <w:tcW w:w="1512" w:type="dxa"/>
            <w:tcMar>
              <w:top w:w="90" w:type="dxa"/>
              <w:left w:w="90" w:type="dxa"/>
              <w:bottom w:w="90" w:type="dxa"/>
              <w:right w:w="90" w:type="dxa"/>
            </w:tcMar>
            <w:vAlign w:val="center"/>
          </w:tcPr>
          <w:p w14:paraId="5F5B1C9E" w14:textId="77777777" w:rsidR="00BF7E27" w:rsidRDefault="00000000">
            <w:pPr>
              <w:spacing w:after="20"/>
              <w:jc w:val="center"/>
            </w:pPr>
            <w:r>
              <w:rPr>
                <w:sz w:val="16"/>
              </w:rPr>
              <w:t>Microwave-assisted soaking/heating</w:t>
            </w:r>
          </w:p>
        </w:tc>
        <w:tc>
          <w:tcPr>
            <w:tcW w:w="1944" w:type="dxa"/>
            <w:tcMar>
              <w:top w:w="90" w:type="dxa"/>
              <w:left w:w="90" w:type="dxa"/>
              <w:bottom w:w="90" w:type="dxa"/>
              <w:right w:w="90" w:type="dxa"/>
            </w:tcMar>
            <w:vAlign w:val="center"/>
          </w:tcPr>
          <w:p w14:paraId="4565C512" w14:textId="77777777" w:rsidR="00BF7E27" w:rsidRDefault="00000000">
            <w:pPr>
              <w:spacing w:after="20"/>
            </w:pPr>
            <w:r>
              <w:rPr>
                <w:sz w:val="16"/>
              </w:rPr>
              <w:t>Volumetric dielectric heating</w:t>
            </w:r>
          </w:p>
        </w:tc>
        <w:tc>
          <w:tcPr>
            <w:tcW w:w="1944" w:type="dxa"/>
            <w:tcMar>
              <w:top w:w="90" w:type="dxa"/>
              <w:left w:w="90" w:type="dxa"/>
              <w:bottom w:w="90" w:type="dxa"/>
              <w:right w:w="90" w:type="dxa"/>
            </w:tcMar>
            <w:vAlign w:val="center"/>
          </w:tcPr>
          <w:p w14:paraId="6C461E0D" w14:textId="77777777" w:rsidR="00BF7E27" w:rsidRDefault="00000000">
            <w:pPr>
              <w:spacing w:after="20"/>
            </w:pPr>
            <w:r>
              <w:rPr>
                <w:sz w:val="16"/>
              </w:rPr>
              <w:t xml:space="preserve">Large reductions in stage time; </w:t>
            </w:r>
            <w:proofErr w:type="spellStart"/>
            <w:r>
              <w:rPr>
                <w:sz w:val="16"/>
              </w:rPr>
              <w:t>favourable</w:t>
            </w:r>
            <w:proofErr w:type="spellEnd"/>
            <w:r>
              <w:rPr>
                <w:sz w:val="16"/>
              </w:rPr>
              <w:t xml:space="preserve"> milling and </w:t>
            </w:r>
            <w:proofErr w:type="spellStart"/>
            <w:r>
              <w:rPr>
                <w:sz w:val="16"/>
              </w:rPr>
              <w:t>colour</w:t>
            </w:r>
            <w:proofErr w:type="spellEnd"/>
            <w:r>
              <w:rPr>
                <w:sz w:val="16"/>
              </w:rPr>
              <w:t xml:space="preserve"> outcomes under selected conditions</w:t>
            </w:r>
          </w:p>
        </w:tc>
        <w:tc>
          <w:tcPr>
            <w:tcW w:w="2304" w:type="dxa"/>
            <w:tcMar>
              <w:top w:w="90" w:type="dxa"/>
              <w:left w:w="90" w:type="dxa"/>
              <w:bottom w:w="90" w:type="dxa"/>
              <w:right w:w="90" w:type="dxa"/>
            </w:tcMar>
            <w:vAlign w:val="center"/>
          </w:tcPr>
          <w:p w14:paraId="58FBC2BF" w14:textId="77777777" w:rsidR="00BF7E27" w:rsidRDefault="00000000">
            <w:pPr>
              <w:spacing w:after="20"/>
            </w:pPr>
            <w:r>
              <w:rPr>
                <w:sz w:val="16"/>
              </w:rPr>
              <w:t>Field uniformity, penetration depth, electrical efficiency and comparison at matched raw-material moisture</w:t>
            </w:r>
          </w:p>
        </w:tc>
        <w:tc>
          <w:tcPr>
            <w:tcW w:w="1944" w:type="dxa"/>
            <w:tcMar>
              <w:top w:w="90" w:type="dxa"/>
              <w:left w:w="90" w:type="dxa"/>
              <w:bottom w:w="90" w:type="dxa"/>
              <w:right w:w="90" w:type="dxa"/>
            </w:tcMar>
            <w:vAlign w:val="center"/>
          </w:tcPr>
          <w:p w14:paraId="4D6AF420" w14:textId="77777777" w:rsidR="00BF7E27" w:rsidRDefault="00000000">
            <w:pPr>
              <w:spacing w:after="20"/>
            </w:pPr>
            <w:proofErr w:type="spellStart"/>
            <w:r>
              <w:rPr>
                <w:sz w:val="16"/>
              </w:rPr>
              <w:t>Rockembach</w:t>
            </w:r>
            <w:proofErr w:type="spellEnd"/>
            <w:r>
              <w:rPr>
                <w:sz w:val="16"/>
              </w:rPr>
              <w:t xml:space="preserve"> et al., 2019; Panda et al., 2021</w:t>
            </w:r>
          </w:p>
        </w:tc>
      </w:tr>
      <w:tr w:rsidR="00BF7E27" w14:paraId="2081223E" w14:textId="77777777">
        <w:trPr>
          <w:cantSplit/>
          <w:jc w:val="center"/>
        </w:trPr>
        <w:tc>
          <w:tcPr>
            <w:tcW w:w="1512" w:type="dxa"/>
            <w:tcMar>
              <w:top w:w="90" w:type="dxa"/>
              <w:left w:w="90" w:type="dxa"/>
              <w:bottom w:w="90" w:type="dxa"/>
              <w:right w:w="90" w:type="dxa"/>
            </w:tcMar>
            <w:vAlign w:val="center"/>
          </w:tcPr>
          <w:p w14:paraId="59F24E19" w14:textId="77777777" w:rsidR="00BF7E27" w:rsidRDefault="00000000">
            <w:pPr>
              <w:spacing w:after="20"/>
              <w:jc w:val="center"/>
            </w:pPr>
            <w:r>
              <w:rPr>
                <w:sz w:val="16"/>
              </w:rPr>
              <w:t>Microwave or hybrid drying</w:t>
            </w:r>
          </w:p>
        </w:tc>
        <w:tc>
          <w:tcPr>
            <w:tcW w:w="1944" w:type="dxa"/>
            <w:tcMar>
              <w:top w:w="90" w:type="dxa"/>
              <w:left w:w="90" w:type="dxa"/>
              <w:bottom w:w="90" w:type="dxa"/>
              <w:right w:w="90" w:type="dxa"/>
            </w:tcMar>
            <w:vAlign w:val="center"/>
          </w:tcPr>
          <w:p w14:paraId="3FAB0E2B" w14:textId="77777777" w:rsidR="00BF7E27" w:rsidRDefault="00000000">
            <w:pPr>
              <w:spacing w:after="20"/>
            </w:pPr>
            <w:r>
              <w:rPr>
                <w:sz w:val="16"/>
              </w:rPr>
              <w:t>Internal heating combined with convective moisture removal</w:t>
            </w:r>
          </w:p>
        </w:tc>
        <w:tc>
          <w:tcPr>
            <w:tcW w:w="1944" w:type="dxa"/>
            <w:tcMar>
              <w:top w:w="90" w:type="dxa"/>
              <w:left w:w="90" w:type="dxa"/>
              <w:bottom w:w="90" w:type="dxa"/>
              <w:right w:w="90" w:type="dxa"/>
            </w:tcMar>
            <w:vAlign w:val="center"/>
          </w:tcPr>
          <w:p w14:paraId="204B4F7B" w14:textId="77777777" w:rsidR="00BF7E27" w:rsidRDefault="00000000">
            <w:pPr>
              <w:spacing w:after="20"/>
            </w:pPr>
            <w:r>
              <w:rPr>
                <w:sz w:val="16"/>
              </w:rPr>
              <w:t>Can accelerate drying and alter functional properties</w:t>
            </w:r>
          </w:p>
        </w:tc>
        <w:tc>
          <w:tcPr>
            <w:tcW w:w="2304" w:type="dxa"/>
            <w:tcMar>
              <w:top w:w="90" w:type="dxa"/>
              <w:left w:w="90" w:type="dxa"/>
              <w:bottom w:w="90" w:type="dxa"/>
              <w:right w:w="90" w:type="dxa"/>
            </w:tcMar>
            <w:vAlign w:val="center"/>
          </w:tcPr>
          <w:p w14:paraId="0434DC95" w14:textId="77777777" w:rsidR="00BF7E27" w:rsidRDefault="00000000">
            <w:pPr>
              <w:spacing w:after="20"/>
            </w:pPr>
            <w:r>
              <w:rPr>
                <w:sz w:val="16"/>
              </w:rPr>
              <w:t>Capital intensity and non-uniform heating at scale</w:t>
            </w:r>
          </w:p>
        </w:tc>
        <w:tc>
          <w:tcPr>
            <w:tcW w:w="1944" w:type="dxa"/>
            <w:tcMar>
              <w:top w:w="90" w:type="dxa"/>
              <w:left w:w="90" w:type="dxa"/>
              <w:bottom w:w="90" w:type="dxa"/>
              <w:right w:w="90" w:type="dxa"/>
            </w:tcMar>
            <w:vAlign w:val="center"/>
          </w:tcPr>
          <w:p w14:paraId="7AFEEAC3" w14:textId="77777777" w:rsidR="00BF7E27" w:rsidRDefault="00000000">
            <w:pPr>
              <w:spacing w:after="20"/>
            </w:pPr>
            <w:r>
              <w:rPr>
                <w:sz w:val="16"/>
              </w:rPr>
              <w:t xml:space="preserve">Huang et al., 2021; </w:t>
            </w:r>
            <w:proofErr w:type="spellStart"/>
            <w:r>
              <w:rPr>
                <w:sz w:val="16"/>
              </w:rPr>
              <w:t>Taghinezhad</w:t>
            </w:r>
            <w:proofErr w:type="spellEnd"/>
            <w:r>
              <w:rPr>
                <w:sz w:val="16"/>
              </w:rPr>
              <w:t xml:space="preserve"> et al., 2020</w:t>
            </w:r>
          </w:p>
        </w:tc>
      </w:tr>
      <w:tr w:rsidR="00BF7E27" w14:paraId="1393B317" w14:textId="77777777">
        <w:trPr>
          <w:cantSplit/>
          <w:jc w:val="center"/>
        </w:trPr>
        <w:tc>
          <w:tcPr>
            <w:tcW w:w="1512" w:type="dxa"/>
            <w:tcMar>
              <w:top w:w="90" w:type="dxa"/>
              <w:left w:w="90" w:type="dxa"/>
              <w:bottom w:w="90" w:type="dxa"/>
              <w:right w:w="90" w:type="dxa"/>
            </w:tcMar>
            <w:vAlign w:val="center"/>
          </w:tcPr>
          <w:p w14:paraId="150B717A" w14:textId="77777777" w:rsidR="00BF7E27" w:rsidRDefault="00000000">
            <w:pPr>
              <w:spacing w:after="20"/>
              <w:jc w:val="center"/>
            </w:pPr>
            <w:r>
              <w:rPr>
                <w:sz w:val="16"/>
              </w:rPr>
              <w:t>Infrared heating/drying</w:t>
            </w:r>
          </w:p>
        </w:tc>
        <w:tc>
          <w:tcPr>
            <w:tcW w:w="1944" w:type="dxa"/>
            <w:tcMar>
              <w:top w:w="90" w:type="dxa"/>
              <w:left w:w="90" w:type="dxa"/>
              <w:bottom w:w="90" w:type="dxa"/>
              <w:right w:w="90" w:type="dxa"/>
            </w:tcMar>
            <w:vAlign w:val="center"/>
          </w:tcPr>
          <w:p w14:paraId="730D1DB3" w14:textId="77777777" w:rsidR="00BF7E27" w:rsidRDefault="00000000">
            <w:pPr>
              <w:spacing w:after="20"/>
            </w:pPr>
            <w:r>
              <w:rPr>
                <w:sz w:val="16"/>
              </w:rPr>
              <w:t>Radiative surface and near-surface heating</w:t>
            </w:r>
          </w:p>
        </w:tc>
        <w:tc>
          <w:tcPr>
            <w:tcW w:w="1944" w:type="dxa"/>
            <w:tcMar>
              <w:top w:w="90" w:type="dxa"/>
              <w:left w:w="90" w:type="dxa"/>
              <w:bottom w:w="90" w:type="dxa"/>
              <w:right w:w="90" w:type="dxa"/>
            </w:tcMar>
            <w:vAlign w:val="center"/>
          </w:tcPr>
          <w:p w14:paraId="593947B3" w14:textId="77777777" w:rsidR="00BF7E27" w:rsidRDefault="00000000">
            <w:pPr>
              <w:spacing w:after="20"/>
            </w:pPr>
            <w:r>
              <w:rPr>
                <w:sz w:val="16"/>
              </w:rPr>
              <w:t xml:space="preserve">Rapid drying; can contribute directly to starch </w:t>
            </w:r>
            <w:proofErr w:type="spellStart"/>
            <w:r>
              <w:rPr>
                <w:sz w:val="16"/>
              </w:rPr>
              <w:t>gelatinisation</w:t>
            </w:r>
            <w:proofErr w:type="spellEnd"/>
          </w:p>
        </w:tc>
        <w:tc>
          <w:tcPr>
            <w:tcW w:w="2304" w:type="dxa"/>
            <w:tcMar>
              <w:top w:w="90" w:type="dxa"/>
              <w:left w:w="90" w:type="dxa"/>
              <w:bottom w:w="90" w:type="dxa"/>
              <w:right w:w="90" w:type="dxa"/>
            </w:tcMar>
            <w:vAlign w:val="center"/>
          </w:tcPr>
          <w:p w14:paraId="0580789F" w14:textId="77777777" w:rsidR="00BF7E27" w:rsidRDefault="00000000">
            <w:pPr>
              <w:spacing w:after="20"/>
            </w:pPr>
            <w:r>
              <w:rPr>
                <w:sz w:val="16"/>
              </w:rPr>
              <w:t xml:space="preserve">Surface overheating and </w:t>
            </w:r>
            <w:proofErr w:type="spellStart"/>
            <w:r>
              <w:rPr>
                <w:sz w:val="16"/>
              </w:rPr>
              <w:t>colour</w:t>
            </w:r>
            <w:proofErr w:type="spellEnd"/>
            <w:r>
              <w:rPr>
                <w:sz w:val="16"/>
              </w:rPr>
              <w:t xml:space="preserve"> sensitivity</w:t>
            </w:r>
          </w:p>
        </w:tc>
        <w:tc>
          <w:tcPr>
            <w:tcW w:w="1944" w:type="dxa"/>
            <w:tcMar>
              <w:top w:w="90" w:type="dxa"/>
              <w:left w:w="90" w:type="dxa"/>
              <w:bottom w:w="90" w:type="dxa"/>
              <w:right w:w="90" w:type="dxa"/>
            </w:tcMar>
            <w:vAlign w:val="center"/>
          </w:tcPr>
          <w:p w14:paraId="2CA01007" w14:textId="77777777" w:rsidR="00BF7E27" w:rsidRDefault="00000000">
            <w:pPr>
              <w:spacing w:after="20"/>
            </w:pPr>
            <w:r>
              <w:rPr>
                <w:sz w:val="16"/>
              </w:rPr>
              <w:t>Bualuang et al., 2013; Neutzling et al., 2023</w:t>
            </w:r>
          </w:p>
        </w:tc>
      </w:tr>
      <w:tr w:rsidR="00BF7E27" w14:paraId="4ACB50E4" w14:textId="77777777">
        <w:trPr>
          <w:cantSplit/>
          <w:jc w:val="center"/>
        </w:trPr>
        <w:tc>
          <w:tcPr>
            <w:tcW w:w="1512" w:type="dxa"/>
            <w:tcMar>
              <w:top w:w="90" w:type="dxa"/>
              <w:left w:w="90" w:type="dxa"/>
              <w:bottom w:w="90" w:type="dxa"/>
              <w:right w:w="90" w:type="dxa"/>
            </w:tcMar>
            <w:vAlign w:val="center"/>
          </w:tcPr>
          <w:p w14:paraId="244A24F7" w14:textId="77777777" w:rsidR="00BF7E27" w:rsidRDefault="00000000">
            <w:pPr>
              <w:spacing w:after="20"/>
              <w:jc w:val="center"/>
            </w:pPr>
            <w:r>
              <w:rPr>
                <w:sz w:val="16"/>
              </w:rPr>
              <w:t>Ohmic heating</w:t>
            </w:r>
          </w:p>
        </w:tc>
        <w:tc>
          <w:tcPr>
            <w:tcW w:w="1944" w:type="dxa"/>
            <w:tcMar>
              <w:top w:w="90" w:type="dxa"/>
              <w:left w:w="90" w:type="dxa"/>
              <w:bottom w:w="90" w:type="dxa"/>
              <w:right w:w="90" w:type="dxa"/>
            </w:tcMar>
            <w:vAlign w:val="center"/>
          </w:tcPr>
          <w:p w14:paraId="4B78E6A1" w14:textId="77777777" w:rsidR="00BF7E27" w:rsidRDefault="00000000">
            <w:pPr>
              <w:spacing w:after="20"/>
            </w:pPr>
            <w:r>
              <w:rPr>
                <w:sz w:val="16"/>
              </w:rPr>
              <w:t>Joule heating in conductive grain-water system</w:t>
            </w:r>
          </w:p>
        </w:tc>
        <w:tc>
          <w:tcPr>
            <w:tcW w:w="1944" w:type="dxa"/>
            <w:tcMar>
              <w:top w:w="90" w:type="dxa"/>
              <w:left w:w="90" w:type="dxa"/>
              <w:bottom w:w="90" w:type="dxa"/>
              <w:right w:w="90" w:type="dxa"/>
            </w:tcMar>
            <w:vAlign w:val="center"/>
          </w:tcPr>
          <w:p w14:paraId="78349297" w14:textId="77777777" w:rsidR="00BF7E27" w:rsidRDefault="00000000">
            <w:pPr>
              <w:spacing w:after="20"/>
            </w:pPr>
            <w:r>
              <w:rPr>
                <w:sz w:val="16"/>
              </w:rPr>
              <w:t>Rapid heating with potential to reduce steam dependence</w:t>
            </w:r>
          </w:p>
        </w:tc>
        <w:tc>
          <w:tcPr>
            <w:tcW w:w="2304" w:type="dxa"/>
            <w:tcMar>
              <w:top w:w="90" w:type="dxa"/>
              <w:left w:w="90" w:type="dxa"/>
              <w:bottom w:w="90" w:type="dxa"/>
              <w:right w:w="90" w:type="dxa"/>
            </w:tcMar>
            <w:vAlign w:val="center"/>
          </w:tcPr>
          <w:p w14:paraId="13E89E79" w14:textId="77777777" w:rsidR="00BF7E27" w:rsidRDefault="00000000">
            <w:pPr>
              <w:spacing w:after="20"/>
            </w:pPr>
            <w:r>
              <w:rPr>
                <w:sz w:val="16"/>
              </w:rPr>
              <w:t>Electrolyte dependence, electrodes, corrosion, electrical safety and scale-up</w:t>
            </w:r>
          </w:p>
        </w:tc>
        <w:tc>
          <w:tcPr>
            <w:tcW w:w="1944" w:type="dxa"/>
            <w:tcMar>
              <w:top w:w="90" w:type="dxa"/>
              <w:left w:w="90" w:type="dxa"/>
              <w:bottom w:w="90" w:type="dxa"/>
              <w:right w:w="90" w:type="dxa"/>
            </w:tcMar>
            <w:vAlign w:val="center"/>
          </w:tcPr>
          <w:p w14:paraId="5E1445EC" w14:textId="77777777" w:rsidR="00BF7E27" w:rsidRDefault="00000000">
            <w:pPr>
              <w:spacing w:after="20"/>
            </w:pPr>
            <w:proofErr w:type="spellStart"/>
            <w:r>
              <w:rPr>
                <w:sz w:val="16"/>
              </w:rPr>
              <w:t>Sivashanmugam</w:t>
            </w:r>
            <w:proofErr w:type="spellEnd"/>
            <w:r>
              <w:rPr>
                <w:sz w:val="16"/>
              </w:rPr>
              <w:t xml:space="preserve"> &amp; Arivazhagan, 2008; D'cruz et al., 2023</w:t>
            </w:r>
          </w:p>
        </w:tc>
      </w:tr>
      <w:tr w:rsidR="00BF7E27" w14:paraId="494949C9" w14:textId="77777777">
        <w:trPr>
          <w:cantSplit/>
          <w:jc w:val="center"/>
        </w:trPr>
        <w:tc>
          <w:tcPr>
            <w:tcW w:w="1512" w:type="dxa"/>
            <w:tcMar>
              <w:top w:w="90" w:type="dxa"/>
              <w:left w:w="90" w:type="dxa"/>
              <w:bottom w:w="90" w:type="dxa"/>
              <w:right w:w="90" w:type="dxa"/>
            </w:tcMar>
            <w:vAlign w:val="center"/>
          </w:tcPr>
          <w:p w14:paraId="74EB12B7" w14:textId="77777777" w:rsidR="00BF7E27" w:rsidRDefault="00000000">
            <w:pPr>
              <w:spacing w:after="20"/>
              <w:jc w:val="center"/>
            </w:pPr>
            <w:r>
              <w:rPr>
                <w:sz w:val="16"/>
              </w:rPr>
              <w:t>Ultrasound-assisted soaking</w:t>
            </w:r>
          </w:p>
        </w:tc>
        <w:tc>
          <w:tcPr>
            <w:tcW w:w="1944" w:type="dxa"/>
            <w:tcMar>
              <w:top w:w="90" w:type="dxa"/>
              <w:left w:w="90" w:type="dxa"/>
              <w:bottom w:w="90" w:type="dxa"/>
              <w:right w:w="90" w:type="dxa"/>
            </w:tcMar>
            <w:vAlign w:val="center"/>
          </w:tcPr>
          <w:p w14:paraId="7939F927" w14:textId="77777777" w:rsidR="00BF7E27" w:rsidRDefault="00000000">
            <w:pPr>
              <w:spacing w:after="20"/>
            </w:pPr>
            <w:r>
              <w:rPr>
                <w:sz w:val="16"/>
              </w:rPr>
              <w:t>Cavitation and microstreaming enhance mass transfer</w:t>
            </w:r>
          </w:p>
        </w:tc>
        <w:tc>
          <w:tcPr>
            <w:tcW w:w="1944" w:type="dxa"/>
            <w:tcMar>
              <w:top w:w="90" w:type="dxa"/>
              <w:left w:w="90" w:type="dxa"/>
              <w:bottom w:w="90" w:type="dxa"/>
              <w:right w:w="90" w:type="dxa"/>
            </w:tcMar>
            <w:vAlign w:val="center"/>
          </w:tcPr>
          <w:p w14:paraId="401844FB" w14:textId="77777777" w:rsidR="00BF7E27" w:rsidRDefault="00000000">
            <w:pPr>
              <w:spacing w:after="20"/>
            </w:pPr>
            <w:r>
              <w:rPr>
                <w:sz w:val="16"/>
              </w:rPr>
              <w:t>Faster hydration and modifiable starch structure</w:t>
            </w:r>
          </w:p>
        </w:tc>
        <w:tc>
          <w:tcPr>
            <w:tcW w:w="2304" w:type="dxa"/>
            <w:tcMar>
              <w:top w:w="90" w:type="dxa"/>
              <w:left w:w="90" w:type="dxa"/>
              <w:bottom w:w="90" w:type="dxa"/>
              <w:right w:w="90" w:type="dxa"/>
            </w:tcMar>
            <w:vAlign w:val="center"/>
          </w:tcPr>
          <w:p w14:paraId="7E1B15BD" w14:textId="77777777" w:rsidR="00BF7E27" w:rsidRDefault="00000000">
            <w:pPr>
              <w:spacing w:after="20"/>
            </w:pPr>
            <w:r>
              <w:rPr>
                <w:sz w:val="16"/>
              </w:rPr>
              <w:t>Scale-up of acoustic field and risk of over-processing</w:t>
            </w:r>
          </w:p>
        </w:tc>
        <w:tc>
          <w:tcPr>
            <w:tcW w:w="1944" w:type="dxa"/>
            <w:tcMar>
              <w:top w:w="90" w:type="dxa"/>
              <w:left w:w="90" w:type="dxa"/>
              <w:bottom w:w="90" w:type="dxa"/>
              <w:right w:w="90" w:type="dxa"/>
            </w:tcMar>
            <w:vAlign w:val="center"/>
          </w:tcPr>
          <w:p w14:paraId="701DFB94" w14:textId="77777777" w:rsidR="00BF7E27" w:rsidRDefault="00000000">
            <w:pPr>
              <w:spacing w:after="20"/>
            </w:pPr>
            <w:r>
              <w:rPr>
                <w:sz w:val="16"/>
              </w:rPr>
              <w:t>Shah et al., 2023; Gokul Devi et al., 2025</w:t>
            </w:r>
          </w:p>
        </w:tc>
      </w:tr>
      <w:tr w:rsidR="00BF7E27" w14:paraId="7E4E0196" w14:textId="77777777">
        <w:trPr>
          <w:cantSplit/>
          <w:jc w:val="center"/>
        </w:trPr>
        <w:tc>
          <w:tcPr>
            <w:tcW w:w="1512" w:type="dxa"/>
            <w:tcMar>
              <w:top w:w="90" w:type="dxa"/>
              <w:left w:w="90" w:type="dxa"/>
              <w:bottom w:w="90" w:type="dxa"/>
              <w:right w:w="90" w:type="dxa"/>
            </w:tcMar>
            <w:vAlign w:val="center"/>
          </w:tcPr>
          <w:p w14:paraId="1BA088F3" w14:textId="77777777" w:rsidR="00BF7E27" w:rsidRDefault="00000000">
            <w:pPr>
              <w:spacing w:after="20"/>
              <w:jc w:val="center"/>
            </w:pPr>
            <w:r>
              <w:rPr>
                <w:sz w:val="16"/>
              </w:rPr>
              <w:t>Radiofrequency</w:t>
            </w:r>
          </w:p>
        </w:tc>
        <w:tc>
          <w:tcPr>
            <w:tcW w:w="1944" w:type="dxa"/>
            <w:tcMar>
              <w:top w:w="90" w:type="dxa"/>
              <w:left w:w="90" w:type="dxa"/>
              <w:bottom w:w="90" w:type="dxa"/>
              <w:right w:w="90" w:type="dxa"/>
            </w:tcMar>
            <w:vAlign w:val="center"/>
          </w:tcPr>
          <w:p w14:paraId="78B29F73" w14:textId="77777777" w:rsidR="00BF7E27" w:rsidRDefault="00000000">
            <w:pPr>
              <w:spacing w:after="20"/>
            </w:pPr>
            <w:r>
              <w:rPr>
                <w:sz w:val="16"/>
              </w:rPr>
              <w:t>Dielectric heating at lower frequency than microwave</w:t>
            </w:r>
          </w:p>
        </w:tc>
        <w:tc>
          <w:tcPr>
            <w:tcW w:w="1944" w:type="dxa"/>
            <w:tcMar>
              <w:top w:w="90" w:type="dxa"/>
              <w:left w:w="90" w:type="dxa"/>
              <w:bottom w:w="90" w:type="dxa"/>
              <w:right w:w="90" w:type="dxa"/>
            </w:tcMar>
            <w:vAlign w:val="center"/>
          </w:tcPr>
          <w:p w14:paraId="779C026C" w14:textId="77777777" w:rsidR="00BF7E27" w:rsidRDefault="00000000">
            <w:pPr>
              <w:spacing w:after="20"/>
            </w:pPr>
            <w:r>
              <w:rPr>
                <w:sz w:val="16"/>
              </w:rPr>
              <w:t>Faster hydration in recent comparative work</w:t>
            </w:r>
          </w:p>
        </w:tc>
        <w:tc>
          <w:tcPr>
            <w:tcW w:w="2304" w:type="dxa"/>
            <w:tcMar>
              <w:top w:w="90" w:type="dxa"/>
              <w:left w:w="90" w:type="dxa"/>
              <w:bottom w:w="90" w:type="dxa"/>
              <w:right w:w="90" w:type="dxa"/>
            </w:tcMar>
            <w:vAlign w:val="center"/>
          </w:tcPr>
          <w:p w14:paraId="3715EEFB" w14:textId="77777777" w:rsidR="00BF7E27" w:rsidRDefault="00000000">
            <w:pPr>
              <w:spacing w:after="20"/>
            </w:pPr>
            <w:r>
              <w:rPr>
                <w:sz w:val="16"/>
              </w:rPr>
              <w:t>Very limited parboiling-specific industrial validation</w:t>
            </w:r>
          </w:p>
        </w:tc>
        <w:tc>
          <w:tcPr>
            <w:tcW w:w="1944" w:type="dxa"/>
            <w:tcMar>
              <w:top w:w="90" w:type="dxa"/>
              <w:left w:w="90" w:type="dxa"/>
              <w:bottom w:w="90" w:type="dxa"/>
              <w:right w:w="90" w:type="dxa"/>
            </w:tcMar>
            <w:vAlign w:val="center"/>
          </w:tcPr>
          <w:p w14:paraId="5F7DF5DD" w14:textId="77777777" w:rsidR="00BF7E27" w:rsidRDefault="00000000">
            <w:pPr>
              <w:spacing w:after="20"/>
            </w:pPr>
            <w:r>
              <w:rPr>
                <w:sz w:val="16"/>
              </w:rPr>
              <w:t>Gokul Devi et al., 2025</w:t>
            </w:r>
          </w:p>
        </w:tc>
      </w:tr>
      <w:tr w:rsidR="00BF7E27" w14:paraId="24441C33" w14:textId="77777777">
        <w:trPr>
          <w:cantSplit/>
          <w:jc w:val="center"/>
        </w:trPr>
        <w:tc>
          <w:tcPr>
            <w:tcW w:w="1512" w:type="dxa"/>
            <w:tcMar>
              <w:top w:w="90" w:type="dxa"/>
              <w:left w:w="90" w:type="dxa"/>
              <w:bottom w:w="90" w:type="dxa"/>
              <w:right w:w="90" w:type="dxa"/>
            </w:tcMar>
            <w:vAlign w:val="center"/>
          </w:tcPr>
          <w:p w14:paraId="119FE3B0" w14:textId="77777777" w:rsidR="00BF7E27" w:rsidRDefault="00000000">
            <w:pPr>
              <w:spacing w:after="20"/>
              <w:jc w:val="center"/>
            </w:pPr>
            <w:r>
              <w:rPr>
                <w:sz w:val="16"/>
              </w:rPr>
              <w:t>Vacuum soaking</w:t>
            </w:r>
          </w:p>
        </w:tc>
        <w:tc>
          <w:tcPr>
            <w:tcW w:w="1944" w:type="dxa"/>
            <w:tcMar>
              <w:top w:w="90" w:type="dxa"/>
              <w:left w:w="90" w:type="dxa"/>
              <w:bottom w:w="90" w:type="dxa"/>
              <w:right w:w="90" w:type="dxa"/>
            </w:tcMar>
            <w:vAlign w:val="center"/>
          </w:tcPr>
          <w:p w14:paraId="3DEE84B8" w14:textId="77777777" w:rsidR="00BF7E27" w:rsidRDefault="00000000">
            <w:pPr>
              <w:spacing w:after="20"/>
            </w:pPr>
            <w:r>
              <w:rPr>
                <w:sz w:val="16"/>
              </w:rPr>
              <w:t>Gas removal and pressure-driven penetration</w:t>
            </w:r>
          </w:p>
        </w:tc>
        <w:tc>
          <w:tcPr>
            <w:tcW w:w="1944" w:type="dxa"/>
            <w:tcMar>
              <w:top w:w="90" w:type="dxa"/>
              <w:left w:w="90" w:type="dxa"/>
              <w:bottom w:w="90" w:type="dxa"/>
              <w:right w:w="90" w:type="dxa"/>
            </w:tcMar>
            <w:vAlign w:val="center"/>
          </w:tcPr>
          <w:p w14:paraId="02666003" w14:textId="77777777" w:rsidR="00BF7E27" w:rsidRDefault="00000000">
            <w:pPr>
              <w:spacing w:after="20"/>
            </w:pPr>
            <w:r>
              <w:rPr>
                <w:sz w:val="16"/>
              </w:rPr>
              <w:t>Accelerated hydration and lower subsequent steaming requirement</w:t>
            </w:r>
          </w:p>
        </w:tc>
        <w:tc>
          <w:tcPr>
            <w:tcW w:w="2304" w:type="dxa"/>
            <w:tcMar>
              <w:top w:w="90" w:type="dxa"/>
              <w:left w:w="90" w:type="dxa"/>
              <w:bottom w:w="90" w:type="dxa"/>
              <w:right w:w="90" w:type="dxa"/>
            </w:tcMar>
            <w:vAlign w:val="center"/>
          </w:tcPr>
          <w:p w14:paraId="2C7E0C69" w14:textId="77777777" w:rsidR="00BF7E27" w:rsidRDefault="00000000">
            <w:pPr>
              <w:spacing w:after="20"/>
            </w:pPr>
            <w:r>
              <w:rPr>
                <w:sz w:val="16"/>
              </w:rPr>
              <w:t>Batch vessel cost and commercial uniformity</w:t>
            </w:r>
          </w:p>
        </w:tc>
        <w:tc>
          <w:tcPr>
            <w:tcW w:w="1944" w:type="dxa"/>
            <w:tcMar>
              <w:top w:w="90" w:type="dxa"/>
              <w:left w:w="90" w:type="dxa"/>
              <w:bottom w:w="90" w:type="dxa"/>
              <w:right w:w="90" w:type="dxa"/>
            </w:tcMar>
            <w:vAlign w:val="center"/>
          </w:tcPr>
          <w:p w14:paraId="7AAEF042" w14:textId="77777777" w:rsidR="00BF7E27" w:rsidRDefault="00000000">
            <w:pPr>
              <w:spacing w:after="20"/>
            </w:pPr>
            <w:r>
              <w:rPr>
                <w:sz w:val="16"/>
              </w:rPr>
              <w:t>Li et al., 2021</w:t>
            </w:r>
          </w:p>
        </w:tc>
      </w:tr>
      <w:tr w:rsidR="00BF7E27" w14:paraId="2D3D3714" w14:textId="77777777">
        <w:trPr>
          <w:cantSplit/>
          <w:jc w:val="center"/>
        </w:trPr>
        <w:tc>
          <w:tcPr>
            <w:tcW w:w="1512" w:type="dxa"/>
            <w:tcMar>
              <w:top w:w="90" w:type="dxa"/>
              <w:left w:w="90" w:type="dxa"/>
              <w:bottom w:w="90" w:type="dxa"/>
              <w:right w:w="90" w:type="dxa"/>
            </w:tcMar>
            <w:vAlign w:val="center"/>
          </w:tcPr>
          <w:p w14:paraId="63FA8CB1" w14:textId="77777777" w:rsidR="00BF7E27" w:rsidRDefault="00000000">
            <w:pPr>
              <w:spacing w:after="20"/>
              <w:jc w:val="center"/>
            </w:pPr>
            <w:proofErr w:type="spellStart"/>
            <w:r>
              <w:rPr>
                <w:sz w:val="16"/>
              </w:rPr>
              <w:t>Fluidised</w:t>
            </w:r>
            <w:proofErr w:type="spellEnd"/>
            <w:r>
              <w:rPr>
                <w:sz w:val="16"/>
              </w:rPr>
              <w:t>-bed / superheated-steam integration</w:t>
            </w:r>
          </w:p>
        </w:tc>
        <w:tc>
          <w:tcPr>
            <w:tcW w:w="1944" w:type="dxa"/>
            <w:tcMar>
              <w:top w:w="90" w:type="dxa"/>
              <w:left w:w="90" w:type="dxa"/>
              <w:bottom w:w="90" w:type="dxa"/>
              <w:right w:w="90" w:type="dxa"/>
            </w:tcMar>
            <w:vAlign w:val="center"/>
          </w:tcPr>
          <w:p w14:paraId="1DF45D09" w14:textId="77777777" w:rsidR="00BF7E27" w:rsidRDefault="00000000">
            <w:pPr>
              <w:spacing w:after="20"/>
            </w:pPr>
            <w:r>
              <w:rPr>
                <w:sz w:val="16"/>
              </w:rPr>
              <w:t xml:space="preserve">High convective transfer with mixing; possible combined </w:t>
            </w:r>
            <w:proofErr w:type="spellStart"/>
            <w:r>
              <w:rPr>
                <w:sz w:val="16"/>
              </w:rPr>
              <w:t>gelatinisation</w:t>
            </w:r>
            <w:proofErr w:type="spellEnd"/>
            <w:r>
              <w:rPr>
                <w:sz w:val="16"/>
              </w:rPr>
              <w:t>-drying</w:t>
            </w:r>
          </w:p>
        </w:tc>
        <w:tc>
          <w:tcPr>
            <w:tcW w:w="1944" w:type="dxa"/>
            <w:tcMar>
              <w:top w:w="90" w:type="dxa"/>
              <w:left w:w="90" w:type="dxa"/>
              <w:bottom w:w="90" w:type="dxa"/>
              <w:right w:w="90" w:type="dxa"/>
            </w:tcMar>
            <w:vAlign w:val="center"/>
          </w:tcPr>
          <w:p w14:paraId="42A1E9FA" w14:textId="77777777" w:rsidR="00BF7E27" w:rsidRDefault="00000000">
            <w:pPr>
              <w:spacing w:after="20"/>
            </w:pPr>
            <w:r>
              <w:rPr>
                <w:sz w:val="16"/>
              </w:rPr>
              <w:t>Fewer unit operations and rapid treatment</w:t>
            </w:r>
          </w:p>
        </w:tc>
        <w:tc>
          <w:tcPr>
            <w:tcW w:w="2304" w:type="dxa"/>
            <w:tcMar>
              <w:top w:w="90" w:type="dxa"/>
              <w:left w:w="90" w:type="dxa"/>
              <w:bottom w:w="90" w:type="dxa"/>
              <w:right w:w="90" w:type="dxa"/>
            </w:tcMar>
            <w:vAlign w:val="center"/>
          </w:tcPr>
          <w:p w14:paraId="5899EF24" w14:textId="77777777" w:rsidR="00BF7E27" w:rsidRDefault="00000000">
            <w:pPr>
              <w:spacing w:after="20"/>
            </w:pPr>
            <w:r>
              <w:rPr>
                <w:sz w:val="16"/>
              </w:rPr>
              <w:t xml:space="preserve">Moisture-stress control, energy accounting, </w:t>
            </w:r>
            <w:proofErr w:type="spellStart"/>
            <w:r>
              <w:rPr>
                <w:sz w:val="16"/>
              </w:rPr>
              <w:t>specialised</w:t>
            </w:r>
            <w:proofErr w:type="spellEnd"/>
            <w:r>
              <w:rPr>
                <w:sz w:val="16"/>
              </w:rPr>
              <w:t xml:space="preserve"> equipment</w:t>
            </w:r>
          </w:p>
        </w:tc>
        <w:tc>
          <w:tcPr>
            <w:tcW w:w="1944" w:type="dxa"/>
            <w:tcMar>
              <w:top w:w="90" w:type="dxa"/>
              <w:left w:w="90" w:type="dxa"/>
              <w:bottom w:w="90" w:type="dxa"/>
              <w:right w:w="90" w:type="dxa"/>
            </w:tcMar>
            <w:vAlign w:val="center"/>
          </w:tcPr>
          <w:p w14:paraId="24781152" w14:textId="77777777" w:rsidR="00BF7E27" w:rsidRDefault="00000000">
            <w:pPr>
              <w:spacing w:after="20"/>
            </w:pPr>
            <w:proofErr w:type="spellStart"/>
            <w:r>
              <w:rPr>
                <w:sz w:val="16"/>
              </w:rPr>
              <w:t>Swasdisevi</w:t>
            </w:r>
            <w:proofErr w:type="spellEnd"/>
            <w:r>
              <w:rPr>
                <w:sz w:val="16"/>
              </w:rPr>
              <w:t xml:space="preserve"> et al., 2010; </w:t>
            </w:r>
            <w:proofErr w:type="spellStart"/>
            <w:r>
              <w:rPr>
                <w:sz w:val="16"/>
              </w:rPr>
              <w:t>Saniso</w:t>
            </w:r>
            <w:proofErr w:type="spellEnd"/>
            <w:r>
              <w:rPr>
                <w:sz w:val="16"/>
              </w:rPr>
              <w:t xml:space="preserve"> et al., 2020, 2022; </w:t>
            </w:r>
            <w:proofErr w:type="spellStart"/>
            <w:r>
              <w:rPr>
                <w:sz w:val="16"/>
              </w:rPr>
              <w:t>Cheevitsopon</w:t>
            </w:r>
            <w:proofErr w:type="spellEnd"/>
            <w:r>
              <w:rPr>
                <w:sz w:val="16"/>
              </w:rPr>
              <w:t xml:space="preserve"> &amp; </w:t>
            </w:r>
            <w:proofErr w:type="spellStart"/>
            <w:r>
              <w:rPr>
                <w:sz w:val="16"/>
              </w:rPr>
              <w:t>Noomhorm</w:t>
            </w:r>
            <w:proofErr w:type="spellEnd"/>
            <w:r>
              <w:rPr>
                <w:sz w:val="16"/>
              </w:rPr>
              <w:t xml:space="preserve">, 2015; </w:t>
            </w:r>
            <w:proofErr w:type="spellStart"/>
            <w:r>
              <w:rPr>
                <w:sz w:val="16"/>
              </w:rPr>
              <w:t>Jittanit</w:t>
            </w:r>
            <w:proofErr w:type="spellEnd"/>
            <w:r>
              <w:rPr>
                <w:sz w:val="16"/>
              </w:rPr>
              <w:t xml:space="preserve"> &amp; </w:t>
            </w:r>
            <w:proofErr w:type="spellStart"/>
            <w:r>
              <w:rPr>
                <w:sz w:val="16"/>
              </w:rPr>
              <w:t>Angkaew</w:t>
            </w:r>
            <w:proofErr w:type="spellEnd"/>
            <w:r>
              <w:rPr>
                <w:sz w:val="16"/>
              </w:rPr>
              <w:t>, 2021</w:t>
            </w:r>
          </w:p>
        </w:tc>
      </w:tr>
    </w:tbl>
    <w:p w14:paraId="2076CE43"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08D3AB92" w14:textId="77777777" w:rsidR="00BF7E27" w:rsidRDefault="00000000">
      <w:pPr>
        <w:pStyle w:val="Heading1"/>
      </w:pPr>
      <w:r>
        <w:t>6. Quality, Nutrition and Safety as Co-Objectives</w:t>
      </w:r>
    </w:p>
    <w:p w14:paraId="3B69C19A" w14:textId="77777777" w:rsidR="00BF7E27" w:rsidRDefault="00000000">
      <w:pPr>
        <w:pStyle w:val="Heading2"/>
      </w:pPr>
      <w:r>
        <w:t>6.1 Milling yield and mechanical integrity</w:t>
      </w:r>
    </w:p>
    <w:p w14:paraId="6335084F" w14:textId="77777777" w:rsidR="00BF7E27" w:rsidRDefault="00000000">
      <w:pPr>
        <w:jc w:val="both"/>
      </w:pPr>
      <w:r>
        <w:t xml:space="preserve">Head-rice yield is the most frequently reported technological outcome because broken kernels have lower commercial value and because milling performance responds sensitively to hydrothermal history. The evidence consistently supports an intermediate-to-high level of uniform </w:t>
      </w:r>
      <w:proofErr w:type="spellStart"/>
      <w:r>
        <w:t>gelatinisation</w:t>
      </w:r>
      <w:proofErr w:type="spellEnd"/>
      <w:r>
        <w:t xml:space="preserve"> combined with </w:t>
      </w:r>
      <w:r>
        <w:lastRenderedPageBreak/>
        <w:t>controlled drying as a route to stronger kernels. Yet head-rice yield is not interchangeable with mechanical hardness. Excessively severe steaming can increase hardness while reducing yield after the optimum, and overly aggressive drying can introduce fissures that erase the benefit of earlier consolidation (</w:t>
      </w:r>
      <w:proofErr w:type="spellStart"/>
      <w:r>
        <w:t>Buggenhout</w:t>
      </w:r>
      <w:proofErr w:type="spellEnd"/>
      <w:r>
        <w:t xml:space="preserve"> et al., 2014; </w:t>
      </w:r>
      <w:proofErr w:type="spellStart"/>
      <w:r>
        <w:t>Taghinezhad</w:t>
      </w:r>
      <w:proofErr w:type="spellEnd"/>
      <w:r>
        <w:t xml:space="preserve"> et al., 2016). For industrial </w:t>
      </w:r>
      <w:proofErr w:type="spellStart"/>
      <w:r>
        <w:t>optimisation</w:t>
      </w:r>
      <w:proofErr w:type="spellEnd"/>
      <w:r>
        <w:t xml:space="preserve">, breakage should therefore be interpreted together with white-belly incidence, fissure status and an indicator of </w:t>
      </w:r>
      <w:proofErr w:type="spellStart"/>
      <w:r>
        <w:t>gelatinisation</w:t>
      </w:r>
      <w:proofErr w:type="spellEnd"/>
      <w:r>
        <w:t xml:space="preserve"> or thermal history.</w:t>
      </w:r>
    </w:p>
    <w:p w14:paraId="048CB6F7" w14:textId="77777777" w:rsidR="00BF7E27" w:rsidRDefault="00000000">
      <w:pPr>
        <w:jc w:val="both"/>
      </w:pPr>
      <w:r>
        <w:t xml:space="preserve">The effect of emerging technologies on milling quality is generally promising but not uniform enough to rank technologies unequivocally. Microwave-assisted routes have reduced breakage in selected studies, ohmic systems have produced </w:t>
      </w:r>
      <w:proofErr w:type="spellStart"/>
      <w:r>
        <w:t>favourable</w:t>
      </w:r>
      <w:proofErr w:type="spellEnd"/>
      <w:r>
        <w:t xml:space="preserve"> milling characteristics, and recent comparative work has reported advantages for ultrasound and radiofrequency-assisted hydration under common conditions (D'cruz et al., 2023; Gokul Devi et al., 2025; </w:t>
      </w:r>
      <w:proofErr w:type="spellStart"/>
      <w:r>
        <w:t>Rockembach</w:t>
      </w:r>
      <w:proofErr w:type="spellEnd"/>
      <w:r>
        <w:t xml:space="preserve"> et al., 2019). The major evidence gap is replication across cultivars and equipment scales. A technology that gives high head-rice yield in one long-grain variety may produce different fracture </w:t>
      </w:r>
      <w:proofErr w:type="spellStart"/>
      <w:r>
        <w:t>behaviour</w:t>
      </w:r>
      <w:proofErr w:type="spellEnd"/>
      <w:r>
        <w:t xml:space="preserve"> in a chalky, waxy or high-amylose cultivar.</w:t>
      </w:r>
    </w:p>
    <w:p w14:paraId="2553C34D" w14:textId="77777777" w:rsidR="00BF7E27" w:rsidRDefault="00000000">
      <w:pPr>
        <w:pStyle w:val="Heading2"/>
      </w:pPr>
      <w:r>
        <w:t xml:space="preserve">6.2 </w:t>
      </w:r>
      <w:proofErr w:type="spellStart"/>
      <w:r>
        <w:t>Colour</w:t>
      </w:r>
      <w:proofErr w:type="spellEnd"/>
      <w:r>
        <w:t xml:space="preserve">, </w:t>
      </w:r>
      <w:proofErr w:type="spellStart"/>
      <w:r>
        <w:t>flavour</w:t>
      </w:r>
      <w:proofErr w:type="spellEnd"/>
      <w:r>
        <w:t xml:space="preserve"> precursors and texture</w:t>
      </w:r>
    </w:p>
    <w:p w14:paraId="197822D6" w14:textId="77777777" w:rsidR="00BF7E27" w:rsidRDefault="00000000">
      <w:pPr>
        <w:jc w:val="both"/>
      </w:pPr>
      <w:proofErr w:type="spellStart"/>
      <w:r>
        <w:t>Colour</w:t>
      </w:r>
      <w:proofErr w:type="spellEnd"/>
      <w:r>
        <w:t xml:space="preserve"> is one of the clearest indicators that quality objectives can conflict. During soaking, pigments and soluble precursors can move between bran, endosperm and water; during steaming and high-temperature drying, non-enzymatic browning intensifies with severity. Lamberts et al. (2006) demonstrated contributions from both bran-pigment migration and Maillard-type reactions, while the later multi-cultivar study showed that the magnitude and direction of precursor changes depend on the parboiling condition and grain type (Lamberts et al., 2008). </w:t>
      </w:r>
      <w:proofErr w:type="spellStart"/>
      <w:r>
        <w:t>Colour</w:t>
      </w:r>
      <w:proofErr w:type="spellEnd"/>
      <w:r>
        <w:t xml:space="preserve"> should therefore not be attributed to a single reaction pathway or controlled solely through final drying temperature.</w:t>
      </w:r>
    </w:p>
    <w:p w14:paraId="30DD389F" w14:textId="77777777" w:rsidR="00BF7E27" w:rsidRDefault="00000000">
      <w:pPr>
        <w:jc w:val="both"/>
      </w:pPr>
      <w:r>
        <w:t xml:space="preserve">Emerging technologies can reduce exposure time but may introduce high local temperatures. Microwave parboiling produced less darkening than the conventional comparator under </w:t>
      </w:r>
      <w:proofErr w:type="spellStart"/>
      <w:r>
        <w:t>favourable</w:t>
      </w:r>
      <w:proofErr w:type="spellEnd"/>
      <w:r>
        <w:t xml:space="preserve"> conditions in </w:t>
      </w:r>
      <w:proofErr w:type="spellStart"/>
      <w:r>
        <w:t>Rockembach</w:t>
      </w:r>
      <w:proofErr w:type="spellEnd"/>
      <w:r>
        <w:t xml:space="preserve"> et al. (2019), whereas infrared studies show that </w:t>
      </w:r>
      <w:proofErr w:type="spellStart"/>
      <w:r>
        <w:t>colour</w:t>
      </w:r>
      <w:proofErr w:type="spellEnd"/>
      <w:r>
        <w:t xml:space="preserve"> remains strongly responsive to heating intensity (Bualuang et al., 2013). The practical target is not necessarily the palest rice. Consumer preferences for parboiled-rice </w:t>
      </w:r>
      <w:proofErr w:type="spellStart"/>
      <w:r>
        <w:t>colour</w:t>
      </w:r>
      <w:proofErr w:type="spellEnd"/>
      <w:r>
        <w:t xml:space="preserve"> vary by market, and some degree of amber </w:t>
      </w:r>
      <w:proofErr w:type="spellStart"/>
      <w:r>
        <w:t>colour</w:t>
      </w:r>
      <w:proofErr w:type="spellEnd"/>
      <w:r>
        <w:t xml:space="preserve"> may be expected. What matters is repeatability and avoidance of unintended darkening or non-uniform patches.</w:t>
      </w:r>
    </w:p>
    <w:p w14:paraId="31D1ED2D" w14:textId="77777777" w:rsidR="00BF7E27" w:rsidRDefault="00000000">
      <w:pPr>
        <w:jc w:val="both"/>
      </w:pPr>
      <w:r>
        <w:t xml:space="preserve">Texture is similarly conditional. </w:t>
      </w:r>
      <w:proofErr w:type="spellStart"/>
      <w:r>
        <w:t>Gelatinisation</w:t>
      </w:r>
      <w:proofErr w:type="spellEnd"/>
      <w:r>
        <w:t xml:space="preserve">, retrogradation and amylose-lipid interactions can increase cooked-grain firmness, while process severity can lengthen cooking time. </w:t>
      </w:r>
      <w:proofErr w:type="spellStart"/>
      <w:r>
        <w:t>Sivakamasundari</w:t>
      </w:r>
      <w:proofErr w:type="spellEnd"/>
      <w:r>
        <w:t xml:space="preserve"> et al. (2020) showed that open-steam and pressure parboiling changed physicochemical characteristics and predicted </w:t>
      </w:r>
      <w:proofErr w:type="spellStart"/>
      <w:r>
        <w:t>glycaemic</w:t>
      </w:r>
      <w:proofErr w:type="spellEnd"/>
      <w:r>
        <w:t xml:space="preserve"> response differently across five Indian varieties. The cultivar interaction cautions against defining a universal 'optimal hardness'. Commercial products may require different balances between milling resistance and cooked softness.</w:t>
      </w:r>
    </w:p>
    <w:p w14:paraId="5D84A0C7" w14:textId="77777777" w:rsidR="00BF7E27" w:rsidRDefault="00000000">
      <w:pPr>
        <w:pStyle w:val="Heading2"/>
      </w:pPr>
      <w:r>
        <w:t>6.3 Starch digestibility and nutritional functionality</w:t>
      </w:r>
    </w:p>
    <w:p w14:paraId="4418CC6F" w14:textId="77777777" w:rsidR="00BF7E27" w:rsidRDefault="00000000">
      <w:pPr>
        <w:jc w:val="both"/>
      </w:pPr>
      <w:r>
        <w:t xml:space="preserve">Parboiling is often associated with lower </w:t>
      </w:r>
      <w:proofErr w:type="spellStart"/>
      <w:r>
        <w:t>glycaemic</w:t>
      </w:r>
      <w:proofErr w:type="spellEnd"/>
      <w:r>
        <w:t xml:space="preserve"> potential, but the evidence is heterogeneous. Gunaratne et al. (2013) found that parboiling changed functional and digestibility properties across six high-amylose Sri Lankan varieties, yet resistant-starch responses were not uniform and one variety showed a decrease. In contrast, Kumar et al. (2022) reported increased resistant starch and lower estimated </w:t>
      </w:r>
      <w:proofErr w:type="spellStart"/>
      <w:r>
        <w:t>glycaemic</w:t>
      </w:r>
      <w:proofErr w:type="spellEnd"/>
      <w:r>
        <w:t xml:space="preserve"> index in parboiled brown and milled rice, together with changes in phytic acid and mineral bioavailability. These differences can be reconciled by </w:t>
      </w:r>
      <w:proofErr w:type="spellStart"/>
      <w:r>
        <w:t>recognising</w:t>
      </w:r>
      <w:proofErr w:type="spellEnd"/>
      <w:r>
        <w:t xml:space="preserve"> that resistant starch formation depends on starch genotype, </w:t>
      </w:r>
      <w:proofErr w:type="spellStart"/>
      <w:r>
        <w:t>gelatinisation</w:t>
      </w:r>
      <w:proofErr w:type="spellEnd"/>
      <w:r>
        <w:t xml:space="preserve"> completeness, cooling and retrogradation history, milling and the analytical protocol.</w:t>
      </w:r>
    </w:p>
    <w:p w14:paraId="06678583" w14:textId="77777777" w:rsidR="00BF7E27" w:rsidRDefault="00000000">
      <w:pPr>
        <w:jc w:val="both"/>
      </w:pPr>
      <w:r>
        <w:t xml:space="preserve">Ultrasound-assisted soaking adds another layer because the pre-treatment can alter starch structure before steaming. Shah et al. (2023) reported increased structural order and resistant starch with lower predicted </w:t>
      </w:r>
      <w:proofErr w:type="spellStart"/>
      <w:r>
        <w:lastRenderedPageBreak/>
        <w:t>glycaemic</w:t>
      </w:r>
      <w:proofErr w:type="spellEnd"/>
      <w:r>
        <w:t xml:space="preserve"> index after selected ultrasound treatments. This is mechanistically plausible but remains </w:t>
      </w:r>
      <w:r w:rsidRPr="00974353">
        <w:rPr>
          <w:i/>
          <w:iCs/>
        </w:rPr>
        <w:t>in vitro</w:t>
      </w:r>
      <w:r>
        <w:t xml:space="preserve"> evidence; it should not be represented as a demonstrated reduction in postprandial glycaemia in consumers. The appropriate translational sequence is structural and enzymatic </w:t>
      </w:r>
      <w:proofErr w:type="spellStart"/>
      <w:r>
        <w:t>characterisation</w:t>
      </w:r>
      <w:proofErr w:type="spellEnd"/>
      <w:r>
        <w:t xml:space="preserve">, </w:t>
      </w:r>
      <w:proofErr w:type="spellStart"/>
      <w:r>
        <w:t>standardised</w:t>
      </w:r>
      <w:proofErr w:type="spellEnd"/>
      <w:r>
        <w:t xml:space="preserve"> </w:t>
      </w:r>
      <w:r w:rsidRPr="00974353">
        <w:rPr>
          <w:i/>
          <w:iCs/>
        </w:rPr>
        <w:t>in vitro</w:t>
      </w:r>
      <w:r>
        <w:t xml:space="preserve"> digestion, then controlled human testing for products intended to carry </w:t>
      </w:r>
      <w:proofErr w:type="spellStart"/>
      <w:r>
        <w:t>glycaemic</w:t>
      </w:r>
      <w:proofErr w:type="spellEnd"/>
      <w:r>
        <w:t xml:space="preserve"> claims.</w:t>
      </w:r>
    </w:p>
    <w:p w14:paraId="4C799522" w14:textId="77777777" w:rsidR="00BF7E27" w:rsidRDefault="00000000">
      <w:pPr>
        <w:pStyle w:val="Heading2"/>
      </w:pPr>
      <w:r>
        <w:t>6.4 Mineral redistribution and arsenic</w:t>
      </w:r>
    </w:p>
    <w:p w14:paraId="6F5B0913" w14:textId="77777777" w:rsidR="00BF7E27" w:rsidRDefault="00000000">
      <w:pPr>
        <w:jc w:val="both"/>
      </w:pPr>
      <w:r>
        <w:t xml:space="preserve">One traditional nutritional rationale for parboiling is inward migration of water-soluble nutrients from outer layers before milling, but mineral </w:t>
      </w:r>
      <w:proofErr w:type="spellStart"/>
      <w:r>
        <w:t>behaviour</w:t>
      </w:r>
      <w:proofErr w:type="spellEnd"/>
      <w:r>
        <w:t xml:space="preserve"> is element specific. Kumar et al. (2022) observed improved iron bioavailability in parboiled milled rice while zinc responses differed, illustrating that redistribution and anti-nutrient changes occur together. Claims of universal micronutrient enrichment are therefore too broad. The nutritional endpoint depends on source grain, water chemistry, milling depth and the mobility of each element.</w:t>
      </w:r>
    </w:p>
    <w:p w14:paraId="127801EF" w14:textId="77777777" w:rsidR="00BF7E27" w:rsidRDefault="00000000">
      <w:pPr>
        <w:jc w:val="both"/>
      </w:pPr>
      <w:r>
        <w:t xml:space="preserve">Arsenic is a particularly important counterexample to the assumption that inward migration is always beneficial. Fontanella et al. (2021) showed that milling and parboiling altered the distribution of arsenic species, with parboiling tending to </w:t>
      </w:r>
      <w:proofErr w:type="spellStart"/>
      <w:r>
        <w:t>homogenise</w:t>
      </w:r>
      <w:proofErr w:type="spellEnd"/>
      <w:r>
        <w:t xml:space="preserve"> arsenic within the grain. Rahman et al. (2019) demonstrated that modifying parboiling water conditions could reduce inorganic arsenic while fortifying rice with calcium in village-scale processing. Together, these studies show that water quality and process water management are food-safety variables. If paddy or water is contaminated, conventional soaking and parboiling can redistribute contaminants as effectively as nutrients.</w:t>
      </w:r>
    </w:p>
    <w:p w14:paraId="20EEF42F" w14:textId="77777777" w:rsidR="00BF7E27" w:rsidRDefault="00000000">
      <w:pPr>
        <w:jc w:val="both"/>
      </w:pPr>
      <w:r>
        <w:t xml:space="preserve">Sensory and nutritional interpretation is further complicated by the downstream choices that follow parboiling. Milling removes bran and germ to different degrees, while cooling and storage permit starch retrogradation to continue. Consequently, a treatment that increases resistant starch in brown rice does not necessarily deliver the same effect after intensive polishing, reheating or prolonged storage. Instrumental hardness is useful for comparing process conditions, but consumer acceptance also depends on cooking method, regional preference, aroma and the interaction between surface and core texture. The available digestibility studies demonstrate that parboiling can alter starch accessibility, but the magnitude and even direction of change depend on variety and processing severity (Gunaratne et al., 2013; Kumar et al., 2022; </w:t>
      </w:r>
      <w:proofErr w:type="spellStart"/>
      <w:r>
        <w:t>Sivakamasundari</w:t>
      </w:r>
      <w:proofErr w:type="spellEnd"/>
      <w:r>
        <w:t xml:space="preserve"> et al., 2020). This evidence supports product-specific nutritional engineering rather than a generic claim that parboiled rice is inherently lower </w:t>
      </w:r>
      <w:proofErr w:type="spellStart"/>
      <w:r>
        <w:t>glycaemic</w:t>
      </w:r>
      <w:proofErr w:type="spellEnd"/>
      <w:r>
        <w:t>. Human postprandial studies using well-</w:t>
      </w:r>
      <w:proofErr w:type="spellStart"/>
      <w:r>
        <w:t>characterised</w:t>
      </w:r>
      <w:proofErr w:type="spellEnd"/>
      <w:r>
        <w:t xml:space="preserve"> products would be needed to translate </w:t>
      </w:r>
      <w:r w:rsidRPr="00974353">
        <w:rPr>
          <w:i/>
          <w:iCs/>
        </w:rPr>
        <w:t>in vitro</w:t>
      </w:r>
      <w:r>
        <w:t xml:space="preserve"> starch fractions into stronger dietary conclusions.</w:t>
      </w:r>
    </w:p>
    <w:p w14:paraId="0A1A780F" w14:textId="77777777" w:rsidR="00BF7E27" w:rsidRDefault="00000000">
      <w:pPr>
        <w:jc w:val="both"/>
      </w:pPr>
      <w:r>
        <w:t xml:space="preserve">The evidence </w:t>
      </w:r>
      <w:proofErr w:type="spellStart"/>
      <w:r>
        <w:t>summarised</w:t>
      </w:r>
      <w:proofErr w:type="spellEnd"/>
      <w:r>
        <w:t xml:space="preserve"> in Table 4 argues for a co-objective quality framework. Milling yield, </w:t>
      </w:r>
      <w:proofErr w:type="spellStart"/>
      <w:r>
        <w:t>colour</w:t>
      </w:r>
      <w:proofErr w:type="spellEnd"/>
      <w:r>
        <w:t xml:space="preserve">, texture, digestibility, nutrient retention and contaminant control respond to overlapping but non-identical mechanisms. </w:t>
      </w:r>
      <w:proofErr w:type="spellStart"/>
      <w:r>
        <w:t>Optimising</w:t>
      </w:r>
      <w:proofErr w:type="spellEnd"/>
      <w:r>
        <w:t xml:space="preserve"> only one outcome can therefore move another in an undesirable direction.</w:t>
      </w:r>
    </w:p>
    <w:p w14:paraId="347C87C7" w14:textId="77777777" w:rsidR="00BF7E27" w:rsidRDefault="00000000">
      <w:r>
        <w:rPr>
          <w:b/>
        </w:rPr>
        <w:t xml:space="preserve">Table 4. </w:t>
      </w:r>
      <w:r>
        <w:rPr>
          <w:i/>
        </w:rPr>
        <w:t>Major quality, nutrition and safety co-objectives</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5496A2E7" w14:textId="77777777">
        <w:trPr>
          <w:tblHeader/>
          <w:jc w:val="center"/>
        </w:trPr>
        <w:tc>
          <w:tcPr>
            <w:tcW w:w="1512" w:type="dxa"/>
            <w:tcMar>
              <w:top w:w="90" w:type="dxa"/>
              <w:left w:w="90" w:type="dxa"/>
              <w:bottom w:w="90" w:type="dxa"/>
              <w:right w:w="90" w:type="dxa"/>
            </w:tcMar>
            <w:vAlign w:val="center"/>
          </w:tcPr>
          <w:p w14:paraId="2871BD34" w14:textId="77777777" w:rsidR="00BF7E27" w:rsidRDefault="00000000">
            <w:pPr>
              <w:spacing w:after="20"/>
              <w:jc w:val="center"/>
            </w:pPr>
            <w:r>
              <w:rPr>
                <w:b/>
                <w:sz w:val="16"/>
              </w:rPr>
              <w:t>Outcome</w:t>
            </w:r>
          </w:p>
        </w:tc>
        <w:tc>
          <w:tcPr>
            <w:tcW w:w="1944" w:type="dxa"/>
            <w:tcMar>
              <w:top w:w="90" w:type="dxa"/>
              <w:left w:w="90" w:type="dxa"/>
              <w:bottom w:w="90" w:type="dxa"/>
              <w:right w:w="90" w:type="dxa"/>
            </w:tcMar>
            <w:vAlign w:val="center"/>
          </w:tcPr>
          <w:p w14:paraId="2E743A8D" w14:textId="77777777" w:rsidR="00BF7E27" w:rsidRDefault="00000000">
            <w:pPr>
              <w:spacing w:after="20"/>
              <w:jc w:val="center"/>
            </w:pPr>
            <w:r>
              <w:rPr>
                <w:b/>
                <w:sz w:val="16"/>
              </w:rPr>
              <w:t>Mechanistic basis</w:t>
            </w:r>
          </w:p>
        </w:tc>
        <w:tc>
          <w:tcPr>
            <w:tcW w:w="1944" w:type="dxa"/>
            <w:tcMar>
              <w:top w:w="90" w:type="dxa"/>
              <w:left w:w="90" w:type="dxa"/>
              <w:bottom w:w="90" w:type="dxa"/>
              <w:right w:w="90" w:type="dxa"/>
            </w:tcMar>
            <w:vAlign w:val="center"/>
          </w:tcPr>
          <w:p w14:paraId="3BF6F1B7" w14:textId="77777777" w:rsidR="00BF7E27" w:rsidRDefault="00000000">
            <w:pPr>
              <w:spacing w:after="20"/>
              <w:jc w:val="center"/>
            </w:pPr>
            <w:r>
              <w:rPr>
                <w:b/>
                <w:sz w:val="16"/>
              </w:rPr>
              <w:t>Evidence pattern</w:t>
            </w:r>
          </w:p>
        </w:tc>
        <w:tc>
          <w:tcPr>
            <w:tcW w:w="2304" w:type="dxa"/>
            <w:tcMar>
              <w:top w:w="90" w:type="dxa"/>
              <w:left w:w="90" w:type="dxa"/>
              <w:bottom w:w="90" w:type="dxa"/>
              <w:right w:w="90" w:type="dxa"/>
            </w:tcMar>
            <w:vAlign w:val="center"/>
          </w:tcPr>
          <w:p w14:paraId="0BA3BFB1" w14:textId="77777777" w:rsidR="00BF7E27" w:rsidRDefault="00000000">
            <w:pPr>
              <w:spacing w:after="20"/>
              <w:jc w:val="center"/>
            </w:pPr>
            <w:r>
              <w:rPr>
                <w:b/>
                <w:sz w:val="16"/>
              </w:rPr>
              <w:t>Critical qualification</w:t>
            </w:r>
          </w:p>
        </w:tc>
        <w:tc>
          <w:tcPr>
            <w:tcW w:w="1944" w:type="dxa"/>
            <w:tcMar>
              <w:top w:w="90" w:type="dxa"/>
              <w:left w:w="90" w:type="dxa"/>
              <w:bottom w:w="90" w:type="dxa"/>
              <w:right w:w="90" w:type="dxa"/>
            </w:tcMar>
            <w:vAlign w:val="center"/>
          </w:tcPr>
          <w:p w14:paraId="23FDA459" w14:textId="77777777" w:rsidR="00BF7E27" w:rsidRDefault="00000000">
            <w:pPr>
              <w:spacing w:after="20"/>
              <w:jc w:val="center"/>
            </w:pPr>
            <w:r>
              <w:rPr>
                <w:b/>
                <w:sz w:val="16"/>
              </w:rPr>
              <w:t>Supporting references</w:t>
            </w:r>
          </w:p>
        </w:tc>
      </w:tr>
      <w:tr w:rsidR="00BF7E27" w14:paraId="70CEABF6" w14:textId="77777777">
        <w:trPr>
          <w:cantSplit/>
          <w:jc w:val="center"/>
        </w:trPr>
        <w:tc>
          <w:tcPr>
            <w:tcW w:w="1512" w:type="dxa"/>
            <w:tcMar>
              <w:top w:w="90" w:type="dxa"/>
              <w:left w:w="90" w:type="dxa"/>
              <w:bottom w:w="90" w:type="dxa"/>
              <w:right w:w="90" w:type="dxa"/>
            </w:tcMar>
            <w:vAlign w:val="center"/>
          </w:tcPr>
          <w:p w14:paraId="31F45714" w14:textId="77777777" w:rsidR="00BF7E27" w:rsidRDefault="00000000">
            <w:pPr>
              <w:spacing w:after="20"/>
              <w:jc w:val="center"/>
            </w:pPr>
            <w:r>
              <w:rPr>
                <w:sz w:val="16"/>
              </w:rPr>
              <w:t>Head-rice yield</w:t>
            </w:r>
          </w:p>
        </w:tc>
        <w:tc>
          <w:tcPr>
            <w:tcW w:w="1944" w:type="dxa"/>
            <w:tcMar>
              <w:top w:w="90" w:type="dxa"/>
              <w:left w:w="90" w:type="dxa"/>
              <w:bottom w:w="90" w:type="dxa"/>
              <w:right w:w="90" w:type="dxa"/>
            </w:tcMar>
            <w:vAlign w:val="center"/>
          </w:tcPr>
          <w:p w14:paraId="05BD67F8" w14:textId="77777777" w:rsidR="00BF7E27" w:rsidRDefault="00000000">
            <w:pPr>
              <w:spacing w:after="20"/>
            </w:pPr>
            <w:r>
              <w:rPr>
                <w:sz w:val="16"/>
              </w:rPr>
              <w:t xml:space="preserve">Fissure healing, </w:t>
            </w:r>
            <w:proofErr w:type="spellStart"/>
            <w:r>
              <w:rPr>
                <w:sz w:val="16"/>
              </w:rPr>
              <w:t>gelatinisation</w:t>
            </w:r>
            <w:proofErr w:type="spellEnd"/>
            <w:r>
              <w:rPr>
                <w:sz w:val="16"/>
              </w:rPr>
              <w:t xml:space="preserve"> and stress history</w:t>
            </w:r>
          </w:p>
        </w:tc>
        <w:tc>
          <w:tcPr>
            <w:tcW w:w="1944" w:type="dxa"/>
            <w:tcMar>
              <w:top w:w="90" w:type="dxa"/>
              <w:left w:w="90" w:type="dxa"/>
              <w:bottom w:w="90" w:type="dxa"/>
              <w:right w:w="90" w:type="dxa"/>
            </w:tcMar>
            <w:vAlign w:val="center"/>
          </w:tcPr>
          <w:p w14:paraId="4E4A566E" w14:textId="77777777" w:rsidR="00BF7E27" w:rsidRDefault="00000000">
            <w:pPr>
              <w:spacing w:after="20"/>
            </w:pPr>
            <w:r>
              <w:rPr>
                <w:sz w:val="16"/>
              </w:rPr>
              <w:t>Usually improves with adequate, uniform hydrothermal treatment</w:t>
            </w:r>
          </w:p>
        </w:tc>
        <w:tc>
          <w:tcPr>
            <w:tcW w:w="2304" w:type="dxa"/>
            <w:tcMar>
              <w:top w:w="90" w:type="dxa"/>
              <w:left w:w="90" w:type="dxa"/>
              <w:bottom w:w="90" w:type="dxa"/>
              <w:right w:w="90" w:type="dxa"/>
            </w:tcMar>
            <w:vAlign w:val="center"/>
          </w:tcPr>
          <w:p w14:paraId="14E2A2CA" w14:textId="77777777" w:rsidR="00BF7E27" w:rsidRDefault="00000000">
            <w:pPr>
              <w:spacing w:after="20"/>
            </w:pPr>
            <w:r>
              <w:rPr>
                <w:sz w:val="16"/>
              </w:rPr>
              <w:t>Can fall with excessive steaming or damaging drying despite higher hardness</w:t>
            </w:r>
          </w:p>
        </w:tc>
        <w:tc>
          <w:tcPr>
            <w:tcW w:w="1944" w:type="dxa"/>
            <w:tcMar>
              <w:top w:w="90" w:type="dxa"/>
              <w:left w:w="90" w:type="dxa"/>
              <w:bottom w:w="90" w:type="dxa"/>
              <w:right w:w="90" w:type="dxa"/>
            </w:tcMar>
            <w:vAlign w:val="center"/>
          </w:tcPr>
          <w:p w14:paraId="558BD747" w14:textId="77777777" w:rsidR="00BF7E27" w:rsidRDefault="00000000">
            <w:pPr>
              <w:spacing w:after="20"/>
            </w:pPr>
            <w:r>
              <w:rPr>
                <w:sz w:val="16"/>
              </w:rPr>
              <w:t xml:space="preserve">Miah et al., 2002; </w:t>
            </w:r>
            <w:proofErr w:type="spellStart"/>
            <w:r>
              <w:rPr>
                <w:sz w:val="16"/>
              </w:rPr>
              <w:t>Buggenhout</w:t>
            </w:r>
            <w:proofErr w:type="spellEnd"/>
            <w:r>
              <w:rPr>
                <w:sz w:val="16"/>
              </w:rPr>
              <w:t xml:space="preserve"> et al., 2014; </w:t>
            </w:r>
            <w:proofErr w:type="spellStart"/>
            <w:r>
              <w:rPr>
                <w:sz w:val="16"/>
              </w:rPr>
              <w:t>Taghinezhad</w:t>
            </w:r>
            <w:proofErr w:type="spellEnd"/>
            <w:r>
              <w:rPr>
                <w:sz w:val="16"/>
              </w:rPr>
              <w:t xml:space="preserve"> et al., 2016</w:t>
            </w:r>
          </w:p>
        </w:tc>
      </w:tr>
      <w:tr w:rsidR="00BF7E27" w14:paraId="7B1737EA" w14:textId="77777777">
        <w:trPr>
          <w:cantSplit/>
          <w:jc w:val="center"/>
        </w:trPr>
        <w:tc>
          <w:tcPr>
            <w:tcW w:w="1512" w:type="dxa"/>
            <w:tcMar>
              <w:top w:w="90" w:type="dxa"/>
              <w:left w:w="90" w:type="dxa"/>
              <w:bottom w:w="90" w:type="dxa"/>
              <w:right w:w="90" w:type="dxa"/>
            </w:tcMar>
            <w:vAlign w:val="center"/>
          </w:tcPr>
          <w:p w14:paraId="43A7EF28" w14:textId="77777777" w:rsidR="00BF7E27" w:rsidRDefault="00000000">
            <w:pPr>
              <w:spacing w:after="20"/>
              <w:jc w:val="center"/>
            </w:pPr>
            <w:proofErr w:type="spellStart"/>
            <w:r>
              <w:rPr>
                <w:sz w:val="16"/>
              </w:rPr>
              <w:t>Colour</w:t>
            </w:r>
            <w:proofErr w:type="spellEnd"/>
          </w:p>
        </w:tc>
        <w:tc>
          <w:tcPr>
            <w:tcW w:w="1944" w:type="dxa"/>
            <w:tcMar>
              <w:top w:w="90" w:type="dxa"/>
              <w:left w:w="90" w:type="dxa"/>
              <w:bottom w:w="90" w:type="dxa"/>
              <w:right w:w="90" w:type="dxa"/>
            </w:tcMar>
            <w:vAlign w:val="center"/>
          </w:tcPr>
          <w:p w14:paraId="1C8EB5DD" w14:textId="77777777" w:rsidR="00BF7E27" w:rsidRDefault="00000000">
            <w:pPr>
              <w:spacing w:after="20"/>
            </w:pPr>
            <w:r>
              <w:rPr>
                <w:sz w:val="16"/>
              </w:rPr>
              <w:t>Pigment migration plus Maillard-related changes during heating</w:t>
            </w:r>
          </w:p>
        </w:tc>
        <w:tc>
          <w:tcPr>
            <w:tcW w:w="1944" w:type="dxa"/>
            <w:tcMar>
              <w:top w:w="90" w:type="dxa"/>
              <w:left w:w="90" w:type="dxa"/>
              <w:bottom w:w="90" w:type="dxa"/>
              <w:right w:w="90" w:type="dxa"/>
            </w:tcMar>
            <w:vAlign w:val="center"/>
          </w:tcPr>
          <w:p w14:paraId="29E39B14" w14:textId="77777777" w:rsidR="00BF7E27" w:rsidRDefault="00000000">
            <w:pPr>
              <w:spacing w:after="20"/>
            </w:pPr>
            <w:r>
              <w:rPr>
                <w:sz w:val="16"/>
              </w:rPr>
              <w:t>Generally darkens with greater severity, but rapid methods can limit exposure</w:t>
            </w:r>
          </w:p>
        </w:tc>
        <w:tc>
          <w:tcPr>
            <w:tcW w:w="2304" w:type="dxa"/>
            <w:tcMar>
              <w:top w:w="90" w:type="dxa"/>
              <w:left w:w="90" w:type="dxa"/>
              <w:bottom w:w="90" w:type="dxa"/>
              <w:right w:w="90" w:type="dxa"/>
            </w:tcMar>
            <w:vAlign w:val="center"/>
          </w:tcPr>
          <w:p w14:paraId="1BC12629" w14:textId="77777777" w:rsidR="00BF7E27" w:rsidRDefault="00000000">
            <w:pPr>
              <w:spacing w:after="20"/>
            </w:pPr>
            <w:r>
              <w:rPr>
                <w:sz w:val="16"/>
              </w:rPr>
              <w:t>Market preference and cultivar strongly affect acceptable endpoint</w:t>
            </w:r>
          </w:p>
        </w:tc>
        <w:tc>
          <w:tcPr>
            <w:tcW w:w="1944" w:type="dxa"/>
            <w:tcMar>
              <w:top w:w="90" w:type="dxa"/>
              <w:left w:w="90" w:type="dxa"/>
              <w:bottom w:w="90" w:type="dxa"/>
              <w:right w:w="90" w:type="dxa"/>
            </w:tcMar>
            <w:vAlign w:val="center"/>
          </w:tcPr>
          <w:p w14:paraId="5BE1A8D7" w14:textId="77777777" w:rsidR="00BF7E27" w:rsidRDefault="00000000">
            <w:pPr>
              <w:spacing w:after="20"/>
            </w:pPr>
            <w:r>
              <w:rPr>
                <w:sz w:val="16"/>
              </w:rPr>
              <w:t xml:space="preserve">Lamberts et al., 2006, 2008; </w:t>
            </w:r>
            <w:proofErr w:type="spellStart"/>
            <w:r>
              <w:rPr>
                <w:sz w:val="16"/>
              </w:rPr>
              <w:t>Rockembach</w:t>
            </w:r>
            <w:proofErr w:type="spellEnd"/>
            <w:r>
              <w:rPr>
                <w:sz w:val="16"/>
              </w:rPr>
              <w:t xml:space="preserve"> et al., 2019</w:t>
            </w:r>
          </w:p>
        </w:tc>
      </w:tr>
      <w:tr w:rsidR="00BF7E27" w14:paraId="031DF12F" w14:textId="77777777">
        <w:trPr>
          <w:cantSplit/>
          <w:jc w:val="center"/>
        </w:trPr>
        <w:tc>
          <w:tcPr>
            <w:tcW w:w="1512" w:type="dxa"/>
            <w:tcMar>
              <w:top w:w="90" w:type="dxa"/>
              <w:left w:w="90" w:type="dxa"/>
              <w:bottom w:w="90" w:type="dxa"/>
              <w:right w:w="90" w:type="dxa"/>
            </w:tcMar>
            <w:vAlign w:val="center"/>
          </w:tcPr>
          <w:p w14:paraId="44C8F6DB" w14:textId="77777777" w:rsidR="00BF7E27" w:rsidRDefault="00000000">
            <w:pPr>
              <w:spacing w:after="20"/>
              <w:jc w:val="center"/>
            </w:pPr>
            <w:r>
              <w:rPr>
                <w:sz w:val="16"/>
              </w:rPr>
              <w:t>Texture/cooking</w:t>
            </w:r>
          </w:p>
        </w:tc>
        <w:tc>
          <w:tcPr>
            <w:tcW w:w="1944" w:type="dxa"/>
            <w:tcMar>
              <w:top w:w="90" w:type="dxa"/>
              <w:left w:w="90" w:type="dxa"/>
              <w:bottom w:w="90" w:type="dxa"/>
              <w:right w:w="90" w:type="dxa"/>
            </w:tcMar>
            <w:vAlign w:val="center"/>
          </w:tcPr>
          <w:p w14:paraId="6CB30A4B" w14:textId="77777777" w:rsidR="00BF7E27" w:rsidRDefault="00000000">
            <w:pPr>
              <w:spacing w:after="20"/>
            </w:pPr>
            <w:proofErr w:type="spellStart"/>
            <w:r>
              <w:rPr>
                <w:sz w:val="16"/>
              </w:rPr>
              <w:t>Gelatinisation</w:t>
            </w:r>
            <w:proofErr w:type="spellEnd"/>
            <w:r>
              <w:rPr>
                <w:sz w:val="16"/>
              </w:rPr>
              <w:t>, retrogradation and starch-protein restructuring</w:t>
            </w:r>
          </w:p>
        </w:tc>
        <w:tc>
          <w:tcPr>
            <w:tcW w:w="1944" w:type="dxa"/>
            <w:tcMar>
              <w:top w:w="90" w:type="dxa"/>
              <w:left w:w="90" w:type="dxa"/>
              <w:bottom w:w="90" w:type="dxa"/>
              <w:right w:w="90" w:type="dxa"/>
            </w:tcMar>
            <w:vAlign w:val="center"/>
          </w:tcPr>
          <w:p w14:paraId="2B9EDE2D" w14:textId="77777777" w:rsidR="00BF7E27" w:rsidRDefault="00000000">
            <w:pPr>
              <w:spacing w:after="20"/>
            </w:pPr>
            <w:r>
              <w:rPr>
                <w:sz w:val="16"/>
              </w:rPr>
              <w:t xml:space="preserve">Parboiling generally increases firmness and alters cooking </w:t>
            </w:r>
            <w:proofErr w:type="spellStart"/>
            <w:r>
              <w:rPr>
                <w:sz w:val="16"/>
              </w:rPr>
              <w:t>behaviour</w:t>
            </w:r>
            <w:proofErr w:type="spellEnd"/>
          </w:p>
        </w:tc>
        <w:tc>
          <w:tcPr>
            <w:tcW w:w="2304" w:type="dxa"/>
            <w:tcMar>
              <w:top w:w="90" w:type="dxa"/>
              <w:left w:w="90" w:type="dxa"/>
              <w:bottom w:w="90" w:type="dxa"/>
              <w:right w:w="90" w:type="dxa"/>
            </w:tcMar>
            <w:vAlign w:val="center"/>
          </w:tcPr>
          <w:p w14:paraId="08BE32CD" w14:textId="77777777" w:rsidR="00BF7E27" w:rsidRDefault="00000000">
            <w:pPr>
              <w:spacing w:after="20"/>
            </w:pPr>
            <w:r>
              <w:rPr>
                <w:sz w:val="16"/>
              </w:rPr>
              <w:t>Magnitude depends on amylose content and pressure/severity</w:t>
            </w:r>
          </w:p>
        </w:tc>
        <w:tc>
          <w:tcPr>
            <w:tcW w:w="1944" w:type="dxa"/>
            <w:tcMar>
              <w:top w:w="90" w:type="dxa"/>
              <w:left w:w="90" w:type="dxa"/>
              <w:bottom w:w="90" w:type="dxa"/>
              <w:right w:w="90" w:type="dxa"/>
            </w:tcMar>
            <w:vAlign w:val="center"/>
          </w:tcPr>
          <w:p w14:paraId="03AF9CC5" w14:textId="77777777" w:rsidR="00BF7E27" w:rsidRDefault="00000000">
            <w:pPr>
              <w:spacing w:after="20"/>
            </w:pPr>
            <w:proofErr w:type="spellStart"/>
            <w:r>
              <w:rPr>
                <w:sz w:val="16"/>
              </w:rPr>
              <w:t>Sivakamasundari</w:t>
            </w:r>
            <w:proofErr w:type="spellEnd"/>
            <w:r>
              <w:rPr>
                <w:sz w:val="16"/>
              </w:rPr>
              <w:t xml:space="preserve"> et al., 2020</w:t>
            </w:r>
          </w:p>
        </w:tc>
      </w:tr>
      <w:tr w:rsidR="00BF7E27" w14:paraId="5E341D97" w14:textId="77777777">
        <w:trPr>
          <w:cantSplit/>
          <w:jc w:val="center"/>
        </w:trPr>
        <w:tc>
          <w:tcPr>
            <w:tcW w:w="1512" w:type="dxa"/>
            <w:tcMar>
              <w:top w:w="90" w:type="dxa"/>
              <w:left w:w="90" w:type="dxa"/>
              <w:bottom w:w="90" w:type="dxa"/>
              <w:right w:w="90" w:type="dxa"/>
            </w:tcMar>
            <w:vAlign w:val="center"/>
          </w:tcPr>
          <w:p w14:paraId="2EBA53B8" w14:textId="77777777" w:rsidR="00BF7E27" w:rsidRDefault="00000000">
            <w:pPr>
              <w:spacing w:after="20"/>
              <w:jc w:val="center"/>
            </w:pPr>
            <w:r>
              <w:rPr>
                <w:sz w:val="16"/>
              </w:rPr>
              <w:lastRenderedPageBreak/>
              <w:t>Resistant starch / digestibility</w:t>
            </w:r>
          </w:p>
        </w:tc>
        <w:tc>
          <w:tcPr>
            <w:tcW w:w="1944" w:type="dxa"/>
            <w:tcMar>
              <w:top w:w="90" w:type="dxa"/>
              <w:left w:w="90" w:type="dxa"/>
              <w:bottom w:w="90" w:type="dxa"/>
              <w:right w:w="90" w:type="dxa"/>
            </w:tcMar>
            <w:vAlign w:val="center"/>
          </w:tcPr>
          <w:p w14:paraId="3D2A83CD" w14:textId="77777777" w:rsidR="00BF7E27" w:rsidRDefault="00000000">
            <w:pPr>
              <w:spacing w:after="20"/>
            </w:pPr>
            <w:r>
              <w:rPr>
                <w:sz w:val="16"/>
              </w:rPr>
              <w:t xml:space="preserve">Starch </w:t>
            </w:r>
            <w:proofErr w:type="spellStart"/>
            <w:r>
              <w:rPr>
                <w:sz w:val="16"/>
              </w:rPr>
              <w:t>gelatinisation</w:t>
            </w:r>
            <w:proofErr w:type="spellEnd"/>
            <w:r>
              <w:rPr>
                <w:sz w:val="16"/>
              </w:rPr>
              <w:t>, reassociation and accessibility to enzymes</w:t>
            </w:r>
          </w:p>
        </w:tc>
        <w:tc>
          <w:tcPr>
            <w:tcW w:w="1944" w:type="dxa"/>
            <w:tcMar>
              <w:top w:w="90" w:type="dxa"/>
              <w:left w:w="90" w:type="dxa"/>
              <w:bottom w:w="90" w:type="dxa"/>
              <w:right w:w="90" w:type="dxa"/>
            </w:tcMar>
            <w:vAlign w:val="center"/>
          </w:tcPr>
          <w:p w14:paraId="230F24AB" w14:textId="77777777" w:rsidR="00BF7E27" w:rsidRDefault="00000000">
            <w:pPr>
              <w:spacing w:after="20"/>
            </w:pPr>
            <w:r>
              <w:rPr>
                <w:sz w:val="16"/>
              </w:rPr>
              <w:t>Can increase or decrease depending on genotype and post-treatment history</w:t>
            </w:r>
          </w:p>
        </w:tc>
        <w:tc>
          <w:tcPr>
            <w:tcW w:w="2304" w:type="dxa"/>
            <w:tcMar>
              <w:top w:w="90" w:type="dxa"/>
              <w:left w:w="90" w:type="dxa"/>
              <w:bottom w:w="90" w:type="dxa"/>
              <w:right w:w="90" w:type="dxa"/>
            </w:tcMar>
            <w:vAlign w:val="center"/>
          </w:tcPr>
          <w:p w14:paraId="16FE7BC1" w14:textId="77777777" w:rsidR="00BF7E27" w:rsidRDefault="00000000">
            <w:pPr>
              <w:spacing w:after="20"/>
            </w:pPr>
            <w:r w:rsidRPr="00974353">
              <w:rPr>
                <w:i/>
                <w:iCs/>
                <w:sz w:val="16"/>
              </w:rPr>
              <w:t>In vitro</w:t>
            </w:r>
            <w:r>
              <w:rPr>
                <w:sz w:val="16"/>
              </w:rPr>
              <w:t xml:space="preserve"> or predicted </w:t>
            </w:r>
            <w:proofErr w:type="spellStart"/>
            <w:r>
              <w:rPr>
                <w:sz w:val="16"/>
              </w:rPr>
              <w:t>glycaemic</w:t>
            </w:r>
            <w:proofErr w:type="spellEnd"/>
            <w:r>
              <w:rPr>
                <w:sz w:val="16"/>
              </w:rPr>
              <w:t xml:space="preserve"> index is not equivalent to human clinical response</w:t>
            </w:r>
          </w:p>
        </w:tc>
        <w:tc>
          <w:tcPr>
            <w:tcW w:w="1944" w:type="dxa"/>
            <w:tcMar>
              <w:top w:w="90" w:type="dxa"/>
              <w:left w:w="90" w:type="dxa"/>
              <w:bottom w:w="90" w:type="dxa"/>
              <w:right w:w="90" w:type="dxa"/>
            </w:tcMar>
            <w:vAlign w:val="center"/>
          </w:tcPr>
          <w:p w14:paraId="3BDE6777" w14:textId="77777777" w:rsidR="00BF7E27" w:rsidRDefault="00000000">
            <w:pPr>
              <w:spacing w:after="20"/>
            </w:pPr>
            <w:r>
              <w:rPr>
                <w:sz w:val="16"/>
              </w:rPr>
              <w:t>Gunaratne et al., 2013; Kumar et al., 2022; Shah et al., 2023</w:t>
            </w:r>
          </w:p>
        </w:tc>
      </w:tr>
      <w:tr w:rsidR="00BF7E27" w14:paraId="30417B44" w14:textId="77777777">
        <w:trPr>
          <w:cantSplit/>
          <w:jc w:val="center"/>
        </w:trPr>
        <w:tc>
          <w:tcPr>
            <w:tcW w:w="1512" w:type="dxa"/>
            <w:tcMar>
              <w:top w:w="90" w:type="dxa"/>
              <w:left w:w="90" w:type="dxa"/>
              <w:bottom w:w="90" w:type="dxa"/>
              <w:right w:w="90" w:type="dxa"/>
            </w:tcMar>
            <w:vAlign w:val="center"/>
          </w:tcPr>
          <w:p w14:paraId="10601023" w14:textId="77777777" w:rsidR="00BF7E27" w:rsidRDefault="00000000">
            <w:pPr>
              <w:spacing w:after="20"/>
              <w:jc w:val="center"/>
            </w:pPr>
            <w:r>
              <w:rPr>
                <w:sz w:val="16"/>
              </w:rPr>
              <w:t>Mineral bioavailability</w:t>
            </w:r>
          </w:p>
        </w:tc>
        <w:tc>
          <w:tcPr>
            <w:tcW w:w="1944" w:type="dxa"/>
            <w:tcMar>
              <w:top w:w="90" w:type="dxa"/>
              <w:left w:w="90" w:type="dxa"/>
              <w:bottom w:w="90" w:type="dxa"/>
              <w:right w:w="90" w:type="dxa"/>
            </w:tcMar>
            <w:vAlign w:val="center"/>
          </w:tcPr>
          <w:p w14:paraId="5057BFDE" w14:textId="77777777" w:rsidR="00BF7E27" w:rsidRDefault="00000000">
            <w:pPr>
              <w:spacing w:after="20"/>
            </w:pPr>
            <w:r>
              <w:rPr>
                <w:sz w:val="16"/>
              </w:rPr>
              <w:t>Solute migration and changes in anti-nutritional factors</w:t>
            </w:r>
          </w:p>
        </w:tc>
        <w:tc>
          <w:tcPr>
            <w:tcW w:w="1944" w:type="dxa"/>
            <w:tcMar>
              <w:top w:w="90" w:type="dxa"/>
              <w:left w:w="90" w:type="dxa"/>
              <w:bottom w:w="90" w:type="dxa"/>
              <w:right w:w="90" w:type="dxa"/>
            </w:tcMar>
            <w:vAlign w:val="center"/>
          </w:tcPr>
          <w:p w14:paraId="5168877B" w14:textId="77777777" w:rsidR="00BF7E27" w:rsidRDefault="00000000">
            <w:pPr>
              <w:spacing w:after="20"/>
            </w:pPr>
            <w:r>
              <w:rPr>
                <w:sz w:val="16"/>
              </w:rPr>
              <w:t>Some studies show improved iron retention/bioavailability after parboiling and milling</w:t>
            </w:r>
          </w:p>
        </w:tc>
        <w:tc>
          <w:tcPr>
            <w:tcW w:w="2304" w:type="dxa"/>
            <w:tcMar>
              <w:top w:w="90" w:type="dxa"/>
              <w:left w:w="90" w:type="dxa"/>
              <w:bottom w:w="90" w:type="dxa"/>
              <w:right w:w="90" w:type="dxa"/>
            </w:tcMar>
            <w:vAlign w:val="center"/>
          </w:tcPr>
          <w:p w14:paraId="32225FBD" w14:textId="77777777" w:rsidR="00BF7E27" w:rsidRDefault="00000000">
            <w:pPr>
              <w:spacing w:after="20"/>
            </w:pPr>
            <w:r>
              <w:rPr>
                <w:sz w:val="16"/>
              </w:rPr>
              <w:t xml:space="preserve">Element-specific </w:t>
            </w:r>
            <w:proofErr w:type="spellStart"/>
            <w:r>
              <w:rPr>
                <w:sz w:val="16"/>
              </w:rPr>
              <w:t>behaviour</w:t>
            </w:r>
            <w:proofErr w:type="spellEnd"/>
            <w:r>
              <w:rPr>
                <w:sz w:val="16"/>
              </w:rPr>
              <w:t xml:space="preserve"> prevents broad enrichment claims</w:t>
            </w:r>
          </w:p>
        </w:tc>
        <w:tc>
          <w:tcPr>
            <w:tcW w:w="1944" w:type="dxa"/>
            <w:tcMar>
              <w:top w:w="90" w:type="dxa"/>
              <w:left w:w="90" w:type="dxa"/>
              <w:bottom w:w="90" w:type="dxa"/>
              <w:right w:w="90" w:type="dxa"/>
            </w:tcMar>
            <w:vAlign w:val="center"/>
          </w:tcPr>
          <w:p w14:paraId="6BBF9845" w14:textId="77777777" w:rsidR="00BF7E27" w:rsidRDefault="00000000">
            <w:pPr>
              <w:spacing w:after="20"/>
            </w:pPr>
            <w:r>
              <w:rPr>
                <w:sz w:val="16"/>
              </w:rPr>
              <w:t>Kumar et al., 2022</w:t>
            </w:r>
          </w:p>
        </w:tc>
      </w:tr>
      <w:tr w:rsidR="00BF7E27" w14:paraId="32D6ACD2" w14:textId="77777777">
        <w:trPr>
          <w:cantSplit/>
          <w:jc w:val="center"/>
        </w:trPr>
        <w:tc>
          <w:tcPr>
            <w:tcW w:w="1512" w:type="dxa"/>
            <w:tcMar>
              <w:top w:w="90" w:type="dxa"/>
              <w:left w:w="90" w:type="dxa"/>
              <w:bottom w:w="90" w:type="dxa"/>
              <w:right w:w="90" w:type="dxa"/>
            </w:tcMar>
            <w:vAlign w:val="center"/>
          </w:tcPr>
          <w:p w14:paraId="5B229E44" w14:textId="77777777" w:rsidR="00BF7E27" w:rsidRDefault="00000000">
            <w:pPr>
              <w:spacing w:after="20"/>
              <w:jc w:val="center"/>
            </w:pPr>
            <w:r>
              <w:rPr>
                <w:sz w:val="16"/>
              </w:rPr>
              <w:t>Inorganic arsenic</w:t>
            </w:r>
          </w:p>
        </w:tc>
        <w:tc>
          <w:tcPr>
            <w:tcW w:w="1944" w:type="dxa"/>
            <w:tcMar>
              <w:top w:w="90" w:type="dxa"/>
              <w:left w:w="90" w:type="dxa"/>
              <w:bottom w:w="90" w:type="dxa"/>
              <w:right w:w="90" w:type="dxa"/>
            </w:tcMar>
            <w:vAlign w:val="center"/>
          </w:tcPr>
          <w:p w14:paraId="5A1E8A3E" w14:textId="77777777" w:rsidR="00BF7E27" w:rsidRDefault="00000000">
            <w:pPr>
              <w:spacing w:after="20"/>
            </w:pPr>
            <w:r>
              <w:rPr>
                <w:sz w:val="16"/>
              </w:rPr>
              <w:t>Water-mediated migration and redistribution within grain</w:t>
            </w:r>
          </w:p>
        </w:tc>
        <w:tc>
          <w:tcPr>
            <w:tcW w:w="1944" w:type="dxa"/>
            <w:tcMar>
              <w:top w:w="90" w:type="dxa"/>
              <w:left w:w="90" w:type="dxa"/>
              <w:bottom w:w="90" w:type="dxa"/>
              <w:right w:w="90" w:type="dxa"/>
            </w:tcMar>
            <w:vAlign w:val="center"/>
          </w:tcPr>
          <w:p w14:paraId="60AA49CF" w14:textId="77777777" w:rsidR="00BF7E27" w:rsidRDefault="00000000">
            <w:pPr>
              <w:spacing w:after="20"/>
            </w:pPr>
            <w:r>
              <w:rPr>
                <w:sz w:val="16"/>
              </w:rPr>
              <w:t>Conventional parboiling can redistribute arsenic; modified water regimes can reduce it</w:t>
            </w:r>
          </w:p>
        </w:tc>
        <w:tc>
          <w:tcPr>
            <w:tcW w:w="2304" w:type="dxa"/>
            <w:tcMar>
              <w:top w:w="90" w:type="dxa"/>
              <w:left w:w="90" w:type="dxa"/>
              <w:bottom w:w="90" w:type="dxa"/>
              <w:right w:w="90" w:type="dxa"/>
            </w:tcMar>
            <w:vAlign w:val="center"/>
          </w:tcPr>
          <w:p w14:paraId="7FDE6981" w14:textId="77777777" w:rsidR="00BF7E27" w:rsidRDefault="00000000">
            <w:pPr>
              <w:spacing w:after="20"/>
            </w:pPr>
            <w:r>
              <w:rPr>
                <w:sz w:val="16"/>
              </w:rPr>
              <w:t>Outcome depends on paddy contamination and process-water chemistry</w:t>
            </w:r>
          </w:p>
        </w:tc>
        <w:tc>
          <w:tcPr>
            <w:tcW w:w="1944" w:type="dxa"/>
            <w:tcMar>
              <w:top w:w="90" w:type="dxa"/>
              <w:left w:w="90" w:type="dxa"/>
              <w:bottom w:w="90" w:type="dxa"/>
              <w:right w:w="90" w:type="dxa"/>
            </w:tcMar>
            <w:vAlign w:val="center"/>
          </w:tcPr>
          <w:p w14:paraId="12827BDE" w14:textId="77777777" w:rsidR="00BF7E27" w:rsidRDefault="00000000">
            <w:pPr>
              <w:spacing w:after="20"/>
            </w:pPr>
            <w:r>
              <w:rPr>
                <w:sz w:val="16"/>
              </w:rPr>
              <w:t>Fontanella et al., 2021; Rahman et al., 2019</w:t>
            </w:r>
          </w:p>
        </w:tc>
      </w:tr>
    </w:tbl>
    <w:p w14:paraId="70B0BE77"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4787D4B0" w14:textId="77777777" w:rsidR="00BF7E27" w:rsidRDefault="00000000">
      <w:pPr>
        <w:pStyle w:val="Heading1"/>
      </w:pPr>
      <w:r>
        <w:t>7. Energy, Water, Effluent and Scale-Up</w:t>
      </w:r>
    </w:p>
    <w:p w14:paraId="40F74EB6" w14:textId="77777777" w:rsidR="00BF7E27" w:rsidRDefault="00000000">
      <w:pPr>
        <w:pStyle w:val="Heading2"/>
      </w:pPr>
      <w:r>
        <w:t>7.1 Energy intensity and where savings actually occur</w:t>
      </w:r>
    </w:p>
    <w:p w14:paraId="6A936FBC" w14:textId="77777777" w:rsidR="00BF7E27" w:rsidRDefault="00000000">
      <w:pPr>
        <w:jc w:val="both"/>
      </w:pPr>
      <w:r>
        <w:t>Conventional parboiling consumes thermal energy in heating large volumes of soaking water, generating steam and drying high-moisture paddy. The resource problem is therefore distributed across the line. Technologies that accelerate only one stage can still be valuable, but a credible energy claim requires system boundaries. Panda et al. (2021) evaluated microwave-assisted parboiling using fresh high-moisture paddy and reported lower energy use and process cost than their conventional route. The study is notable because it measured energy and economics rather than inferring sustainability from shorter time. Its comparison nevertheless includes a change in feedstock state, so the result is best interpreted as evidence for an alternative process chain rather than a pure microwave efficiency factor.</w:t>
      </w:r>
    </w:p>
    <w:p w14:paraId="35327469" w14:textId="77777777" w:rsidR="00BF7E27" w:rsidRDefault="00000000">
      <w:pPr>
        <w:jc w:val="both"/>
      </w:pPr>
      <w:r>
        <w:t xml:space="preserve">Dryer comparisons show the same need for careful boundaries. </w:t>
      </w:r>
      <w:proofErr w:type="spellStart"/>
      <w:r>
        <w:t>Taghinezhad</w:t>
      </w:r>
      <w:proofErr w:type="spellEnd"/>
      <w:r>
        <w:t xml:space="preserve"> et al. (2020) found differences in specific energy consumption among infrared-convective, microwave and combined systems, while </w:t>
      </w:r>
      <w:proofErr w:type="spellStart"/>
      <w:r>
        <w:t>Saniso</w:t>
      </w:r>
      <w:proofErr w:type="spellEnd"/>
      <w:r>
        <w:t xml:space="preserve"> et al. (2022) reported that hot-air </w:t>
      </w:r>
      <w:proofErr w:type="spellStart"/>
      <w:r>
        <w:t>fluidised</w:t>
      </w:r>
      <w:proofErr w:type="spellEnd"/>
      <w:r>
        <w:t>-bed production could use less energy than the conventional process under tested conditions, whereas adding microwave energy did not automatically produce the lowest total consumption. Faster heating is thus not synonymous with lower energy. Electrical conversion efficiency, fan power, bed depth, tempering and residual heat all matter.</w:t>
      </w:r>
    </w:p>
    <w:p w14:paraId="6BA8B64F" w14:textId="77777777" w:rsidR="00BF7E27" w:rsidRDefault="00000000">
      <w:pPr>
        <w:pStyle w:val="Heading2"/>
      </w:pPr>
      <w:r>
        <w:t>7.2 Heat integration and rice-husk energy</w:t>
      </w:r>
    </w:p>
    <w:p w14:paraId="4266F08E" w14:textId="77777777" w:rsidR="00BF7E27" w:rsidRDefault="00000000">
      <w:pPr>
        <w:jc w:val="both"/>
      </w:pPr>
      <w:r>
        <w:t xml:space="preserve">For mills in rice-producing regions, the husk is an obvious on-site fuel but combustion quality and heat recovery determine whether this resource is used efficiently. </w:t>
      </w:r>
      <w:proofErr w:type="spellStart"/>
      <w:r>
        <w:t>Kwofie</w:t>
      </w:r>
      <w:proofErr w:type="spellEnd"/>
      <w:r>
        <w:t xml:space="preserve"> et al. (2017a) evaluated a continuous rice-husk stove for parboiling and demonstrated that improved stove and heat-exchanger design can raise efficiency and reduce emissions relative to rudimentary firing. In a companion system study, an integrated rice-husk-fired steam and hot-air generator was assessed by energy and exergy analysis, showing that large losses remained concentrated in combustion even when heat production was integrated (</w:t>
      </w:r>
      <w:proofErr w:type="spellStart"/>
      <w:r>
        <w:t>Kwofie</w:t>
      </w:r>
      <w:proofErr w:type="spellEnd"/>
      <w:r>
        <w:t xml:space="preserve"> et al., 2017b). These studies are important because they address the thermal system around parboiling rather than only the grain.</w:t>
      </w:r>
    </w:p>
    <w:p w14:paraId="02275B2B" w14:textId="77777777" w:rsidR="00BF7E27" w:rsidRDefault="00000000">
      <w:pPr>
        <w:jc w:val="both"/>
      </w:pPr>
      <w:r>
        <w:t xml:space="preserve">The implication is that emerging electric technologies and improved biomass systems should not be treated as mutually exclusive. A mill with low-carbon reliable electricity may </w:t>
      </w:r>
      <w:proofErr w:type="spellStart"/>
      <w:r>
        <w:t>favour</w:t>
      </w:r>
      <w:proofErr w:type="spellEnd"/>
      <w:r>
        <w:t xml:space="preserve"> microwave or ohmic intensification; a mill with abundant husk and unreliable electricity may obtain greater practical benefit from efficient combustion, heat exchange and better steam distribution. Hybrid strategies are also plausible, for example using biomass heat for bulk water heating and electrically driven intensification for a short, controlled </w:t>
      </w:r>
      <w:r>
        <w:lastRenderedPageBreak/>
        <w:t>finishing stage. Technology selection must therefore be context specific and based on marginal resource and emissions performance.</w:t>
      </w:r>
    </w:p>
    <w:p w14:paraId="3AE14375" w14:textId="77777777" w:rsidR="00BF7E27" w:rsidRDefault="00000000">
      <w:pPr>
        <w:pStyle w:val="Heading2"/>
      </w:pPr>
      <w:r>
        <w:t>7.3 Water demand and effluent</w:t>
      </w:r>
    </w:p>
    <w:p w14:paraId="6EE5BA3E" w14:textId="77777777" w:rsidR="00BF7E27" w:rsidRDefault="00000000">
      <w:pPr>
        <w:jc w:val="both"/>
      </w:pPr>
      <w:r>
        <w:t xml:space="preserve">Soaking water is both a process medium and a waste stream. It accumulates soluble organic matter, nutrients and, depending on raw material and water source, potentially undesirable elements. </w:t>
      </w:r>
      <w:proofErr w:type="spellStart"/>
      <w:r>
        <w:t>Rockembach</w:t>
      </w:r>
      <w:proofErr w:type="spellEnd"/>
      <w:r>
        <w:t xml:space="preserve"> et al. (2019) measured residual phosphorus in wastewater and found that microwave-assisted processing could reduce the residual load under selected conditions, demonstrating that process intensification may alter effluent composition as well as volume. This is a useful model for future studies: water-quality outcomes should be measured, not assumed from shorter soaking time.</w:t>
      </w:r>
    </w:p>
    <w:p w14:paraId="7E26CC17" w14:textId="77777777" w:rsidR="00BF7E27" w:rsidRDefault="00000000">
      <w:pPr>
        <w:jc w:val="both"/>
      </w:pPr>
      <w:r>
        <w:t xml:space="preserve">Where wastewater is generated, treatment remains necessary. Mukherjee et al. (2015) demonstrated laboratory-scale phytoremediation of parboiled rice-mill wastewater with the aquatic plant </w:t>
      </w:r>
      <w:proofErr w:type="spellStart"/>
      <w:r>
        <w:rPr>
          <w:i/>
        </w:rPr>
        <w:t>Pistia</w:t>
      </w:r>
      <w:proofErr w:type="spellEnd"/>
      <w:r>
        <w:rPr>
          <w:i/>
        </w:rPr>
        <w:t xml:space="preserve"> stratiotes</w:t>
      </w:r>
      <w:r>
        <w:t>, including removal of organic and nutrient loads after appropriate dilution. The study supports low-cost treatment concepts but also showed that untreated wastewater could inhibit plant growth, underscoring the need for pre-treatment or dilution. Wastewater treatment research should therefore be integrated with source reduction. A process that lowers soluble load or recycles relatively clean water may provide greater benefit than treating a larger contaminated stream downstream.</w:t>
      </w:r>
    </w:p>
    <w:p w14:paraId="31707A07" w14:textId="77777777" w:rsidR="00BF7E27" w:rsidRDefault="00000000">
      <w:pPr>
        <w:pStyle w:val="Heading2"/>
      </w:pPr>
      <w:r>
        <w:t>7.4 Scale-up, technology readiness and economic evidence</w:t>
      </w:r>
    </w:p>
    <w:p w14:paraId="43063922" w14:textId="77777777" w:rsidR="00BF7E27" w:rsidRDefault="00000000">
      <w:pPr>
        <w:jc w:val="both"/>
      </w:pPr>
      <w:r>
        <w:t xml:space="preserve">Most emerging parboiling technologies have been demonstrated at laboratory or pilot scale, and some have been tested in comparatively large batches, but industrial maturity remains uneven. The 2026 review by Figueiredo et al. (2026) likewise concluded that emerging approaches require further development for effective industrial integration. The scale-up challenge is not simply increasing equipment dimensions. Microwave and radiofrequency systems face field-distribution and penetration issues; ultrasound systems face acoustic attenuation and transducer placement; ohmic systems face electrode and conductivity control; </w:t>
      </w:r>
      <w:proofErr w:type="spellStart"/>
      <w:r>
        <w:t>fluidised</w:t>
      </w:r>
      <w:proofErr w:type="spellEnd"/>
      <w:r>
        <w:t xml:space="preserve"> beds face pressure drop, particle mixing and air or steam handling; infrared systems face surface-flux uniformity. Each technology has a different scale-dependent failure mode.</w:t>
      </w:r>
    </w:p>
    <w:p w14:paraId="60CA97FA" w14:textId="77777777" w:rsidR="00BF7E27" w:rsidRDefault="00000000">
      <w:pPr>
        <w:jc w:val="both"/>
      </w:pPr>
      <w:r>
        <w:t xml:space="preserve">Economic evidence is thinner than quality evidence. Capital cost, maintenance, electrode or magnetron replacement, steam-system depreciation, </w:t>
      </w:r>
      <w:proofErr w:type="spellStart"/>
      <w:r>
        <w:t>labour</w:t>
      </w:r>
      <w:proofErr w:type="spellEnd"/>
      <w:r>
        <w:t xml:space="preserve">, water treatment and production downtime are rarely measured together. Likewise, lifecycle environmental assessment is uncommon, so electricity-based technologies can appear </w:t>
      </w:r>
      <w:proofErr w:type="spellStart"/>
      <w:r>
        <w:t>favourable</w:t>
      </w:r>
      <w:proofErr w:type="spellEnd"/>
      <w:r>
        <w:t xml:space="preserve"> in thermal-energy terms while their carbon performance depends on the local grid. For small and medium mills, financing and operator skill may determine adoption more strongly than a modest laboratory energy advantage.</w:t>
      </w:r>
    </w:p>
    <w:p w14:paraId="57354EBA" w14:textId="77777777" w:rsidR="00BF7E27" w:rsidRDefault="00000000">
      <w:pPr>
        <w:jc w:val="both"/>
      </w:pPr>
      <w:r>
        <w:t xml:space="preserve">System boundaries are equally decisive in environmental and economic comparisons. Reporting the energy used by a microwave cavity, infrared emitter or ohmic chamber without the electricity required for fans, pumps, water heating, tempering, cooling and control can make an intensified process appear artificially </w:t>
      </w:r>
      <w:proofErr w:type="spellStart"/>
      <w:r>
        <w:t>favourable</w:t>
      </w:r>
      <w:proofErr w:type="spellEnd"/>
      <w:r>
        <w:t xml:space="preserve">. Conventional systems can be misrepresented in the opposite direction when boiler losses are counted but useful opportunities for rice-husk heat recovery are ignored. The rice-husk studies of </w:t>
      </w:r>
      <w:proofErr w:type="spellStart"/>
      <w:r>
        <w:t>Kwofie</w:t>
      </w:r>
      <w:proofErr w:type="spellEnd"/>
      <w:r>
        <w:t xml:space="preserve"> et al. (2017a, 2017b) illustrate why the conversion device and steam-hot-air integration must be treated as part of the parboiling system rather than as an external utility. Future comparisons should state whether energy is measured as final energy, primary energy or greenhouse-gas equivalents and should </w:t>
      </w:r>
      <w:proofErr w:type="spellStart"/>
      <w:r>
        <w:t>normalise</w:t>
      </w:r>
      <w:proofErr w:type="spellEnd"/>
      <w:r>
        <w:t xml:space="preserve"> results to saleable rice meeting the same quality specification. Water assessment requires comparable discipline: gross intake, recirculated volume, wastewater discharge and pollutant load are different metrics, and a low-discharge process is not necessarily low-impact if contaminants accumulate in reused water.</w:t>
      </w:r>
    </w:p>
    <w:p w14:paraId="331A078B" w14:textId="77777777" w:rsidR="00BF7E27" w:rsidRDefault="00000000">
      <w:pPr>
        <w:jc w:val="both"/>
      </w:pPr>
      <w:r>
        <w:lastRenderedPageBreak/>
        <w:t>Table 5 therefore treats technology readiness as an evidence problem rather than assigning promotional labels. It highlights where the literature already provides a plausible engineering pathway and where decisive evidence is missing. The dominant gap across all options is independently replicated, cultivar-diverse demonstration at commercially relevant throughput with matched system boundaries for product quality, water, energy, emissions and cost.</w:t>
      </w:r>
    </w:p>
    <w:p w14:paraId="08A02E66" w14:textId="77777777" w:rsidR="00BF7E27" w:rsidRDefault="00000000">
      <w:r>
        <w:rPr>
          <w:b/>
        </w:rPr>
        <w:t xml:space="preserve">Table 5. </w:t>
      </w:r>
      <w:r>
        <w:rPr>
          <w:i/>
        </w:rPr>
        <w:t>Evidence needed for industrial translation and resource decisions</w:t>
      </w:r>
    </w:p>
    <w:tbl>
      <w:tblPr>
        <w:tblStyle w:val="TableGrid"/>
        <w:tblW w:w="0" w:type="auto"/>
        <w:jc w:val="center"/>
        <w:tblLook w:val="04A0" w:firstRow="1" w:lastRow="0" w:firstColumn="1" w:lastColumn="0" w:noHBand="0" w:noVBand="1"/>
      </w:tblPr>
      <w:tblGrid>
        <w:gridCol w:w="1728"/>
        <w:gridCol w:w="2376"/>
        <w:gridCol w:w="3528"/>
        <w:gridCol w:w="2016"/>
      </w:tblGrid>
      <w:tr w:rsidR="00BF7E27" w14:paraId="07F3C907" w14:textId="77777777">
        <w:trPr>
          <w:tblHeader/>
          <w:jc w:val="center"/>
        </w:trPr>
        <w:tc>
          <w:tcPr>
            <w:tcW w:w="1728" w:type="dxa"/>
            <w:tcMar>
              <w:top w:w="90" w:type="dxa"/>
              <w:left w:w="90" w:type="dxa"/>
              <w:bottom w:w="90" w:type="dxa"/>
              <w:right w:w="90" w:type="dxa"/>
            </w:tcMar>
            <w:vAlign w:val="center"/>
          </w:tcPr>
          <w:p w14:paraId="0420BCCD" w14:textId="77777777" w:rsidR="00BF7E27" w:rsidRDefault="00000000">
            <w:pPr>
              <w:spacing w:after="20"/>
              <w:jc w:val="center"/>
            </w:pPr>
            <w:r>
              <w:rPr>
                <w:b/>
                <w:sz w:val="16"/>
              </w:rPr>
              <w:t>Translation question</w:t>
            </w:r>
          </w:p>
        </w:tc>
        <w:tc>
          <w:tcPr>
            <w:tcW w:w="2376" w:type="dxa"/>
            <w:tcMar>
              <w:top w:w="90" w:type="dxa"/>
              <w:left w:w="90" w:type="dxa"/>
              <w:bottom w:w="90" w:type="dxa"/>
              <w:right w:w="90" w:type="dxa"/>
            </w:tcMar>
            <w:vAlign w:val="center"/>
          </w:tcPr>
          <w:p w14:paraId="76F7AB5B" w14:textId="77777777" w:rsidR="00BF7E27" w:rsidRDefault="00000000">
            <w:pPr>
              <w:spacing w:after="20"/>
              <w:jc w:val="center"/>
            </w:pPr>
            <w:r>
              <w:rPr>
                <w:b/>
                <w:sz w:val="16"/>
              </w:rPr>
              <w:t>Current evidence</w:t>
            </w:r>
          </w:p>
        </w:tc>
        <w:tc>
          <w:tcPr>
            <w:tcW w:w="3528" w:type="dxa"/>
            <w:tcMar>
              <w:top w:w="90" w:type="dxa"/>
              <w:left w:w="90" w:type="dxa"/>
              <w:bottom w:w="90" w:type="dxa"/>
              <w:right w:w="90" w:type="dxa"/>
            </w:tcMar>
            <w:vAlign w:val="center"/>
          </w:tcPr>
          <w:p w14:paraId="1675CCAE" w14:textId="77777777" w:rsidR="00BF7E27" w:rsidRDefault="00000000">
            <w:pPr>
              <w:spacing w:after="20"/>
              <w:jc w:val="center"/>
            </w:pPr>
            <w:r>
              <w:rPr>
                <w:b/>
                <w:sz w:val="16"/>
              </w:rPr>
              <w:t>What is still needed for decision-grade evidence</w:t>
            </w:r>
          </w:p>
        </w:tc>
        <w:tc>
          <w:tcPr>
            <w:tcW w:w="2016" w:type="dxa"/>
            <w:tcMar>
              <w:top w:w="90" w:type="dxa"/>
              <w:left w:w="90" w:type="dxa"/>
              <w:bottom w:w="90" w:type="dxa"/>
              <w:right w:w="90" w:type="dxa"/>
            </w:tcMar>
            <w:vAlign w:val="center"/>
          </w:tcPr>
          <w:p w14:paraId="4039E430" w14:textId="77777777" w:rsidR="00BF7E27" w:rsidRDefault="00000000">
            <w:pPr>
              <w:spacing w:after="20"/>
              <w:jc w:val="center"/>
            </w:pPr>
            <w:r>
              <w:rPr>
                <w:b/>
                <w:sz w:val="16"/>
              </w:rPr>
              <w:t>Supporting references</w:t>
            </w:r>
          </w:p>
        </w:tc>
      </w:tr>
      <w:tr w:rsidR="00BF7E27" w14:paraId="1CB82E86" w14:textId="77777777">
        <w:trPr>
          <w:cantSplit/>
          <w:jc w:val="center"/>
        </w:trPr>
        <w:tc>
          <w:tcPr>
            <w:tcW w:w="1728" w:type="dxa"/>
            <w:tcMar>
              <w:top w:w="90" w:type="dxa"/>
              <w:left w:w="90" w:type="dxa"/>
              <w:bottom w:w="90" w:type="dxa"/>
              <w:right w:w="90" w:type="dxa"/>
            </w:tcMar>
            <w:vAlign w:val="center"/>
          </w:tcPr>
          <w:p w14:paraId="2E73BEE0" w14:textId="77777777" w:rsidR="00BF7E27" w:rsidRDefault="00000000">
            <w:pPr>
              <w:spacing w:after="20"/>
              <w:jc w:val="center"/>
            </w:pPr>
            <w:r>
              <w:rPr>
                <w:sz w:val="16"/>
              </w:rPr>
              <w:t>Can conventional heat supply be made more efficient?</w:t>
            </w:r>
          </w:p>
        </w:tc>
        <w:tc>
          <w:tcPr>
            <w:tcW w:w="2376" w:type="dxa"/>
            <w:tcMar>
              <w:top w:w="90" w:type="dxa"/>
              <w:left w:w="90" w:type="dxa"/>
              <w:bottom w:w="90" w:type="dxa"/>
              <w:right w:w="90" w:type="dxa"/>
            </w:tcMar>
            <w:vAlign w:val="center"/>
          </w:tcPr>
          <w:p w14:paraId="296E6D18" w14:textId="77777777" w:rsidR="00BF7E27" w:rsidRDefault="00000000">
            <w:pPr>
              <w:spacing w:after="20"/>
            </w:pPr>
            <w:r>
              <w:rPr>
                <w:sz w:val="16"/>
              </w:rPr>
              <w:t>Improved rice-husk combustion, heat exchange and integrated steam/hot-air generation show measurable gains</w:t>
            </w:r>
          </w:p>
        </w:tc>
        <w:tc>
          <w:tcPr>
            <w:tcW w:w="3528" w:type="dxa"/>
            <w:tcMar>
              <w:top w:w="90" w:type="dxa"/>
              <w:left w:w="90" w:type="dxa"/>
              <w:bottom w:w="90" w:type="dxa"/>
              <w:right w:w="90" w:type="dxa"/>
            </w:tcMar>
            <w:vAlign w:val="center"/>
          </w:tcPr>
          <w:p w14:paraId="0C5C03C5" w14:textId="77777777" w:rsidR="00BF7E27" w:rsidRDefault="00000000">
            <w:pPr>
              <w:spacing w:after="20"/>
            </w:pPr>
            <w:r>
              <w:rPr>
                <w:sz w:val="16"/>
              </w:rPr>
              <w:t>Long-duration field performance, maintenance, emissions under variable husk quality and comparison with alternative heat sources</w:t>
            </w:r>
          </w:p>
        </w:tc>
        <w:tc>
          <w:tcPr>
            <w:tcW w:w="2016" w:type="dxa"/>
            <w:tcMar>
              <w:top w:w="90" w:type="dxa"/>
              <w:left w:w="90" w:type="dxa"/>
              <w:bottom w:w="90" w:type="dxa"/>
              <w:right w:w="90" w:type="dxa"/>
            </w:tcMar>
            <w:vAlign w:val="center"/>
          </w:tcPr>
          <w:p w14:paraId="41094C12" w14:textId="77777777" w:rsidR="00BF7E27" w:rsidRDefault="00000000">
            <w:pPr>
              <w:spacing w:after="20"/>
            </w:pPr>
            <w:proofErr w:type="spellStart"/>
            <w:r>
              <w:rPr>
                <w:sz w:val="16"/>
              </w:rPr>
              <w:t>Kwofie</w:t>
            </w:r>
            <w:proofErr w:type="spellEnd"/>
            <w:r>
              <w:rPr>
                <w:sz w:val="16"/>
              </w:rPr>
              <w:t xml:space="preserve"> et al., 2017a, 2017b</w:t>
            </w:r>
          </w:p>
        </w:tc>
      </w:tr>
      <w:tr w:rsidR="00BF7E27" w14:paraId="75300121" w14:textId="77777777">
        <w:trPr>
          <w:cantSplit/>
          <w:jc w:val="center"/>
        </w:trPr>
        <w:tc>
          <w:tcPr>
            <w:tcW w:w="1728" w:type="dxa"/>
            <w:tcMar>
              <w:top w:w="90" w:type="dxa"/>
              <w:left w:w="90" w:type="dxa"/>
              <w:bottom w:w="90" w:type="dxa"/>
              <w:right w:w="90" w:type="dxa"/>
            </w:tcMar>
            <w:vAlign w:val="center"/>
          </w:tcPr>
          <w:p w14:paraId="60DD984E" w14:textId="77777777" w:rsidR="00BF7E27" w:rsidRDefault="00000000">
            <w:pPr>
              <w:spacing w:after="20"/>
              <w:jc w:val="center"/>
            </w:pPr>
            <w:r>
              <w:rPr>
                <w:sz w:val="16"/>
              </w:rPr>
              <w:t>Do faster technologies reduce total energy?</w:t>
            </w:r>
          </w:p>
        </w:tc>
        <w:tc>
          <w:tcPr>
            <w:tcW w:w="2376" w:type="dxa"/>
            <w:tcMar>
              <w:top w:w="90" w:type="dxa"/>
              <w:left w:w="90" w:type="dxa"/>
              <w:bottom w:w="90" w:type="dxa"/>
              <w:right w:w="90" w:type="dxa"/>
            </w:tcMar>
            <w:vAlign w:val="center"/>
          </w:tcPr>
          <w:p w14:paraId="3028C912" w14:textId="77777777" w:rsidR="00BF7E27" w:rsidRDefault="00000000">
            <w:pPr>
              <w:spacing w:after="20"/>
            </w:pPr>
            <w:r>
              <w:rPr>
                <w:sz w:val="16"/>
              </w:rPr>
              <w:t xml:space="preserve">Some microwave and hot-air </w:t>
            </w:r>
            <w:proofErr w:type="spellStart"/>
            <w:r>
              <w:rPr>
                <w:sz w:val="16"/>
              </w:rPr>
              <w:t>fluidised</w:t>
            </w:r>
            <w:proofErr w:type="spellEnd"/>
            <w:r>
              <w:rPr>
                <w:sz w:val="16"/>
              </w:rPr>
              <w:t>-bed routes reduce energy or process time, but hybrid systems are not uniformly lowest</w:t>
            </w:r>
          </w:p>
        </w:tc>
        <w:tc>
          <w:tcPr>
            <w:tcW w:w="3528" w:type="dxa"/>
            <w:tcMar>
              <w:top w:w="90" w:type="dxa"/>
              <w:left w:w="90" w:type="dxa"/>
              <w:bottom w:w="90" w:type="dxa"/>
              <w:right w:w="90" w:type="dxa"/>
            </w:tcMar>
            <w:vAlign w:val="center"/>
          </w:tcPr>
          <w:p w14:paraId="27B67E20" w14:textId="77777777" w:rsidR="00BF7E27" w:rsidRDefault="00000000">
            <w:pPr>
              <w:spacing w:after="20"/>
            </w:pPr>
            <w:r>
              <w:rPr>
                <w:sz w:val="16"/>
              </w:rPr>
              <w:t>Matched mass and energy balances at equivalent feed moisture, final moisture and quality</w:t>
            </w:r>
          </w:p>
        </w:tc>
        <w:tc>
          <w:tcPr>
            <w:tcW w:w="2016" w:type="dxa"/>
            <w:tcMar>
              <w:top w:w="90" w:type="dxa"/>
              <w:left w:w="90" w:type="dxa"/>
              <w:bottom w:w="90" w:type="dxa"/>
              <w:right w:w="90" w:type="dxa"/>
            </w:tcMar>
            <w:vAlign w:val="center"/>
          </w:tcPr>
          <w:p w14:paraId="1F114926" w14:textId="77777777" w:rsidR="00BF7E27" w:rsidRDefault="00000000">
            <w:pPr>
              <w:spacing w:after="20"/>
            </w:pPr>
            <w:r>
              <w:rPr>
                <w:sz w:val="16"/>
              </w:rPr>
              <w:t xml:space="preserve">Panda et al., 2021; </w:t>
            </w:r>
            <w:proofErr w:type="spellStart"/>
            <w:r>
              <w:rPr>
                <w:sz w:val="16"/>
              </w:rPr>
              <w:t>Saniso</w:t>
            </w:r>
            <w:proofErr w:type="spellEnd"/>
            <w:r>
              <w:rPr>
                <w:sz w:val="16"/>
              </w:rPr>
              <w:t xml:space="preserve"> et al., 2022; </w:t>
            </w:r>
            <w:proofErr w:type="spellStart"/>
            <w:r>
              <w:rPr>
                <w:sz w:val="16"/>
              </w:rPr>
              <w:t>Taghinezhad</w:t>
            </w:r>
            <w:proofErr w:type="spellEnd"/>
            <w:r>
              <w:rPr>
                <w:sz w:val="16"/>
              </w:rPr>
              <w:t xml:space="preserve"> et al., 2020</w:t>
            </w:r>
          </w:p>
        </w:tc>
      </w:tr>
      <w:tr w:rsidR="00BF7E27" w14:paraId="54D6C067" w14:textId="77777777">
        <w:trPr>
          <w:cantSplit/>
          <w:jc w:val="center"/>
        </w:trPr>
        <w:tc>
          <w:tcPr>
            <w:tcW w:w="1728" w:type="dxa"/>
            <w:tcMar>
              <w:top w:w="90" w:type="dxa"/>
              <w:left w:w="90" w:type="dxa"/>
              <w:bottom w:w="90" w:type="dxa"/>
              <w:right w:w="90" w:type="dxa"/>
            </w:tcMar>
            <w:vAlign w:val="center"/>
          </w:tcPr>
          <w:p w14:paraId="4DA85662" w14:textId="77777777" w:rsidR="00BF7E27" w:rsidRDefault="00000000">
            <w:pPr>
              <w:spacing w:after="20"/>
              <w:jc w:val="center"/>
            </w:pPr>
            <w:r>
              <w:rPr>
                <w:sz w:val="16"/>
              </w:rPr>
              <w:t>Can parboiling reduce wastewater at source?</w:t>
            </w:r>
          </w:p>
        </w:tc>
        <w:tc>
          <w:tcPr>
            <w:tcW w:w="2376" w:type="dxa"/>
            <w:tcMar>
              <w:top w:w="90" w:type="dxa"/>
              <w:left w:w="90" w:type="dxa"/>
              <w:bottom w:w="90" w:type="dxa"/>
              <w:right w:w="90" w:type="dxa"/>
            </w:tcMar>
            <w:vAlign w:val="center"/>
          </w:tcPr>
          <w:p w14:paraId="4E06D022" w14:textId="77777777" w:rsidR="00BF7E27" w:rsidRDefault="00000000">
            <w:pPr>
              <w:spacing w:after="20"/>
            </w:pPr>
            <w:r>
              <w:rPr>
                <w:sz w:val="16"/>
              </w:rPr>
              <w:t>Shorter or altered soaking can reduce some residual loads</w:t>
            </w:r>
          </w:p>
        </w:tc>
        <w:tc>
          <w:tcPr>
            <w:tcW w:w="3528" w:type="dxa"/>
            <w:tcMar>
              <w:top w:w="90" w:type="dxa"/>
              <w:left w:w="90" w:type="dxa"/>
              <w:bottom w:w="90" w:type="dxa"/>
              <w:right w:w="90" w:type="dxa"/>
            </w:tcMar>
            <w:vAlign w:val="center"/>
          </w:tcPr>
          <w:p w14:paraId="766B7CB8" w14:textId="77777777" w:rsidR="00BF7E27" w:rsidRDefault="00000000">
            <w:pPr>
              <w:spacing w:after="20"/>
            </w:pPr>
            <w:r>
              <w:rPr>
                <w:sz w:val="16"/>
              </w:rPr>
              <w:t>Full water balance, reuse studies, chemical oxygen demand and contaminant tracking over repeated cycles</w:t>
            </w:r>
          </w:p>
        </w:tc>
        <w:tc>
          <w:tcPr>
            <w:tcW w:w="2016" w:type="dxa"/>
            <w:tcMar>
              <w:top w:w="90" w:type="dxa"/>
              <w:left w:w="90" w:type="dxa"/>
              <w:bottom w:w="90" w:type="dxa"/>
              <w:right w:w="90" w:type="dxa"/>
            </w:tcMar>
            <w:vAlign w:val="center"/>
          </w:tcPr>
          <w:p w14:paraId="149C8CEB" w14:textId="77777777" w:rsidR="00BF7E27" w:rsidRDefault="00000000">
            <w:pPr>
              <w:spacing w:after="20"/>
            </w:pPr>
            <w:proofErr w:type="spellStart"/>
            <w:r>
              <w:rPr>
                <w:sz w:val="16"/>
              </w:rPr>
              <w:t>Rockembach</w:t>
            </w:r>
            <w:proofErr w:type="spellEnd"/>
            <w:r>
              <w:rPr>
                <w:sz w:val="16"/>
              </w:rPr>
              <w:t xml:space="preserve"> et al., 2019</w:t>
            </w:r>
          </w:p>
        </w:tc>
      </w:tr>
      <w:tr w:rsidR="00BF7E27" w14:paraId="105CEDF3" w14:textId="77777777">
        <w:trPr>
          <w:cantSplit/>
          <w:jc w:val="center"/>
        </w:trPr>
        <w:tc>
          <w:tcPr>
            <w:tcW w:w="1728" w:type="dxa"/>
            <w:tcMar>
              <w:top w:w="90" w:type="dxa"/>
              <w:left w:w="90" w:type="dxa"/>
              <w:bottom w:w="90" w:type="dxa"/>
              <w:right w:w="90" w:type="dxa"/>
            </w:tcMar>
            <w:vAlign w:val="center"/>
          </w:tcPr>
          <w:p w14:paraId="4DA00FA0" w14:textId="77777777" w:rsidR="00BF7E27" w:rsidRDefault="00000000">
            <w:pPr>
              <w:spacing w:after="20"/>
              <w:jc w:val="center"/>
            </w:pPr>
            <w:r>
              <w:rPr>
                <w:sz w:val="16"/>
              </w:rPr>
              <w:t>Can effluent be treated locally?</w:t>
            </w:r>
          </w:p>
        </w:tc>
        <w:tc>
          <w:tcPr>
            <w:tcW w:w="2376" w:type="dxa"/>
            <w:tcMar>
              <w:top w:w="90" w:type="dxa"/>
              <w:left w:w="90" w:type="dxa"/>
              <w:bottom w:w="90" w:type="dxa"/>
              <w:right w:w="90" w:type="dxa"/>
            </w:tcMar>
            <w:vAlign w:val="center"/>
          </w:tcPr>
          <w:p w14:paraId="10844FA9" w14:textId="77777777" w:rsidR="00BF7E27" w:rsidRDefault="00000000">
            <w:pPr>
              <w:spacing w:after="20"/>
            </w:pPr>
            <w:r>
              <w:rPr>
                <w:sz w:val="16"/>
              </w:rPr>
              <w:t>Plant-based treatment can remove organic and nutrient loads after conditioning</w:t>
            </w:r>
          </w:p>
        </w:tc>
        <w:tc>
          <w:tcPr>
            <w:tcW w:w="3528" w:type="dxa"/>
            <w:tcMar>
              <w:top w:w="90" w:type="dxa"/>
              <w:left w:w="90" w:type="dxa"/>
              <w:bottom w:w="90" w:type="dxa"/>
              <w:right w:w="90" w:type="dxa"/>
            </w:tcMar>
            <w:vAlign w:val="center"/>
          </w:tcPr>
          <w:p w14:paraId="3EF0B467" w14:textId="77777777" w:rsidR="00BF7E27" w:rsidRDefault="00000000">
            <w:pPr>
              <w:spacing w:after="20"/>
            </w:pPr>
            <w:r>
              <w:rPr>
                <w:sz w:val="16"/>
              </w:rPr>
              <w:t>Pilot continuous systems, land requirement, seasonal robustness and safe biomass disposal</w:t>
            </w:r>
          </w:p>
        </w:tc>
        <w:tc>
          <w:tcPr>
            <w:tcW w:w="2016" w:type="dxa"/>
            <w:tcMar>
              <w:top w:w="90" w:type="dxa"/>
              <w:left w:w="90" w:type="dxa"/>
              <w:bottom w:w="90" w:type="dxa"/>
              <w:right w:w="90" w:type="dxa"/>
            </w:tcMar>
            <w:vAlign w:val="center"/>
          </w:tcPr>
          <w:p w14:paraId="33459B20" w14:textId="77777777" w:rsidR="00BF7E27" w:rsidRDefault="00000000">
            <w:pPr>
              <w:spacing w:after="20"/>
            </w:pPr>
            <w:r>
              <w:rPr>
                <w:sz w:val="16"/>
              </w:rPr>
              <w:t>Mukherjee et al., 2015</w:t>
            </w:r>
          </w:p>
        </w:tc>
      </w:tr>
      <w:tr w:rsidR="00BF7E27" w14:paraId="0C12EE51" w14:textId="77777777">
        <w:trPr>
          <w:cantSplit/>
          <w:jc w:val="center"/>
        </w:trPr>
        <w:tc>
          <w:tcPr>
            <w:tcW w:w="1728" w:type="dxa"/>
            <w:tcMar>
              <w:top w:w="90" w:type="dxa"/>
              <w:left w:w="90" w:type="dxa"/>
              <w:bottom w:w="90" w:type="dxa"/>
              <w:right w:w="90" w:type="dxa"/>
            </w:tcMar>
            <w:vAlign w:val="center"/>
          </w:tcPr>
          <w:p w14:paraId="58213627" w14:textId="77777777" w:rsidR="00BF7E27" w:rsidRDefault="00000000">
            <w:pPr>
              <w:spacing w:after="20"/>
              <w:jc w:val="center"/>
            </w:pPr>
            <w:r>
              <w:rPr>
                <w:sz w:val="16"/>
              </w:rPr>
              <w:t>Are emerging technologies industrially mature?</w:t>
            </w:r>
          </w:p>
        </w:tc>
        <w:tc>
          <w:tcPr>
            <w:tcW w:w="2376" w:type="dxa"/>
            <w:tcMar>
              <w:top w:w="90" w:type="dxa"/>
              <w:left w:w="90" w:type="dxa"/>
              <w:bottom w:w="90" w:type="dxa"/>
              <w:right w:w="90" w:type="dxa"/>
            </w:tcMar>
            <w:vAlign w:val="center"/>
          </w:tcPr>
          <w:p w14:paraId="0D275CD3" w14:textId="77777777" w:rsidR="00BF7E27" w:rsidRDefault="00000000">
            <w:pPr>
              <w:spacing w:after="20"/>
            </w:pPr>
            <w:r>
              <w:rPr>
                <w:sz w:val="16"/>
              </w:rPr>
              <w:t>Multiple laboratory and pilot demonstrations show technical feasibility</w:t>
            </w:r>
          </w:p>
        </w:tc>
        <w:tc>
          <w:tcPr>
            <w:tcW w:w="3528" w:type="dxa"/>
            <w:tcMar>
              <w:top w:w="90" w:type="dxa"/>
              <w:left w:w="90" w:type="dxa"/>
              <w:bottom w:w="90" w:type="dxa"/>
              <w:right w:w="90" w:type="dxa"/>
            </w:tcMar>
            <w:vAlign w:val="center"/>
          </w:tcPr>
          <w:p w14:paraId="3A20B849" w14:textId="77777777" w:rsidR="00BF7E27" w:rsidRDefault="00000000">
            <w:pPr>
              <w:spacing w:after="20"/>
            </w:pPr>
            <w:r>
              <w:rPr>
                <w:sz w:val="16"/>
              </w:rPr>
              <w:t>Commercial-scale uniformity, reliability, operator requirements, techno-economics and lifecycle assessment</w:t>
            </w:r>
          </w:p>
        </w:tc>
        <w:tc>
          <w:tcPr>
            <w:tcW w:w="2016" w:type="dxa"/>
            <w:tcMar>
              <w:top w:w="90" w:type="dxa"/>
              <w:left w:w="90" w:type="dxa"/>
              <w:bottom w:w="90" w:type="dxa"/>
              <w:right w:w="90" w:type="dxa"/>
            </w:tcMar>
            <w:vAlign w:val="center"/>
          </w:tcPr>
          <w:p w14:paraId="144A93C0" w14:textId="77777777" w:rsidR="00BF7E27" w:rsidRDefault="00000000">
            <w:pPr>
              <w:spacing w:after="20"/>
            </w:pPr>
            <w:r>
              <w:rPr>
                <w:sz w:val="16"/>
              </w:rPr>
              <w:t xml:space="preserve">Figueiredo et al., 2026; Gokul Devi et al., 2025; </w:t>
            </w:r>
            <w:proofErr w:type="spellStart"/>
            <w:r>
              <w:rPr>
                <w:sz w:val="16"/>
              </w:rPr>
              <w:t>Saniso</w:t>
            </w:r>
            <w:proofErr w:type="spellEnd"/>
            <w:r>
              <w:rPr>
                <w:sz w:val="16"/>
              </w:rPr>
              <w:t xml:space="preserve"> et al., 2020, 2022</w:t>
            </w:r>
          </w:p>
        </w:tc>
      </w:tr>
    </w:tbl>
    <w:p w14:paraId="4D4D4A6E"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292D2FDC" w14:textId="77777777" w:rsidR="00BF7E27" w:rsidRDefault="00000000">
      <w:pPr>
        <w:pStyle w:val="Heading1"/>
      </w:pPr>
      <w:r>
        <w:t>8. Integrated Critical Synthesis: Severity, Uniformity and Resource Intensity</w:t>
      </w:r>
    </w:p>
    <w:p w14:paraId="4591D2DA" w14:textId="77777777" w:rsidR="00BF7E27" w:rsidRDefault="00000000">
      <w:pPr>
        <w:jc w:val="both"/>
      </w:pPr>
      <w:r>
        <w:t xml:space="preserve">A stronger basis for technology comparison is equivalence of process state rather than equivalence of clock time. Ten minutes of microwave exposure, infrared heating, ohmic treatment and steam treatment do not represent the same </w:t>
      </w:r>
      <w:proofErr w:type="spellStart"/>
      <w:r>
        <w:t>gelatinisation</w:t>
      </w:r>
      <w:proofErr w:type="spellEnd"/>
      <w:r>
        <w:t xml:space="preserve"> history, moisture distribution or mechanical condition. Equal residence time is therefore a weak comparator unless the purpose is strictly throughput. A rigorous comparison would first define a target state, such as a specified range of </w:t>
      </w:r>
      <w:proofErr w:type="spellStart"/>
      <w:r>
        <w:t>gelatinisation</w:t>
      </w:r>
      <w:proofErr w:type="spellEnd"/>
      <w:r>
        <w:t xml:space="preserve">, kernel moisture and milling performance, and then quantify the resource input and collateral quality changes required by each technology to reach it. This approach reduces confounding between treatment identity and treatment severity. It also makes negative results more informative: if an emerging method consumes more energy at the same target state but improves </w:t>
      </w:r>
      <w:proofErr w:type="spellStart"/>
      <w:r>
        <w:t>colour</w:t>
      </w:r>
      <w:proofErr w:type="spellEnd"/>
      <w:r>
        <w:t xml:space="preserve"> or water use, the trade-off becomes explicit rather than being hidden by dissimilar processing endpoints. State-matched benchmarking follows directly from the coupled evidence on hydration, steaming and drying (Bakshi &amp; Singh, 1980; Elbert et al., 2001; </w:t>
      </w:r>
      <w:proofErr w:type="spellStart"/>
      <w:r>
        <w:t>Taghinezhad</w:t>
      </w:r>
      <w:proofErr w:type="spellEnd"/>
      <w:r>
        <w:t xml:space="preserve"> et al., 2016).</w:t>
      </w:r>
    </w:p>
    <w:p w14:paraId="0652DD6D" w14:textId="77777777" w:rsidR="00BF7E27" w:rsidRDefault="00000000">
      <w:pPr>
        <w:jc w:val="both"/>
      </w:pPr>
      <w:r>
        <w:t>The reviewed evidence can be integrated around three interacting axes: process severity, spatial uniformity and resource intensity. Severity describes the cumulative thermal and moisture exposure needed to achieve the desired starch transformation. Uniformity describes how evenly water, temperature and structural change are distributed within and among kernels. Resource intensity describes the water, energy, time, equipment and waste burden required to reach that state. Conventional and emerging technologies differ mainly in how they move the process through this three-dimensional space.</w:t>
      </w:r>
    </w:p>
    <w:p w14:paraId="3405451D" w14:textId="77777777" w:rsidR="00BF7E27" w:rsidRDefault="00000000">
      <w:pPr>
        <w:jc w:val="both"/>
      </w:pPr>
      <w:r>
        <w:lastRenderedPageBreak/>
        <w:t xml:space="preserve">Severity alone is an inadequate control variable because identical average grain temperatures can conceal different histories. Microwave heating can create volumetric energy deposition, infrared heating </w:t>
      </w:r>
      <w:proofErr w:type="spellStart"/>
      <w:r>
        <w:t>emphasises</w:t>
      </w:r>
      <w:proofErr w:type="spellEnd"/>
      <w:r>
        <w:t xml:space="preserve"> the surface, steam transfers latent heat at the surface with condensation, and ohmic heating depends on electrical conductivity through the moist matrix. Two processes that produce similar average degrees of </w:t>
      </w:r>
      <w:proofErr w:type="spellStart"/>
      <w:r>
        <w:t>gelatinisation</w:t>
      </w:r>
      <w:proofErr w:type="spellEnd"/>
      <w:r>
        <w:t xml:space="preserve"> may therefore differ in radial gradients, local overheating, solute migration and subsequent drying </w:t>
      </w:r>
      <w:proofErr w:type="spellStart"/>
      <w:r>
        <w:t>behaviour</w:t>
      </w:r>
      <w:proofErr w:type="spellEnd"/>
      <w:r>
        <w:t>. This explains why direct technology rankings based on one endpoint are unstable across studies.</w:t>
      </w:r>
    </w:p>
    <w:p w14:paraId="49392AF3" w14:textId="77777777" w:rsidR="00BF7E27" w:rsidRDefault="00000000">
      <w:pPr>
        <w:jc w:val="both"/>
      </w:pPr>
      <w:r>
        <w:t xml:space="preserve">Uniformity is the under-measured variable with the greatest potential to unify the field. Many apparent contradictions are consistent with differences in spatial heterogeneity. High head-rice yield requires elimination of mechanically weak regions without creating new fissures; </w:t>
      </w:r>
      <w:proofErr w:type="spellStart"/>
      <w:r>
        <w:t>colour</w:t>
      </w:r>
      <w:proofErr w:type="spellEnd"/>
      <w:r>
        <w:t xml:space="preserve"> defects can arise from local overexposure; incomplete hydration increases steaming demand; and aggressive drying becomes damaging when internal moisture gradients are large. Yet most studies report mean moisture content, mean degree of </w:t>
      </w:r>
      <w:proofErr w:type="spellStart"/>
      <w:r>
        <w:t>gelatinisation</w:t>
      </w:r>
      <w:proofErr w:type="spellEnd"/>
      <w:r>
        <w:t xml:space="preserve"> or mean </w:t>
      </w:r>
      <w:proofErr w:type="spellStart"/>
      <w:r>
        <w:t>colour</w:t>
      </w:r>
      <w:proofErr w:type="spellEnd"/>
      <w:r>
        <w:t>. Future models should increasingly represent distributions, not only averages, and experiments should report within-batch variability as an outcome.</w:t>
      </w:r>
    </w:p>
    <w:p w14:paraId="313175B5" w14:textId="77777777" w:rsidR="00BF7E27" w:rsidRDefault="00000000">
      <w:pPr>
        <w:jc w:val="both"/>
      </w:pPr>
      <w:r>
        <w:t>Resource intensity must be connected to the same state variables. A process is efficient only if it reaches the target product state with lower total resource use. Shortened residence time can increase throughput but does not necessarily reduce energy if power demand rises. Reduced steam use can be offset by electricity for magnetrons, radiofrequency generators, pumps or fans. Less soaking water can increase solute concentration in the remaining effluent and complicate recycling. The appropriate unit of comparison is therefore resource use per unit of saleable, specification-compliant parboiled rice, not per hour of equipment operation or per kilogram of wet paddy entering a single unit operation.</w:t>
      </w:r>
    </w:p>
    <w:p w14:paraId="517D7AE4" w14:textId="77777777" w:rsidR="00BF7E27" w:rsidRDefault="00000000">
      <w:pPr>
        <w:jc w:val="both"/>
      </w:pPr>
      <w:r>
        <w:t xml:space="preserve">This integrated view also clarifies why cultivar is not a nuisance variable to be averaged away. Grain dimensions, amylose content, </w:t>
      </w:r>
      <w:proofErr w:type="spellStart"/>
      <w:r>
        <w:t>gelatinisation</w:t>
      </w:r>
      <w:proofErr w:type="spellEnd"/>
      <w:r>
        <w:t xml:space="preserve"> temperature, chalkiness and initial fissuring change the mapping between process inputs and product state. Saleh et al. (2018) demonstrated cultivar-dependent hydration, while </w:t>
      </w:r>
      <w:proofErr w:type="spellStart"/>
      <w:r>
        <w:t>Sivakamasundari</w:t>
      </w:r>
      <w:proofErr w:type="spellEnd"/>
      <w:r>
        <w:t xml:space="preserve"> et al. (2020) showed that parboiling method interacted with varietal physicochemical characteristics. An industrially robust control strategy should therefore classify raw material or estimate relevant properties at intake and adjust the process accordingly. Fixed recipes are likely to remain serviceable only where cultivar and moisture variation are tightly controlled.</w:t>
      </w:r>
    </w:p>
    <w:p w14:paraId="55E06A5F" w14:textId="77777777" w:rsidR="00BF7E27" w:rsidRDefault="00000000">
      <w:pPr>
        <w:jc w:val="both"/>
      </w:pPr>
      <w:r>
        <w:t xml:space="preserve">The strongest conclusion from the emerging-technology literature is consequently not that one technology should replace steam parboiling. Rather, process intensification creates additional control degrees of freedom. Microwave, infrared, ohmic, ultrasound, radiofrequency, vacuum and </w:t>
      </w:r>
      <w:proofErr w:type="spellStart"/>
      <w:r>
        <w:t>fluidised</w:t>
      </w:r>
      <w:proofErr w:type="spellEnd"/>
      <w:r>
        <w:t xml:space="preserve">-bed systems can target different bottlenecks, but the benefit depends on how well they are integrated with hydration state, </w:t>
      </w:r>
      <w:proofErr w:type="spellStart"/>
      <w:r>
        <w:t>gelatinisation</w:t>
      </w:r>
      <w:proofErr w:type="spellEnd"/>
      <w:r>
        <w:t xml:space="preserve"> target, drying stress management and resource infrastructure. This is a more conservative conclusion than promotional comparisons, but it is better supported by the heterogeneous evidence.</w:t>
      </w:r>
    </w:p>
    <w:p w14:paraId="1D5DADC8" w14:textId="77777777" w:rsidR="00BF7E27" w:rsidRDefault="00000000">
      <w:pPr>
        <w:jc w:val="both"/>
      </w:pPr>
      <w:r>
        <w:t xml:space="preserve">A second conclusion is that quality must be redefined as a vector rather than a single score. Head-rice yield is commercially important, yet </w:t>
      </w:r>
      <w:proofErr w:type="spellStart"/>
      <w:r>
        <w:t>colour</w:t>
      </w:r>
      <w:proofErr w:type="spellEnd"/>
      <w:r>
        <w:t xml:space="preserve">, cooked texture, digestibility, mineral retention and contaminant </w:t>
      </w:r>
      <w:proofErr w:type="spellStart"/>
      <w:r>
        <w:t>behaviour</w:t>
      </w:r>
      <w:proofErr w:type="spellEnd"/>
      <w:r>
        <w:t xml:space="preserve"> can all shift independently. The arsenic evidence is especially instructive: a hydrothermal process designed to move desirable nutrients inward can also redistribute an undesirable element. Food safety and source-water chemistry therefore belong inside process </w:t>
      </w:r>
      <w:proofErr w:type="spellStart"/>
      <w:r>
        <w:t>optimisation</w:t>
      </w:r>
      <w:proofErr w:type="spellEnd"/>
      <w:r>
        <w:t>, not in a downstream compliance check.</w:t>
      </w:r>
    </w:p>
    <w:p w14:paraId="2DE0A162" w14:textId="77777777" w:rsidR="00BF7E27" w:rsidRDefault="00000000">
      <w:pPr>
        <w:jc w:val="both"/>
      </w:pPr>
      <w:r>
        <w:t xml:space="preserve">Finally, the evidence suggests that the next advances are more likely to come from integration than from another isolated heating mechanism. The field already contains many demonstrations that alternative energy can heat or dry rice. The unresolved scientific and engineering questions concern sensing, control, transferability and scale. A process that measures hydration state, predicts </w:t>
      </w:r>
      <w:proofErr w:type="spellStart"/>
      <w:r>
        <w:t>gelatinisation</w:t>
      </w:r>
      <w:proofErr w:type="spellEnd"/>
      <w:r>
        <w:t xml:space="preserve">, controls thermal </w:t>
      </w:r>
      <w:r>
        <w:lastRenderedPageBreak/>
        <w:t>uniformity, schedules tempering and closes heat and water loops would represent a larger advance than a faster heater operated with the same fixed recipe logic.</w:t>
      </w:r>
    </w:p>
    <w:p w14:paraId="1D9BEA45" w14:textId="77777777" w:rsidR="00BF7E27" w:rsidRDefault="00000000">
      <w:pPr>
        <w:pStyle w:val="Heading1"/>
      </w:pPr>
      <w:r>
        <w:t>9. Future Directions</w:t>
      </w:r>
    </w:p>
    <w:p w14:paraId="01771F5A" w14:textId="77777777" w:rsidR="00BF7E27" w:rsidRDefault="00000000">
      <w:pPr>
        <w:jc w:val="both"/>
      </w:pPr>
      <w:r>
        <w:t xml:space="preserve">The immediate research priority is development of cultivar-aware, state-based process control. Current </w:t>
      </w:r>
      <w:proofErr w:type="spellStart"/>
      <w:r>
        <w:t>optimisation</w:t>
      </w:r>
      <w:proofErr w:type="spellEnd"/>
      <w:r>
        <w:t xml:space="preserve"> studies usually treat time and temperature as inputs and final quality as output, but they seldom measure the internal state that connects them. Multi-cultivar experiments should combine hydration kinetics, grain temperature distributions, degree and spatial uniformity of </w:t>
      </w:r>
      <w:proofErr w:type="spellStart"/>
      <w:r>
        <w:t>gelatinisation</w:t>
      </w:r>
      <w:proofErr w:type="spellEnd"/>
      <w:r>
        <w:t xml:space="preserve">, moisture gradients and fissure development. Mechanistic transport models can then be calibrated with inline or rapid measurements rather than fitted only to endpoint averages. Near-infrared, dielectric, acoustic or imaging sensors should be evaluated against reference methods for moisture and </w:t>
      </w:r>
      <w:proofErr w:type="spellStart"/>
      <w:r>
        <w:t>gelatinisation</w:t>
      </w:r>
      <w:proofErr w:type="spellEnd"/>
      <w:r>
        <w:t xml:space="preserve"> before they are embedded in control systems. The objective should be robust estimation of process state under natural variation in incoming paddy, not maximum model fit within a single batch.</w:t>
      </w:r>
    </w:p>
    <w:p w14:paraId="51FA81B5" w14:textId="77777777" w:rsidR="00BF7E27" w:rsidRDefault="00000000">
      <w:pPr>
        <w:jc w:val="both"/>
      </w:pPr>
      <w:r>
        <w:t xml:space="preserve">A second priority is </w:t>
      </w:r>
      <w:proofErr w:type="spellStart"/>
      <w:r>
        <w:t>harmonised</w:t>
      </w:r>
      <w:proofErr w:type="spellEnd"/>
      <w:r>
        <w:t xml:space="preserve"> benchmarking of emerging technologies. Microwave, infrared, ohmic, ultrasound, radiofrequency and </w:t>
      </w:r>
      <w:proofErr w:type="spellStart"/>
      <w:r>
        <w:t>fluidised</w:t>
      </w:r>
      <w:proofErr w:type="spellEnd"/>
      <w:r>
        <w:t xml:space="preserve">-bed studies should report a common minimum dataset: cultivar and amylose class, initial moisture, batch or feed rate, hydration history, thermal profile, final moisture, head-rice yield, </w:t>
      </w:r>
      <w:proofErr w:type="spellStart"/>
      <w:r>
        <w:t>colour</w:t>
      </w:r>
      <w:proofErr w:type="spellEnd"/>
      <w:r>
        <w:t>, cooked texture, water use, electrical and thermal energy, and key auxiliary loads. Comparators must achieve an equivalent product specification. Without this discipline, a technology can appear superior because the conventional control is more severe, uses drier feedstock, targets a different final moisture or omits tempering. Multi-site replication with common protocols would materially improve confidence.</w:t>
      </w:r>
    </w:p>
    <w:p w14:paraId="124ED792" w14:textId="77777777" w:rsidR="00BF7E27" w:rsidRDefault="00000000">
      <w:pPr>
        <w:jc w:val="both"/>
      </w:pPr>
      <w:r>
        <w:t xml:space="preserve">Third, </w:t>
      </w:r>
      <w:proofErr w:type="spellStart"/>
      <w:r>
        <w:t>optimisation</w:t>
      </w:r>
      <w:proofErr w:type="spellEnd"/>
      <w:r>
        <w:t xml:space="preserve"> should move from response surfaces for one or two quality attributes to multi-objective decision analysis. Experiments should identify Pareto fronts among saleable yield, </w:t>
      </w:r>
      <w:proofErr w:type="spellStart"/>
      <w:r>
        <w:t>colour</w:t>
      </w:r>
      <w:proofErr w:type="spellEnd"/>
      <w:r>
        <w:t>, cooking properties, resistant starch or other nutritional targets, contaminant control, water, energy and cost. The weights assigned to these objectives should be context dependent and transparent. A premium low-</w:t>
      </w:r>
      <w:proofErr w:type="spellStart"/>
      <w:r>
        <w:t>glycaemic</w:t>
      </w:r>
      <w:proofErr w:type="spellEnd"/>
      <w:r>
        <w:t xml:space="preserve"> brown-rice product, a high-throughput white parboiled rice mill and a village-scale processor in an arsenic-affected region require different optimums. Research that produces a single universal optimum without specifying the decision context has limited translational value.</w:t>
      </w:r>
    </w:p>
    <w:p w14:paraId="75B0C0AC" w14:textId="77777777" w:rsidR="00BF7E27" w:rsidRDefault="00000000">
      <w:pPr>
        <w:jc w:val="both"/>
      </w:pPr>
      <w:r>
        <w:t>Fourth, food-safety chemistry should be integrated into process design wherever source conditions justify it. The evidence that parboiling redistributes arsenic within the grain and that modified water regimes can reduce inorganic arsenic makes water quality a controllable safety input (Fontanella et al., 2021; Rahman et al., 2019). Future work should track arsenic species, relevant minerals and process-water composition simultaneously through soaking, heating and milling. Reuse strategies must demonstrate that repeated cycles do not concentrate contaminants or microbial risks. Similar mass-balance logic should be applied to phosphorus, organic load and any electrolytes introduced for ohmic heating.</w:t>
      </w:r>
    </w:p>
    <w:p w14:paraId="18DC6F03" w14:textId="77777777" w:rsidR="00BF7E27" w:rsidRDefault="00000000">
      <w:pPr>
        <w:jc w:val="both"/>
      </w:pPr>
      <w:r>
        <w:t xml:space="preserve">Fifth, scale-up studies must be designed around each technology's characteristic non-uniformity. Microwave systems need field mapping and load-dependent dielectric modelling; infrared systems need surface-flux mapping and kernel-mixing strategies; ohmic systems need current-density, electrode and conductivity control; ultrasound needs acoustic-field and cavitation mapping; radiofrequency requires electrode geometry and penetration studies; </w:t>
      </w:r>
      <w:proofErr w:type="spellStart"/>
      <w:r>
        <w:t>fluidised</w:t>
      </w:r>
      <w:proofErr w:type="spellEnd"/>
      <w:r>
        <w:t xml:space="preserve"> beds require residence-time distribution, pressure-drop and mixing </w:t>
      </w:r>
      <w:proofErr w:type="spellStart"/>
      <w:r>
        <w:t>characterisation</w:t>
      </w:r>
      <w:proofErr w:type="spellEnd"/>
      <w:r>
        <w:t>. Pilot equipment should be large enough that these effects are present. Scaling a laboratory vessel geometrically without reproducing the dominant transport dimension will not provide reliable industrial evidence.</w:t>
      </w:r>
    </w:p>
    <w:p w14:paraId="5B9B888D" w14:textId="77777777" w:rsidR="00BF7E27" w:rsidRDefault="00000000">
      <w:pPr>
        <w:jc w:val="both"/>
      </w:pPr>
      <w:r>
        <w:t xml:space="preserve">Sixth, techno-economic and environmental assessment should accompany pilot development rather than follow successful quality trials. Capital cost, maintenance, water treatment, </w:t>
      </w:r>
      <w:proofErr w:type="spellStart"/>
      <w:r>
        <w:t>labour</w:t>
      </w:r>
      <w:proofErr w:type="spellEnd"/>
      <w:r>
        <w:t xml:space="preserve">, auxiliary electricity, heat </w:t>
      </w:r>
      <w:r>
        <w:lastRenderedPageBreak/>
        <w:t>recovery, equipment lifetime and downtime should be measured prospectively. Environmental assessment should use local electricity and fuel scenarios and should express energy and emissions per unit of specification-compliant product. Improved rice-husk systems remain relevant where biomass is abundant, while electric intensification may be preferable where low-carbon electricity is reliable; direct comparisons should reflect these contexts (</w:t>
      </w:r>
      <w:proofErr w:type="spellStart"/>
      <w:r>
        <w:t>Kwofie</w:t>
      </w:r>
      <w:proofErr w:type="spellEnd"/>
      <w:r>
        <w:t xml:space="preserve"> et al., 2017a, 2017b).</w:t>
      </w:r>
    </w:p>
    <w:p w14:paraId="78D2677B" w14:textId="77777777" w:rsidR="00BF7E27" w:rsidRDefault="00000000">
      <w:pPr>
        <w:jc w:val="both"/>
      </w:pPr>
      <w:r>
        <w:t xml:space="preserve">A practical research </w:t>
      </w:r>
      <w:proofErr w:type="spellStart"/>
      <w:r>
        <w:t>programme</w:t>
      </w:r>
      <w:proofErr w:type="spellEnd"/>
      <w:r>
        <w:t xml:space="preserve"> should also separate discovery, pilot validation and commercial demonstration. At the discovery stage, factorial and response-surface experiments can map mechanisms and identify promising operating regions. Pilot validation should then use independent batches, multiple cultivars and deliberately perturbed feed conditions to test robustness, while collecting complete mass and energy balances. Commercial demonstration should focus on sustained throughput, maintenance, operator workload, water reuse, safety and economic performance across realistic production periods. Advancement between stages should depend on pre-specified performance gates rather than on statistical significance alone. This staged approach would reduce the risk that technologies with impressive laboratory heating rates progress without evidence that they can maintain product uniformity or resource advantages at scale. It would also create a clearer role for negative findings, because failure to meet a gate would identify the mechanism or engineering constraint that requires redesign rather than simply classifying the technology as unsuccessful.</w:t>
      </w:r>
    </w:p>
    <w:p w14:paraId="3AD8C6DB" w14:textId="77777777" w:rsidR="00BF7E27" w:rsidRDefault="00000000">
      <w:pPr>
        <w:jc w:val="both"/>
      </w:pPr>
      <w:r>
        <w:t xml:space="preserve">The longer-term opportunity is a modular parboiling platform rather than a single standard line. Such a platform could combine rapid hydration assistance, controlled </w:t>
      </w:r>
      <w:proofErr w:type="spellStart"/>
      <w:r>
        <w:t>gelatinisation</w:t>
      </w:r>
      <w:proofErr w:type="spellEnd"/>
      <w:r>
        <w:t>, high-rate staged drying, heat recovery and water recirculation, with software selecting operating conditions from raw-material measurements and product targets. The evidence reviewed here supports the feasibility of most individual modules, but not yet their integrated performance. Demonstrating that integration at commercial throughput, over multiple seasons and cultivars, with independently verified quality, safety, energy, water and cost outcomes would materially advance the field beyond proof-of-concept process intensification.</w:t>
      </w:r>
    </w:p>
    <w:p w14:paraId="29518C10" w14:textId="77777777" w:rsidR="00BF7E27" w:rsidRDefault="00000000">
      <w:pPr>
        <w:pStyle w:val="Heading1"/>
      </w:pPr>
      <w:r>
        <w:t>10. Conclusions</w:t>
      </w:r>
    </w:p>
    <w:p w14:paraId="387706BF" w14:textId="77777777" w:rsidR="00BF7E27" w:rsidRDefault="00000000">
      <w:pPr>
        <w:jc w:val="both"/>
      </w:pPr>
      <w:r>
        <w:t xml:space="preserve">Parboiling is best understood as a coupled hydration, </w:t>
      </w:r>
      <w:proofErr w:type="spellStart"/>
      <w:r>
        <w:t>gelatinisation</w:t>
      </w:r>
      <w:proofErr w:type="spellEnd"/>
      <w:r>
        <w:t xml:space="preserve">, consolidation and drying process in which product quality depends on the complete thermal-moisture history. The strongest evidence supports adequate and spatially uniform hydration, sufficient but not excessive </w:t>
      </w:r>
      <w:proofErr w:type="spellStart"/>
      <w:r>
        <w:t>gelatinisation</w:t>
      </w:r>
      <w:proofErr w:type="spellEnd"/>
      <w:r>
        <w:t xml:space="preserve">, and drying schedules that control moisture gradients and allow stress relaxation. These principles explain why parboiling can increase milling robustness while also producing darker </w:t>
      </w:r>
      <w:proofErr w:type="spellStart"/>
      <w:r>
        <w:t>colour</w:t>
      </w:r>
      <w:proofErr w:type="spellEnd"/>
      <w:r>
        <w:t>, firmer texture or longer cooking time when severity is not balanced.</w:t>
      </w:r>
    </w:p>
    <w:p w14:paraId="494AAB6C" w14:textId="77777777" w:rsidR="00BF7E27" w:rsidRDefault="00000000">
      <w:pPr>
        <w:jc w:val="both"/>
      </w:pPr>
      <w:r>
        <w:t xml:space="preserve">Emerging technologies expand the range of ways in which these principles can be implemented. Microwave, infrared, ohmic, ultrasound, radiofrequency, vacuum-assisted and </w:t>
      </w:r>
      <w:proofErr w:type="spellStart"/>
      <w:r>
        <w:t>fluidised</w:t>
      </w:r>
      <w:proofErr w:type="spellEnd"/>
      <w:r>
        <w:t xml:space="preserve">-bed approaches can shorten individual operations, alter heat and mass transfer, reduce dependence on conventional steam, or integrate </w:t>
      </w:r>
      <w:proofErr w:type="spellStart"/>
      <w:r>
        <w:t>gelatinisation</w:t>
      </w:r>
      <w:proofErr w:type="spellEnd"/>
      <w:r>
        <w:t xml:space="preserve"> with drying. Their promise is technically credible, but comparative evidence is still dominated by laboratory and pilot studies with different cultivars, system boundaries and outcome definitions. No single technology can presently be identified as universally superior across milling quality, sensory properties, nutrition, energy, water, safety, reliability and cost.</w:t>
      </w:r>
    </w:p>
    <w:p w14:paraId="509F2680" w14:textId="77777777" w:rsidR="00BF7E27" w:rsidRDefault="00000000">
      <w:pPr>
        <w:jc w:val="both"/>
      </w:pPr>
      <w:r>
        <w:t xml:space="preserve">The most defensible direction is therefore multi-objective, cultivar-aware </w:t>
      </w:r>
      <w:proofErr w:type="spellStart"/>
      <w:r>
        <w:t>optimisation</w:t>
      </w:r>
      <w:proofErr w:type="spellEnd"/>
      <w:r>
        <w:t xml:space="preserve">. Future parboiling systems should target a specified product state rather than follow fixed time-temperature recipes, and should evaluate saleable yield, </w:t>
      </w:r>
      <w:proofErr w:type="spellStart"/>
      <w:r>
        <w:t>colour</w:t>
      </w:r>
      <w:proofErr w:type="spellEnd"/>
      <w:r>
        <w:t xml:space="preserve">, texture, digestibility, mineral and contaminant </w:t>
      </w:r>
      <w:proofErr w:type="spellStart"/>
      <w:r>
        <w:t>behaviour</w:t>
      </w:r>
      <w:proofErr w:type="spellEnd"/>
      <w:r>
        <w:t xml:space="preserve">, energy, water and effluent together. Progress will depend less on identifying another rapid heating method than on integrating sensing, mechanistic understanding, data-driven control, staged drying, resource recovery and realistic scale-up. When those elements are combined, parboiling can evolve from an energy-intensive empirical treatment </w:t>
      </w:r>
      <w:r>
        <w:lastRenderedPageBreak/>
        <w:t>into a controllable manufacturing platform capable of producing differentiated rice products with predictable quality and resource performance.</w:t>
      </w:r>
    </w:p>
    <w:p w14:paraId="0494D54B" w14:textId="77777777" w:rsidR="00BF7E27" w:rsidRDefault="00000000">
      <w:pPr>
        <w:pStyle w:val="Heading1"/>
      </w:pPr>
      <w:r>
        <w:t>11. Limitations</w:t>
      </w:r>
    </w:p>
    <w:p w14:paraId="5CC75B16" w14:textId="77777777" w:rsidR="00BF7E27" w:rsidRDefault="00000000">
      <w:pPr>
        <w:jc w:val="both"/>
      </w:pPr>
      <w:r>
        <w:t xml:space="preserve">As a critical narrative review, this synthesis is intrinsically vulnerable to selection and interpretive bias despite the use of a transparent search logic, source verification and explicit appraisal criteria. The evidence base is also heterogeneous in rice genotype, initial moisture, equipment geometry, process severity, analytical methods and outcome definitions, which limits direct comparison and precludes quantitative synthesis. Access to subscription databases was incomplete, and only English-language studies that could be reliably verified were included. Emerging-technology evidence is concentrated in laboratory and pilot studies, often with one or a few cultivars and short experimental campaigns, so long-term reliability and industrial external validity remain uncertain. Energy and economic results were reported with inconsistent system boundaries, while water and effluent outcomes were measured less often than grain quality. Nutritional findings frequently rely on compositional or </w:t>
      </w:r>
      <w:r w:rsidRPr="00974353">
        <w:rPr>
          <w:i/>
          <w:iCs/>
        </w:rPr>
        <w:t>in vitro</w:t>
      </w:r>
      <w:r>
        <w:t xml:space="preserve"> endpoints rather than human studies. Rapid development of the field also means that technologies reported after the final search date are not represented. These limitations </w:t>
      </w:r>
      <w:proofErr w:type="spellStart"/>
      <w:r>
        <w:t>favour</w:t>
      </w:r>
      <w:proofErr w:type="spellEnd"/>
      <w:r>
        <w:t xml:space="preserve"> cautious interpretation of cross-technology rankings and strengthen the need for </w:t>
      </w:r>
      <w:proofErr w:type="spellStart"/>
      <w:r>
        <w:t>harmonised</w:t>
      </w:r>
      <w:proofErr w:type="spellEnd"/>
      <w:r>
        <w:t>, independently replicated scale-up studies.</w:t>
      </w:r>
    </w:p>
    <w:p w14:paraId="66FE47B6" w14:textId="77777777" w:rsidR="00F45ADA" w:rsidRPr="000839CE" w:rsidRDefault="00F45ADA" w:rsidP="00F45ADA">
      <w:pPr>
        <w:spacing w:after="0" w:line="240" w:lineRule="auto"/>
        <w:rPr>
          <w:rFonts w:cs="Times New Roman"/>
          <w:b/>
        </w:rPr>
      </w:pPr>
      <w:r w:rsidRPr="000839CE">
        <w:rPr>
          <w:rFonts w:cs="Times New Roman"/>
          <w:b/>
        </w:rPr>
        <w:t>Declaration of AI Use</w:t>
      </w:r>
    </w:p>
    <w:p w14:paraId="44120076" w14:textId="77777777" w:rsidR="00F45ADA" w:rsidRPr="000839CE" w:rsidRDefault="00F45ADA" w:rsidP="00F45ADA">
      <w:pPr>
        <w:spacing w:after="0" w:line="240" w:lineRule="auto"/>
        <w:rPr>
          <w:rFonts w:cs="Times New Roman"/>
        </w:rPr>
      </w:pPr>
    </w:p>
    <w:p w14:paraId="01A88590" w14:textId="77777777" w:rsidR="00F45ADA" w:rsidRPr="000839CE" w:rsidRDefault="00F45ADA" w:rsidP="00F45ADA">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9189EDC" w14:textId="77777777" w:rsidR="00F45ADA" w:rsidRDefault="00F45ADA">
      <w:pPr>
        <w:jc w:val="both"/>
      </w:pPr>
    </w:p>
    <w:p w14:paraId="00932496" w14:textId="77777777" w:rsidR="00BF7E27" w:rsidRDefault="00000000">
      <w:pPr>
        <w:pStyle w:val="Heading1"/>
      </w:pPr>
      <w:r>
        <w:t>References</w:t>
      </w:r>
    </w:p>
    <w:p w14:paraId="27EF3216" w14:textId="77777777" w:rsidR="00BF7E27" w:rsidRDefault="00000000">
      <w:pPr>
        <w:spacing w:after="100" w:line="240" w:lineRule="auto"/>
        <w:ind w:left="432" w:hanging="432"/>
      </w:pPr>
      <w:proofErr w:type="spellStart"/>
      <w:r>
        <w:t>Adhikaritanayake</w:t>
      </w:r>
      <w:proofErr w:type="spellEnd"/>
      <w:r>
        <w:t xml:space="preserve">, T. B., &amp; </w:t>
      </w:r>
      <w:proofErr w:type="spellStart"/>
      <w:r>
        <w:t>Noomhorm</w:t>
      </w:r>
      <w:proofErr w:type="spellEnd"/>
      <w:r>
        <w:t xml:space="preserve">, A. (1998). Effect of continuous steaming on parboiled rice quality. </w:t>
      </w:r>
      <w:r>
        <w:rPr>
          <w:i/>
        </w:rPr>
        <w:t>Journal of Food Engineering, 36</w:t>
      </w:r>
      <w:r>
        <w:t xml:space="preserve">(1), 135–143. </w:t>
      </w:r>
      <w:r>
        <w:rPr>
          <w:color w:val="0563C1"/>
          <w:u w:val="single"/>
        </w:rPr>
        <w:t>https://doi.org/10.1016/S0260-8774(97)00086-1</w:t>
      </w:r>
    </w:p>
    <w:p w14:paraId="1E613430" w14:textId="77777777" w:rsidR="00BF7E27" w:rsidRDefault="00000000">
      <w:pPr>
        <w:spacing w:after="100" w:line="240" w:lineRule="auto"/>
        <w:ind w:left="432" w:hanging="432"/>
      </w:pPr>
      <w:proofErr w:type="spellStart"/>
      <w:r>
        <w:t>Baethge</w:t>
      </w:r>
      <w:proofErr w:type="spellEnd"/>
      <w:r>
        <w:t xml:space="preserve">, C., Goldbeck-Wood, S., &amp; Mertens, S. (2019). SANRA—a scale for the quality assessment of narrative review articles. </w:t>
      </w:r>
      <w:r>
        <w:rPr>
          <w:i/>
        </w:rPr>
        <w:t>Research Integrity and Peer Review, 4</w:t>
      </w:r>
      <w:r>
        <w:t xml:space="preserve">, 5. </w:t>
      </w:r>
      <w:r>
        <w:rPr>
          <w:color w:val="0563C1"/>
          <w:u w:val="single"/>
        </w:rPr>
        <w:t>https://doi.org/10.1186/s41073-019-0064-8</w:t>
      </w:r>
    </w:p>
    <w:p w14:paraId="121BCB47" w14:textId="77777777" w:rsidR="00BF7E27" w:rsidRDefault="00000000">
      <w:pPr>
        <w:spacing w:after="100" w:line="240" w:lineRule="auto"/>
        <w:ind w:left="432" w:hanging="432"/>
      </w:pPr>
      <w:r>
        <w:t xml:space="preserve">Bakshi, A. S., &amp; Singh, R. P. (1980). Kinetics of water diffusion and starch gelatinization during rice parboiling. </w:t>
      </w:r>
      <w:r>
        <w:rPr>
          <w:i/>
        </w:rPr>
        <w:t>Journal of Food Science, 45</w:t>
      </w:r>
      <w:r>
        <w:t xml:space="preserve">(5), 1387–1392. </w:t>
      </w:r>
      <w:r>
        <w:rPr>
          <w:color w:val="0563C1"/>
          <w:u w:val="single"/>
        </w:rPr>
        <w:t>https://doi.org/10.1111/j.1365-2621.1980.tb06561.x</w:t>
      </w:r>
    </w:p>
    <w:p w14:paraId="4F52169B" w14:textId="77777777" w:rsidR="00BF7E27" w:rsidRDefault="00000000">
      <w:pPr>
        <w:spacing w:after="100" w:line="240" w:lineRule="auto"/>
        <w:ind w:left="432" w:hanging="432"/>
      </w:pPr>
      <w:r>
        <w:t xml:space="preserve">Behera, G., &amp; Sutar, P. P. (2018). A comprehensive review of mathematical modeling of paddy parboiling and drying: Effects of modern techniques on process kinetics and rice quality. </w:t>
      </w:r>
      <w:r>
        <w:rPr>
          <w:i/>
        </w:rPr>
        <w:t>Trends in Food Science &amp; Technology, 75</w:t>
      </w:r>
      <w:r>
        <w:t xml:space="preserve">, 206–230. </w:t>
      </w:r>
      <w:r>
        <w:rPr>
          <w:color w:val="0563C1"/>
          <w:u w:val="single"/>
        </w:rPr>
        <w:t>https://doi.org/10.1016/j.tifs.2018.03.015</w:t>
      </w:r>
    </w:p>
    <w:p w14:paraId="1B3A1629" w14:textId="77777777" w:rsidR="00BF7E27" w:rsidRDefault="00000000">
      <w:pPr>
        <w:spacing w:after="100" w:line="240" w:lineRule="auto"/>
        <w:ind w:left="432" w:hanging="432"/>
      </w:pPr>
      <w:r>
        <w:t xml:space="preserve">Bualuang, O., </w:t>
      </w:r>
      <w:proofErr w:type="spellStart"/>
      <w:r>
        <w:t>Tirawanichakul</w:t>
      </w:r>
      <w:proofErr w:type="spellEnd"/>
      <w:r>
        <w:t xml:space="preserve">, Y., &amp; </w:t>
      </w:r>
      <w:proofErr w:type="spellStart"/>
      <w:r>
        <w:t>Tirawanichakul</w:t>
      </w:r>
      <w:proofErr w:type="spellEnd"/>
      <w:r>
        <w:t xml:space="preserve">, S. (2013). Comparative study between hot air and infrared drying of parboiled rice: Kinetics and qualities aspects. </w:t>
      </w:r>
      <w:r>
        <w:rPr>
          <w:i/>
        </w:rPr>
        <w:t>Journal of Food Processing and Preservation, 37</w:t>
      </w:r>
      <w:r>
        <w:t xml:space="preserve">(6), 1119–1132. </w:t>
      </w:r>
      <w:r>
        <w:rPr>
          <w:color w:val="0563C1"/>
          <w:u w:val="single"/>
        </w:rPr>
        <w:t>https://doi.org/10.1111/j.1745-4549.2012.00813.x</w:t>
      </w:r>
    </w:p>
    <w:p w14:paraId="1E70D699" w14:textId="77777777" w:rsidR="00BF7E27" w:rsidRDefault="00000000">
      <w:pPr>
        <w:spacing w:after="100" w:line="240" w:lineRule="auto"/>
        <w:ind w:left="432" w:hanging="432"/>
      </w:pPr>
      <w:proofErr w:type="spellStart"/>
      <w:r>
        <w:t>Buggenhout</w:t>
      </w:r>
      <w:proofErr w:type="spellEnd"/>
      <w:r>
        <w:t xml:space="preserve">, J., </w:t>
      </w:r>
      <w:proofErr w:type="spellStart"/>
      <w:r>
        <w:t>Brijs</w:t>
      </w:r>
      <w:proofErr w:type="spellEnd"/>
      <w:r>
        <w:t xml:space="preserve">, K., Van Oevelen, J., &amp; Delcour, J. A. (2014). Milling breakage susceptibility and mechanical properties of parboiled brown rice kernels. </w:t>
      </w:r>
      <w:r>
        <w:rPr>
          <w:i/>
        </w:rPr>
        <w:t>LWT - Food Science and Technology, 59</w:t>
      </w:r>
      <w:r>
        <w:t xml:space="preserve">(1), 369–375. </w:t>
      </w:r>
      <w:r>
        <w:rPr>
          <w:color w:val="0563C1"/>
          <w:u w:val="single"/>
        </w:rPr>
        <w:t>https://doi.org/10.1016/j.lwt.2014.05.001</w:t>
      </w:r>
    </w:p>
    <w:p w14:paraId="69E56BCB" w14:textId="77777777" w:rsidR="00BF7E27" w:rsidRPr="004F3956" w:rsidRDefault="00000000">
      <w:pPr>
        <w:spacing w:after="100" w:line="240" w:lineRule="auto"/>
        <w:ind w:left="432" w:hanging="432"/>
      </w:pPr>
      <w:proofErr w:type="spellStart"/>
      <w:r w:rsidRPr="004F3956">
        <w:lastRenderedPageBreak/>
        <w:t>Cheevitsopon</w:t>
      </w:r>
      <w:proofErr w:type="spellEnd"/>
      <w:r w:rsidRPr="004F3956">
        <w:t xml:space="preserve">, E., &amp; </w:t>
      </w:r>
      <w:proofErr w:type="spellStart"/>
      <w:r w:rsidRPr="004F3956">
        <w:t>Noomhorm</w:t>
      </w:r>
      <w:proofErr w:type="spellEnd"/>
      <w:r w:rsidRPr="004F3956">
        <w:t xml:space="preserve">, A. (2015). Effects of superheated steam fluidized bed drying on the quality of parboiled germinated brown rice. </w:t>
      </w:r>
      <w:r w:rsidRPr="004F3956">
        <w:rPr>
          <w:i/>
        </w:rPr>
        <w:t>Journal of Food Processing and Preservation, 39</w:t>
      </w:r>
      <w:r w:rsidRPr="004F3956">
        <w:t xml:space="preserve">(4), 349–356. </w:t>
      </w:r>
      <w:r w:rsidRPr="004F3956">
        <w:rPr>
          <w:color w:val="0563C1"/>
          <w:u w:val="single"/>
        </w:rPr>
        <w:t>https://doi.org/10.1111/jfpp.12239</w:t>
      </w:r>
    </w:p>
    <w:p w14:paraId="21653E23" w14:textId="77777777" w:rsidR="00BF7E27" w:rsidRPr="004F3956" w:rsidRDefault="00000000">
      <w:pPr>
        <w:spacing w:after="100" w:line="240" w:lineRule="auto"/>
        <w:ind w:left="432" w:hanging="432"/>
      </w:pPr>
      <w:r w:rsidRPr="004F3956">
        <w:t xml:space="preserve">D'cruz, V., Chandran, M., </w:t>
      </w:r>
      <w:proofErr w:type="spellStart"/>
      <w:r w:rsidRPr="004F3956">
        <w:t>Athmaselvi</w:t>
      </w:r>
      <w:proofErr w:type="spellEnd"/>
      <w:r w:rsidRPr="004F3956">
        <w:t xml:space="preserve">, K. A., Rawson, A., &amp; Natarajan, V. (2023). Ohmic heating using electrolytes for paddy parboiling: A study on thermal profile, electrical conductivity, milling quality, and nutritional attributes. </w:t>
      </w:r>
      <w:r w:rsidRPr="004F3956">
        <w:rPr>
          <w:i/>
        </w:rPr>
        <w:t>Journal of Food Process Engineering, 46</w:t>
      </w:r>
      <w:r w:rsidRPr="004F3956">
        <w:t xml:space="preserve">(3), e14276. </w:t>
      </w:r>
      <w:r w:rsidRPr="004F3956">
        <w:rPr>
          <w:color w:val="0563C1"/>
          <w:u w:val="single"/>
        </w:rPr>
        <w:t>https://doi.org/10.1111/jfpe.14276</w:t>
      </w:r>
    </w:p>
    <w:p w14:paraId="440D9410" w14:textId="77777777" w:rsidR="00BF7E27" w:rsidRPr="004F3956" w:rsidRDefault="00000000">
      <w:pPr>
        <w:spacing w:after="100" w:line="240" w:lineRule="auto"/>
        <w:ind w:left="432" w:hanging="432"/>
      </w:pPr>
      <w:r w:rsidRPr="004F3956">
        <w:t xml:space="preserve">Elbert, G., Tolaba, M. P., &amp; Suárez, C. (2001). Effects of drying conditions on head rice yield and browning index of parboiled rice. </w:t>
      </w:r>
      <w:r w:rsidRPr="004F3956">
        <w:rPr>
          <w:i/>
        </w:rPr>
        <w:t>Journal of Food Engineering, 47</w:t>
      </w:r>
      <w:r w:rsidRPr="004F3956">
        <w:t xml:space="preserve">(1), 37–41. </w:t>
      </w:r>
      <w:r w:rsidRPr="004F3956">
        <w:rPr>
          <w:color w:val="0563C1"/>
          <w:u w:val="single"/>
        </w:rPr>
        <w:t>https://doi.org/10.1016/S0260-8774(00)00097-2</w:t>
      </w:r>
    </w:p>
    <w:p w14:paraId="57F6115D" w14:textId="77777777" w:rsidR="00BF7E27" w:rsidRPr="004F3956" w:rsidRDefault="00000000">
      <w:pPr>
        <w:spacing w:after="100" w:line="240" w:lineRule="auto"/>
        <w:ind w:left="432" w:hanging="432"/>
      </w:pPr>
      <w:r w:rsidRPr="004F3956">
        <w:t xml:space="preserve">Figueiredo, E. L., de Azevedo, P. A., de Oliveira Monte, M., </w:t>
      </w:r>
      <w:proofErr w:type="spellStart"/>
      <w:r w:rsidRPr="004F3956">
        <w:t>Mubai</w:t>
      </w:r>
      <w:proofErr w:type="spellEnd"/>
      <w:r w:rsidRPr="004F3956">
        <w:t xml:space="preserve">, N. H., de Lima Costa, I. H., Colussi, R., Vanier, N. L., Pio Ávila, B., &amp; Elias, M. C. (2026). Enhancing parboiled rice quality: A review on chemical additives and emerging processing technologies. </w:t>
      </w:r>
      <w:r w:rsidRPr="004F3956">
        <w:rPr>
          <w:i/>
        </w:rPr>
        <w:t>Food Research International, 231</w:t>
      </w:r>
      <w:r w:rsidRPr="004F3956">
        <w:t xml:space="preserve">, 118571. </w:t>
      </w:r>
      <w:r w:rsidRPr="004F3956">
        <w:rPr>
          <w:color w:val="0563C1"/>
          <w:u w:val="single"/>
        </w:rPr>
        <w:t>https://doi.org/10.1016/j.foodres.2026.118571</w:t>
      </w:r>
    </w:p>
    <w:p w14:paraId="1604F7AD" w14:textId="77777777" w:rsidR="00BF7E27" w:rsidRPr="004F3956" w:rsidRDefault="00000000">
      <w:pPr>
        <w:spacing w:after="100" w:line="240" w:lineRule="auto"/>
        <w:ind w:left="432" w:hanging="432"/>
      </w:pPr>
      <w:r w:rsidRPr="004F3956">
        <w:t xml:space="preserve">Fontanella, M. C., Martin, M., </w:t>
      </w:r>
      <w:proofErr w:type="spellStart"/>
      <w:r w:rsidRPr="004F3956">
        <w:t>Tenni</w:t>
      </w:r>
      <w:proofErr w:type="spellEnd"/>
      <w:r w:rsidRPr="004F3956">
        <w:t xml:space="preserve">, D., </w:t>
      </w:r>
      <w:proofErr w:type="spellStart"/>
      <w:r w:rsidRPr="004F3956">
        <w:t>Beone</w:t>
      </w:r>
      <w:proofErr w:type="spellEnd"/>
      <w:r w:rsidRPr="004F3956">
        <w:t xml:space="preserve">, G. M., &amp; Romani, M. (2021). Effect of milling and parboiling processes on arsenic species distribution in rice grains. </w:t>
      </w:r>
      <w:r w:rsidRPr="004F3956">
        <w:rPr>
          <w:i/>
        </w:rPr>
        <w:t>Rice Science, 28</w:t>
      </w:r>
      <w:r w:rsidRPr="004F3956">
        <w:t xml:space="preserve">(4), 402–408. </w:t>
      </w:r>
      <w:r w:rsidRPr="004F3956">
        <w:rPr>
          <w:color w:val="0563C1"/>
          <w:u w:val="single"/>
        </w:rPr>
        <w:t>https://doi.org/10.1016/j.rsci.2021.05.010</w:t>
      </w:r>
    </w:p>
    <w:p w14:paraId="579E67FC" w14:textId="77777777" w:rsidR="00BF7E27" w:rsidRPr="004F3956" w:rsidRDefault="00000000">
      <w:pPr>
        <w:spacing w:after="100" w:line="240" w:lineRule="auto"/>
        <w:ind w:left="432" w:hanging="432"/>
      </w:pPr>
      <w:r w:rsidRPr="004F3956">
        <w:t xml:space="preserve">Gokul Devi, E., </w:t>
      </w:r>
      <w:proofErr w:type="spellStart"/>
      <w:r w:rsidRPr="004F3956">
        <w:t>Athmaselvi</w:t>
      </w:r>
      <w:proofErr w:type="spellEnd"/>
      <w:r w:rsidRPr="004F3956">
        <w:t xml:space="preserve">, K. A., </w:t>
      </w:r>
      <w:proofErr w:type="spellStart"/>
      <w:r w:rsidRPr="004F3956">
        <w:t>Venkatachalapathy</w:t>
      </w:r>
      <w:proofErr w:type="spellEnd"/>
      <w:r w:rsidRPr="004F3956">
        <w:t xml:space="preserve">, N., &amp; Rawson, A. (2025). Innovative parboiling technologies and their impact on paddy milling quality. </w:t>
      </w:r>
      <w:r w:rsidRPr="004F3956">
        <w:rPr>
          <w:i/>
        </w:rPr>
        <w:t>Journal of Food Process Engineering, 48</w:t>
      </w:r>
      <w:r w:rsidRPr="004F3956">
        <w:t xml:space="preserve">(6), e70136. </w:t>
      </w:r>
      <w:r w:rsidRPr="004F3956">
        <w:rPr>
          <w:color w:val="0563C1"/>
          <w:u w:val="single"/>
        </w:rPr>
        <w:t>https://doi.org/10.1111/jfpe.70136</w:t>
      </w:r>
    </w:p>
    <w:p w14:paraId="73081AF7" w14:textId="77777777" w:rsidR="00BF7E27" w:rsidRPr="004F3956" w:rsidRDefault="00000000">
      <w:pPr>
        <w:spacing w:after="100" w:line="240" w:lineRule="auto"/>
        <w:ind w:left="432" w:hanging="432"/>
      </w:pPr>
      <w:r w:rsidRPr="004F3956">
        <w:t xml:space="preserve">Gunaratne, A., Kao, W., </w:t>
      </w:r>
      <w:proofErr w:type="spellStart"/>
      <w:r w:rsidRPr="004F3956">
        <w:t>Ratnayaka</w:t>
      </w:r>
      <w:proofErr w:type="spellEnd"/>
      <w:r w:rsidRPr="004F3956">
        <w:t xml:space="preserve">, J., Collado, L., &amp; Corke, H. (2013). Effect of parboiling on the formation of resistant starch, digestibility and functional properties of rice flour from different varieties grown in Sri Lanka. </w:t>
      </w:r>
      <w:r w:rsidRPr="004F3956">
        <w:rPr>
          <w:i/>
        </w:rPr>
        <w:t>Journal of the Science of Food and Agriculture, 93</w:t>
      </w:r>
      <w:r w:rsidRPr="004F3956">
        <w:t xml:space="preserve">(11), 2723–2729. </w:t>
      </w:r>
      <w:r w:rsidRPr="004F3956">
        <w:rPr>
          <w:color w:val="0563C1"/>
          <w:u w:val="single"/>
        </w:rPr>
        <w:t>https://doi.org/10.1002/jsfa.6091</w:t>
      </w:r>
    </w:p>
    <w:p w14:paraId="18FF6F91" w14:textId="77777777" w:rsidR="00BF7E27" w:rsidRPr="004F3956" w:rsidRDefault="00000000">
      <w:pPr>
        <w:spacing w:after="100" w:line="240" w:lineRule="auto"/>
        <w:ind w:left="432" w:hanging="432"/>
      </w:pPr>
      <w:r w:rsidRPr="004F3956">
        <w:t xml:space="preserve">Huang, W., Song, E., Lee, D., Seo, S., Lee, J., Jeong, J., Chang, Y.-H., Lee, Y.-M., &amp; Hwang, J. (2021). Characteristics of functional brown rice prepared by parboiling and microwave drying. </w:t>
      </w:r>
      <w:r w:rsidRPr="004F3956">
        <w:rPr>
          <w:i/>
        </w:rPr>
        <w:t>Journal of Stored Products Research, 92</w:t>
      </w:r>
      <w:r w:rsidRPr="004F3956">
        <w:t xml:space="preserve">, 101796. </w:t>
      </w:r>
      <w:r w:rsidRPr="004F3956">
        <w:rPr>
          <w:color w:val="0563C1"/>
          <w:u w:val="single"/>
        </w:rPr>
        <w:t>https://doi.org/10.1016/j.jspr.2021.101796</w:t>
      </w:r>
    </w:p>
    <w:p w14:paraId="1A67CEA4" w14:textId="77777777" w:rsidR="00BF7E27" w:rsidRPr="004F3956" w:rsidRDefault="00000000">
      <w:pPr>
        <w:spacing w:after="100" w:line="240" w:lineRule="auto"/>
        <w:ind w:left="432" w:hanging="432"/>
      </w:pPr>
      <w:proofErr w:type="spellStart"/>
      <w:r w:rsidRPr="004F3956">
        <w:t>Jittanit</w:t>
      </w:r>
      <w:proofErr w:type="spellEnd"/>
      <w:r w:rsidRPr="004F3956">
        <w:t xml:space="preserve">, W., &amp; </w:t>
      </w:r>
      <w:proofErr w:type="spellStart"/>
      <w:r w:rsidRPr="004F3956">
        <w:t>Angkaew</w:t>
      </w:r>
      <w:proofErr w:type="spellEnd"/>
      <w:r w:rsidRPr="004F3956">
        <w:t xml:space="preserve">, K. (2021). Effect of drying schemes using superheated-steam and hot-air as drying media on the quality of parboiled chalky rice compared to conventional parboiling. </w:t>
      </w:r>
      <w:r w:rsidRPr="004F3956">
        <w:rPr>
          <w:i/>
        </w:rPr>
        <w:t>Drying Technology, 39</w:t>
      </w:r>
      <w:r w:rsidRPr="004F3956">
        <w:t xml:space="preserve">(16), 2218–2233. </w:t>
      </w:r>
      <w:r w:rsidRPr="004F3956">
        <w:rPr>
          <w:color w:val="0563C1"/>
          <w:u w:val="single"/>
        </w:rPr>
        <w:t>https://doi.org/10.1080/07373937.2020.1761375</w:t>
      </w:r>
    </w:p>
    <w:p w14:paraId="1B6F2F90" w14:textId="77777777" w:rsidR="00BF7E27" w:rsidRPr="004F3956" w:rsidRDefault="00000000">
      <w:pPr>
        <w:spacing w:after="100" w:line="240" w:lineRule="auto"/>
        <w:ind w:left="432" w:hanging="432"/>
      </w:pPr>
      <w:r w:rsidRPr="004F3956">
        <w:t xml:space="preserve">Kumar, A., Lal, M. K., Nayak, S., Sahoo, U., Behera, A., Bagchi, T. B., Parameswaran, C., Swain, P., &amp; Sharma, S. (2022). Effect of parboiling on starch digestibility and mineral bioavailability in rice (Oryza sativa L.). </w:t>
      </w:r>
      <w:r w:rsidRPr="004F3956">
        <w:rPr>
          <w:i/>
        </w:rPr>
        <w:t>LWT, 156</w:t>
      </w:r>
      <w:r w:rsidRPr="004F3956">
        <w:t xml:space="preserve">, 113026. </w:t>
      </w:r>
      <w:r w:rsidRPr="004F3956">
        <w:rPr>
          <w:color w:val="0563C1"/>
          <w:u w:val="single"/>
        </w:rPr>
        <w:t>https://doi.org/10.1016/j.lwt.2021.113026</w:t>
      </w:r>
    </w:p>
    <w:p w14:paraId="138073D1" w14:textId="77777777" w:rsidR="00BF7E27" w:rsidRPr="004F3956" w:rsidRDefault="00000000">
      <w:pPr>
        <w:spacing w:after="100" w:line="240" w:lineRule="auto"/>
        <w:ind w:left="432" w:hanging="432"/>
      </w:pPr>
      <w:r w:rsidRPr="004F3956">
        <w:t xml:space="preserve">Kwofie, E. M., Ngadi, M., &amp; </w:t>
      </w:r>
      <w:proofErr w:type="spellStart"/>
      <w:r w:rsidRPr="004F3956">
        <w:t>Sotocinal</w:t>
      </w:r>
      <w:proofErr w:type="spellEnd"/>
      <w:r w:rsidRPr="004F3956">
        <w:t xml:space="preserve">, S. (2017a). Energy efficiency and emission assessment of a continuous rice husk stove for rice parboiling. </w:t>
      </w:r>
      <w:r w:rsidRPr="004F3956">
        <w:rPr>
          <w:i/>
        </w:rPr>
        <w:t>Energy, 122</w:t>
      </w:r>
      <w:r w:rsidRPr="004F3956">
        <w:t xml:space="preserve">, 340–349. </w:t>
      </w:r>
      <w:r w:rsidRPr="004F3956">
        <w:rPr>
          <w:color w:val="0563C1"/>
          <w:u w:val="single"/>
        </w:rPr>
        <w:t>https://doi.org/10.1016/j.energy.2016.12.104</w:t>
      </w:r>
    </w:p>
    <w:p w14:paraId="41E7DDDC" w14:textId="77777777" w:rsidR="00BF7E27" w:rsidRPr="004F3956" w:rsidRDefault="00000000">
      <w:pPr>
        <w:spacing w:after="100" w:line="240" w:lineRule="auto"/>
        <w:ind w:left="432" w:hanging="432"/>
      </w:pPr>
      <w:r w:rsidRPr="004F3956">
        <w:t xml:space="preserve">Kwofie, E. M., Ngadi, M., &amp; </w:t>
      </w:r>
      <w:proofErr w:type="spellStart"/>
      <w:r w:rsidRPr="004F3956">
        <w:t>Sotocinal</w:t>
      </w:r>
      <w:proofErr w:type="spellEnd"/>
      <w:r w:rsidRPr="004F3956">
        <w:t xml:space="preserve">, S. (2017b). Thermodynamic evaluation of a rice husk fired integrated steam and hot air generation unit for rice parboiling. </w:t>
      </w:r>
      <w:r w:rsidRPr="004F3956">
        <w:rPr>
          <w:i/>
        </w:rPr>
        <w:t>Energy, 128</w:t>
      </w:r>
      <w:r w:rsidRPr="004F3956">
        <w:t xml:space="preserve">, 39–49. </w:t>
      </w:r>
      <w:r w:rsidRPr="004F3956">
        <w:rPr>
          <w:color w:val="0563C1"/>
          <w:u w:val="single"/>
        </w:rPr>
        <w:t>https://doi.org/10.1016/j.energy.2017.04.013</w:t>
      </w:r>
    </w:p>
    <w:p w14:paraId="77371EF4" w14:textId="77777777" w:rsidR="00BF7E27" w:rsidRPr="004F3956" w:rsidRDefault="00000000">
      <w:pPr>
        <w:spacing w:after="100" w:line="240" w:lineRule="auto"/>
        <w:ind w:left="432" w:hanging="432"/>
      </w:pPr>
      <w:r w:rsidRPr="004F3956">
        <w:t xml:space="preserve">Lamberts, L., </w:t>
      </w:r>
      <w:proofErr w:type="spellStart"/>
      <w:r w:rsidRPr="004F3956">
        <w:t>Brijs</w:t>
      </w:r>
      <w:proofErr w:type="spellEnd"/>
      <w:r w:rsidRPr="004F3956">
        <w:t xml:space="preserve">, K., Mohamed, R., Verhelst, N., &amp; Delcour, J. A. (2006). Impact of browning reactions and bran pigments on color of parboiled rice. </w:t>
      </w:r>
      <w:r w:rsidRPr="004F3956">
        <w:rPr>
          <w:i/>
        </w:rPr>
        <w:t>Journal of Agricultural and Food Chemistry, 54</w:t>
      </w:r>
      <w:r w:rsidRPr="004F3956">
        <w:t xml:space="preserve">(26), 9924–9929. </w:t>
      </w:r>
      <w:r w:rsidRPr="004F3956">
        <w:rPr>
          <w:color w:val="0563C1"/>
          <w:u w:val="single"/>
        </w:rPr>
        <w:t>https://doi.org/10.1021/jf062140j</w:t>
      </w:r>
    </w:p>
    <w:p w14:paraId="18AB7546" w14:textId="77777777" w:rsidR="00BF7E27" w:rsidRPr="004F3956" w:rsidRDefault="00000000">
      <w:pPr>
        <w:spacing w:after="100" w:line="240" w:lineRule="auto"/>
        <w:ind w:left="432" w:hanging="432"/>
      </w:pPr>
      <w:r w:rsidRPr="004F3956">
        <w:t xml:space="preserve">Lamberts, L., </w:t>
      </w:r>
      <w:proofErr w:type="spellStart"/>
      <w:r w:rsidRPr="004F3956">
        <w:t>Rombouts</w:t>
      </w:r>
      <w:proofErr w:type="spellEnd"/>
      <w:r w:rsidRPr="004F3956">
        <w:t xml:space="preserve">, I., </w:t>
      </w:r>
      <w:proofErr w:type="spellStart"/>
      <w:r w:rsidRPr="004F3956">
        <w:t>Brijs</w:t>
      </w:r>
      <w:proofErr w:type="spellEnd"/>
      <w:r w:rsidRPr="004F3956">
        <w:t xml:space="preserve">, K., </w:t>
      </w:r>
      <w:proofErr w:type="spellStart"/>
      <w:r w:rsidRPr="004F3956">
        <w:t>Gebruers</w:t>
      </w:r>
      <w:proofErr w:type="spellEnd"/>
      <w:r w:rsidRPr="004F3956">
        <w:t xml:space="preserve">, K., &amp; Delcour, J. A. (2008). Impact of parboiling conditions on Maillard precursors and indicators in long-grain rice cultivars. </w:t>
      </w:r>
      <w:r w:rsidRPr="004F3956">
        <w:rPr>
          <w:i/>
        </w:rPr>
        <w:t>Food Chemistry, 110</w:t>
      </w:r>
      <w:r w:rsidRPr="004F3956">
        <w:t xml:space="preserve">(4), 916–922. </w:t>
      </w:r>
      <w:r w:rsidRPr="004F3956">
        <w:rPr>
          <w:color w:val="0563C1"/>
          <w:u w:val="single"/>
        </w:rPr>
        <w:t>https://doi.org/10.1016/j.foodchem.2008.02.080</w:t>
      </w:r>
    </w:p>
    <w:p w14:paraId="04BEB103" w14:textId="77777777" w:rsidR="00BF7E27" w:rsidRPr="004F3956" w:rsidRDefault="00000000">
      <w:pPr>
        <w:spacing w:after="100" w:line="240" w:lineRule="auto"/>
        <w:ind w:left="432" w:hanging="432"/>
      </w:pPr>
      <w:r w:rsidRPr="004F3956">
        <w:lastRenderedPageBreak/>
        <w:t xml:space="preserve">Li, Q., Li, S., Guan, X., Huang, K., &amp; Zhu, F. (2021). Effects of vacuum soaking on the hydration, steaming, and physiochemical properties of japonica rice. </w:t>
      </w:r>
      <w:r w:rsidRPr="004F3956">
        <w:rPr>
          <w:i/>
        </w:rPr>
        <w:t>Bioscience, Biotechnology, and Biochemistry, 85</w:t>
      </w:r>
      <w:r w:rsidRPr="004F3956">
        <w:t xml:space="preserve">(3), 634–642. </w:t>
      </w:r>
      <w:r w:rsidRPr="004F3956">
        <w:rPr>
          <w:color w:val="0563C1"/>
          <w:u w:val="single"/>
        </w:rPr>
        <w:t>https://doi.org/10.1093/bbb/zbaa068</w:t>
      </w:r>
    </w:p>
    <w:p w14:paraId="22996482" w14:textId="77777777" w:rsidR="006D68F0" w:rsidRPr="004F3956" w:rsidRDefault="00000000">
      <w:pPr>
        <w:spacing w:after="100" w:line="240" w:lineRule="auto"/>
        <w:ind w:left="432" w:hanging="432"/>
      </w:pPr>
      <w:r w:rsidRPr="004F3956">
        <w:rPr>
          <w:highlight w:val="yellow"/>
        </w:rPr>
        <w:t xml:space="preserve">Meharg, A., Rahman, M., Carey, M., Ralphs, K., McComb, J., McCreanor, C., Sumon, M., Islam, R., Uddin, M., Siddique, M., Islam, S., &amp; Meharg, C. (2025). Rice grain quality alteration through manipulation of parboiling procedures to affect the concentration of macro- and micro-nutrient elements, B-vitamins, inorganic toxicants, and bacterial contamination. </w:t>
      </w:r>
      <w:r w:rsidRPr="004F3956">
        <w:rPr>
          <w:i/>
          <w:highlight w:val="yellow"/>
        </w:rPr>
        <w:t>Food Chemistry, 479</w:t>
      </w:r>
      <w:r w:rsidRPr="004F3956">
        <w:rPr>
          <w:highlight w:val="yellow"/>
        </w:rPr>
        <w:t>, 143782. https://doi.org/10.1016/j.foodchem.2025.143782</w:t>
      </w:r>
    </w:p>
    <w:p w14:paraId="71B18D57" w14:textId="77777777" w:rsidR="00BF7E27" w:rsidRPr="004F3956" w:rsidRDefault="00000000">
      <w:pPr>
        <w:spacing w:after="100" w:line="240" w:lineRule="auto"/>
        <w:ind w:left="432" w:hanging="432"/>
      </w:pPr>
      <w:r w:rsidRPr="004F3956">
        <w:t xml:space="preserve">Miah, M. A. K., Haque, A., Douglass, M. P., &amp; Clarke, B. (2002). Parboiling of rice. Part I: Effect of hot soaking time on quality of milled rice. </w:t>
      </w:r>
      <w:r w:rsidRPr="004F3956">
        <w:rPr>
          <w:i/>
        </w:rPr>
        <w:t>International Journal of Food Science &amp; Technology, 37</w:t>
      </w:r>
      <w:r w:rsidRPr="004F3956">
        <w:t xml:space="preserve">(5), 527–537. </w:t>
      </w:r>
      <w:r w:rsidRPr="004F3956">
        <w:rPr>
          <w:color w:val="0563C1"/>
          <w:u w:val="single"/>
        </w:rPr>
        <w:t>https://doi.org/10.1046/j.1365-2621.2002.00610.x</w:t>
      </w:r>
    </w:p>
    <w:p w14:paraId="438832B3" w14:textId="77777777" w:rsidR="00BF7E27" w:rsidRPr="004F3956" w:rsidRDefault="00000000">
      <w:pPr>
        <w:spacing w:after="100" w:line="240" w:lineRule="auto"/>
        <w:ind w:left="432" w:hanging="432"/>
      </w:pPr>
      <w:proofErr w:type="spellStart"/>
      <w:r w:rsidRPr="004F3956">
        <w:t>Muchlisyiyah</w:t>
      </w:r>
      <w:proofErr w:type="spellEnd"/>
      <w:r w:rsidRPr="004F3956">
        <w:t xml:space="preserve">, J., Shamsudin, R., Kadir Basha, R., Shukri, R., How, S., &amp; Mohd Basri, M. S. (2025). Optimization of soaking conditions in parboiling using response surface methodology to enhance the properties of MR297 rice cultivar. </w:t>
      </w:r>
      <w:r w:rsidRPr="004F3956">
        <w:rPr>
          <w:i/>
        </w:rPr>
        <w:t>Cogent Food &amp; Agriculture, 11</w:t>
      </w:r>
      <w:r w:rsidRPr="004F3956">
        <w:t xml:space="preserve">(1), 2482283. </w:t>
      </w:r>
      <w:r w:rsidRPr="004F3956">
        <w:rPr>
          <w:color w:val="0563C1"/>
          <w:u w:val="single"/>
        </w:rPr>
        <w:t>https://doi.org/10.1080/23311932.2025.2482283</w:t>
      </w:r>
    </w:p>
    <w:p w14:paraId="5B0DCCAD" w14:textId="77777777" w:rsidR="006D68F0" w:rsidRPr="004F3956" w:rsidRDefault="00000000">
      <w:pPr>
        <w:spacing w:after="100" w:line="240" w:lineRule="auto"/>
        <w:ind w:left="432" w:hanging="432"/>
      </w:pPr>
      <w:r w:rsidRPr="004F3956">
        <w:rPr>
          <w:highlight w:val="yellow"/>
        </w:rPr>
        <w:t xml:space="preserve">Mudgal, S., &amp; Singh, N. (2024). Effect of parboiling treatment times on the physicochemical, cooking, textural, and pasting properties and amino acid, phenolic, and sugar profiles of germinated paddy rice from different rice varieties. </w:t>
      </w:r>
      <w:r w:rsidRPr="004F3956">
        <w:rPr>
          <w:i/>
          <w:highlight w:val="yellow"/>
        </w:rPr>
        <w:t>Journal of Food Science, 89</w:t>
      </w:r>
      <w:r w:rsidRPr="004F3956">
        <w:rPr>
          <w:highlight w:val="yellow"/>
        </w:rPr>
        <w:t>(6), 3208–3229. https://doi.org/10.1111/1750-3841.17048</w:t>
      </w:r>
    </w:p>
    <w:p w14:paraId="3B71E5E9" w14:textId="77777777" w:rsidR="00BF7E27" w:rsidRPr="004F3956" w:rsidRDefault="00000000">
      <w:pPr>
        <w:spacing w:after="100" w:line="240" w:lineRule="auto"/>
        <w:ind w:left="432" w:hanging="432"/>
      </w:pPr>
      <w:r w:rsidRPr="004F3956">
        <w:t xml:space="preserve">Mukherjee, B., Majumdar, M., Gangopadhyay, A., Chakraborty, S., &amp; </w:t>
      </w:r>
      <w:proofErr w:type="spellStart"/>
      <w:r w:rsidRPr="004F3956">
        <w:t>Chaterjee</w:t>
      </w:r>
      <w:proofErr w:type="spellEnd"/>
      <w:r w:rsidRPr="004F3956">
        <w:t>, D. (2015). Phytoremediation of parboiled rice mill wastewater using water lettuce (</w:t>
      </w:r>
      <w:proofErr w:type="spellStart"/>
      <w:r w:rsidRPr="004F3956">
        <w:t>Pistia</w:t>
      </w:r>
      <w:proofErr w:type="spellEnd"/>
      <w:r w:rsidRPr="004F3956">
        <w:t xml:space="preserve"> stratiotes). </w:t>
      </w:r>
      <w:r w:rsidRPr="004F3956">
        <w:rPr>
          <w:i/>
        </w:rPr>
        <w:t>International Journal of Phytoremediation, 17</w:t>
      </w:r>
      <w:r w:rsidRPr="004F3956">
        <w:t xml:space="preserve">(7), 651–656. </w:t>
      </w:r>
      <w:r w:rsidRPr="004F3956">
        <w:rPr>
          <w:color w:val="0563C1"/>
          <w:u w:val="single"/>
        </w:rPr>
        <w:t>https://doi.org/10.1080/15226514.2014.950415</w:t>
      </w:r>
    </w:p>
    <w:p w14:paraId="1B8DE60D" w14:textId="77777777" w:rsidR="00BF7E27" w:rsidRPr="004F3956" w:rsidRDefault="00000000">
      <w:pPr>
        <w:spacing w:after="100" w:line="240" w:lineRule="auto"/>
        <w:ind w:left="432" w:hanging="432"/>
      </w:pPr>
      <w:r w:rsidRPr="004F3956">
        <w:t xml:space="preserve">Neutzling, H. P., Timm, N. d. S., Cañizares, L. d. C. C., Schwab, M. P., Ferreira, C. D., Ramos, A. H., &amp; de Oliveira, M. (2023). Effects of infrared radiation heating temperature and time on starch gelatinization and technological, thermal, and pasting properties of parboiled rice. </w:t>
      </w:r>
      <w:r w:rsidRPr="004F3956">
        <w:rPr>
          <w:i/>
        </w:rPr>
        <w:t>Cereal Chemistry, 100</w:t>
      </w:r>
      <w:r w:rsidRPr="004F3956">
        <w:t xml:space="preserve">(3), 734–744. </w:t>
      </w:r>
      <w:r w:rsidRPr="004F3956">
        <w:rPr>
          <w:color w:val="0563C1"/>
          <w:u w:val="single"/>
        </w:rPr>
        <w:t>https://doi.org/10.1002/cche.10650</w:t>
      </w:r>
    </w:p>
    <w:p w14:paraId="2DBF425C" w14:textId="77777777" w:rsidR="00BF7E27" w:rsidRPr="004F3956" w:rsidRDefault="00000000">
      <w:pPr>
        <w:spacing w:after="100" w:line="240" w:lineRule="auto"/>
        <w:ind w:left="432" w:hanging="432"/>
      </w:pPr>
      <w:r w:rsidRPr="004F3956">
        <w:t xml:space="preserve">Oli, P., Ward, R., Adhikari, B., &amp; Torley, P. (2014). Parboiled rice: Understanding from a materials science approach. </w:t>
      </w:r>
      <w:r w:rsidRPr="004F3956">
        <w:rPr>
          <w:i/>
        </w:rPr>
        <w:t>Journal of Food Engineering, 124</w:t>
      </w:r>
      <w:r w:rsidRPr="004F3956">
        <w:t xml:space="preserve">, 173–183. </w:t>
      </w:r>
      <w:r w:rsidRPr="004F3956">
        <w:rPr>
          <w:color w:val="0563C1"/>
          <w:u w:val="single"/>
        </w:rPr>
        <w:t>https://doi.org/10.1016/j.jfoodeng.2013.09.010</w:t>
      </w:r>
    </w:p>
    <w:p w14:paraId="1D61A1C2" w14:textId="77777777" w:rsidR="00BF7E27" w:rsidRPr="004F3956" w:rsidRDefault="00000000">
      <w:pPr>
        <w:spacing w:after="100" w:line="240" w:lineRule="auto"/>
        <w:ind w:left="432" w:hanging="432"/>
      </w:pPr>
      <w:r w:rsidRPr="004F3956">
        <w:t xml:space="preserve">Panda, B. K., Mishra, G., Panigrahi, S. S., &amp; Shrivastava, S. L. (2021). Microwave-assisted parboiling of high moisture paddy: A comparative study based on energy utilization, process economy and grain quality with conventional parboiling. </w:t>
      </w:r>
      <w:r w:rsidRPr="004F3956">
        <w:rPr>
          <w:i/>
        </w:rPr>
        <w:t>Energy, 232</w:t>
      </w:r>
      <w:r w:rsidRPr="004F3956">
        <w:t xml:space="preserve">, 121011. </w:t>
      </w:r>
      <w:r w:rsidRPr="004F3956">
        <w:rPr>
          <w:color w:val="0563C1"/>
          <w:u w:val="single"/>
        </w:rPr>
        <w:t>https://doi.org/10.1016/j.energy.2021.121011</w:t>
      </w:r>
    </w:p>
    <w:p w14:paraId="45875D41" w14:textId="77777777" w:rsidR="00BF7E27" w:rsidRPr="004F3956" w:rsidRDefault="00000000">
      <w:pPr>
        <w:spacing w:after="100" w:line="240" w:lineRule="auto"/>
        <w:ind w:left="432" w:hanging="432"/>
      </w:pPr>
      <w:r w:rsidRPr="004F3956">
        <w:t xml:space="preserve">Rahman, H., Carey, M., Hossain, M., Savage, L., Islam, M. R., &amp; Meharg, A. A. (2019). Modifying the parboiling of rice to remove inorganic arsenic, while fortifying with calcium. </w:t>
      </w:r>
      <w:r w:rsidRPr="004F3956">
        <w:rPr>
          <w:i/>
        </w:rPr>
        <w:t>Environmental Science &amp; Technology, 53</w:t>
      </w:r>
      <w:r w:rsidRPr="004F3956">
        <w:t xml:space="preserve">(9), 5249–5255. </w:t>
      </w:r>
      <w:r w:rsidRPr="004F3956">
        <w:rPr>
          <w:color w:val="0563C1"/>
          <w:u w:val="single"/>
        </w:rPr>
        <w:t>https://doi.org/10.1021/acs.est.8b06548</w:t>
      </w:r>
    </w:p>
    <w:p w14:paraId="75114EEB" w14:textId="77777777" w:rsidR="00BF7E27" w:rsidRPr="004F3956" w:rsidRDefault="00000000">
      <w:pPr>
        <w:spacing w:after="100" w:line="240" w:lineRule="auto"/>
        <w:ind w:left="432" w:hanging="432"/>
      </w:pPr>
      <w:proofErr w:type="spellStart"/>
      <w:r w:rsidRPr="004F3956">
        <w:t>Rockembach</w:t>
      </w:r>
      <w:proofErr w:type="spellEnd"/>
      <w:r w:rsidRPr="004F3956">
        <w:t xml:space="preserve">, C. T., Ferreira, C. D., Ramos, A. H., Luz, S. R., Vanier, N. L., &amp; de Oliveira, M. (2019). Microwave parboiling: Reduction in process time, browning of rice and residual phosphorus content in the waste water. </w:t>
      </w:r>
      <w:r w:rsidRPr="004F3956">
        <w:rPr>
          <w:i/>
        </w:rPr>
        <w:t>Journal of Food Science, 84</w:t>
      </w:r>
      <w:r w:rsidRPr="004F3956">
        <w:t xml:space="preserve">(8), 2222–2227. </w:t>
      </w:r>
      <w:r w:rsidRPr="004F3956">
        <w:rPr>
          <w:color w:val="0563C1"/>
          <w:u w:val="single"/>
        </w:rPr>
        <w:t>https://doi.org/10.1111/1750-3841.14738</w:t>
      </w:r>
    </w:p>
    <w:p w14:paraId="340D7213" w14:textId="77777777" w:rsidR="00BF7E27" w:rsidRPr="004F3956" w:rsidRDefault="00000000">
      <w:pPr>
        <w:spacing w:after="100" w:line="240" w:lineRule="auto"/>
        <w:ind w:left="432" w:hanging="432"/>
      </w:pPr>
      <w:r w:rsidRPr="004F3956">
        <w:t xml:space="preserve">Saleh, M., Akash, M., &amp; </w:t>
      </w:r>
      <w:proofErr w:type="spellStart"/>
      <w:r w:rsidRPr="004F3956">
        <w:t>Ondier</w:t>
      </w:r>
      <w:proofErr w:type="spellEnd"/>
      <w:r w:rsidRPr="004F3956">
        <w:t xml:space="preserve">, G. (2018). Effects of temperature and soaking durations on the hydration kinetics of hybrid and </w:t>
      </w:r>
      <w:proofErr w:type="spellStart"/>
      <w:r w:rsidRPr="004F3956">
        <w:t>pureline</w:t>
      </w:r>
      <w:proofErr w:type="spellEnd"/>
      <w:r w:rsidRPr="004F3956">
        <w:t xml:space="preserve"> parboiled brown rice cultivars. </w:t>
      </w:r>
      <w:r w:rsidRPr="004F3956">
        <w:rPr>
          <w:i/>
        </w:rPr>
        <w:t>Journal of Food Measurement and Characterization, 12</w:t>
      </w:r>
      <w:r w:rsidRPr="004F3956">
        <w:t xml:space="preserve">(2), 1369–1377. </w:t>
      </w:r>
      <w:r w:rsidRPr="004F3956">
        <w:rPr>
          <w:color w:val="0563C1"/>
          <w:u w:val="single"/>
        </w:rPr>
        <w:t>https://doi.org/10.1007/s11694-018-9751-2</w:t>
      </w:r>
    </w:p>
    <w:p w14:paraId="02DE218A" w14:textId="77777777" w:rsidR="00BF7E27" w:rsidRPr="004F3956" w:rsidRDefault="00000000">
      <w:pPr>
        <w:spacing w:after="100" w:line="240" w:lineRule="auto"/>
        <w:ind w:left="432" w:hanging="432"/>
      </w:pPr>
      <w:proofErr w:type="spellStart"/>
      <w:r w:rsidRPr="004F3956">
        <w:t>Saniso</w:t>
      </w:r>
      <w:proofErr w:type="spellEnd"/>
      <w:r w:rsidRPr="004F3956">
        <w:t xml:space="preserve">, E., </w:t>
      </w:r>
      <w:proofErr w:type="spellStart"/>
      <w:r w:rsidRPr="004F3956">
        <w:t>Prachayawarakorn</w:t>
      </w:r>
      <w:proofErr w:type="spellEnd"/>
      <w:r w:rsidRPr="004F3956">
        <w:t xml:space="preserve">, S., </w:t>
      </w:r>
      <w:proofErr w:type="spellStart"/>
      <w:r w:rsidRPr="004F3956">
        <w:t>Swasdisevi</w:t>
      </w:r>
      <w:proofErr w:type="spellEnd"/>
      <w:r w:rsidRPr="004F3956">
        <w:t xml:space="preserve">, T., &amp; </w:t>
      </w:r>
      <w:proofErr w:type="spellStart"/>
      <w:r w:rsidRPr="004F3956">
        <w:t>Soponronnarit</w:t>
      </w:r>
      <w:proofErr w:type="spellEnd"/>
      <w:r w:rsidRPr="004F3956">
        <w:t xml:space="preserve">, S. (2020). Parboiled rice production without steaming by microwave-assisted hot air fluidized bed drying. </w:t>
      </w:r>
      <w:r w:rsidRPr="004F3956">
        <w:rPr>
          <w:i/>
        </w:rPr>
        <w:t>Food and Bioproducts Processing, 120</w:t>
      </w:r>
      <w:r w:rsidRPr="004F3956">
        <w:t xml:space="preserve">, 8–20. </w:t>
      </w:r>
      <w:r w:rsidRPr="004F3956">
        <w:rPr>
          <w:color w:val="0563C1"/>
          <w:u w:val="single"/>
        </w:rPr>
        <w:t>https://doi.org/10.1016/j.fbp.2019.12.005</w:t>
      </w:r>
    </w:p>
    <w:p w14:paraId="1EB96E6C" w14:textId="77777777" w:rsidR="00BF7E27" w:rsidRPr="004F3956" w:rsidRDefault="00000000">
      <w:pPr>
        <w:spacing w:after="100" w:line="240" w:lineRule="auto"/>
        <w:ind w:left="432" w:hanging="432"/>
      </w:pPr>
      <w:proofErr w:type="spellStart"/>
      <w:r w:rsidRPr="004F3956">
        <w:t>Saniso</w:t>
      </w:r>
      <w:proofErr w:type="spellEnd"/>
      <w:r w:rsidRPr="004F3956">
        <w:t xml:space="preserve">, E., </w:t>
      </w:r>
      <w:proofErr w:type="spellStart"/>
      <w:r w:rsidRPr="004F3956">
        <w:t>Swasdisewi</w:t>
      </w:r>
      <w:proofErr w:type="spellEnd"/>
      <w:r w:rsidRPr="004F3956">
        <w:t xml:space="preserve">, T., </w:t>
      </w:r>
      <w:proofErr w:type="spellStart"/>
      <w:r w:rsidRPr="004F3956">
        <w:t>Soponronnarit</w:t>
      </w:r>
      <w:proofErr w:type="spellEnd"/>
      <w:r w:rsidRPr="004F3956">
        <w:t xml:space="preserve">, S., &amp; </w:t>
      </w:r>
      <w:proofErr w:type="spellStart"/>
      <w:r w:rsidRPr="004F3956">
        <w:t>Prachayawarakorn</w:t>
      </w:r>
      <w:proofErr w:type="spellEnd"/>
      <w:r w:rsidRPr="004F3956">
        <w:t xml:space="preserve">, S. (2022). Methods of producing parboiled rice by hot air and combined microwave-hot air fluidized bed drying. </w:t>
      </w:r>
      <w:r w:rsidRPr="004F3956">
        <w:rPr>
          <w:i/>
        </w:rPr>
        <w:t>Drying Technology, 40</w:t>
      </w:r>
      <w:r w:rsidRPr="004F3956">
        <w:t xml:space="preserve">(10), 1980–1993. </w:t>
      </w:r>
      <w:r w:rsidRPr="004F3956">
        <w:rPr>
          <w:color w:val="0563C1"/>
          <w:u w:val="single"/>
        </w:rPr>
        <w:t>https://doi.org/10.1080/07373937.2021.1903031</w:t>
      </w:r>
    </w:p>
    <w:p w14:paraId="4ACDDD0F" w14:textId="77777777" w:rsidR="00BF7E27" w:rsidRPr="004F3956" w:rsidRDefault="00000000">
      <w:pPr>
        <w:spacing w:after="100" w:line="240" w:lineRule="auto"/>
        <w:ind w:left="432" w:hanging="432"/>
      </w:pPr>
      <w:r w:rsidRPr="004F3956">
        <w:lastRenderedPageBreak/>
        <w:t xml:space="preserve">Shah, A., Wang, Y., Tao, H., Zhang, W., &amp; Cao, S. (2023). Insights into the structural characteristics and </w:t>
      </w:r>
      <w:r w:rsidRPr="004F3956">
        <w:rPr>
          <w:i/>
          <w:iCs/>
        </w:rPr>
        <w:t>in vitro</w:t>
      </w:r>
      <w:r w:rsidRPr="004F3956">
        <w:t xml:space="preserve"> starch digestibility on parboiled rice as affected by ultrasound treatment in soaking process. </w:t>
      </w:r>
      <w:r w:rsidRPr="004F3956">
        <w:rPr>
          <w:i/>
        </w:rPr>
        <w:t>Food Chemistry: X, 19</w:t>
      </w:r>
      <w:r w:rsidRPr="004F3956">
        <w:t xml:space="preserve">, 100816. </w:t>
      </w:r>
      <w:r w:rsidRPr="004F3956">
        <w:rPr>
          <w:color w:val="0563C1"/>
          <w:u w:val="single"/>
        </w:rPr>
        <w:t>https://doi.org/10.1016/j.fochx.2023.100816</w:t>
      </w:r>
    </w:p>
    <w:p w14:paraId="56A65F4A" w14:textId="77777777" w:rsidR="00BF7E27" w:rsidRPr="004F3956" w:rsidRDefault="00000000">
      <w:pPr>
        <w:spacing w:after="100" w:line="240" w:lineRule="auto"/>
        <w:ind w:left="432" w:hanging="432"/>
      </w:pPr>
      <w:proofErr w:type="spellStart"/>
      <w:r w:rsidRPr="004F3956">
        <w:t>Sivakamasundari</w:t>
      </w:r>
      <w:proofErr w:type="spellEnd"/>
      <w:r w:rsidRPr="004F3956">
        <w:t xml:space="preserve">, S. K., Moses, J. A., &amp; </w:t>
      </w:r>
      <w:proofErr w:type="spellStart"/>
      <w:r w:rsidRPr="004F3956">
        <w:t>Anandharamakrishnan</w:t>
      </w:r>
      <w:proofErr w:type="spellEnd"/>
      <w:r w:rsidRPr="004F3956">
        <w:t xml:space="preserve">, C. (2020). Effect of parboiling methods on the physicochemical characteristics and glycemic index of rice varieties. </w:t>
      </w:r>
      <w:r w:rsidRPr="004F3956">
        <w:rPr>
          <w:i/>
        </w:rPr>
        <w:t>Journal of Food Measurement and Characterization, 14</w:t>
      </w:r>
      <w:r w:rsidRPr="004F3956">
        <w:t xml:space="preserve">(6), 3122–3137. </w:t>
      </w:r>
      <w:r w:rsidRPr="004F3956">
        <w:rPr>
          <w:color w:val="0563C1"/>
          <w:u w:val="single"/>
        </w:rPr>
        <w:t>https://doi.org/10.1007/s11694-020-00551-9</w:t>
      </w:r>
    </w:p>
    <w:p w14:paraId="47A287BA" w14:textId="77777777" w:rsidR="00BF7E27" w:rsidRPr="004F3956" w:rsidRDefault="00000000">
      <w:pPr>
        <w:spacing w:after="100" w:line="240" w:lineRule="auto"/>
        <w:ind w:left="432" w:hanging="432"/>
      </w:pPr>
      <w:proofErr w:type="spellStart"/>
      <w:r w:rsidRPr="004F3956">
        <w:t>Sivashanmugam</w:t>
      </w:r>
      <w:proofErr w:type="spellEnd"/>
      <w:r w:rsidRPr="004F3956">
        <w:t xml:space="preserve">, P., &amp; Arivazhagan, M. (2008). Experimental studies on parboiling of paddy by ohmic-heating. </w:t>
      </w:r>
      <w:r w:rsidRPr="004F3956">
        <w:rPr>
          <w:i/>
        </w:rPr>
        <w:t>International Journal of Food Engineering, 4</w:t>
      </w:r>
      <w:r w:rsidRPr="004F3956">
        <w:t xml:space="preserve">(1), Article 6. </w:t>
      </w:r>
      <w:r w:rsidRPr="004F3956">
        <w:rPr>
          <w:color w:val="0563C1"/>
          <w:u w:val="single"/>
        </w:rPr>
        <w:t>https://doi.org/10.2202/1556-3758.1290</w:t>
      </w:r>
    </w:p>
    <w:p w14:paraId="413DCF59" w14:textId="77777777" w:rsidR="00BF7E27" w:rsidRPr="004F3956" w:rsidRDefault="00000000">
      <w:pPr>
        <w:spacing w:after="100" w:line="240" w:lineRule="auto"/>
        <w:ind w:left="432" w:hanging="432"/>
      </w:pPr>
      <w:proofErr w:type="spellStart"/>
      <w:r w:rsidRPr="004F3956">
        <w:t>Swasdisevi</w:t>
      </w:r>
      <w:proofErr w:type="spellEnd"/>
      <w:r w:rsidRPr="004F3956">
        <w:t xml:space="preserve">, T., </w:t>
      </w:r>
      <w:proofErr w:type="spellStart"/>
      <w:r w:rsidRPr="004F3956">
        <w:t>Sriariyakula</w:t>
      </w:r>
      <w:proofErr w:type="spellEnd"/>
      <w:r w:rsidRPr="004F3956">
        <w:t xml:space="preserve">, W., Tia, W., &amp; </w:t>
      </w:r>
      <w:proofErr w:type="spellStart"/>
      <w:r w:rsidRPr="004F3956">
        <w:t>Soponronnarit</w:t>
      </w:r>
      <w:proofErr w:type="spellEnd"/>
      <w:r w:rsidRPr="004F3956">
        <w:t xml:space="preserve">, S. (2010). Effect of pre-steaming on production of partially-parboiled rice using hot-air fluidization technique. </w:t>
      </w:r>
      <w:r w:rsidRPr="004F3956">
        <w:rPr>
          <w:i/>
        </w:rPr>
        <w:t>Journal of Food Engineering, 96</w:t>
      </w:r>
      <w:r w:rsidRPr="004F3956">
        <w:t xml:space="preserve">(3), 455–462. </w:t>
      </w:r>
      <w:r w:rsidRPr="004F3956">
        <w:rPr>
          <w:color w:val="0563C1"/>
          <w:u w:val="single"/>
        </w:rPr>
        <w:t>https://doi.org/10.1016/j.jfoodeng.2009.08.026</w:t>
      </w:r>
    </w:p>
    <w:p w14:paraId="7B486EEE" w14:textId="77777777" w:rsidR="00BF7E27" w:rsidRPr="004F3956" w:rsidRDefault="00000000">
      <w:pPr>
        <w:spacing w:after="100" w:line="240" w:lineRule="auto"/>
        <w:ind w:left="432" w:hanging="432"/>
      </w:pPr>
      <w:proofErr w:type="spellStart"/>
      <w:r w:rsidRPr="004F3956">
        <w:t>Taghinezhad</w:t>
      </w:r>
      <w:proofErr w:type="spellEnd"/>
      <w:r w:rsidRPr="004F3956">
        <w:t xml:space="preserve">, E., &amp; Brenner, T. (2017). Mathematical modeling of starch gelatinization and some quality properties of parboiled rice based on parboiling indicators using RSM. </w:t>
      </w:r>
      <w:r w:rsidRPr="004F3956">
        <w:rPr>
          <w:i/>
        </w:rPr>
        <w:t>Journal of Food Process Engineering, 40</w:t>
      </w:r>
      <w:r w:rsidRPr="004F3956">
        <w:t xml:space="preserve">(3), e12483. </w:t>
      </w:r>
      <w:r w:rsidRPr="004F3956">
        <w:rPr>
          <w:color w:val="0563C1"/>
          <w:u w:val="single"/>
        </w:rPr>
        <w:t>https://doi.org/10.1111/jfpe.12483</w:t>
      </w:r>
    </w:p>
    <w:p w14:paraId="24D4AC5B" w14:textId="77777777" w:rsidR="00BF7E27" w:rsidRPr="004F3956" w:rsidRDefault="00000000">
      <w:pPr>
        <w:spacing w:after="100" w:line="240" w:lineRule="auto"/>
        <w:ind w:left="432" w:hanging="432"/>
      </w:pPr>
      <w:proofErr w:type="spellStart"/>
      <w:r w:rsidRPr="004F3956">
        <w:t>Taghinezhad</w:t>
      </w:r>
      <w:proofErr w:type="spellEnd"/>
      <w:r w:rsidRPr="004F3956">
        <w:t xml:space="preserve">, E., </w:t>
      </w:r>
      <w:proofErr w:type="spellStart"/>
      <w:r w:rsidRPr="004F3956">
        <w:t>Khoshtaghaza</w:t>
      </w:r>
      <w:proofErr w:type="spellEnd"/>
      <w:r w:rsidRPr="004F3956">
        <w:t xml:space="preserve">, M. H., Minaei, S., Suzuki, T., &amp; Brenner, T. (2016). Relationship between degree of starch gelatinization and quality attributes of parboiled rice during steaming. </w:t>
      </w:r>
      <w:r w:rsidRPr="004F3956">
        <w:rPr>
          <w:i/>
        </w:rPr>
        <w:t>Rice Science, 23</w:t>
      </w:r>
      <w:r w:rsidRPr="004F3956">
        <w:t xml:space="preserve">(6), 339–344. </w:t>
      </w:r>
      <w:r w:rsidRPr="004F3956">
        <w:rPr>
          <w:color w:val="0563C1"/>
          <w:u w:val="single"/>
        </w:rPr>
        <w:t>https://doi.org/10.1016/j.rsci.2016.06.007</w:t>
      </w:r>
    </w:p>
    <w:p w14:paraId="0DE4D755" w14:textId="77777777" w:rsidR="00BF7E27" w:rsidRPr="004F3956" w:rsidRDefault="00000000">
      <w:pPr>
        <w:spacing w:after="100" w:line="240" w:lineRule="auto"/>
        <w:ind w:left="432" w:hanging="432"/>
      </w:pPr>
      <w:proofErr w:type="spellStart"/>
      <w:r w:rsidRPr="004F3956">
        <w:t>Taghinezhad</w:t>
      </w:r>
      <w:proofErr w:type="spellEnd"/>
      <w:r w:rsidRPr="004F3956">
        <w:t xml:space="preserve">, E., Szumny, A., Kaveh, M., Rasooli Sharabiani, V., Kumar, A., &amp; Shimizu, N. (2020). Parboiled paddy drying with different dryers: Thermodynamic and quality properties, mathematical modeling using ANNs assessment. </w:t>
      </w:r>
      <w:r w:rsidRPr="004F3956">
        <w:rPr>
          <w:i/>
        </w:rPr>
        <w:t>Foods, 9</w:t>
      </w:r>
      <w:r w:rsidRPr="004F3956">
        <w:t xml:space="preserve">(1), 86. </w:t>
      </w:r>
      <w:r w:rsidRPr="004F3956">
        <w:rPr>
          <w:color w:val="0563C1"/>
          <w:u w:val="single"/>
        </w:rPr>
        <w:t>https://doi.org/10.3390/foods9010086</w:t>
      </w:r>
    </w:p>
    <w:p w14:paraId="1F259B2B" w14:textId="77777777" w:rsidR="00BF7E27" w:rsidRPr="004F3956" w:rsidRDefault="00000000">
      <w:pPr>
        <w:spacing w:after="100" w:line="240" w:lineRule="auto"/>
        <w:ind w:left="432" w:hanging="432"/>
      </w:pPr>
      <w:r w:rsidRPr="004F3956">
        <w:t xml:space="preserve">Unnikrishnan, K. R., </w:t>
      </w:r>
      <w:proofErr w:type="spellStart"/>
      <w:r w:rsidRPr="004F3956">
        <w:t>Viraktamath</w:t>
      </w:r>
      <w:proofErr w:type="spellEnd"/>
      <w:r w:rsidRPr="004F3956">
        <w:t xml:space="preserve">, C. S., Krishnamurthy, H., &amp; Bhattacharya, K. R. (1982). Parboiling of paddy by simple soaking in hot water. </w:t>
      </w:r>
      <w:r w:rsidRPr="004F3956">
        <w:rPr>
          <w:i/>
        </w:rPr>
        <w:t>International Journal of Food Science &amp; Technology, 17</w:t>
      </w:r>
      <w:r w:rsidRPr="004F3956">
        <w:t xml:space="preserve">(4), 499–506. </w:t>
      </w:r>
      <w:r w:rsidRPr="004F3956">
        <w:rPr>
          <w:color w:val="0563C1"/>
          <w:u w:val="single"/>
        </w:rPr>
        <w:t>https://doi.org/10.1111/j.1365-2621.1982.tb00205.x</w:t>
      </w:r>
    </w:p>
    <w:p w14:paraId="00BE7872" w14:textId="77777777" w:rsidR="006D68F0" w:rsidRPr="004F3956" w:rsidRDefault="00000000">
      <w:pPr>
        <w:spacing w:after="100" w:line="240" w:lineRule="auto"/>
        <w:ind w:left="432" w:hanging="432"/>
      </w:pPr>
      <w:r w:rsidRPr="004F3956">
        <w:rPr>
          <w:highlight w:val="yellow"/>
        </w:rPr>
        <w:t xml:space="preserve">Wang, Y., Zeng, J., He, Y., Liu, G., Zhou, P., Li, P., Zhao, Z., Zhang, M., Yi, C., &amp; Deng, Y. (2026). Impact of boiling-drying regimes on milling properties, digestion characteristics, and multi-scale starch structure of parboiled rice. </w:t>
      </w:r>
      <w:r w:rsidRPr="004F3956">
        <w:rPr>
          <w:i/>
          <w:highlight w:val="yellow"/>
        </w:rPr>
        <w:t>Food Research International, 227</w:t>
      </w:r>
      <w:r w:rsidRPr="004F3956">
        <w:rPr>
          <w:highlight w:val="yellow"/>
        </w:rPr>
        <w:t>, 118143. https://doi.org/10.1016/j.foodres.2025.118143</w:t>
      </w:r>
    </w:p>
    <w:p w14:paraId="261F6D41" w14:textId="77777777" w:rsidR="006D68F0" w:rsidRPr="004F3956" w:rsidRDefault="00000000">
      <w:pPr>
        <w:spacing w:after="100" w:line="240" w:lineRule="auto"/>
        <w:ind w:left="432" w:hanging="432"/>
      </w:pPr>
      <w:r w:rsidRPr="004F3956">
        <w:rPr>
          <w:highlight w:val="yellow"/>
        </w:rPr>
        <w:t xml:space="preserve">Xu, M., Cheng, D., Cui, G., Wen, Y., Li, H., Wang, J., &amp; Sun, B. (2024). Effects of starch gelatinisation and water migration on the hardness of parboiled rice. </w:t>
      </w:r>
      <w:r w:rsidRPr="004F3956">
        <w:rPr>
          <w:i/>
          <w:highlight w:val="yellow"/>
        </w:rPr>
        <w:t>International Journal of Food Science &amp; Technology, 59</w:t>
      </w:r>
      <w:r w:rsidRPr="004F3956">
        <w:rPr>
          <w:highlight w:val="yellow"/>
        </w:rPr>
        <w:t>(11), 8708–8717. https://doi.org/10.1111/ijfs.17162</w:t>
      </w:r>
    </w:p>
    <w:p w14:paraId="1EAF272A" w14:textId="77777777" w:rsidR="00BF7E27" w:rsidRPr="004F3956" w:rsidRDefault="00000000">
      <w:pPr>
        <w:spacing w:after="100" w:line="240" w:lineRule="auto"/>
        <w:ind w:left="432" w:hanging="432"/>
      </w:pPr>
      <w:r w:rsidRPr="004F3956">
        <w:t xml:space="preserve">Yousaf, K., </w:t>
      </w:r>
      <w:proofErr w:type="spellStart"/>
      <w:r w:rsidRPr="004F3956">
        <w:t>Kunjie</w:t>
      </w:r>
      <w:proofErr w:type="spellEnd"/>
      <w:r w:rsidRPr="004F3956">
        <w:t xml:space="preserve">, C., Cairong, C., Abbas, A., Huang, Y., Arslan, C., &amp; </w:t>
      </w:r>
      <w:proofErr w:type="spellStart"/>
      <w:r w:rsidRPr="004F3956">
        <w:t>Xuejin</w:t>
      </w:r>
      <w:proofErr w:type="spellEnd"/>
      <w:r w:rsidRPr="004F3956">
        <w:t xml:space="preserve">, Z. (2017). The optimization and mathematical modeling of quality attributes of parboiled rice using a response surface method. </w:t>
      </w:r>
      <w:r w:rsidRPr="004F3956">
        <w:rPr>
          <w:i/>
        </w:rPr>
        <w:t>Journal of Food Quality, 2017</w:t>
      </w:r>
      <w:r w:rsidRPr="004F3956">
        <w:t xml:space="preserve">, 5960743. </w:t>
      </w:r>
      <w:r w:rsidRPr="004F3956">
        <w:rPr>
          <w:color w:val="0563C1"/>
          <w:u w:val="single"/>
        </w:rPr>
        <w:t>https://doi.org/10.1155/2017/5960743</w:t>
      </w:r>
    </w:p>
    <w:sectPr w:rsidR="00BF7E27" w:rsidRPr="004F3956"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DD83B" w14:textId="77777777" w:rsidR="000B7E7B" w:rsidRDefault="000B7E7B">
      <w:pPr>
        <w:spacing w:after="0" w:line="240" w:lineRule="auto"/>
      </w:pPr>
      <w:r>
        <w:separator/>
      </w:r>
    </w:p>
  </w:endnote>
  <w:endnote w:type="continuationSeparator" w:id="0">
    <w:p w14:paraId="792A565A" w14:textId="77777777" w:rsidR="000B7E7B" w:rsidRDefault="000B7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7827" w14:textId="77777777" w:rsidR="00F30EA8" w:rsidRDefault="00F30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7886" w14:textId="77777777" w:rsidR="00BF7E27" w:rsidRDefault="00000000">
    <w:pPr>
      <w:pStyle w:val="Footer"/>
      <w:jc w:val="center"/>
    </w:pPr>
    <w:r>
      <w:t xml:space="preserve">Page </w:t>
    </w:r>
    <w:r>
      <w:fldChar w:fldCharType="begin"/>
    </w:r>
    <w:r>
      <w:instrText>PAGE</w:instrText>
    </w:r>
    <w:r>
      <w:fldChar w:fldCharType="separate"/>
    </w:r>
    <w:r w:rsidR="003547E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8ED5A" w14:textId="77777777" w:rsidR="00F30EA8" w:rsidRDefault="00F30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18B58" w14:textId="77777777" w:rsidR="000B7E7B" w:rsidRDefault="000B7E7B">
      <w:pPr>
        <w:spacing w:after="0" w:line="240" w:lineRule="auto"/>
      </w:pPr>
      <w:r>
        <w:separator/>
      </w:r>
    </w:p>
  </w:footnote>
  <w:footnote w:type="continuationSeparator" w:id="0">
    <w:p w14:paraId="698240D3" w14:textId="77777777" w:rsidR="000B7E7B" w:rsidRDefault="000B7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6B4C" w14:textId="77777777" w:rsidR="00F30EA8" w:rsidRDefault="00000000">
    <w:pPr>
      <w:pStyle w:val="Header"/>
    </w:pPr>
    <w:r>
      <w:rPr>
        <w:noProof/>
      </w:rPr>
      <w:pict w14:anchorId="42F260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4"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7CB3" w14:textId="77777777" w:rsidR="00F30EA8" w:rsidRDefault="00000000">
    <w:pPr>
      <w:pStyle w:val="Header"/>
    </w:pPr>
    <w:r>
      <w:rPr>
        <w:noProof/>
      </w:rPr>
      <w:pict w14:anchorId="13C2D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5"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45B7" w14:textId="77777777" w:rsidR="00F30EA8" w:rsidRDefault="00000000">
    <w:pPr>
      <w:pStyle w:val="Header"/>
    </w:pPr>
    <w:r>
      <w:rPr>
        <w:noProof/>
      </w:rPr>
      <w:pict w14:anchorId="6FFE17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3"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8158533">
    <w:abstractNumId w:val="8"/>
  </w:num>
  <w:num w:numId="2" w16cid:durableId="457991647">
    <w:abstractNumId w:val="6"/>
  </w:num>
  <w:num w:numId="3" w16cid:durableId="1876843066">
    <w:abstractNumId w:val="5"/>
  </w:num>
  <w:num w:numId="4" w16cid:durableId="2120221683">
    <w:abstractNumId w:val="4"/>
  </w:num>
  <w:num w:numId="5" w16cid:durableId="1111824095">
    <w:abstractNumId w:val="7"/>
  </w:num>
  <w:num w:numId="6" w16cid:durableId="290863734">
    <w:abstractNumId w:val="3"/>
  </w:num>
  <w:num w:numId="7" w16cid:durableId="1548566455">
    <w:abstractNumId w:val="2"/>
  </w:num>
  <w:num w:numId="8" w16cid:durableId="2072580764">
    <w:abstractNumId w:val="1"/>
  </w:num>
  <w:num w:numId="9" w16cid:durableId="52494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MjI1szQ0NzA2NjFR0lEKTi0uzszPAykwrAUARC0D/SwAAAA="/>
  </w:docVars>
  <w:rsids>
    <w:rsidRoot w:val="00B47730"/>
    <w:rsid w:val="00034616"/>
    <w:rsid w:val="0006063C"/>
    <w:rsid w:val="000B7E7B"/>
    <w:rsid w:val="0015074B"/>
    <w:rsid w:val="0029639D"/>
    <w:rsid w:val="00326F90"/>
    <w:rsid w:val="003547E9"/>
    <w:rsid w:val="004F3956"/>
    <w:rsid w:val="0057228C"/>
    <w:rsid w:val="006D68F0"/>
    <w:rsid w:val="0079652D"/>
    <w:rsid w:val="00830CD8"/>
    <w:rsid w:val="00974353"/>
    <w:rsid w:val="009C514E"/>
    <w:rsid w:val="00A64574"/>
    <w:rsid w:val="00AA1D8D"/>
    <w:rsid w:val="00B47730"/>
    <w:rsid w:val="00B626E1"/>
    <w:rsid w:val="00BF7E27"/>
    <w:rsid w:val="00CA380C"/>
    <w:rsid w:val="00CB0664"/>
    <w:rsid w:val="00F30EA8"/>
    <w:rsid w:val="00F45A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7C17A"/>
  <w14:defaultImageDpi w14:val="300"/>
  <w15:docId w15:val="{AC0EA9FD-769F-40E9-A622-3AB25C53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13659</Words>
  <Characters>77857</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1020</cp:lastModifiedBy>
  <cp:revision>7</cp:revision>
  <dcterms:created xsi:type="dcterms:W3CDTF">2013-12-23T23:15:00Z</dcterms:created>
  <dcterms:modified xsi:type="dcterms:W3CDTF">2026-08-11T11:51:00Z</dcterms:modified>
  <cp:category/>
</cp:coreProperties>
</file>