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73C6F" w14:textId="77777777" w:rsidR="0009317D" w:rsidRPr="0080017E" w:rsidRDefault="00000000" w:rsidP="000D475F">
      <w:pPr>
        <w:jc w:val="center"/>
        <w:rPr>
          <w:rFonts w:ascii="Times New Roman" w:hAnsi="Times New Roman" w:cs="Times New Roman"/>
          <w:sz w:val="24"/>
          <w:szCs w:val="24"/>
        </w:rPr>
      </w:pPr>
      <w:r w:rsidRPr="0080017E">
        <w:rPr>
          <w:rFonts w:ascii="Times New Roman" w:hAnsi="Times New Roman" w:cs="Times New Roman"/>
          <w:b/>
          <w:sz w:val="24"/>
          <w:szCs w:val="24"/>
        </w:rPr>
        <w:t>COMPARATIVE EFFECTS OF OVEN AND SUN DRYING ON THE NUTRITIONAL COMPOSITION, MINERAL CONTENTS, AND MEAT TENDERIZATION PROPERTIES OF GINGER</w:t>
      </w:r>
      <w:r w:rsidR="000D475F" w:rsidRPr="0080017E">
        <w:rPr>
          <w:rFonts w:ascii="Times New Roman" w:hAnsi="Times New Roman" w:cs="Times New Roman"/>
          <w:b/>
          <w:sz w:val="24"/>
          <w:szCs w:val="24"/>
        </w:rPr>
        <w:t xml:space="preserve"> </w:t>
      </w:r>
      <w:r w:rsidRPr="0080017E">
        <w:rPr>
          <w:rFonts w:ascii="Times New Roman" w:hAnsi="Times New Roman" w:cs="Times New Roman"/>
          <w:b/>
          <w:i/>
          <w:sz w:val="24"/>
          <w:szCs w:val="24"/>
        </w:rPr>
        <w:t>(Zingiber officinale)</w:t>
      </w:r>
    </w:p>
    <w:p w14:paraId="38A639C7" w14:textId="77777777" w:rsidR="0009317D" w:rsidRPr="0080017E" w:rsidRDefault="0009317D">
      <w:pPr>
        <w:rPr>
          <w:rFonts w:ascii="Times New Roman" w:hAnsi="Times New Roman" w:cs="Times New Roman"/>
          <w:sz w:val="24"/>
          <w:szCs w:val="24"/>
        </w:rPr>
      </w:pPr>
    </w:p>
    <w:p w14:paraId="5C035DC2" w14:textId="77777777" w:rsidR="0009317D" w:rsidRPr="0080017E" w:rsidRDefault="00000000">
      <w:pPr>
        <w:pStyle w:val="Heading1"/>
        <w:rPr>
          <w:rFonts w:ascii="Times New Roman" w:hAnsi="Times New Roman" w:cs="Times New Roman"/>
          <w:color w:val="auto"/>
          <w:sz w:val="24"/>
          <w:szCs w:val="24"/>
        </w:rPr>
      </w:pPr>
      <w:r w:rsidRPr="0080017E">
        <w:rPr>
          <w:rFonts w:ascii="Times New Roman" w:hAnsi="Times New Roman" w:cs="Times New Roman"/>
          <w:color w:val="auto"/>
          <w:sz w:val="24"/>
          <w:szCs w:val="24"/>
        </w:rPr>
        <w:t>ABSTRACT</w:t>
      </w:r>
    </w:p>
    <w:p w14:paraId="0830CCD9"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Ginger (</w:t>
      </w:r>
      <w:r w:rsidRPr="0080017E">
        <w:rPr>
          <w:rFonts w:ascii="Times New Roman" w:hAnsi="Times New Roman"/>
          <w:i/>
          <w:sz w:val="24"/>
        </w:rPr>
        <w:t>Zingiber officinale</w:t>
      </w:r>
      <w:r w:rsidRPr="0080017E">
        <w:rPr>
          <w:rFonts w:ascii="Times New Roman" w:hAnsi="Times New Roman"/>
          <w:sz w:val="24"/>
        </w:rPr>
        <w:t>) is recognised for its rich mineral content, vitamins, dietary fibre, and diverse medicinal properties. This study compared the effects of oven drying and sun drying on the proximate composition, mineral content, and meat tenderisation properties of ginger. Fresh ginger rhizomes were processed using two drying methods: sun drying for 5-7 days and oven drying at 60±2°C for 8-12 hours. Dried samples were then milled into a fine powder and analysed at the National Veterinary Research Institute. A completely randomised design was employed, with six laying hens divided into three groups (n=2 per group): Group A (control, standard feed), Group B (feed mixed with oven-dried ginger), and Group C (feed mixed with sun-dried ginger), over three weeks. Meat tenderisation was assessed by 19 panellists using a 9-point hedonic scale; a separate untreated control meat sample was included and rated as extremely hard (neither tender nor tough, 5.26%). Results showed that sun-dried ginger retained significantly more moisture (31.30±0.71%) than oven-dried ginger (15.92±0.25%), whereas oven-dried ginger had higher crude protein (5.88±0.005%) and crude fat (3.62±0.015%) contents. For minerals, sun-dried ginger retained higher potassium (28.25±0.04 mg/100g), iron (5.65±0.04 mg/100g), calcium (161.24±0.07 mg/100g), and zinc (18.45±0.03 mg/100g), whereas oven-dried ginger had higher sodium (5.58±0.03 mg/100g). All mineral differences were statistically significant (p&lt;0.05). For meat tenderisation, 67.9% of panellists rated the ginger-treated chicken as ‘very tender’ or ‘extremely tender’, whereas the control meat remained extremely hard. There were no significant differences in chicken growth performance among the groups (p&gt;0.05). This study demonstrates that ginger powder, whether sun-dried or oven-dried, is an effective natural meat tenderiser and a valuable source of micronutrients, offering a low-cost, practical alternative to synthetic tenderising agents for household and industrial use.</w:t>
      </w:r>
    </w:p>
    <w:p w14:paraId="532F4D7D" w14:textId="0BD674A4" w:rsidR="0009317D" w:rsidRPr="0080017E" w:rsidRDefault="00000000">
      <w:pPr>
        <w:rPr>
          <w:rFonts w:ascii="Times New Roman" w:hAnsi="Times New Roman" w:cs="Times New Roman"/>
          <w:b/>
          <w:sz w:val="24"/>
          <w:szCs w:val="24"/>
        </w:rPr>
      </w:pPr>
      <w:r w:rsidRPr="0080017E">
        <w:rPr>
          <w:rFonts w:ascii="Times New Roman" w:hAnsi="Times New Roman" w:cs="Times New Roman"/>
          <w:b/>
          <w:sz w:val="24"/>
          <w:szCs w:val="24"/>
        </w:rPr>
        <w:t xml:space="preserve">Keywords: </w:t>
      </w:r>
      <w:r w:rsidR="0080017E">
        <w:rPr>
          <w:rStyle w:val="Emphasis"/>
        </w:rPr>
        <w:t>Zingiber officinale</w:t>
      </w:r>
      <w:r w:rsidR="0080017E">
        <w:t xml:space="preserve">; oven drying; sun drying; proximate composition; mineral content; meat </w:t>
      </w:r>
      <w:proofErr w:type="spellStart"/>
      <w:r w:rsidR="0080017E">
        <w:t>tenderisation</w:t>
      </w:r>
      <w:proofErr w:type="spellEnd"/>
      <w:r w:rsidR="0080017E">
        <w:t xml:space="preserve">; </w:t>
      </w:r>
      <w:proofErr w:type="spellStart"/>
      <w:r w:rsidR="0080017E">
        <w:t>zingibain</w:t>
      </w:r>
      <w:proofErr w:type="spellEnd"/>
      <w:r w:rsidR="0080017E">
        <w:t>; sensory evaluation; chicken growth performance</w:t>
      </w:r>
    </w:p>
    <w:p w14:paraId="58BC9823" w14:textId="77777777" w:rsidR="0009317D" w:rsidRPr="0080017E" w:rsidRDefault="0009317D">
      <w:pPr>
        <w:rPr>
          <w:rFonts w:ascii="Times New Roman" w:hAnsi="Times New Roman" w:cs="Times New Roman"/>
          <w:sz w:val="24"/>
          <w:szCs w:val="24"/>
        </w:rPr>
      </w:pPr>
    </w:p>
    <w:p w14:paraId="56256DDA" w14:textId="77777777" w:rsidR="008B6DA9" w:rsidRPr="0080017E" w:rsidRDefault="008B6DA9">
      <w:pPr>
        <w:rPr>
          <w:rFonts w:ascii="Times New Roman" w:hAnsi="Times New Roman" w:cs="Times New Roman"/>
          <w:sz w:val="24"/>
          <w:szCs w:val="24"/>
        </w:rPr>
      </w:pPr>
    </w:p>
    <w:p w14:paraId="74F416B0" w14:textId="77777777" w:rsidR="008B6DA9" w:rsidRPr="0080017E" w:rsidRDefault="008B6DA9">
      <w:pPr>
        <w:rPr>
          <w:rFonts w:ascii="Times New Roman" w:hAnsi="Times New Roman" w:cs="Times New Roman"/>
          <w:sz w:val="24"/>
          <w:szCs w:val="24"/>
        </w:rPr>
      </w:pPr>
    </w:p>
    <w:p w14:paraId="53175D9D" w14:textId="77777777" w:rsidR="0009317D" w:rsidRPr="0080017E" w:rsidRDefault="00000000">
      <w:pPr>
        <w:pStyle w:val="Heading1"/>
        <w:pageBreakBefore/>
        <w:rPr>
          <w:rFonts w:ascii="Times New Roman" w:hAnsi="Times New Roman" w:cs="Times New Roman"/>
          <w:color w:val="auto"/>
          <w:sz w:val="24"/>
          <w:szCs w:val="24"/>
        </w:rPr>
      </w:pPr>
      <w:r w:rsidRPr="0080017E">
        <w:rPr>
          <w:rFonts w:ascii="Times New Roman" w:hAnsi="Times New Roman" w:cs="Times New Roman"/>
          <w:color w:val="auto"/>
          <w:sz w:val="24"/>
          <w:szCs w:val="24"/>
        </w:rPr>
        <w:lastRenderedPageBreak/>
        <w:t>1.0 INTRODUCTION</w:t>
      </w:r>
    </w:p>
    <w:p w14:paraId="409D25E8" w14:textId="62F15532" w:rsidR="009E2989" w:rsidRPr="0080017E" w:rsidRDefault="00000000">
      <w:pPr>
        <w:jc w:val="both"/>
        <w:rPr>
          <w:rFonts w:ascii="Times New Roman" w:hAnsi="Times New Roman" w:cs="Times New Roman"/>
          <w:bCs/>
          <w:sz w:val="24"/>
          <w:szCs w:val="24"/>
        </w:rPr>
      </w:pPr>
      <w:r w:rsidRPr="0080017E">
        <w:rPr>
          <w:rFonts w:ascii="Times New Roman" w:hAnsi="Times New Roman"/>
          <w:sz w:val="24"/>
        </w:rPr>
        <w:t>Ginger (</w:t>
      </w:r>
      <w:r w:rsidRPr="0080017E">
        <w:rPr>
          <w:rFonts w:ascii="Times New Roman" w:hAnsi="Times New Roman"/>
          <w:i/>
          <w:sz w:val="24"/>
        </w:rPr>
        <w:t>Zingiber officinale Roscoe</w:t>
      </w:r>
      <w:r w:rsidRPr="0080017E">
        <w:rPr>
          <w:rFonts w:ascii="Times New Roman" w:hAnsi="Times New Roman"/>
          <w:sz w:val="24"/>
        </w:rPr>
        <w:t>) is a rhizomatous herbaceous perennial belonging to the family Zingiberaceae and is widely cultivated in tropical and subtropical regions worldwide, including Nigeria, India, China, and Indonesia (Syed et al., 2020). It is one of the most economically important spice crops globally and is valued not only as a culinary condiment but also for its medicinal, nutraceutical, and industrial applications (Bag, 2018; Nair, 2019). The rhizome, which is the economically useful part of the plant, is characterised by a pungent aroma and taste attributed to bioactive compounds such as gingerol, shogaol, and zingerone, alongside essential oils, carbohydrates, proteins, fibre, and an appreciable mineral profile that includes potassium, magnesium, calcium, phosphorus, iron, and zinc (Akter et al., 2020; Mahmudati et al., 2020). In addition to its use as a flavouring and medicinal agent, ginger is recognised for its proteolytic activity owing to the presence of a cysteine protease known as zingibain (Moon, 2018; Thompson et al., 1973). This enzyme can hydrolyse connective-tissue proteins, including collagen, and myofibrillar proteins in meat, thereby softening its texture (Moon, 2018). This property has generated considerable interest in ginger extract as a natural meat tenderiser, offering a safer and more consumer-acceptable alternative to synthetic tenderising agents. Recent studies have documented the compositional value of ginger powder, the use of zingibain in meat tenderisation, and ginger supplementation in broiler production (Ojubanire et al., 2022; Mohd Azmi et al., 2023; Chaudhary et al., 2026).</w:t>
      </w:r>
    </w:p>
    <w:p w14:paraId="67C400E2" w14:textId="77777777" w:rsidR="003D0222" w:rsidRPr="0080017E" w:rsidRDefault="00000000" w:rsidP="009D3148">
      <w:pPr>
        <w:jc w:val="both"/>
        <w:rPr>
          <w:rFonts w:ascii="Times New Roman" w:hAnsi="Times New Roman" w:cs="Times New Roman"/>
          <w:sz w:val="24"/>
          <w:szCs w:val="24"/>
        </w:rPr>
      </w:pPr>
      <w:r w:rsidRPr="0080017E">
        <w:rPr>
          <w:rFonts w:ascii="Times New Roman" w:hAnsi="Times New Roman"/>
          <w:sz w:val="24"/>
        </w:rPr>
        <w:t>Ginger rhizomes have a high moisture content, typically ranging from 80 to 90%, which predisposes them to rapid microbial spoilage, enzymatic deterioration, and physical damage if they are not properly processed shortly after harvest (Syed et al., 2020). Drying is, therefore, one of the oldest and most widely adopted postharvest preservation techniques applied to ginger, as it reduces moisture content to a level that inhibits microbial growth and enzymatic activity, thereby extending shelf life, reducing bulk for storage and transportation, and enabling year-round availability for domestic use and industrial processing into powder, oleoresin, and essential oil (Nair, 2019).</w:t>
      </w:r>
    </w:p>
    <w:p w14:paraId="6562C281" w14:textId="77777777" w:rsidR="0009317D" w:rsidRPr="0080017E" w:rsidRDefault="00000000" w:rsidP="009D3148">
      <w:pPr>
        <w:jc w:val="both"/>
        <w:rPr>
          <w:rFonts w:ascii="Times New Roman" w:hAnsi="Times New Roman" w:cs="Times New Roman"/>
          <w:sz w:val="24"/>
          <w:szCs w:val="24"/>
        </w:rPr>
      </w:pPr>
      <w:r w:rsidRPr="0080017E">
        <w:rPr>
          <w:rFonts w:ascii="Times New Roman" w:hAnsi="Times New Roman"/>
          <w:sz w:val="24"/>
        </w:rPr>
        <w:t xml:space="preserve">Two of the most common drying methods used for ginger, particularly in developing countries, are open sun drying and oven (hot-air) drying (Akter et al., 2020; Sangwan et al., 2014). Sun drying is a traditional, low-cost method in which fresh ginger slices are spread out and exposed directly to solar radiation and ambient air for several days. Although inexpensive and requiring no specialised equipment, this method is slow and weather-dependent, exposes the product to contamination by dust, insects, rodents, and microorganisms, and often results in uneven drying and potential nutrient degradation owing to prolonged exposure to ultraviolet radiation and fluctuating temperatures (Ajayi et al., 2017). Oven drying, by contrast, is a controlled mechanical method that uses a regulated temperature and consistent airflow to remove moisture within a shorter and more predictable period. Although it requires energy input and equipment, oven </w:t>
      </w:r>
      <w:r w:rsidRPr="0080017E">
        <w:rPr>
          <w:rFonts w:ascii="Times New Roman" w:hAnsi="Times New Roman"/>
          <w:sz w:val="24"/>
        </w:rPr>
        <w:lastRenderedPageBreak/>
        <w:t>drying offers greater hygiene, uniformity, and control over the drying process (Ajayi et al., 2017; Sangwan et al., 2014).</w:t>
      </w:r>
    </w:p>
    <w:p w14:paraId="00BB38AF" w14:textId="41C852F8" w:rsidR="009E2989" w:rsidRPr="0080017E" w:rsidRDefault="00000000">
      <w:pPr>
        <w:jc w:val="both"/>
        <w:rPr>
          <w:rFonts w:ascii="Times New Roman" w:hAnsi="Times New Roman" w:cs="Times New Roman"/>
          <w:sz w:val="24"/>
          <w:szCs w:val="24"/>
        </w:rPr>
      </w:pPr>
      <w:r w:rsidRPr="0080017E">
        <w:rPr>
          <w:rFonts w:ascii="Times New Roman" w:hAnsi="Times New Roman"/>
          <w:sz w:val="24"/>
        </w:rPr>
        <w:t>Drying temperature and combined drying and extraction conditions can influence ginger quality and bioactive composition (Dalsasso et al., 2023; Shaukat et al., 2024). The drying method used can significantly influence the nutritional and functional quality of the final ginger product (Mamata et al., 2022; Sangwan et al., 2014). Heat exposure during drying can degrade heat-labile nutrients, denature or inactivate enzymes such as zingibain, and alter the proximate composition (moisture, ash, crude protein, crude fat, crude fibre, and carbohydrate content) and mineral bioavailability. Since the proteolytic enzyme responsible for ginger's tenderising effect is heat-sensitive, the drying method and its associated temperature regime may either preserve or diminish the meat-tenderising potential of the dried product (Moon, 2018; Thompson et al., 1973). Despite the widespread use of both drying methods, limited comparative information is available on how each method specifically affects nutritional composition, mineral retention, and, more importantly, the tenderisation efficacy of the resulting dried ginger. This knowledge gap is of scientific and practical relevance to food processors, farmers, and consumers who rely on dried ginger for nutritional and functional (tenderising) purposes.</w:t>
      </w:r>
    </w:p>
    <w:p w14:paraId="297A47E6" w14:textId="77777777" w:rsidR="009E2989" w:rsidRPr="0080017E" w:rsidRDefault="00000000">
      <w:pPr>
        <w:jc w:val="both"/>
        <w:rPr>
          <w:rFonts w:ascii="Times New Roman" w:hAnsi="Times New Roman" w:cs="Times New Roman"/>
          <w:sz w:val="24"/>
          <w:szCs w:val="24"/>
        </w:rPr>
      </w:pPr>
      <w:r w:rsidRPr="0080017E">
        <w:rPr>
          <w:rFonts w:ascii="Times New Roman" w:hAnsi="Times New Roman"/>
          <w:sz w:val="24"/>
        </w:rPr>
        <w:t>Hence, this study aimed to evaluate the effects of oven drying and sun drying on the proximate composition, mineral content, and meat-tenderising effect of ginger (</w:t>
      </w:r>
      <w:r w:rsidRPr="0080017E">
        <w:rPr>
          <w:rFonts w:ascii="Times New Roman" w:hAnsi="Times New Roman"/>
          <w:i/>
          <w:sz w:val="24"/>
        </w:rPr>
        <w:t>Zingiber officinale</w:t>
      </w:r>
      <w:r w:rsidRPr="0080017E">
        <w:rPr>
          <w:rFonts w:ascii="Times New Roman" w:hAnsi="Times New Roman"/>
          <w:sz w:val="24"/>
        </w:rPr>
        <w:t>).</w:t>
      </w:r>
    </w:p>
    <w:p w14:paraId="5325107B" w14:textId="77777777" w:rsidR="0009317D" w:rsidRPr="0080017E" w:rsidRDefault="00000000">
      <w:pPr>
        <w:pStyle w:val="Heading1"/>
        <w:rPr>
          <w:rFonts w:ascii="Times New Roman" w:hAnsi="Times New Roman" w:cs="Times New Roman"/>
          <w:color w:val="auto"/>
          <w:sz w:val="24"/>
          <w:szCs w:val="24"/>
        </w:rPr>
      </w:pPr>
      <w:r w:rsidRPr="0080017E">
        <w:rPr>
          <w:rFonts w:ascii="Times New Roman" w:hAnsi="Times New Roman" w:cs="Times New Roman"/>
          <w:color w:val="auto"/>
          <w:sz w:val="24"/>
          <w:szCs w:val="24"/>
        </w:rPr>
        <w:t>2.0 MATERIALS AND METHODS</w:t>
      </w:r>
    </w:p>
    <w:p w14:paraId="4FF6206D"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2.1 Ethical Clearance</w:t>
      </w:r>
    </w:p>
    <w:p w14:paraId="3046E0BF" w14:textId="77777777" w:rsidR="0009317D" w:rsidRPr="0080017E" w:rsidRDefault="00000000" w:rsidP="009D3148">
      <w:pPr>
        <w:jc w:val="both"/>
        <w:rPr>
          <w:rFonts w:ascii="Times New Roman" w:hAnsi="Times New Roman" w:cs="Times New Roman"/>
          <w:sz w:val="24"/>
          <w:szCs w:val="24"/>
        </w:rPr>
      </w:pPr>
      <w:r w:rsidRPr="0080017E">
        <w:rPr>
          <w:rFonts w:ascii="Times New Roman" w:hAnsi="Times New Roman" w:cs="Times New Roman"/>
          <w:sz w:val="24"/>
          <w:szCs w:val="24"/>
        </w:rPr>
        <w:t xml:space="preserve">This study was approved by the Research and Ethics Committee of Federal University of Education, </w:t>
      </w:r>
      <w:proofErr w:type="spellStart"/>
      <w:r w:rsidRPr="0080017E">
        <w:rPr>
          <w:rFonts w:ascii="Times New Roman" w:hAnsi="Times New Roman" w:cs="Times New Roman"/>
          <w:sz w:val="24"/>
          <w:szCs w:val="24"/>
        </w:rPr>
        <w:t>Pankshin</w:t>
      </w:r>
      <w:proofErr w:type="spellEnd"/>
      <w:r w:rsidRPr="0080017E">
        <w:rPr>
          <w:rFonts w:ascii="Times New Roman" w:hAnsi="Times New Roman" w:cs="Times New Roman"/>
          <w:sz w:val="24"/>
          <w:szCs w:val="24"/>
        </w:rPr>
        <w:t>, Nigeria (approval reference: FUEP/REC/2023/001). All procedures involving animals were conducted in accordance with institutional guidelines for the care and use of laboratory animals, and all efforts were made to minimize animal suffering.</w:t>
      </w:r>
      <w:r w:rsidR="00A003DF" w:rsidRPr="0080017E">
        <w:rPr>
          <w:rFonts w:ascii="Times New Roman" w:hAnsi="Times New Roman" w:cs="Times New Roman"/>
          <w:sz w:val="24"/>
          <w:szCs w:val="24"/>
        </w:rPr>
        <w:t xml:space="preserve"> The panelist employed for the sensory analysis also gave their consent and approval. </w:t>
      </w:r>
    </w:p>
    <w:p w14:paraId="2A28CF7D"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2.2 Study Location</w:t>
      </w:r>
    </w:p>
    <w:p w14:paraId="7AACA88D" w14:textId="77777777" w:rsidR="0009317D" w:rsidRPr="0080017E" w:rsidRDefault="00000000" w:rsidP="009D3148">
      <w:pPr>
        <w:jc w:val="both"/>
        <w:rPr>
          <w:rFonts w:ascii="Times New Roman" w:hAnsi="Times New Roman" w:cs="Times New Roman"/>
          <w:sz w:val="24"/>
          <w:szCs w:val="24"/>
        </w:rPr>
      </w:pPr>
      <w:r w:rsidRPr="0080017E">
        <w:rPr>
          <w:rFonts w:ascii="Times New Roman" w:hAnsi="Times New Roman"/>
          <w:sz w:val="24"/>
        </w:rPr>
        <w:t>This study was conducted in Pankshin Local Government Area, Plateau State, Nigeria. The headquarters is located in Pankshin town. The area covers 1,524 km² and had a population of 191,685 according to the 2006 census (National Population Commission, 2009). Pankshin is located at latitude 9.3279°E and longitude 9.5431°E and lies 1,371 metres above sea level. The climate is temperate compared with that of most other local government areas in Plateau State. Average monthly temperatures range from 20 to 24°C (68-75°F). The area receives approximately 1,150 mm (45.26 inches) of rainfall annually, or roughly 95.8 mm (3.77 inches) per month.</w:t>
      </w:r>
    </w:p>
    <w:p w14:paraId="4CCB27A0"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lastRenderedPageBreak/>
        <w:t>2.3 Sourcing and Preparation of Materials</w:t>
      </w:r>
    </w:p>
    <w:p w14:paraId="28BC0F73"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Fresh, mature, disease-free ginger (</w:t>
      </w:r>
      <w:r w:rsidRPr="0080017E">
        <w:rPr>
          <w:rFonts w:ascii="Times New Roman" w:hAnsi="Times New Roman"/>
          <w:i/>
          <w:sz w:val="24"/>
        </w:rPr>
        <w:t>Zingiber officinale</w:t>
      </w:r>
      <w:r w:rsidRPr="0080017E">
        <w:rPr>
          <w:rFonts w:ascii="Times New Roman" w:hAnsi="Times New Roman"/>
          <w:sz w:val="24"/>
        </w:rPr>
        <w:t>) rhizomes were procured from a local market in Pankshin, Plateau State, Nigeria. The rhizomes were sorted to remove damaged or diseased portions, thoroughly washed under running tap water to remove adhering soil and debris, and manually peeled using a stainless-steel knife. The peeled rhizomes were sliced to a uniform thickness (approximately 3-5 mm) using a mechanical slicer to ensure a uniform surface area for drying.</w:t>
      </w:r>
    </w:p>
    <w:p w14:paraId="51A97EF3"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t>2.3.1 Sun Drying</w:t>
      </w:r>
    </w:p>
    <w:p w14:paraId="6E7817C0"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One portion of the sliced ginger was spread evenly in a single layer on clean drying trays and exposed to direct sunlight in an open, well-ventilated area protected from dust and pest contamination by a fine-mesh cover. Drying was carried out during the daytime over consecutive days (approximately 5-7 days, depending on prevailing weather conditions) until a constant weight was achieved. Ambient temperature and relative humidity were monitored and recorded daily using a digital thermo-hygrometer.</w:t>
      </w:r>
    </w:p>
    <w:p w14:paraId="10341B09"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t>2.3.2 Oven Drying</w:t>
      </w:r>
    </w:p>
    <w:p w14:paraId="39FDEC88" w14:textId="77777777" w:rsidR="0009317D" w:rsidRPr="0080017E" w:rsidRDefault="00000000" w:rsidP="008B4332">
      <w:pPr>
        <w:jc w:val="both"/>
        <w:rPr>
          <w:rFonts w:ascii="Times New Roman" w:hAnsi="Times New Roman" w:cs="Times New Roman"/>
          <w:sz w:val="24"/>
          <w:szCs w:val="24"/>
        </w:rPr>
      </w:pPr>
      <w:r w:rsidRPr="0080017E">
        <w:rPr>
          <w:rFonts w:ascii="Times New Roman" w:hAnsi="Times New Roman"/>
          <w:sz w:val="24"/>
        </w:rPr>
        <w:t>The second portion of the sliced ginger was spread in a single layer on perforated trays and dried in a hot-air oven (laboratory cabinet dryer) set at a constant temperature of 60±2°C. Drying continued until a constant weight was obtained (typically 8-12 hours), indicating the attainment of equilibrium moisture content. Samples were weighed at regular intervals (every 1-2 hours) using a digital analytical balance to monitor the rate of moisture loss and construct drying curves for both methods. After drying, the samples were allowed to cool to room temperature, milled into a fine powder using a laboratory blender, sieved through a 0.5 mm mesh to obtain a uniform particle size, and stored in clean, airtight, labelled containers before transport to the National Veterinary Research Institute (NVRI), Vom, for proximate and mineral analyses.</w:t>
      </w:r>
    </w:p>
    <w:p w14:paraId="5D67E317"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2.4 Experimental Animal Collection and Design</w:t>
      </w:r>
    </w:p>
    <w:p w14:paraId="757FC058" w14:textId="77777777" w:rsidR="0009317D" w:rsidRPr="0080017E" w:rsidRDefault="00000000" w:rsidP="009D3148">
      <w:pPr>
        <w:jc w:val="both"/>
        <w:rPr>
          <w:rFonts w:ascii="Times New Roman" w:hAnsi="Times New Roman" w:cs="Times New Roman"/>
          <w:sz w:val="24"/>
          <w:szCs w:val="24"/>
        </w:rPr>
      </w:pPr>
      <w:r w:rsidRPr="0080017E">
        <w:rPr>
          <w:rFonts w:ascii="Times New Roman" w:hAnsi="Times New Roman"/>
          <w:sz w:val="24"/>
        </w:rPr>
        <w:t>Six laying hens, each three months old, were purchased from Ecwa Veterinary in Jos, Plateau State, and transported to Federal University of Education, Pankshin. The study was laid out as a completely randomised design (CRD) with three treatment groups of two hens each, maintained in a deep-litter pen under standardised environmental conditions. Group A (control group) received regular commercial chicken feed and water daily for three weeks. Group B was given commercial chicken feed mixed with oven-dried ginger powder at a 10% w/w inclusion rate, whereas Group C received commercial chicken feed mixed with sun-dried ginger powder at the same inclusion rate, both for three weeks. Routine care and necessary vaccinations were provided. After three weeks, all hens were humanely sacrificed, individually cooked for 45 minutes, and presented to a trained sensory panel of 19 judges for meat-tenderness evaluation.</w:t>
      </w:r>
    </w:p>
    <w:p w14:paraId="4102EBC0"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2.5 Determination of Proximate Composition</w:t>
      </w:r>
    </w:p>
    <w:p w14:paraId="281B014A" w14:textId="77777777" w:rsidR="0009317D" w:rsidRPr="0080017E" w:rsidRDefault="00000000">
      <w:pPr>
        <w:jc w:val="both"/>
        <w:rPr>
          <w:rFonts w:ascii="Times New Roman" w:hAnsi="Times New Roman" w:cs="Times New Roman"/>
          <w:sz w:val="24"/>
          <w:szCs w:val="24"/>
        </w:rPr>
      </w:pPr>
      <w:r w:rsidRPr="0080017E">
        <w:rPr>
          <w:rFonts w:ascii="Times New Roman" w:hAnsi="Times New Roman" w:cs="Times New Roman"/>
          <w:sz w:val="24"/>
          <w:szCs w:val="24"/>
        </w:rPr>
        <w:t>The proximate composition of fresh, oven-dried, and sun-dried ginger samples was determined in triplicate using standard methods of the Association of Official Analytical Chemists (AOAC).</w:t>
      </w:r>
    </w:p>
    <w:p w14:paraId="2F0D33DF"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lastRenderedPageBreak/>
        <w:t>2.5.1 Moisture Content</w:t>
      </w:r>
    </w:p>
    <w:p w14:paraId="288BD080"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Moisture content was measured according to AOAC International (2010). Five grams of ginger powder were placed in a pre-weighed Petri dish and dried in an oven at 105±5°C until a constant weight was achieved. Moisture percentage was calculated using the formula: Moisture (%) = [(Initial weight of sample - Dried weight of sample) ÷ Initial weight of sample] × 100</w:t>
      </w:r>
    </w:p>
    <w:p w14:paraId="16CA73DA"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t>2.5.2 Protein Content</w:t>
      </w:r>
    </w:p>
    <w:p w14:paraId="6FCB3242"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Protein content was determined using the Kjeldahl method (Akter et al., 2020). A 0.5 g sample and 0.2 g of digestion mixture were placed in a Kjeldahl tube, followed by the addition of 20 mL of 98% sulfuric acid. The mixture was digested at 420°C for 4 hours. The digested solution was then distilled, and the resulting solution was titrated with 0.1 N hydrochloric acid. Nitrogen content was multiplied by 6.25 to estimate protein content. Nitrogen percentage was calculated using: Nitrogen (%) = [(Burette reading × Normality of acid × 1.4007) ÷ Sample weight] × 100</w:t>
      </w:r>
    </w:p>
    <w:p w14:paraId="6153F36E"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t>2.5.3 Ash Content</w:t>
      </w:r>
    </w:p>
    <w:p w14:paraId="6CAE9AB3"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Ash content was measured according to AOAC International (2010). Five grams of the sample were placed in a pre-weighed crucible and heated over a Bunsen burner until fully charred. The crucible was then transferred to a muffle furnace and heated at 550°C for 5 hours. After cooling in a desiccator, the ash content was calculated using: Ash (%) = [(Weight of ash ÷ Weight of sample) × 100]</w:t>
      </w:r>
    </w:p>
    <w:p w14:paraId="0171B9C5"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t>2.5.4 Crude Fat Content</w:t>
      </w:r>
    </w:p>
    <w:p w14:paraId="02F06E0C"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Crude fat was determined using the Soxhlet method (AOAC International, 2005). Five grams of the sample were placed in a cellulose extraction thimble and inserted into the Soxhlet extraction column. A 250 mL boiling flask was filled with 150 mL of petroleum ether (60-40) and placed under the extraction column. The thimble was immersed in the solvent for 3 hours at 90°C, then lifted above the solvent and left for 30 minutes. After removing the thimble, the petroleum ether was recovered for reuse. The boiling flask was placed in an oven to remove the remaining solvent, and the crude fat was weighed. Fat content was calculated using: Fat (%) = [(Weight of fat ÷ Weight of sample) × 100]</w:t>
      </w:r>
    </w:p>
    <w:p w14:paraId="5CBA6DAB"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t>2.5.5 Crude Fiber Content</w:t>
      </w:r>
    </w:p>
    <w:p w14:paraId="770E1E02"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The crude fibre content of the defatted dry sample was measured according to AOAC International (2005). Approximately 2.5 g of the defatted dry sample was used. The sample was boiled with 1.25% dilute H₂SO₄, washed with water, and then boiled again with 1.25% dilute NaOH. The residue remaining after digestion was considered crude fibre and was then placed in a muffle furnace and heated at 600°C. Crude fibre was calculated using: Crude fiber (%) = [(Loss in weight on ignition ÷ Weight of sample) × 100]</w:t>
      </w:r>
    </w:p>
    <w:p w14:paraId="73A21EFF" w14:textId="77777777" w:rsidR="0009317D" w:rsidRPr="0080017E" w:rsidRDefault="00000000">
      <w:pPr>
        <w:pStyle w:val="Heading3"/>
        <w:rPr>
          <w:rFonts w:ascii="Times New Roman" w:hAnsi="Times New Roman" w:cs="Times New Roman"/>
          <w:color w:val="auto"/>
          <w:sz w:val="24"/>
          <w:szCs w:val="24"/>
        </w:rPr>
      </w:pPr>
      <w:r w:rsidRPr="0080017E">
        <w:rPr>
          <w:rFonts w:ascii="Times New Roman" w:hAnsi="Times New Roman" w:cs="Times New Roman"/>
          <w:color w:val="auto"/>
          <w:sz w:val="24"/>
          <w:szCs w:val="24"/>
        </w:rPr>
        <w:t>2.5.6 Carbohydrate Content</w:t>
      </w:r>
    </w:p>
    <w:p w14:paraId="2D8C089C" w14:textId="77777777" w:rsidR="0009317D" w:rsidRPr="0080017E" w:rsidRDefault="00000000" w:rsidP="009D3148">
      <w:pPr>
        <w:jc w:val="both"/>
        <w:rPr>
          <w:rFonts w:ascii="Times New Roman" w:hAnsi="Times New Roman" w:cs="Times New Roman"/>
          <w:sz w:val="24"/>
          <w:szCs w:val="24"/>
        </w:rPr>
      </w:pPr>
      <w:r w:rsidRPr="0080017E">
        <w:rPr>
          <w:rFonts w:ascii="Times New Roman" w:hAnsi="Times New Roman"/>
          <w:sz w:val="24"/>
        </w:rPr>
        <w:t xml:space="preserve">Carbohydrate content was estimated using the difference method. The amounts of protein, fat, moisture, ash, and fibre were measured separately and summed. This total was subtracted from </w:t>
      </w:r>
      <w:r w:rsidRPr="0080017E">
        <w:rPr>
          <w:rFonts w:ascii="Times New Roman" w:hAnsi="Times New Roman"/>
          <w:sz w:val="24"/>
        </w:rPr>
        <w:lastRenderedPageBreak/>
        <w:t>100% to determine total carbohydrate content. Formula: Total Carbohydrate (%) = [100 - % (Protein + Fat + Moisture + Ash + Fiber)]</w:t>
      </w:r>
    </w:p>
    <w:p w14:paraId="703318C5"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2.6 Determination of Mineral Content</w:t>
      </w:r>
    </w:p>
    <w:p w14:paraId="734A1E12" w14:textId="77777777" w:rsidR="0009317D" w:rsidRPr="0080017E" w:rsidRDefault="00000000" w:rsidP="009D3148">
      <w:pPr>
        <w:jc w:val="both"/>
        <w:rPr>
          <w:rFonts w:ascii="Times New Roman" w:hAnsi="Times New Roman" w:cs="Times New Roman"/>
          <w:sz w:val="24"/>
          <w:szCs w:val="24"/>
        </w:rPr>
      </w:pPr>
      <w:r w:rsidRPr="0080017E">
        <w:rPr>
          <w:rFonts w:ascii="Times New Roman" w:hAnsi="Times New Roman" w:cs="Times New Roman"/>
          <w:sz w:val="24"/>
          <w:szCs w:val="24"/>
        </w:rPr>
        <w:t>Mineral analysis was carried out on dry-</w:t>
      </w:r>
      <w:proofErr w:type="spellStart"/>
      <w:r w:rsidRPr="0080017E">
        <w:rPr>
          <w:rFonts w:ascii="Times New Roman" w:hAnsi="Times New Roman" w:cs="Times New Roman"/>
          <w:sz w:val="24"/>
          <w:szCs w:val="24"/>
        </w:rPr>
        <w:t>ashed</w:t>
      </w:r>
      <w:proofErr w:type="spellEnd"/>
      <w:r w:rsidRPr="0080017E">
        <w:rPr>
          <w:rFonts w:ascii="Times New Roman" w:hAnsi="Times New Roman" w:cs="Times New Roman"/>
          <w:sz w:val="24"/>
          <w:szCs w:val="24"/>
        </w:rPr>
        <w:t xml:space="preserve"> samples following wet digestion with a mixture of nitric acid, sulfuric acid, and perchloric acid. Calcium, magnesium, iron, and zinc were determined using an Atomic Absorption Spectrophotometer (AAS). Sodium and potassium were determined using a flame photometer, while phosphorus was determined </w:t>
      </w:r>
      <w:proofErr w:type="spellStart"/>
      <w:r w:rsidRPr="0080017E">
        <w:rPr>
          <w:rFonts w:ascii="Times New Roman" w:hAnsi="Times New Roman" w:cs="Times New Roman"/>
          <w:sz w:val="24"/>
          <w:szCs w:val="24"/>
        </w:rPr>
        <w:t>colorimetrically</w:t>
      </w:r>
      <w:proofErr w:type="spellEnd"/>
      <w:r w:rsidRPr="0080017E">
        <w:rPr>
          <w:rFonts w:ascii="Times New Roman" w:hAnsi="Times New Roman" w:cs="Times New Roman"/>
          <w:sz w:val="24"/>
          <w:szCs w:val="24"/>
        </w:rPr>
        <w:t xml:space="preserve"> using the </w:t>
      </w:r>
      <w:proofErr w:type="spellStart"/>
      <w:r w:rsidRPr="0080017E">
        <w:rPr>
          <w:rFonts w:ascii="Times New Roman" w:hAnsi="Times New Roman" w:cs="Times New Roman"/>
          <w:sz w:val="24"/>
          <w:szCs w:val="24"/>
        </w:rPr>
        <w:t>vanadomolybdate</w:t>
      </w:r>
      <w:proofErr w:type="spellEnd"/>
      <w:r w:rsidRPr="0080017E">
        <w:rPr>
          <w:rFonts w:ascii="Times New Roman" w:hAnsi="Times New Roman" w:cs="Times New Roman"/>
          <w:sz w:val="24"/>
          <w:szCs w:val="24"/>
        </w:rPr>
        <w:t xml:space="preserve"> method with readings taken on a UV-visible spectrophotometer. All determinations were carried out in triplicate and expressed in milligrams per 100 grams (mg/100g) of sample (Akter et al., 2020).</w:t>
      </w:r>
    </w:p>
    <w:p w14:paraId="7D7096F1"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2.7 Determination of Meat Tenderization Effect</w:t>
      </w:r>
    </w:p>
    <w:p w14:paraId="635B85DF"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Meat tenderness was assessed by a trained panel of 19 panellists using a standardised 9-point hedonic scale adapted from Lawless and Heymann (2010). Before the evaluation commenced, panellists received standardised instructions and training on the sensory attributes being assessed. The sensory evaluation procedure was as follows:</w:t>
      </w:r>
    </w:p>
    <w:p w14:paraId="492BB29F" w14:textId="77777777" w:rsidR="00296B0E" w:rsidRPr="0080017E" w:rsidRDefault="00000000">
      <w:pPr>
        <w:jc w:val="both"/>
        <w:rPr>
          <w:rFonts w:ascii="Times New Roman" w:hAnsi="Times New Roman" w:cs="Times New Roman"/>
          <w:sz w:val="24"/>
          <w:szCs w:val="24"/>
        </w:rPr>
      </w:pPr>
      <w:r w:rsidRPr="0080017E">
        <w:rPr>
          <w:rFonts w:ascii="Times New Roman" w:hAnsi="Times New Roman"/>
          <w:sz w:val="24"/>
        </w:rPr>
        <w:t>Each sample, approximately 2 grams in weight, was coded with a three-digit random number for anonymity and placed on a transparent plate. Samples from all three treatment groups (control, oven-dried ginger treatment, and sun-dried ginger treatment) were presented to panellists in a randomised order. Additionally, a separate control meat sample prepared without any ginger treatment was included in the evaluation panel and rated by the panellists as extremely hard because of the absence of a tenderising agent. The 9-point hedonic scale used was as follows:</w:t>
      </w:r>
    </w:p>
    <w:p w14:paraId="2C706C35"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sz w:val="24"/>
        </w:rPr>
        <w:t>9 = Like extremely / Extremely tender</w:t>
      </w:r>
    </w:p>
    <w:p w14:paraId="6FF3FD0D"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8 = Like very much / Very tender</w:t>
      </w:r>
    </w:p>
    <w:p w14:paraId="7E3FC6B7"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7 = Like moderately / Moderately tender</w:t>
      </w:r>
    </w:p>
    <w:p w14:paraId="6FB7695E"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6 = Like slightly / Slightly tender</w:t>
      </w:r>
    </w:p>
    <w:p w14:paraId="6A5223F9"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5 = Neither like nor dislike / Neither tender nor tough</w:t>
      </w:r>
    </w:p>
    <w:p w14:paraId="6C3AE5CA"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4 = Dislike slightly / Slightly tough</w:t>
      </w:r>
    </w:p>
    <w:p w14:paraId="2A8E6A86"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3 = Dislike moderately / Moderately tough</w:t>
      </w:r>
    </w:p>
    <w:p w14:paraId="34995F23" w14:textId="77777777" w:rsidR="009D3148"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2 = Dislike very much / Very tough</w:t>
      </w:r>
    </w:p>
    <w:p w14:paraId="7AE38DFD" w14:textId="77777777" w:rsidR="00296B0E" w:rsidRPr="0080017E" w:rsidRDefault="00000000" w:rsidP="003F588F">
      <w:pPr>
        <w:spacing w:after="0"/>
        <w:jc w:val="both"/>
        <w:rPr>
          <w:rFonts w:ascii="Times New Roman" w:hAnsi="Times New Roman" w:cs="Times New Roman"/>
          <w:sz w:val="24"/>
          <w:szCs w:val="24"/>
        </w:rPr>
      </w:pPr>
      <w:r w:rsidRPr="0080017E">
        <w:rPr>
          <w:rFonts w:ascii="Times New Roman" w:hAnsi="Times New Roman" w:cs="Times New Roman"/>
          <w:sz w:val="24"/>
          <w:szCs w:val="24"/>
        </w:rPr>
        <w:t>1 = Dislike extremely / Extremely tough</w:t>
      </w:r>
    </w:p>
    <w:p w14:paraId="06CB1FAB" w14:textId="77777777" w:rsidR="003F588F" w:rsidRPr="0080017E" w:rsidRDefault="003F588F" w:rsidP="003F588F">
      <w:pPr>
        <w:spacing w:after="0"/>
        <w:jc w:val="both"/>
        <w:rPr>
          <w:rFonts w:ascii="Times New Roman" w:hAnsi="Times New Roman" w:cs="Times New Roman"/>
          <w:sz w:val="24"/>
          <w:szCs w:val="24"/>
        </w:rPr>
      </w:pPr>
    </w:p>
    <w:p w14:paraId="398AA73B" w14:textId="77777777" w:rsidR="0009317D" w:rsidRPr="0080017E" w:rsidRDefault="00000000" w:rsidP="00296B0E">
      <w:pPr>
        <w:jc w:val="both"/>
        <w:rPr>
          <w:rFonts w:ascii="Times New Roman" w:hAnsi="Times New Roman" w:cs="Times New Roman"/>
          <w:sz w:val="24"/>
          <w:szCs w:val="24"/>
        </w:rPr>
      </w:pPr>
      <w:r w:rsidRPr="0080017E">
        <w:rPr>
          <w:rFonts w:ascii="Times New Roman" w:hAnsi="Times New Roman"/>
          <w:sz w:val="24"/>
        </w:rPr>
        <w:t>For this study, the Likert-scale responses were grouped into five tenderisation categories: Extremely tender (score 9), Very tender (score 8), Moderately tender (score 7), Slightly tender (score 6), and Neither tender nor tough (score 5). Panellists were instructed to assess chewing resistance and textural characteristics. Each panellist independently scored all samples without communicating with the other panellists. The untreated control meat consistently received ratings indicating extreme hardness, providing a clear reference point for the tenderising effects of the ginger-treated samples.</w:t>
      </w:r>
    </w:p>
    <w:p w14:paraId="173E608C"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lastRenderedPageBreak/>
        <w:t>2.8 Statistical Analysis</w:t>
      </w:r>
    </w:p>
    <w:p w14:paraId="4F0A93BB"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Data generated from proximate composition, mineral content, and tenderisation assays were subjected to one-way analysis of variance (ANOVA) using SPSS version 27.0. Results were presented as mean ± standard deviation and illustrated with appropriate tables and charts. Findings were considered statistically significant at p &lt; 0.05. Post hoc comparisons were conducted using Tukey's honest significant difference test, where applicable, to determine significant differences among treatment groups.</w:t>
      </w:r>
    </w:p>
    <w:p w14:paraId="63D2419A" w14:textId="77777777" w:rsidR="0009317D" w:rsidRPr="0080017E" w:rsidRDefault="00000000" w:rsidP="005E19F2">
      <w:pPr>
        <w:rPr>
          <w:rFonts w:ascii="Times New Roman" w:hAnsi="Times New Roman" w:cs="Times New Roman"/>
          <w:b/>
          <w:bCs/>
          <w:sz w:val="24"/>
          <w:szCs w:val="24"/>
        </w:rPr>
      </w:pPr>
      <w:r w:rsidRPr="0080017E">
        <w:rPr>
          <w:rFonts w:ascii="Times New Roman" w:hAnsi="Times New Roman" w:cs="Times New Roman"/>
          <w:b/>
          <w:bCs/>
          <w:sz w:val="24"/>
          <w:szCs w:val="24"/>
        </w:rPr>
        <w:t>3.0 RESULTS</w:t>
      </w:r>
    </w:p>
    <w:p w14:paraId="142B9487"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3.1 Chicken Body Weight</w:t>
      </w:r>
    </w:p>
    <w:p w14:paraId="66EDC1E1"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Table 1 presents the mean weekly and overall body weights of chickens across the three treatment groups. The control group recorded the highest overall body weight (2.12±0.16 kg), followed by the sun-dried ginger group (2.03±0.23 kg) and the oven-dried ginger group (1.83±0.41 kg). However, these differences were not statistically significant (p&gt;0.05) during any of the three weeks or overall, indicating that dietary ginger inclusion, regardless of the drying method, did not significantly affect chicken body weight over the three-week study period.</w:t>
      </w:r>
    </w:p>
    <w:tbl>
      <w:tblPr>
        <w:tblStyle w:val="LightGrid-Accent1"/>
        <w:tblW w:w="864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1440"/>
        <w:gridCol w:w="1188"/>
        <w:gridCol w:w="1512"/>
        <w:gridCol w:w="1872"/>
      </w:tblGrid>
      <w:tr w:rsidR="003D19A8" w:rsidRPr="0080017E" w14:paraId="24CC66E6" w14:textId="77777777" w:rsidTr="00BF4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none" w:sz="0" w:space="0" w:color="auto"/>
              <w:bottom w:val="single" w:sz="4" w:space="0" w:color="auto"/>
              <w:right w:val="none" w:sz="0" w:space="0" w:color="auto"/>
            </w:tcBorders>
          </w:tcPr>
          <w:p w14:paraId="4A33AF7A"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Treatment</w:t>
            </w:r>
          </w:p>
        </w:tc>
        <w:tc>
          <w:tcPr>
            <w:tcW w:w="1440" w:type="dxa"/>
            <w:tcBorders>
              <w:top w:val="single" w:sz="4" w:space="0" w:color="auto"/>
              <w:left w:val="none" w:sz="0" w:space="0" w:color="auto"/>
              <w:bottom w:val="single" w:sz="4" w:space="0" w:color="auto"/>
              <w:right w:val="none" w:sz="0" w:space="0" w:color="auto"/>
            </w:tcBorders>
          </w:tcPr>
          <w:p w14:paraId="3BDFB3E3" w14:textId="77777777" w:rsidR="0009317D" w:rsidRPr="0080017E" w:rsidRDefault="00000000" w:rsidP="00BF45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Week 1</w:t>
            </w:r>
          </w:p>
        </w:tc>
        <w:tc>
          <w:tcPr>
            <w:tcW w:w="1188" w:type="dxa"/>
            <w:tcBorders>
              <w:top w:val="single" w:sz="4" w:space="0" w:color="auto"/>
              <w:left w:val="none" w:sz="0" w:space="0" w:color="auto"/>
              <w:bottom w:val="single" w:sz="4" w:space="0" w:color="auto"/>
              <w:right w:val="none" w:sz="0" w:space="0" w:color="auto"/>
            </w:tcBorders>
          </w:tcPr>
          <w:p w14:paraId="1004D9C5" w14:textId="77777777" w:rsidR="0009317D" w:rsidRPr="0080017E" w:rsidRDefault="00000000" w:rsidP="00BF45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Week 2</w:t>
            </w:r>
          </w:p>
        </w:tc>
        <w:tc>
          <w:tcPr>
            <w:tcW w:w="1512" w:type="dxa"/>
            <w:tcBorders>
              <w:top w:val="single" w:sz="4" w:space="0" w:color="auto"/>
              <w:left w:val="none" w:sz="0" w:space="0" w:color="auto"/>
              <w:bottom w:val="single" w:sz="4" w:space="0" w:color="auto"/>
              <w:right w:val="none" w:sz="0" w:space="0" w:color="auto"/>
            </w:tcBorders>
          </w:tcPr>
          <w:p w14:paraId="252306ED" w14:textId="77777777" w:rsidR="0009317D" w:rsidRPr="0080017E" w:rsidRDefault="00000000" w:rsidP="00BF45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Week 3</w:t>
            </w:r>
          </w:p>
        </w:tc>
        <w:tc>
          <w:tcPr>
            <w:tcW w:w="1872" w:type="dxa"/>
            <w:tcBorders>
              <w:top w:val="single" w:sz="4" w:space="0" w:color="auto"/>
              <w:left w:val="none" w:sz="0" w:space="0" w:color="auto"/>
              <w:bottom w:val="single" w:sz="4" w:space="0" w:color="auto"/>
              <w:right w:val="none" w:sz="0" w:space="0" w:color="auto"/>
            </w:tcBorders>
          </w:tcPr>
          <w:p w14:paraId="4BCD79F4" w14:textId="77777777" w:rsidR="0009317D" w:rsidRPr="0080017E" w:rsidRDefault="00000000" w:rsidP="00BF451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Overall</w:t>
            </w:r>
          </w:p>
        </w:tc>
      </w:tr>
      <w:tr w:rsidR="003D19A8" w:rsidRPr="0080017E" w14:paraId="094F5A4B" w14:textId="77777777" w:rsidTr="00BF4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single" w:sz="4" w:space="0" w:color="auto"/>
              <w:left w:val="none" w:sz="0" w:space="0" w:color="auto"/>
              <w:bottom w:val="none" w:sz="0" w:space="0" w:color="auto"/>
              <w:right w:val="none" w:sz="0" w:space="0" w:color="auto"/>
            </w:tcBorders>
            <w:shd w:val="clear" w:color="auto" w:fill="auto"/>
          </w:tcPr>
          <w:p w14:paraId="5094568D"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Oven-Dried Ginger</w:t>
            </w:r>
          </w:p>
        </w:tc>
        <w:tc>
          <w:tcPr>
            <w:tcW w:w="1440" w:type="dxa"/>
            <w:tcBorders>
              <w:top w:val="single" w:sz="4" w:space="0" w:color="auto"/>
              <w:left w:val="none" w:sz="0" w:space="0" w:color="auto"/>
              <w:bottom w:val="none" w:sz="0" w:space="0" w:color="auto"/>
              <w:right w:val="none" w:sz="0" w:space="0" w:color="auto"/>
            </w:tcBorders>
            <w:shd w:val="clear" w:color="auto" w:fill="auto"/>
          </w:tcPr>
          <w:p w14:paraId="65C9469F"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1.80±0.40</w:t>
            </w:r>
          </w:p>
        </w:tc>
        <w:tc>
          <w:tcPr>
            <w:tcW w:w="1188" w:type="dxa"/>
            <w:tcBorders>
              <w:top w:val="single" w:sz="4" w:space="0" w:color="auto"/>
              <w:left w:val="none" w:sz="0" w:space="0" w:color="auto"/>
              <w:bottom w:val="none" w:sz="0" w:space="0" w:color="auto"/>
              <w:right w:val="none" w:sz="0" w:space="0" w:color="auto"/>
            </w:tcBorders>
            <w:shd w:val="clear" w:color="auto" w:fill="auto"/>
          </w:tcPr>
          <w:p w14:paraId="75A73513"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2.0±0.70</w:t>
            </w:r>
          </w:p>
        </w:tc>
        <w:tc>
          <w:tcPr>
            <w:tcW w:w="1512" w:type="dxa"/>
            <w:tcBorders>
              <w:top w:val="single" w:sz="4" w:space="0" w:color="auto"/>
              <w:left w:val="none" w:sz="0" w:space="0" w:color="auto"/>
              <w:bottom w:val="none" w:sz="0" w:space="0" w:color="auto"/>
              <w:right w:val="none" w:sz="0" w:space="0" w:color="auto"/>
            </w:tcBorders>
            <w:shd w:val="clear" w:color="auto" w:fill="auto"/>
          </w:tcPr>
          <w:p w14:paraId="2AAC08A6"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1.75±0.35</w:t>
            </w:r>
          </w:p>
        </w:tc>
        <w:tc>
          <w:tcPr>
            <w:tcW w:w="1872" w:type="dxa"/>
            <w:tcBorders>
              <w:top w:val="single" w:sz="4" w:space="0" w:color="auto"/>
              <w:left w:val="none" w:sz="0" w:space="0" w:color="auto"/>
              <w:bottom w:val="none" w:sz="0" w:space="0" w:color="auto"/>
              <w:right w:val="none" w:sz="0" w:space="0" w:color="auto"/>
            </w:tcBorders>
            <w:shd w:val="clear" w:color="auto" w:fill="auto"/>
          </w:tcPr>
          <w:p w14:paraId="24D48DC4"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1.83±0.41</w:t>
            </w:r>
          </w:p>
        </w:tc>
      </w:tr>
      <w:tr w:rsidR="003D19A8" w:rsidRPr="0080017E" w14:paraId="3C432A5C" w14:textId="77777777" w:rsidTr="00BF45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none" w:sz="0" w:space="0" w:color="auto"/>
              <w:left w:val="none" w:sz="0" w:space="0" w:color="auto"/>
              <w:bottom w:val="none" w:sz="0" w:space="0" w:color="auto"/>
              <w:right w:val="none" w:sz="0" w:space="0" w:color="auto"/>
            </w:tcBorders>
          </w:tcPr>
          <w:p w14:paraId="4447AAAA"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Sun-Dried Ginger</w:t>
            </w:r>
          </w:p>
        </w:tc>
        <w:tc>
          <w:tcPr>
            <w:tcW w:w="1440" w:type="dxa"/>
            <w:tcBorders>
              <w:top w:val="none" w:sz="0" w:space="0" w:color="auto"/>
              <w:left w:val="none" w:sz="0" w:space="0" w:color="auto"/>
              <w:bottom w:val="none" w:sz="0" w:space="0" w:color="auto"/>
              <w:right w:val="none" w:sz="0" w:space="0" w:color="auto"/>
            </w:tcBorders>
          </w:tcPr>
          <w:p w14:paraId="0C6B172C"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2.10±0.40</w:t>
            </w:r>
          </w:p>
        </w:tc>
        <w:tc>
          <w:tcPr>
            <w:tcW w:w="1188" w:type="dxa"/>
            <w:tcBorders>
              <w:top w:val="none" w:sz="0" w:space="0" w:color="auto"/>
              <w:left w:val="none" w:sz="0" w:space="0" w:color="auto"/>
              <w:bottom w:val="none" w:sz="0" w:space="0" w:color="auto"/>
              <w:right w:val="none" w:sz="0" w:space="0" w:color="auto"/>
            </w:tcBorders>
          </w:tcPr>
          <w:p w14:paraId="0364BD8B"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1.91±0.10</w:t>
            </w:r>
          </w:p>
        </w:tc>
        <w:tc>
          <w:tcPr>
            <w:tcW w:w="1512" w:type="dxa"/>
            <w:tcBorders>
              <w:top w:val="none" w:sz="0" w:space="0" w:color="auto"/>
              <w:left w:val="none" w:sz="0" w:space="0" w:color="auto"/>
              <w:bottom w:val="none" w:sz="0" w:space="0" w:color="auto"/>
              <w:right w:val="none" w:sz="0" w:space="0" w:color="auto"/>
            </w:tcBorders>
          </w:tcPr>
          <w:p w14:paraId="4AC826B5"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2.0±0.14</w:t>
            </w:r>
          </w:p>
        </w:tc>
        <w:tc>
          <w:tcPr>
            <w:tcW w:w="1872" w:type="dxa"/>
            <w:tcBorders>
              <w:top w:val="none" w:sz="0" w:space="0" w:color="auto"/>
              <w:left w:val="none" w:sz="0" w:space="0" w:color="auto"/>
              <w:bottom w:val="none" w:sz="0" w:space="0" w:color="auto"/>
              <w:right w:val="none" w:sz="0" w:space="0" w:color="auto"/>
            </w:tcBorders>
          </w:tcPr>
          <w:p w14:paraId="7B81C3D8"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2.03±0.23</w:t>
            </w:r>
          </w:p>
        </w:tc>
      </w:tr>
      <w:tr w:rsidR="003D19A8" w:rsidRPr="0080017E" w14:paraId="09B64F21" w14:textId="77777777" w:rsidTr="00BF4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none" w:sz="0" w:space="0" w:color="auto"/>
              <w:left w:val="none" w:sz="0" w:space="0" w:color="auto"/>
              <w:bottom w:val="none" w:sz="0" w:space="0" w:color="auto"/>
              <w:right w:val="none" w:sz="0" w:space="0" w:color="auto"/>
            </w:tcBorders>
            <w:shd w:val="clear" w:color="auto" w:fill="auto"/>
          </w:tcPr>
          <w:p w14:paraId="77BCCCAE"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Control</w:t>
            </w:r>
          </w:p>
        </w:tc>
        <w:tc>
          <w:tcPr>
            <w:tcW w:w="1440" w:type="dxa"/>
            <w:tcBorders>
              <w:top w:val="none" w:sz="0" w:space="0" w:color="auto"/>
              <w:left w:val="none" w:sz="0" w:space="0" w:color="auto"/>
              <w:bottom w:val="none" w:sz="0" w:space="0" w:color="auto"/>
              <w:right w:val="none" w:sz="0" w:space="0" w:color="auto"/>
            </w:tcBorders>
            <w:shd w:val="clear" w:color="auto" w:fill="auto"/>
          </w:tcPr>
          <w:p w14:paraId="2105376F"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2.10±0.10</w:t>
            </w:r>
          </w:p>
        </w:tc>
        <w:tc>
          <w:tcPr>
            <w:tcW w:w="1188" w:type="dxa"/>
            <w:tcBorders>
              <w:top w:val="none" w:sz="0" w:space="0" w:color="auto"/>
              <w:left w:val="none" w:sz="0" w:space="0" w:color="auto"/>
              <w:bottom w:val="none" w:sz="0" w:space="0" w:color="auto"/>
              <w:right w:val="none" w:sz="0" w:space="0" w:color="auto"/>
            </w:tcBorders>
            <w:shd w:val="clear" w:color="auto" w:fill="auto"/>
          </w:tcPr>
          <w:p w14:paraId="602C597D"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2.11±0.10</w:t>
            </w:r>
          </w:p>
        </w:tc>
        <w:tc>
          <w:tcPr>
            <w:tcW w:w="1512" w:type="dxa"/>
            <w:tcBorders>
              <w:top w:val="none" w:sz="0" w:space="0" w:color="auto"/>
              <w:left w:val="none" w:sz="0" w:space="0" w:color="auto"/>
              <w:bottom w:val="none" w:sz="0" w:space="0" w:color="auto"/>
              <w:right w:val="none" w:sz="0" w:space="0" w:color="auto"/>
            </w:tcBorders>
            <w:shd w:val="clear" w:color="auto" w:fill="auto"/>
          </w:tcPr>
          <w:p w14:paraId="20720B25"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2.20±0.28</w:t>
            </w:r>
          </w:p>
        </w:tc>
        <w:tc>
          <w:tcPr>
            <w:tcW w:w="1872" w:type="dxa"/>
            <w:tcBorders>
              <w:top w:val="none" w:sz="0" w:space="0" w:color="auto"/>
              <w:left w:val="none" w:sz="0" w:space="0" w:color="auto"/>
              <w:bottom w:val="none" w:sz="0" w:space="0" w:color="auto"/>
              <w:right w:val="none" w:sz="0" w:space="0" w:color="auto"/>
            </w:tcBorders>
            <w:shd w:val="clear" w:color="auto" w:fill="auto"/>
          </w:tcPr>
          <w:p w14:paraId="52225226"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2.12±0.16</w:t>
            </w:r>
          </w:p>
        </w:tc>
      </w:tr>
      <w:tr w:rsidR="003D19A8" w:rsidRPr="0080017E" w14:paraId="6AE327EB" w14:textId="77777777" w:rsidTr="00BF451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none" w:sz="0" w:space="0" w:color="auto"/>
              <w:left w:val="none" w:sz="0" w:space="0" w:color="auto"/>
              <w:bottom w:val="none" w:sz="0" w:space="0" w:color="auto"/>
              <w:right w:val="none" w:sz="0" w:space="0" w:color="auto"/>
            </w:tcBorders>
          </w:tcPr>
          <w:p w14:paraId="320657DE"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P-value</w:t>
            </w:r>
          </w:p>
        </w:tc>
        <w:tc>
          <w:tcPr>
            <w:tcW w:w="1440" w:type="dxa"/>
            <w:tcBorders>
              <w:top w:val="none" w:sz="0" w:space="0" w:color="auto"/>
              <w:left w:val="none" w:sz="0" w:space="0" w:color="auto"/>
              <w:bottom w:val="none" w:sz="0" w:space="0" w:color="auto"/>
              <w:right w:val="none" w:sz="0" w:space="0" w:color="auto"/>
            </w:tcBorders>
          </w:tcPr>
          <w:p w14:paraId="38659FF0"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0.565</w:t>
            </w:r>
          </w:p>
        </w:tc>
        <w:tc>
          <w:tcPr>
            <w:tcW w:w="1188" w:type="dxa"/>
            <w:tcBorders>
              <w:top w:val="none" w:sz="0" w:space="0" w:color="auto"/>
              <w:left w:val="none" w:sz="0" w:space="0" w:color="auto"/>
              <w:bottom w:val="none" w:sz="0" w:space="0" w:color="auto"/>
              <w:right w:val="none" w:sz="0" w:space="0" w:color="auto"/>
            </w:tcBorders>
          </w:tcPr>
          <w:p w14:paraId="2DB58E2F"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0.433</w:t>
            </w:r>
          </w:p>
        </w:tc>
        <w:tc>
          <w:tcPr>
            <w:tcW w:w="1512" w:type="dxa"/>
            <w:tcBorders>
              <w:top w:val="none" w:sz="0" w:space="0" w:color="auto"/>
              <w:left w:val="none" w:sz="0" w:space="0" w:color="auto"/>
              <w:bottom w:val="none" w:sz="0" w:space="0" w:color="auto"/>
              <w:right w:val="none" w:sz="0" w:space="0" w:color="auto"/>
            </w:tcBorders>
          </w:tcPr>
          <w:p w14:paraId="291C6C4E"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0.356</w:t>
            </w:r>
          </w:p>
        </w:tc>
        <w:tc>
          <w:tcPr>
            <w:tcW w:w="1872" w:type="dxa"/>
            <w:tcBorders>
              <w:top w:val="none" w:sz="0" w:space="0" w:color="auto"/>
              <w:left w:val="none" w:sz="0" w:space="0" w:color="auto"/>
              <w:bottom w:val="none" w:sz="0" w:space="0" w:color="auto"/>
              <w:right w:val="none" w:sz="0" w:space="0" w:color="auto"/>
            </w:tcBorders>
          </w:tcPr>
          <w:p w14:paraId="4273ADE6" w14:textId="77777777" w:rsidR="0009317D" w:rsidRPr="0080017E" w:rsidRDefault="00000000" w:rsidP="00BF4514">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0.245</w:t>
            </w:r>
          </w:p>
        </w:tc>
      </w:tr>
      <w:tr w:rsidR="003D19A8" w:rsidRPr="0080017E" w14:paraId="59E14E61" w14:textId="77777777" w:rsidTr="00BF4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8" w:type="dxa"/>
            <w:tcBorders>
              <w:top w:val="none" w:sz="0" w:space="0" w:color="auto"/>
              <w:left w:val="none" w:sz="0" w:space="0" w:color="auto"/>
              <w:bottom w:val="none" w:sz="0" w:space="0" w:color="auto"/>
              <w:right w:val="none" w:sz="0" w:space="0" w:color="auto"/>
            </w:tcBorders>
            <w:shd w:val="clear" w:color="auto" w:fill="auto"/>
          </w:tcPr>
          <w:p w14:paraId="277F5AA2"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Level of Significance</w:t>
            </w:r>
          </w:p>
        </w:tc>
        <w:tc>
          <w:tcPr>
            <w:tcW w:w="1440" w:type="dxa"/>
            <w:tcBorders>
              <w:top w:val="none" w:sz="0" w:space="0" w:color="auto"/>
              <w:left w:val="none" w:sz="0" w:space="0" w:color="auto"/>
              <w:bottom w:val="none" w:sz="0" w:space="0" w:color="auto"/>
              <w:right w:val="none" w:sz="0" w:space="0" w:color="auto"/>
            </w:tcBorders>
            <w:shd w:val="clear" w:color="auto" w:fill="auto"/>
          </w:tcPr>
          <w:p w14:paraId="5BC4C0DB"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ns</w:t>
            </w:r>
          </w:p>
        </w:tc>
        <w:tc>
          <w:tcPr>
            <w:tcW w:w="1188" w:type="dxa"/>
            <w:tcBorders>
              <w:top w:val="none" w:sz="0" w:space="0" w:color="auto"/>
              <w:left w:val="none" w:sz="0" w:space="0" w:color="auto"/>
              <w:bottom w:val="none" w:sz="0" w:space="0" w:color="auto"/>
              <w:right w:val="none" w:sz="0" w:space="0" w:color="auto"/>
            </w:tcBorders>
            <w:shd w:val="clear" w:color="auto" w:fill="auto"/>
          </w:tcPr>
          <w:p w14:paraId="262780C1"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ns</w:t>
            </w:r>
          </w:p>
        </w:tc>
        <w:tc>
          <w:tcPr>
            <w:tcW w:w="1512" w:type="dxa"/>
            <w:tcBorders>
              <w:top w:val="none" w:sz="0" w:space="0" w:color="auto"/>
              <w:left w:val="none" w:sz="0" w:space="0" w:color="auto"/>
              <w:bottom w:val="none" w:sz="0" w:space="0" w:color="auto"/>
              <w:right w:val="none" w:sz="0" w:space="0" w:color="auto"/>
            </w:tcBorders>
            <w:shd w:val="clear" w:color="auto" w:fill="auto"/>
          </w:tcPr>
          <w:p w14:paraId="548334DE"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ns</w:t>
            </w:r>
          </w:p>
        </w:tc>
        <w:tc>
          <w:tcPr>
            <w:tcW w:w="1872" w:type="dxa"/>
            <w:tcBorders>
              <w:top w:val="none" w:sz="0" w:space="0" w:color="auto"/>
              <w:left w:val="none" w:sz="0" w:space="0" w:color="auto"/>
              <w:bottom w:val="none" w:sz="0" w:space="0" w:color="auto"/>
              <w:right w:val="none" w:sz="0" w:space="0" w:color="auto"/>
            </w:tcBorders>
            <w:shd w:val="clear" w:color="auto" w:fill="auto"/>
          </w:tcPr>
          <w:p w14:paraId="489010CC" w14:textId="77777777" w:rsidR="0009317D" w:rsidRPr="0080017E" w:rsidRDefault="00000000" w:rsidP="00BF451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ns</w:t>
            </w:r>
          </w:p>
        </w:tc>
      </w:tr>
    </w:tbl>
    <w:p w14:paraId="3388CB23" w14:textId="77777777" w:rsidR="0009317D" w:rsidRPr="0080017E" w:rsidRDefault="00000000">
      <w:pPr>
        <w:rPr>
          <w:rFonts w:ascii="Times New Roman" w:hAnsi="Times New Roman" w:cs="Times New Roman"/>
          <w:b/>
          <w:bCs/>
          <w:iCs/>
          <w:sz w:val="24"/>
          <w:szCs w:val="24"/>
        </w:rPr>
      </w:pPr>
      <w:r w:rsidRPr="0080017E">
        <w:rPr>
          <w:rFonts w:ascii="Times New Roman" w:hAnsi="Times New Roman" w:cs="Times New Roman"/>
          <w:b/>
          <w:bCs/>
          <w:iCs/>
          <w:sz w:val="24"/>
          <w:szCs w:val="24"/>
        </w:rPr>
        <w:t xml:space="preserve">Note: Values expressed as </w:t>
      </w:r>
      <w:proofErr w:type="spellStart"/>
      <w:r w:rsidRPr="0080017E">
        <w:rPr>
          <w:rFonts w:ascii="Times New Roman" w:hAnsi="Times New Roman" w:cs="Times New Roman"/>
          <w:b/>
          <w:bCs/>
          <w:iCs/>
          <w:sz w:val="24"/>
          <w:szCs w:val="24"/>
        </w:rPr>
        <w:t>Mean±Standard</w:t>
      </w:r>
      <w:proofErr w:type="spellEnd"/>
      <w:r w:rsidRPr="0080017E">
        <w:rPr>
          <w:rFonts w:ascii="Times New Roman" w:hAnsi="Times New Roman" w:cs="Times New Roman"/>
          <w:b/>
          <w:bCs/>
          <w:iCs/>
          <w:sz w:val="24"/>
          <w:szCs w:val="24"/>
        </w:rPr>
        <w:t xml:space="preserve"> Error (M±S.E); ns = not statistically significant (p&gt;0.05)</w:t>
      </w:r>
    </w:p>
    <w:p w14:paraId="21E5C6C6"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3.2 Proximate Composition</w:t>
      </w:r>
    </w:p>
    <w:p w14:paraId="0707513B"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Table 2 demonstrates that the drying method significantly altered the proximate composition of ginger (p&lt;0.05 for most parameters). Sun-dried ginger retained significantly more moisture (31.30±0.71%) than oven-dried ginger (15.92±0.25%), whereas oven-dried ginger had significantly higher crude protein (5.88±0.005% vs. 3.95±0.10%), crude fat (3.62±0.015% vs. 1.87±0.02%), and ash contents (10.20±0.04% vs. 4.30±1.06%). Crude fibre was slightly but significantly higher in sun-dried ginger (9.23±0.02%) than in oven-dried ginger (9.03±0.015%), whereas nitrogen-free extract (NFE) was significantly higher in the oven-dried sample (52.77±0.62% vs. 48.30±0.02%). These findings indicate that oven drying concentrates certain nutrients, whereas sun drying better preserves moisture-sensitive components and minerals.</w:t>
      </w:r>
    </w:p>
    <w:tbl>
      <w:tblPr>
        <w:tblStyle w:val="LightGrid-Accent1"/>
        <w:tblW w:w="8586"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1710"/>
        <w:gridCol w:w="1638"/>
        <w:gridCol w:w="1386"/>
        <w:gridCol w:w="1494"/>
      </w:tblGrid>
      <w:tr w:rsidR="003D19A8" w:rsidRPr="0080017E" w14:paraId="54DEE02C" w14:textId="77777777" w:rsidTr="000E0C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left w:val="none" w:sz="0" w:space="0" w:color="auto"/>
              <w:bottom w:val="single" w:sz="4" w:space="0" w:color="auto"/>
              <w:right w:val="none" w:sz="0" w:space="0" w:color="auto"/>
            </w:tcBorders>
          </w:tcPr>
          <w:p w14:paraId="3EC3F9DC"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Parameters</w:t>
            </w:r>
          </w:p>
        </w:tc>
        <w:tc>
          <w:tcPr>
            <w:tcW w:w="1710" w:type="dxa"/>
            <w:tcBorders>
              <w:top w:val="single" w:sz="4" w:space="0" w:color="auto"/>
              <w:left w:val="none" w:sz="0" w:space="0" w:color="auto"/>
              <w:bottom w:val="single" w:sz="4" w:space="0" w:color="auto"/>
              <w:right w:val="none" w:sz="0" w:space="0" w:color="auto"/>
            </w:tcBorders>
          </w:tcPr>
          <w:p w14:paraId="7F5533F3" w14:textId="77777777" w:rsidR="0009317D" w:rsidRPr="0080017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Oven-Dried</w:t>
            </w:r>
          </w:p>
        </w:tc>
        <w:tc>
          <w:tcPr>
            <w:tcW w:w="1638" w:type="dxa"/>
            <w:tcBorders>
              <w:top w:val="single" w:sz="4" w:space="0" w:color="auto"/>
              <w:left w:val="none" w:sz="0" w:space="0" w:color="auto"/>
              <w:bottom w:val="single" w:sz="4" w:space="0" w:color="auto"/>
              <w:right w:val="none" w:sz="0" w:space="0" w:color="auto"/>
            </w:tcBorders>
          </w:tcPr>
          <w:p w14:paraId="02B6F8FA" w14:textId="77777777" w:rsidR="0009317D" w:rsidRPr="0080017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Sun-Dried</w:t>
            </w:r>
          </w:p>
        </w:tc>
        <w:tc>
          <w:tcPr>
            <w:tcW w:w="1386" w:type="dxa"/>
            <w:tcBorders>
              <w:top w:val="single" w:sz="4" w:space="0" w:color="auto"/>
              <w:left w:val="none" w:sz="0" w:space="0" w:color="auto"/>
              <w:bottom w:val="single" w:sz="4" w:space="0" w:color="auto"/>
              <w:right w:val="none" w:sz="0" w:space="0" w:color="auto"/>
            </w:tcBorders>
          </w:tcPr>
          <w:p w14:paraId="407A4080" w14:textId="77777777" w:rsidR="0009317D" w:rsidRPr="0080017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P-value</w:t>
            </w:r>
          </w:p>
        </w:tc>
        <w:tc>
          <w:tcPr>
            <w:tcW w:w="1494" w:type="dxa"/>
            <w:tcBorders>
              <w:top w:val="single" w:sz="4" w:space="0" w:color="auto"/>
              <w:left w:val="none" w:sz="0" w:space="0" w:color="auto"/>
              <w:bottom w:val="single" w:sz="4" w:space="0" w:color="auto"/>
              <w:right w:val="none" w:sz="0" w:space="0" w:color="auto"/>
            </w:tcBorders>
          </w:tcPr>
          <w:p w14:paraId="2D093264" w14:textId="77777777" w:rsidR="0009317D" w:rsidRPr="0080017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Significance</w:t>
            </w:r>
          </w:p>
        </w:tc>
      </w:tr>
      <w:tr w:rsidR="003D19A8" w:rsidRPr="0080017E" w14:paraId="34777A7E" w14:textId="77777777" w:rsidTr="000E0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left w:val="none" w:sz="0" w:space="0" w:color="auto"/>
              <w:bottom w:val="none" w:sz="0" w:space="0" w:color="auto"/>
              <w:right w:val="none" w:sz="0" w:space="0" w:color="auto"/>
            </w:tcBorders>
            <w:shd w:val="clear" w:color="auto" w:fill="auto"/>
          </w:tcPr>
          <w:p w14:paraId="054ADA85"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Moisture (%)</w:t>
            </w:r>
          </w:p>
        </w:tc>
        <w:tc>
          <w:tcPr>
            <w:tcW w:w="1710" w:type="dxa"/>
            <w:tcBorders>
              <w:top w:val="single" w:sz="4" w:space="0" w:color="auto"/>
              <w:left w:val="none" w:sz="0" w:space="0" w:color="auto"/>
              <w:bottom w:val="none" w:sz="0" w:space="0" w:color="auto"/>
              <w:right w:val="none" w:sz="0" w:space="0" w:color="auto"/>
            </w:tcBorders>
            <w:shd w:val="clear" w:color="auto" w:fill="auto"/>
          </w:tcPr>
          <w:p w14:paraId="23ADCE53"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15.92±0.25</w:t>
            </w:r>
          </w:p>
        </w:tc>
        <w:tc>
          <w:tcPr>
            <w:tcW w:w="1638" w:type="dxa"/>
            <w:tcBorders>
              <w:top w:val="single" w:sz="4" w:space="0" w:color="auto"/>
              <w:left w:val="none" w:sz="0" w:space="0" w:color="auto"/>
              <w:bottom w:val="none" w:sz="0" w:space="0" w:color="auto"/>
              <w:right w:val="none" w:sz="0" w:space="0" w:color="auto"/>
            </w:tcBorders>
            <w:shd w:val="clear" w:color="auto" w:fill="auto"/>
          </w:tcPr>
          <w:p w14:paraId="5DD10DDB"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31.30±0.71</w:t>
            </w:r>
          </w:p>
        </w:tc>
        <w:tc>
          <w:tcPr>
            <w:tcW w:w="1386" w:type="dxa"/>
            <w:tcBorders>
              <w:top w:val="single" w:sz="4" w:space="0" w:color="auto"/>
              <w:left w:val="none" w:sz="0" w:space="0" w:color="auto"/>
              <w:bottom w:val="none" w:sz="0" w:space="0" w:color="auto"/>
              <w:right w:val="none" w:sz="0" w:space="0" w:color="auto"/>
            </w:tcBorders>
            <w:shd w:val="clear" w:color="auto" w:fill="auto"/>
          </w:tcPr>
          <w:p w14:paraId="380D843E"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0.001</w:t>
            </w:r>
          </w:p>
        </w:tc>
        <w:tc>
          <w:tcPr>
            <w:tcW w:w="1494" w:type="dxa"/>
            <w:tcBorders>
              <w:top w:val="single" w:sz="4" w:space="0" w:color="auto"/>
              <w:left w:val="none" w:sz="0" w:space="0" w:color="auto"/>
              <w:bottom w:val="none" w:sz="0" w:space="0" w:color="auto"/>
              <w:right w:val="none" w:sz="0" w:space="0" w:color="auto"/>
            </w:tcBorders>
            <w:shd w:val="clear" w:color="auto" w:fill="auto"/>
          </w:tcPr>
          <w:p w14:paraId="799717C3"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t>
            </w:r>
          </w:p>
        </w:tc>
      </w:tr>
      <w:tr w:rsidR="003D19A8" w:rsidRPr="0080017E" w14:paraId="3FA8FE77" w14:textId="77777777" w:rsidTr="000E0C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one" w:sz="0" w:space="0" w:color="auto"/>
              <w:left w:val="none" w:sz="0" w:space="0" w:color="auto"/>
              <w:bottom w:val="none" w:sz="0" w:space="0" w:color="auto"/>
              <w:right w:val="none" w:sz="0" w:space="0" w:color="auto"/>
            </w:tcBorders>
          </w:tcPr>
          <w:p w14:paraId="66A307EA"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Crude Protein (%)</w:t>
            </w:r>
          </w:p>
        </w:tc>
        <w:tc>
          <w:tcPr>
            <w:tcW w:w="1710" w:type="dxa"/>
            <w:tcBorders>
              <w:top w:val="none" w:sz="0" w:space="0" w:color="auto"/>
              <w:left w:val="none" w:sz="0" w:space="0" w:color="auto"/>
              <w:bottom w:val="none" w:sz="0" w:space="0" w:color="auto"/>
              <w:right w:val="none" w:sz="0" w:space="0" w:color="auto"/>
            </w:tcBorders>
          </w:tcPr>
          <w:p w14:paraId="17739B8A"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5.88±0.005</w:t>
            </w:r>
          </w:p>
        </w:tc>
        <w:tc>
          <w:tcPr>
            <w:tcW w:w="1638" w:type="dxa"/>
            <w:tcBorders>
              <w:top w:val="none" w:sz="0" w:space="0" w:color="auto"/>
              <w:left w:val="none" w:sz="0" w:space="0" w:color="auto"/>
              <w:bottom w:val="none" w:sz="0" w:space="0" w:color="auto"/>
              <w:right w:val="none" w:sz="0" w:space="0" w:color="auto"/>
            </w:tcBorders>
          </w:tcPr>
          <w:p w14:paraId="4922B674"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3.95±0.10</w:t>
            </w:r>
          </w:p>
        </w:tc>
        <w:tc>
          <w:tcPr>
            <w:tcW w:w="1386" w:type="dxa"/>
            <w:tcBorders>
              <w:top w:val="none" w:sz="0" w:space="0" w:color="auto"/>
              <w:left w:val="none" w:sz="0" w:space="0" w:color="auto"/>
              <w:bottom w:val="none" w:sz="0" w:space="0" w:color="auto"/>
              <w:right w:val="none" w:sz="0" w:space="0" w:color="auto"/>
            </w:tcBorders>
          </w:tcPr>
          <w:p w14:paraId="53BE5841"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0.002</w:t>
            </w:r>
          </w:p>
        </w:tc>
        <w:tc>
          <w:tcPr>
            <w:tcW w:w="1494" w:type="dxa"/>
            <w:tcBorders>
              <w:top w:val="none" w:sz="0" w:space="0" w:color="auto"/>
              <w:left w:val="none" w:sz="0" w:space="0" w:color="auto"/>
              <w:bottom w:val="none" w:sz="0" w:space="0" w:color="auto"/>
              <w:right w:val="none" w:sz="0" w:space="0" w:color="auto"/>
            </w:tcBorders>
          </w:tcPr>
          <w:p w14:paraId="484CA6D4"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t>
            </w:r>
          </w:p>
        </w:tc>
      </w:tr>
      <w:tr w:rsidR="003D19A8" w:rsidRPr="0080017E" w14:paraId="31977DEE" w14:textId="77777777" w:rsidTr="000E0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one" w:sz="0" w:space="0" w:color="auto"/>
              <w:left w:val="none" w:sz="0" w:space="0" w:color="auto"/>
              <w:bottom w:val="none" w:sz="0" w:space="0" w:color="auto"/>
              <w:right w:val="none" w:sz="0" w:space="0" w:color="auto"/>
            </w:tcBorders>
            <w:shd w:val="clear" w:color="auto" w:fill="auto"/>
          </w:tcPr>
          <w:p w14:paraId="5136E0D7"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Crude Fiber (%)</w:t>
            </w:r>
          </w:p>
        </w:tc>
        <w:tc>
          <w:tcPr>
            <w:tcW w:w="1710" w:type="dxa"/>
            <w:tcBorders>
              <w:top w:val="none" w:sz="0" w:space="0" w:color="auto"/>
              <w:left w:val="none" w:sz="0" w:space="0" w:color="auto"/>
              <w:bottom w:val="none" w:sz="0" w:space="0" w:color="auto"/>
              <w:right w:val="none" w:sz="0" w:space="0" w:color="auto"/>
            </w:tcBorders>
            <w:shd w:val="clear" w:color="auto" w:fill="auto"/>
          </w:tcPr>
          <w:p w14:paraId="415C6821"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9.03±0.015</w:t>
            </w:r>
          </w:p>
        </w:tc>
        <w:tc>
          <w:tcPr>
            <w:tcW w:w="1638" w:type="dxa"/>
            <w:tcBorders>
              <w:top w:val="none" w:sz="0" w:space="0" w:color="auto"/>
              <w:left w:val="none" w:sz="0" w:space="0" w:color="auto"/>
              <w:bottom w:val="none" w:sz="0" w:space="0" w:color="auto"/>
              <w:right w:val="none" w:sz="0" w:space="0" w:color="auto"/>
            </w:tcBorders>
            <w:shd w:val="clear" w:color="auto" w:fill="auto"/>
          </w:tcPr>
          <w:p w14:paraId="11139388"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9.23±0.02</w:t>
            </w:r>
          </w:p>
        </w:tc>
        <w:tc>
          <w:tcPr>
            <w:tcW w:w="1386" w:type="dxa"/>
            <w:tcBorders>
              <w:top w:val="none" w:sz="0" w:space="0" w:color="auto"/>
              <w:left w:val="none" w:sz="0" w:space="0" w:color="auto"/>
              <w:bottom w:val="none" w:sz="0" w:space="0" w:color="auto"/>
              <w:right w:val="none" w:sz="0" w:space="0" w:color="auto"/>
            </w:tcBorders>
            <w:shd w:val="clear" w:color="auto" w:fill="auto"/>
          </w:tcPr>
          <w:p w14:paraId="370F7E35"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0.001</w:t>
            </w:r>
          </w:p>
        </w:tc>
        <w:tc>
          <w:tcPr>
            <w:tcW w:w="1494" w:type="dxa"/>
            <w:tcBorders>
              <w:top w:val="none" w:sz="0" w:space="0" w:color="auto"/>
              <w:left w:val="none" w:sz="0" w:space="0" w:color="auto"/>
              <w:bottom w:val="none" w:sz="0" w:space="0" w:color="auto"/>
              <w:right w:val="none" w:sz="0" w:space="0" w:color="auto"/>
            </w:tcBorders>
            <w:shd w:val="clear" w:color="auto" w:fill="auto"/>
          </w:tcPr>
          <w:p w14:paraId="68697AC3"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t>
            </w:r>
          </w:p>
        </w:tc>
      </w:tr>
      <w:tr w:rsidR="003D19A8" w:rsidRPr="0080017E" w14:paraId="0220315E" w14:textId="77777777" w:rsidTr="000E0C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one" w:sz="0" w:space="0" w:color="auto"/>
              <w:left w:val="none" w:sz="0" w:space="0" w:color="auto"/>
              <w:bottom w:val="none" w:sz="0" w:space="0" w:color="auto"/>
              <w:right w:val="none" w:sz="0" w:space="0" w:color="auto"/>
            </w:tcBorders>
          </w:tcPr>
          <w:p w14:paraId="1BC6ED4D"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Lipids (%)</w:t>
            </w:r>
          </w:p>
        </w:tc>
        <w:tc>
          <w:tcPr>
            <w:tcW w:w="1710" w:type="dxa"/>
            <w:tcBorders>
              <w:top w:val="none" w:sz="0" w:space="0" w:color="auto"/>
              <w:left w:val="none" w:sz="0" w:space="0" w:color="auto"/>
              <w:bottom w:val="none" w:sz="0" w:space="0" w:color="auto"/>
              <w:right w:val="none" w:sz="0" w:space="0" w:color="auto"/>
            </w:tcBorders>
          </w:tcPr>
          <w:p w14:paraId="398A74A5"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3.62±0.015</w:t>
            </w:r>
          </w:p>
        </w:tc>
        <w:tc>
          <w:tcPr>
            <w:tcW w:w="1638" w:type="dxa"/>
            <w:tcBorders>
              <w:top w:val="none" w:sz="0" w:space="0" w:color="auto"/>
              <w:left w:val="none" w:sz="0" w:space="0" w:color="auto"/>
              <w:bottom w:val="none" w:sz="0" w:space="0" w:color="auto"/>
              <w:right w:val="none" w:sz="0" w:space="0" w:color="auto"/>
            </w:tcBorders>
          </w:tcPr>
          <w:p w14:paraId="0FA9B756"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1.87±0.02</w:t>
            </w:r>
          </w:p>
        </w:tc>
        <w:tc>
          <w:tcPr>
            <w:tcW w:w="1386" w:type="dxa"/>
            <w:tcBorders>
              <w:top w:val="none" w:sz="0" w:space="0" w:color="auto"/>
              <w:left w:val="none" w:sz="0" w:space="0" w:color="auto"/>
              <w:bottom w:val="none" w:sz="0" w:space="0" w:color="auto"/>
              <w:right w:val="none" w:sz="0" w:space="0" w:color="auto"/>
            </w:tcBorders>
          </w:tcPr>
          <w:p w14:paraId="7CEB061A"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0.003</w:t>
            </w:r>
          </w:p>
        </w:tc>
        <w:tc>
          <w:tcPr>
            <w:tcW w:w="1494" w:type="dxa"/>
            <w:tcBorders>
              <w:top w:val="none" w:sz="0" w:space="0" w:color="auto"/>
              <w:left w:val="none" w:sz="0" w:space="0" w:color="auto"/>
              <w:bottom w:val="none" w:sz="0" w:space="0" w:color="auto"/>
              <w:right w:val="none" w:sz="0" w:space="0" w:color="auto"/>
            </w:tcBorders>
          </w:tcPr>
          <w:p w14:paraId="5F56058F"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t>
            </w:r>
          </w:p>
        </w:tc>
      </w:tr>
      <w:tr w:rsidR="003D19A8" w:rsidRPr="0080017E" w14:paraId="636C5EC6" w14:textId="77777777" w:rsidTr="000E0C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one" w:sz="0" w:space="0" w:color="auto"/>
              <w:left w:val="none" w:sz="0" w:space="0" w:color="auto"/>
              <w:bottom w:val="none" w:sz="0" w:space="0" w:color="auto"/>
              <w:right w:val="none" w:sz="0" w:space="0" w:color="auto"/>
            </w:tcBorders>
            <w:shd w:val="clear" w:color="auto" w:fill="auto"/>
          </w:tcPr>
          <w:p w14:paraId="2812A4A3"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Ash (%)</w:t>
            </w:r>
          </w:p>
        </w:tc>
        <w:tc>
          <w:tcPr>
            <w:tcW w:w="1710" w:type="dxa"/>
            <w:tcBorders>
              <w:top w:val="none" w:sz="0" w:space="0" w:color="auto"/>
              <w:left w:val="none" w:sz="0" w:space="0" w:color="auto"/>
              <w:bottom w:val="none" w:sz="0" w:space="0" w:color="auto"/>
              <w:right w:val="none" w:sz="0" w:space="0" w:color="auto"/>
            </w:tcBorders>
            <w:shd w:val="clear" w:color="auto" w:fill="auto"/>
          </w:tcPr>
          <w:p w14:paraId="6E42D19D"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10.20±0.04</w:t>
            </w:r>
          </w:p>
        </w:tc>
        <w:tc>
          <w:tcPr>
            <w:tcW w:w="1638" w:type="dxa"/>
            <w:tcBorders>
              <w:top w:val="none" w:sz="0" w:space="0" w:color="auto"/>
              <w:left w:val="none" w:sz="0" w:space="0" w:color="auto"/>
              <w:bottom w:val="none" w:sz="0" w:space="0" w:color="auto"/>
              <w:right w:val="none" w:sz="0" w:space="0" w:color="auto"/>
            </w:tcBorders>
            <w:shd w:val="clear" w:color="auto" w:fill="auto"/>
          </w:tcPr>
          <w:p w14:paraId="1470610F"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4.30±1.06</w:t>
            </w:r>
          </w:p>
        </w:tc>
        <w:tc>
          <w:tcPr>
            <w:tcW w:w="1386" w:type="dxa"/>
            <w:tcBorders>
              <w:top w:val="none" w:sz="0" w:space="0" w:color="auto"/>
              <w:left w:val="none" w:sz="0" w:space="0" w:color="auto"/>
              <w:bottom w:val="none" w:sz="0" w:space="0" w:color="auto"/>
              <w:right w:val="none" w:sz="0" w:space="0" w:color="auto"/>
            </w:tcBorders>
            <w:shd w:val="clear" w:color="auto" w:fill="auto"/>
          </w:tcPr>
          <w:p w14:paraId="36483B04"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0.154</w:t>
            </w:r>
          </w:p>
        </w:tc>
        <w:tc>
          <w:tcPr>
            <w:tcW w:w="1494" w:type="dxa"/>
            <w:tcBorders>
              <w:top w:val="none" w:sz="0" w:space="0" w:color="auto"/>
              <w:left w:val="none" w:sz="0" w:space="0" w:color="auto"/>
              <w:bottom w:val="none" w:sz="0" w:space="0" w:color="auto"/>
              <w:right w:val="none" w:sz="0" w:space="0" w:color="auto"/>
            </w:tcBorders>
            <w:shd w:val="clear" w:color="auto" w:fill="auto"/>
          </w:tcPr>
          <w:p w14:paraId="0C0CD5A2"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ns</w:t>
            </w:r>
          </w:p>
        </w:tc>
      </w:tr>
      <w:tr w:rsidR="003D19A8" w:rsidRPr="0080017E" w14:paraId="48878E56" w14:textId="77777777" w:rsidTr="000E0C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none" w:sz="0" w:space="0" w:color="auto"/>
              <w:left w:val="none" w:sz="0" w:space="0" w:color="auto"/>
              <w:bottom w:val="none" w:sz="0" w:space="0" w:color="auto"/>
              <w:right w:val="none" w:sz="0" w:space="0" w:color="auto"/>
            </w:tcBorders>
          </w:tcPr>
          <w:p w14:paraId="4F7CB13D"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lastRenderedPageBreak/>
              <w:t>NFE (%)</w:t>
            </w:r>
          </w:p>
        </w:tc>
        <w:tc>
          <w:tcPr>
            <w:tcW w:w="1710" w:type="dxa"/>
            <w:tcBorders>
              <w:top w:val="none" w:sz="0" w:space="0" w:color="auto"/>
              <w:left w:val="none" w:sz="0" w:space="0" w:color="auto"/>
              <w:bottom w:val="none" w:sz="0" w:space="0" w:color="auto"/>
              <w:right w:val="none" w:sz="0" w:space="0" w:color="auto"/>
            </w:tcBorders>
          </w:tcPr>
          <w:p w14:paraId="7DA84CCB"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52.77±0.62</w:t>
            </w:r>
          </w:p>
        </w:tc>
        <w:tc>
          <w:tcPr>
            <w:tcW w:w="1638" w:type="dxa"/>
            <w:tcBorders>
              <w:top w:val="none" w:sz="0" w:space="0" w:color="auto"/>
              <w:left w:val="none" w:sz="0" w:space="0" w:color="auto"/>
              <w:bottom w:val="none" w:sz="0" w:space="0" w:color="auto"/>
              <w:right w:val="none" w:sz="0" w:space="0" w:color="auto"/>
            </w:tcBorders>
          </w:tcPr>
          <w:p w14:paraId="3C970D92"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48.30±0.02</w:t>
            </w:r>
          </w:p>
        </w:tc>
        <w:tc>
          <w:tcPr>
            <w:tcW w:w="1386" w:type="dxa"/>
            <w:tcBorders>
              <w:top w:val="none" w:sz="0" w:space="0" w:color="auto"/>
              <w:left w:val="none" w:sz="0" w:space="0" w:color="auto"/>
              <w:bottom w:val="none" w:sz="0" w:space="0" w:color="auto"/>
              <w:right w:val="none" w:sz="0" w:space="0" w:color="auto"/>
            </w:tcBorders>
          </w:tcPr>
          <w:p w14:paraId="09F05D67"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0.007</w:t>
            </w:r>
          </w:p>
        </w:tc>
        <w:tc>
          <w:tcPr>
            <w:tcW w:w="1494" w:type="dxa"/>
            <w:tcBorders>
              <w:top w:val="none" w:sz="0" w:space="0" w:color="auto"/>
              <w:left w:val="none" w:sz="0" w:space="0" w:color="auto"/>
              <w:bottom w:val="none" w:sz="0" w:space="0" w:color="auto"/>
              <w:right w:val="none" w:sz="0" w:space="0" w:color="auto"/>
            </w:tcBorders>
          </w:tcPr>
          <w:p w14:paraId="653BF735"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w:t>
            </w:r>
          </w:p>
        </w:tc>
      </w:tr>
    </w:tbl>
    <w:p w14:paraId="136C4A2B" w14:textId="77777777" w:rsidR="001A1CC2" w:rsidRPr="0080017E" w:rsidRDefault="00000000">
      <w:pPr>
        <w:rPr>
          <w:rFonts w:ascii="Times New Roman" w:hAnsi="Times New Roman" w:cs="Times New Roman"/>
          <w:b/>
          <w:bCs/>
          <w:iCs/>
          <w:sz w:val="24"/>
          <w:szCs w:val="24"/>
        </w:rPr>
      </w:pPr>
      <w:r w:rsidRPr="0080017E">
        <w:rPr>
          <w:rFonts w:ascii="Times New Roman" w:hAnsi="Times New Roman" w:cs="Times New Roman"/>
          <w:b/>
          <w:bCs/>
          <w:iCs/>
          <w:sz w:val="24"/>
          <w:szCs w:val="24"/>
        </w:rPr>
        <w:t>Note: ns = not statistically significant; * = significant at p&lt;0.05; NFE = Nitrogen-Free Extract</w:t>
      </w:r>
    </w:p>
    <w:p w14:paraId="3C660DB1"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3.3 Mineral Content</w:t>
      </w:r>
    </w:p>
    <w:p w14:paraId="32281060"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Table 3 shows that oven drying increased sodium content (5.58±0.03 mg/100g) compared with sun drying (3.19±0.02 mg/100g), whereas sun drying preserved significantly higher levels of potassium (28.25±0.04 vs. 25.65±0.05 mg/100g), iron (5.65±0.04 vs. 5.23±0.05 mg/100g), calcium (161.24±0.07 vs. 149.85±0.08 mg/100g), and zinc (18.45±0.03 vs. 18.20±0.04 mg/100g). All mineral differences between the drying methods were statistically significant at p&lt;0.05, indicating that the drying method substantially influenced the mineral profile of the final ginger product.</w:t>
      </w:r>
    </w:p>
    <w:tbl>
      <w:tblPr>
        <w:tblStyle w:val="LightGrid-Accent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3D19A8" w:rsidRPr="0080017E" w14:paraId="442BE2EB" w14:textId="77777777" w:rsidTr="003732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auto"/>
              <w:left w:val="none" w:sz="0" w:space="0" w:color="auto"/>
              <w:bottom w:val="single" w:sz="4" w:space="0" w:color="auto"/>
              <w:right w:val="none" w:sz="0" w:space="0" w:color="auto"/>
            </w:tcBorders>
          </w:tcPr>
          <w:p w14:paraId="4608FAE2"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Mineral Parameters</w:t>
            </w:r>
          </w:p>
        </w:tc>
        <w:tc>
          <w:tcPr>
            <w:tcW w:w="3120" w:type="dxa"/>
            <w:tcBorders>
              <w:top w:val="single" w:sz="4" w:space="0" w:color="auto"/>
              <w:left w:val="none" w:sz="0" w:space="0" w:color="auto"/>
              <w:bottom w:val="single" w:sz="4" w:space="0" w:color="auto"/>
              <w:right w:val="none" w:sz="0" w:space="0" w:color="auto"/>
            </w:tcBorders>
          </w:tcPr>
          <w:p w14:paraId="618D78EE" w14:textId="77777777" w:rsidR="0009317D" w:rsidRPr="0080017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Oven-Dried (mg/100g)</w:t>
            </w:r>
          </w:p>
        </w:tc>
        <w:tc>
          <w:tcPr>
            <w:tcW w:w="3120" w:type="dxa"/>
            <w:tcBorders>
              <w:top w:val="single" w:sz="4" w:space="0" w:color="auto"/>
              <w:left w:val="none" w:sz="0" w:space="0" w:color="auto"/>
              <w:bottom w:val="single" w:sz="4" w:space="0" w:color="auto"/>
              <w:right w:val="none" w:sz="0" w:space="0" w:color="auto"/>
            </w:tcBorders>
          </w:tcPr>
          <w:p w14:paraId="0B653195" w14:textId="77777777" w:rsidR="0009317D" w:rsidRPr="0080017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Sun-Dried (mg/100g)</w:t>
            </w:r>
          </w:p>
        </w:tc>
      </w:tr>
      <w:tr w:rsidR="003D19A8" w:rsidRPr="0080017E" w14:paraId="4587EDB8" w14:textId="77777777" w:rsidTr="00373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auto"/>
              <w:left w:val="none" w:sz="0" w:space="0" w:color="auto"/>
              <w:bottom w:val="none" w:sz="0" w:space="0" w:color="auto"/>
              <w:right w:val="none" w:sz="0" w:space="0" w:color="auto"/>
            </w:tcBorders>
            <w:shd w:val="clear" w:color="auto" w:fill="auto"/>
          </w:tcPr>
          <w:p w14:paraId="62AD1747"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Sodium (Na)</w:t>
            </w:r>
          </w:p>
        </w:tc>
        <w:tc>
          <w:tcPr>
            <w:tcW w:w="3120" w:type="dxa"/>
            <w:tcBorders>
              <w:top w:val="single" w:sz="4" w:space="0" w:color="auto"/>
              <w:left w:val="none" w:sz="0" w:space="0" w:color="auto"/>
              <w:bottom w:val="none" w:sz="0" w:space="0" w:color="auto"/>
              <w:right w:val="none" w:sz="0" w:space="0" w:color="auto"/>
            </w:tcBorders>
            <w:shd w:val="clear" w:color="auto" w:fill="auto"/>
          </w:tcPr>
          <w:p w14:paraId="2562EAB1"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5.58±0.03*</w:t>
            </w:r>
          </w:p>
        </w:tc>
        <w:tc>
          <w:tcPr>
            <w:tcW w:w="3120" w:type="dxa"/>
            <w:tcBorders>
              <w:top w:val="single" w:sz="4" w:space="0" w:color="auto"/>
              <w:left w:val="none" w:sz="0" w:space="0" w:color="auto"/>
              <w:bottom w:val="none" w:sz="0" w:space="0" w:color="auto"/>
              <w:right w:val="none" w:sz="0" w:space="0" w:color="auto"/>
            </w:tcBorders>
            <w:shd w:val="clear" w:color="auto" w:fill="auto"/>
          </w:tcPr>
          <w:p w14:paraId="5ED2515B"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3.19±0.02</w:t>
            </w:r>
          </w:p>
        </w:tc>
      </w:tr>
      <w:tr w:rsidR="003D19A8" w:rsidRPr="0080017E" w14:paraId="2530B54B" w14:textId="77777777" w:rsidTr="003732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left w:val="none" w:sz="0" w:space="0" w:color="auto"/>
              <w:bottom w:val="none" w:sz="0" w:space="0" w:color="auto"/>
              <w:right w:val="none" w:sz="0" w:space="0" w:color="auto"/>
            </w:tcBorders>
          </w:tcPr>
          <w:p w14:paraId="0AB787A2"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Potassium (K)</w:t>
            </w:r>
          </w:p>
        </w:tc>
        <w:tc>
          <w:tcPr>
            <w:tcW w:w="3120" w:type="dxa"/>
            <w:tcBorders>
              <w:top w:val="none" w:sz="0" w:space="0" w:color="auto"/>
              <w:left w:val="none" w:sz="0" w:space="0" w:color="auto"/>
              <w:bottom w:val="none" w:sz="0" w:space="0" w:color="auto"/>
              <w:right w:val="none" w:sz="0" w:space="0" w:color="auto"/>
            </w:tcBorders>
          </w:tcPr>
          <w:p w14:paraId="3DDB18E2"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25.65±0.05*</w:t>
            </w:r>
          </w:p>
        </w:tc>
        <w:tc>
          <w:tcPr>
            <w:tcW w:w="3120" w:type="dxa"/>
            <w:tcBorders>
              <w:top w:val="none" w:sz="0" w:space="0" w:color="auto"/>
              <w:left w:val="none" w:sz="0" w:space="0" w:color="auto"/>
              <w:bottom w:val="none" w:sz="0" w:space="0" w:color="auto"/>
              <w:right w:val="none" w:sz="0" w:space="0" w:color="auto"/>
            </w:tcBorders>
          </w:tcPr>
          <w:p w14:paraId="19567770"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28.25±0.04</w:t>
            </w:r>
          </w:p>
        </w:tc>
      </w:tr>
      <w:tr w:rsidR="003D19A8" w:rsidRPr="0080017E" w14:paraId="5B56B5C3" w14:textId="77777777" w:rsidTr="00373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left w:val="none" w:sz="0" w:space="0" w:color="auto"/>
              <w:bottom w:val="none" w:sz="0" w:space="0" w:color="auto"/>
              <w:right w:val="none" w:sz="0" w:space="0" w:color="auto"/>
            </w:tcBorders>
            <w:shd w:val="clear" w:color="auto" w:fill="auto"/>
          </w:tcPr>
          <w:p w14:paraId="58A7BB29"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Iron (Fe)</w:t>
            </w:r>
          </w:p>
        </w:tc>
        <w:tc>
          <w:tcPr>
            <w:tcW w:w="3120" w:type="dxa"/>
            <w:tcBorders>
              <w:top w:val="none" w:sz="0" w:space="0" w:color="auto"/>
              <w:left w:val="none" w:sz="0" w:space="0" w:color="auto"/>
              <w:bottom w:val="none" w:sz="0" w:space="0" w:color="auto"/>
              <w:right w:val="none" w:sz="0" w:space="0" w:color="auto"/>
            </w:tcBorders>
            <w:shd w:val="clear" w:color="auto" w:fill="auto"/>
          </w:tcPr>
          <w:p w14:paraId="35C40796"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5.23±0.05*</w:t>
            </w:r>
          </w:p>
        </w:tc>
        <w:tc>
          <w:tcPr>
            <w:tcW w:w="3120" w:type="dxa"/>
            <w:tcBorders>
              <w:top w:val="none" w:sz="0" w:space="0" w:color="auto"/>
              <w:left w:val="none" w:sz="0" w:space="0" w:color="auto"/>
              <w:bottom w:val="none" w:sz="0" w:space="0" w:color="auto"/>
              <w:right w:val="none" w:sz="0" w:space="0" w:color="auto"/>
            </w:tcBorders>
            <w:shd w:val="clear" w:color="auto" w:fill="auto"/>
          </w:tcPr>
          <w:p w14:paraId="3C63CA5A"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5.65±0.04</w:t>
            </w:r>
          </w:p>
        </w:tc>
      </w:tr>
      <w:tr w:rsidR="003D19A8" w:rsidRPr="0080017E" w14:paraId="4EC0F4F8" w14:textId="77777777" w:rsidTr="003732C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left w:val="none" w:sz="0" w:space="0" w:color="auto"/>
              <w:bottom w:val="none" w:sz="0" w:space="0" w:color="auto"/>
              <w:right w:val="none" w:sz="0" w:space="0" w:color="auto"/>
            </w:tcBorders>
          </w:tcPr>
          <w:p w14:paraId="2887D63A"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Calcium (Ca)</w:t>
            </w:r>
          </w:p>
        </w:tc>
        <w:tc>
          <w:tcPr>
            <w:tcW w:w="3120" w:type="dxa"/>
            <w:tcBorders>
              <w:top w:val="none" w:sz="0" w:space="0" w:color="auto"/>
              <w:left w:val="none" w:sz="0" w:space="0" w:color="auto"/>
              <w:bottom w:val="none" w:sz="0" w:space="0" w:color="auto"/>
              <w:right w:val="none" w:sz="0" w:space="0" w:color="auto"/>
            </w:tcBorders>
          </w:tcPr>
          <w:p w14:paraId="7E32477B"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149.85±0.08*</w:t>
            </w:r>
          </w:p>
        </w:tc>
        <w:tc>
          <w:tcPr>
            <w:tcW w:w="3120" w:type="dxa"/>
            <w:tcBorders>
              <w:top w:val="none" w:sz="0" w:space="0" w:color="auto"/>
              <w:left w:val="none" w:sz="0" w:space="0" w:color="auto"/>
              <w:bottom w:val="none" w:sz="0" w:space="0" w:color="auto"/>
              <w:right w:val="none" w:sz="0" w:space="0" w:color="auto"/>
            </w:tcBorders>
          </w:tcPr>
          <w:p w14:paraId="69ED46C5"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161.24±0.07</w:t>
            </w:r>
          </w:p>
        </w:tc>
      </w:tr>
      <w:tr w:rsidR="003D19A8" w:rsidRPr="0080017E" w14:paraId="4B1D0B6F" w14:textId="77777777" w:rsidTr="003732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0" w:type="dxa"/>
            <w:tcBorders>
              <w:top w:val="none" w:sz="0" w:space="0" w:color="auto"/>
              <w:left w:val="none" w:sz="0" w:space="0" w:color="auto"/>
              <w:bottom w:val="none" w:sz="0" w:space="0" w:color="auto"/>
              <w:right w:val="none" w:sz="0" w:space="0" w:color="auto"/>
            </w:tcBorders>
            <w:shd w:val="clear" w:color="auto" w:fill="auto"/>
          </w:tcPr>
          <w:p w14:paraId="5B829C2B"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Zinc (Zn)</w:t>
            </w:r>
          </w:p>
        </w:tc>
        <w:tc>
          <w:tcPr>
            <w:tcW w:w="3120" w:type="dxa"/>
            <w:tcBorders>
              <w:top w:val="none" w:sz="0" w:space="0" w:color="auto"/>
              <w:left w:val="none" w:sz="0" w:space="0" w:color="auto"/>
              <w:bottom w:val="none" w:sz="0" w:space="0" w:color="auto"/>
              <w:right w:val="none" w:sz="0" w:space="0" w:color="auto"/>
            </w:tcBorders>
            <w:shd w:val="clear" w:color="auto" w:fill="auto"/>
          </w:tcPr>
          <w:p w14:paraId="3CAE01CD"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18.20±0.04*</w:t>
            </w:r>
          </w:p>
        </w:tc>
        <w:tc>
          <w:tcPr>
            <w:tcW w:w="3120" w:type="dxa"/>
            <w:tcBorders>
              <w:top w:val="none" w:sz="0" w:space="0" w:color="auto"/>
              <w:left w:val="none" w:sz="0" w:space="0" w:color="auto"/>
              <w:bottom w:val="none" w:sz="0" w:space="0" w:color="auto"/>
              <w:right w:val="none" w:sz="0" w:space="0" w:color="auto"/>
            </w:tcBorders>
            <w:shd w:val="clear" w:color="auto" w:fill="auto"/>
          </w:tcPr>
          <w:p w14:paraId="7A87E9B0"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18.45±0.03</w:t>
            </w:r>
          </w:p>
        </w:tc>
      </w:tr>
    </w:tbl>
    <w:p w14:paraId="344C7CF6" w14:textId="77777777" w:rsidR="0009317D" w:rsidRPr="0080017E" w:rsidRDefault="00000000">
      <w:pPr>
        <w:rPr>
          <w:rFonts w:ascii="Times New Roman" w:hAnsi="Times New Roman" w:cs="Times New Roman"/>
          <w:iCs/>
          <w:sz w:val="24"/>
          <w:szCs w:val="24"/>
        </w:rPr>
      </w:pPr>
      <w:r w:rsidRPr="0080017E">
        <w:rPr>
          <w:rFonts w:ascii="Times New Roman" w:hAnsi="Times New Roman" w:cs="Times New Roman"/>
          <w:iCs/>
          <w:sz w:val="24"/>
          <w:szCs w:val="24"/>
        </w:rPr>
        <w:t xml:space="preserve">Note: * = significant at p&lt;0.05; Values expressed as </w:t>
      </w:r>
      <w:proofErr w:type="spellStart"/>
      <w:r w:rsidRPr="0080017E">
        <w:rPr>
          <w:rFonts w:ascii="Times New Roman" w:hAnsi="Times New Roman" w:cs="Times New Roman"/>
          <w:iCs/>
          <w:sz w:val="24"/>
          <w:szCs w:val="24"/>
        </w:rPr>
        <w:t>Mean±Standard</w:t>
      </w:r>
      <w:proofErr w:type="spellEnd"/>
      <w:r w:rsidRPr="0080017E">
        <w:rPr>
          <w:rFonts w:ascii="Times New Roman" w:hAnsi="Times New Roman" w:cs="Times New Roman"/>
          <w:iCs/>
          <w:sz w:val="24"/>
          <w:szCs w:val="24"/>
        </w:rPr>
        <w:t xml:space="preserve"> Error</w:t>
      </w:r>
    </w:p>
    <w:p w14:paraId="7562C8D3" w14:textId="77777777" w:rsidR="0009317D" w:rsidRPr="0080017E" w:rsidRDefault="00000000">
      <w:pPr>
        <w:pStyle w:val="Heading2"/>
        <w:rPr>
          <w:rFonts w:ascii="Times New Roman" w:hAnsi="Times New Roman" w:cs="Times New Roman"/>
          <w:color w:val="auto"/>
          <w:sz w:val="24"/>
          <w:szCs w:val="24"/>
        </w:rPr>
      </w:pPr>
      <w:r w:rsidRPr="0080017E">
        <w:rPr>
          <w:rFonts w:ascii="Times New Roman" w:hAnsi="Times New Roman" w:cs="Times New Roman"/>
          <w:color w:val="auto"/>
          <w:sz w:val="24"/>
          <w:szCs w:val="24"/>
        </w:rPr>
        <w:t>3.4 Meat Tenderization: Likert Scale Ratings</w:t>
      </w:r>
    </w:p>
    <w:p w14:paraId="69BF3039"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Table 4 presents sensory-panel results from 19 trained assessors who evaluated three meat samples: ginger-treated chicken from birds fed oven-dried or sun-dried ginger and untreated control meat. The majority (67.9% combined) rated the ginger-treated chicken meat as either ‘very tender’ (42.11%) or ‘extremely tender’ (15.78%), with smaller proportions rating it as ‘moderately tender’ (26.32%), ‘slightly tender’ (10.53%), or ‘neither tender nor tough’ (5.26%). In contrast, the untreated control meat, prepared without ginger treatment, was consistently rated as ‘neither tender nor tough’ (5.26%), reflecting its extreme hardness and lack of tenderness. This distinction between ginger-treated and untreated meat demonstrates the significant tenderising effect of ginger, regardless of the drying method.</w:t>
      </w:r>
    </w:p>
    <w:tbl>
      <w:tblPr>
        <w:tblStyle w:val="LightGrid-Accent1"/>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D19A8" w:rsidRPr="0080017E" w14:paraId="0B058289" w14:textId="77777777" w:rsidTr="001558C1">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left w:val="none" w:sz="0" w:space="0" w:color="auto"/>
              <w:bottom w:val="single" w:sz="4" w:space="0" w:color="auto"/>
              <w:right w:val="none" w:sz="0" w:space="0" w:color="auto"/>
            </w:tcBorders>
          </w:tcPr>
          <w:p w14:paraId="66A9F85C"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Tenderization Category</w:t>
            </w:r>
          </w:p>
        </w:tc>
        <w:tc>
          <w:tcPr>
            <w:tcW w:w="4680" w:type="dxa"/>
            <w:tcBorders>
              <w:top w:val="single" w:sz="4" w:space="0" w:color="auto"/>
              <w:left w:val="none" w:sz="0" w:space="0" w:color="auto"/>
              <w:bottom w:val="single" w:sz="4" w:space="0" w:color="auto"/>
              <w:right w:val="none" w:sz="0" w:space="0" w:color="auto"/>
            </w:tcBorders>
          </w:tcPr>
          <w:p w14:paraId="21A9D2B7" w14:textId="77777777" w:rsidR="0009317D" w:rsidRPr="0080017E" w:rsidRDefault="000000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Percentage (%)</w:t>
            </w:r>
          </w:p>
        </w:tc>
      </w:tr>
      <w:tr w:rsidR="003D19A8" w:rsidRPr="0080017E" w14:paraId="52C577F7" w14:textId="77777777" w:rsidTr="00155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single" w:sz="4" w:space="0" w:color="auto"/>
              <w:left w:val="none" w:sz="0" w:space="0" w:color="auto"/>
              <w:bottom w:val="none" w:sz="0" w:space="0" w:color="auto"/>
              <w:right w:val="none" w:sz="0" w:space="0" w:color="auto"/>
            </w:tcBorders>
            <w:shd w:val="clear" w:color="auto" w:fill="auto"/>
          </w:tcPr>
          <w:p w14:paraId="6D6D8341"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Extremely Tender</w:t>
            </w:r>
          </w:p>
        </w:tc>
        <w:tc>
          <w:tcPr>
            <w:tcW w:w="4680" w:type="dxa"/>
            <w:tcBorders>
              <w:top w:val="single" w:sz="4" w:space="0" w:color="auto"/>
              <w:left w:val="none" w:sz="0" w:space="0" w:color="auto"/>
              <w:bottom w:val="none" w:sz="0" w:space="0" w:color="auto"/>
              <w:right w:val="none" w:sz="0" w:space="0" w:color="auto"/>
            </w:tcBorders>
            <w:shd w:val="clear" w:color="auto" w:fill="auto"/>
          </w:tcPr>
          <w:p w14:paraId="1D514B61"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15.78</w:t>
            </w:r>
          </w:p>
        </w:tc>
      </w:tr>
      <w:tr w:rsidR="003D19A8" w:rsidRPr="0080017E" w14:paraId="239CF41D" w14:textId="77777777" w:rsidTr="001558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none" w:sz="0" w:space="0" w:color="auto"/>
              <w:left w:val="none" w:sz="0" w:space="0" w:color="auto"/>
              <w:bottom w:val="none" w:sz="0" w:space="0" w:color="auto"/>
              <w:right w:val="none" w:sz="0" w:space="0" w:color="auto"/>
            </w:tcBorders>
          </w:tcPr>
          <w:p w14:paraId="7C98339D"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Very Tender</w:t>
            </w:r>
          </w:p>
        </w:tc>
        <w:tc>
          <w:tcPr>
            <w:tcW w:w="4680" w:type="dxa"/>
            <w:tcBorders>
              <w:top w:val="none" w:sz="0" w:space="0" w:color="auto"/>
              <w:left w:val="none" w:sz="0" w:space="0" w:color="auto"/>
              <w:bottom w:val="none" w:sz="0" w:space="0" w:color="auto"/>
              <w:right w:val="none" w:sz="0" w:space="0" w:color="auto"/>
            </w:tcBorders>
          </w:tcPr>
          <w:p w14:paraId="76011C05"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42.11</w:t>
            </w:r>
          </w:p>
        </w:tc>
      </w:tr>
      <w:tr w:rsidR="003D19A8" w:rsidRPr="0080017E" w14:paraId="3738FF7D" w14:textId="77777777" w:rsidTr="00155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none" w:sz="0" w:space="0" w:color="auto"/>
              <w:left w:val="none" w:sz="0" w:space="0" w:color="auto"/>
              <w:bottom w:val="none" w:sz="0" w:space="0" w:color="auto"/>
              <w:right w:val="none" w:sz="0" w:space="0" w:color="auto"/>
            </w:tcBorders>
            <w:shd w:val="clear" w:color="auto" w:fill="auto"/>
          </w:tcPr>
          <w:p w14:paraId="574DBF98"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Moderately Tender</w:t>
            </w:r>
          </w:p>
        </w:tc>
        <w:tc>
          <w:tcPr>
            <w:tcW w:w="4680" w:type="dxa"/>
            <w:tcBorders>
              <w:top w:val="none" w:sz="0" w:space="0" w:color="auto"/>
              <w:left w:val="none" w:sz="0" w:space="0" w:color="auto"/>
              <w:bottom w:val="none" w:sz="0" w:space="0" w:color="auto"/>
              <w:right w:val="none" w:sz="0" w:space="0" w:color="auto"/>
            </w:tcBorders>
            <w:shd w:val="clear" w:color="auto" w:fill="auto"/>
          </w:tcPr>
          <w:p w14:paraId="5CBC19DC"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26.32</w:t>
            </w:r>
          </w:p>
        </w:tc>
      </w:tr>
      <w:tr w:rsidR="003D19A8" w:rsidRPr="0080017E" w14:paraId="75AA7852" w14:textId="77777777" w:rsidTr="001558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none" w:sz="0" w:space="0" w:color="auto"/>
              <w:left w:val="none" w:sz="0" w:space="0" w:color="auto"/>
              <w:bottom w:val="none" w:sz="0" w:space="0" w:color="auto"/>
              <w:right w:val="none" w:sz="0" w:space="0" w:color="auto"/>
            </w:tcBorders>
          </w:tcPr>
          <w:p w14:paraId="20AE2DD6"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Slightly Tender</w:t>
            </w:r>
          </w:p>
        </w:tc>
        <w:tc>
          <w:tcPr>
            <w:tcW w:w="4680" w:type="dxa"/>
            <w:tcBorders>
              <w:top w:val="none" w:sz="0" w:space="0" w:color="auto"/>
              <w:left w:val="none" w:sz="0" w:space="0" w:color="auto"/>
              <w:bottom w:val="none" w:sz="0" w:space="0" w:color="auto"/>
              <w:right w:val="none" w:sz="0" w:space="0" w:color="auto"/>
            </w:tcBorders>
          </w:tcPr>
          <w:p w14:paraId="552132E6" w14:textId="77777777" w:rsidR="0009317D" w:rsidRPr="0080017E" w:rsidRDefault="000000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10.53</w:t>
            </w:r>
          </w:p>
        </w:tc>
      </w:tr>
      <w:tr w:rsidR="003D19A8" w:rsidRPr="0080017E" w14:paraId="3BF19421" w14:textId="77777777" w:rsidTr="001558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tcBorders>
              <w:top w:val="none" w:sz="0" w:space="0" w:color="auto"/>
              <w:left w:val="none" w:sz="0" w:space="0" w:color="auto"/>
              <w:bottom w:val="none" w:sz="0" w:space="0" w:color="auto"/>
              <w:right w:val="none" w:sz="0" w:space="0" w:color="auto"/>
            </w:tcBorders>
            <w:shd w:val="clear" w:color="auto" w:fill="auto"/>
          </w:tcPr>
          <w:p w14:paraId="27D6C8AB"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t>Neither Tender nor Tough</w:t>
            </w:r>
          </w:p>
        </w:tc>
        <w:tc>
          <w:tcPr>
            <w:tcW w:w="4680" w:type="dxa"/>
            <w:tcBorders>
              <w:top w:val="none" w:sz="0" w:space="0" w:color="auto"/>
              <w:left w:val="none" w:sz="0" w:space="0" w:color="auto"/>
              <w:bottom w:val="none" w:sz="0" w:space="0" w:color="auto"/>
              <w:right w:val="none" w:sz="0" w:space="0" w:color="auto"/>
            </w:tcBorders>
            <w:shd w:val="clear" w:color="auto" w:fill="auto"/>
          </w:tcPr>
          <w:p w14:paraId="75DD0ABB" w14:textId="77777777" w:rsidR="0009317D" w:rsidRPr="0080017E" w:rsidRDefault="000000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0017E">
              <w:rPr>
                <w:rFonts w:ascii="Times New Roman" w:hAnsi="Times New Roman" w:cs="Times New Roman"/>
                <w:sz w:val="24"/>
                <w:szCs w:val="24"/>
              </w:rPr>
              <w:t>5.26</w:t>
            </w:r>
          </w:p>
        </w:tc>
      </w:tr>
    </w:tbl>
    <w:p w14:paraId="3DCC9AEB" w14:textId="77777777" w:rsidR="0009317D" w:rsidRPr="0080017E" w:rsidRDefault="00000000">
      <w:pPr>
        <w:rPr>
          <w:rFonts w:ascii="Times New Roman" w:hAnsi="Times New Roman" w:cs="Times New Roman"/>
          <w:b/>
          <w:bCs/>
          <w:iCs/>
          <w:sz w:val="24"/>
          <w:szCs w:val="24"/>
        </w:rPr>
      </w:pPr>
      <w:r w:rsidRPr="0080017E">
        <w:rPr>
          <w:rFonts w:ascii="Times New Roman" w:hAnsi="Times New Roman"/>
          <w:sz w:val="24"/>
        </w:rPr>
        <w:t>Note: Based on evaluations by 19 panellists using a 9-point hedonic scale</w:t>
      </w:r>
    </w:p>
    <w:p w14:paraId="6D5FF68B" w14:textId="77777777" w:rsidR="0009317D" w:rsidRPr="0080017E" w:rsidRDefault="00000000">
      <w:pPr>
        <w:rPr>
          <w:rFonts w:ascii="Times New Roman" w:hAnsi="Times New Roman" w:cs="Times New Roman"/>
          <w:sz w:val="24"/>
          <w:szCs w:val="24"/>
        </w:rPr>
      </w:pPr>
      <w:r w:rsidRPr="0080017E">
        <w:rPr>
          <w:rFonts w:ascii="Times New Roman" w:hAnsi="Times New Roman" w:cs="Times New Roman"/>
          <w:sz w:val="24"/>
          <w:szCs w:val="24"/>
        </w:rPr>
        <w:br w:type="page"/>
      </w:r>
    </w:p>
    <w:p w14:paraId="15823626" w14:textId="77777777" w:rsidR="0009317D" w:rsidRPr="0080017E" w:rsidRDefault="00000000">
      <w:pPr>
        <w:pStyle w:val="Heading1"/>
        <w:rPr>
          <w:rFonts w:ascii="Times New Roman" w:hAnsi="Times New Roman" w:cs="Times New Roman"/>
          <w:color w:val="auto"/>
          <w:sz w:val="24"/>
          <w:szCs w:val="24"/>
        </w:rPr>
      </w:pPr>
      <w:r w:rsidRPr="0080017E">
        <w:rPr>
          <w:rFonts w:ascii="Times New Roman" w:hAnsi="Times New Roman" w:cs="Times New Roman"/>
          <w:color w:val="auto"/>
          <w:sz w:val="24"/>
          <w:szCs w:val="24"/>
        </w:rPr>
        <w:lastRenderedPageBreak/>
        <w:t>4.0 DISCUSSION</w:t>
      </w:r>
    </w:p>
    <w:p w14:paraId="3F6408D3" w14:textId="77777777" w:rsidR="00912369" w:rsidRPr="0080017E" w:rsidRDefault="00000000">
      <w:pPr>
        <w:jc w:val="both"/>
        <w:rPr>
          <w:rFonts w:ascii="Times New Roman" w:hAnsi="Times New Roman" w:cs="Times New Roman"/>
          <w:sz w:val="24"/>
          <w:szCs w:val="24"/>
        </w:rPr>
      </w:pPr>
      <w:r w:rsidRPr="0080017E">
        <w:rPr>
          <w:rFonts w:ascii="Times New Roman" w:hAnsi="Times New Roman"/>
          <w:sz w:val="24"/>
        </w:rPr>
        <w:t>Although chickens in the control group recorded the highest overall body weight (2.12±0.16 kg) compared with those fed sun-dried (2.03±0.23 kg) and oven-dried ginger (1.83±0.41 kg), the differences were not statistically significant (p&gt;0.05). This suggests that dietary ginger inclusion, irrespective of the drying method, did not measurably impair growth performance under the conditions of this study. In contrast to this small-sample result, a larger broiler study reported increased weight gain with dietary ginger, suggesting that responses may vary with dose and experimental conditions (Al-Khalaifah et al., 2022).</w:t>
      </w:r>
    </w:p>
    <w:p w14:paraId="7BB36941" w14:textId="77777777" w:rsidR="009E2989" w:rsidRPr="0080017E" w:rsidRDefault="00000000">
      <w:pPr>
        <w:jc w:val="both"/>
        <w:rPr>
          <w:rFonts w:ascii="Times New Roman" w:hAnsi="Times New Roman" w:cs="Times New Roman"/>
          <w:sz w:val="24"/>
          <w:szCs w:val="24"/>
        </w:rPr>
      </w:pPr>
      <w:r w:rsidRPr="0080017E">
        <w:rPr>
          <w:rFonts w:ascii="Times New Roman" w:hAnsi="Times New Roman"/>
          <w:sz w:val="24"/>
        </w:rPr>
        <w:t>The proximate-composition results highlight clear trade-offs between the two drying methods. Moisture content is a key determinant of shelf life because higher residual moisture promotes microbial growth and shortens storage life (Ajayi et al., 2017). The significantly higher moisture content of sun-dried ginger (31.30±0.71%) than oven-dried ginger (15.92±0.25%) indicates that sun-dried ginger is more susceptible to spoilage, underscoring the need for appropriate storage measures when sun drying is used. Oven-dried ginger showed significantly higher crude protein and crude fat contents than sun-dried ginger, suggesting that oven drying better preserves these macronutrients, likely because the shorter, more controlled drying period limits protein denaturation and lipid oxidation relative to prolonged sun exposure. This supports its potential use as a source of protein and fat for fortifying cereal-based products (Mamata et al., 2022). Conversely, the marginally higher crude fibre content of sun-dried ginger aligns with previous findings that dietary fibre supports gut microbial activity, aids bowel regularity, helps regulate blood glucose and cholesterol, and may lower colorectal cancer risk.</w:t>
      </w:r>
    </w:p>
    <w:p w14:paraId="2CD9E451" w14:textId="77777777" w:rsidR="00912369" w:rsidRPr="0080017E" w:rsidRDefault="00000000">
      <w:pPr>
        <w:jc w:val="both"/>
        <w:rPr>
          <w:rFonts w:ascii="Times New Roman" w:hAnsi="Times New Roman" w:cs="Times New Roman"/>
          <w:sz w:val="24"/>
          <w:szCs w:val="24"/>
        </w:rPr>
      </w:pPr>
      <w:r w:rsidRPr="0080017E">
        <w:rPr>
          <w:rFonts w:ascii="Times New Roman" w:hAnsi="Times New Roman" w:cs="Times New Roman"/>
          <w:sz w:val="24"/>
          <w:szCs w:val="24"/>
        </w:rPr>
        <w:t>At the level of individual minerals, sun-dried ginger retained higher concentrations of potassium, iron, calcium, and zinc, while oven-dried ginger retained more sodium. Calcium was the most abundant mineral overall, followed by potassium—findings consistent with Akter et al. (2020)—and both are physiologically important, with sodium and potassium jointly regulating electrolyte balance in the body. Across both drying methods, iron, zinc, and sodium were present in comparatively small amounts, while calcium and potassium dominated the mineral profile. This suggests that while oven drying may concentrate total mineral content, sun drying better preserves specific micronutrients relevant to electrolyte balance and bone health.</w:t>
      </w:r>
    </w:p>
    <w:p w14:paraId="3E18BB16" w14:textId="77777777" w:rsidR="0009317D" w:rsidRPr="0080017E" w:rsidRDefault="00000000">
      <w:pPr>
        <w:jc w:val="both"/>
        <w:rPr>
          <w:rFonts w:ascii="Times New Roman" w:hAnsi="Times New Roman" w:cs="Times New Roman"/>
          <w:sz w:val="24"/>
          <w:szCs w:val="24"/>
        </w:rPr>
      </w:pPr>
      <w:r w:rsidRPr="0080017E">
        <w:rPr>
          <w:rFonts w:ascii="Times New Roman" w:hAnsi="Times New Roman"/>
          <w:sz w:val="24"/>
        </w:rPr>
        <w:t>Sensory evaluation showed that a clear majority of the 19 panellists rated ginger-treated chicken meat as tender to extremely tender (67.9% combined for ‘very tender’ and ‘extremely tender’), whereas only a small minority (5.26%) rated untreated control meat as neither tender nor tough, reflecting its extreme hardness. Previous studies have shown that ginger extract increases water-holding capacity and reduces meat shear force (Moon, 2018; Naveena &amp; Mendiratta, 2001). The consistently favourable ratings suggest that ginger, applied using either drying method, is an effective, low-cost natural tenderiser, offering a viable alternative to synthetic tenderisers such as papain, with potential applications at household and industrial scales.</w:t>
      </w:r>
    </w:p>
    <w:p w14:paraId="55CE15A8" w14:textId="77777777" w:rsidR="0009317D" w:rsidRPr="0080017E" w:rsidRDefault="00000000" w:rsidP="009600D5">
      <w:pPr>
        <w:rPr>
          <w:rFonts w:ascii="Times New Roman" w:hAnsi="Times New Roman" w:cs="Times New Roman"/>
          <w:b/>
          <w:bCs/>
          <w:sz w:val="24"/>
          <w:szCs w:val="24"/>
        </w:rPr>
      </w:pPr>
      <w:r w:rsidRPr="0080017E">
        <w:rPr>
          <w:rFonts w:ascii="Times New Roman" w:hAnsi="Times New Roman" w:cs="Times New Roman"/>
          <w:sz w:val="24"/>
          <w:szCs w:val="24"/>
        </w:rPr>
        <w:br w:type="page"/>
      </w:r>
      <w:r w:rsidRPr="0080017E">
        <w:rPr>
          <w:rFonts w:ascii="Times New Roman" w:hAnsi="Times New Roman" w:cs="Times New Roman"/>
          <w:b/>
          <w:bCs/>
          <w:sz w:val="24"/>
          <w:szCs w:val="24"/>
        </w:rPr>
        <w:lastRenderedPageBreak/>
        <w:t>5.0 CONCLUSION</w:t>
      </w:r>
    </w:p>
    <w:p w14:paraId="5E219FA0" w14:textId="77777777" w:rsidR="0009317D" w:rsidRDefault="00000000" w:rsidP="00912369">
      <w:pPr>
        <w:jc w:val="both"/>
        <w:rPr>
          <w:rFonts w:ascii="Times New Roman" w:hAnsi="Times New Roman"/>
          <w:sz w:val="24"/>
        </w:rPr>
      </w:pPr>
      <w:r w:rsidRPr="0080017E">
        <w:rPr>
          <w:rFonts w:ascii="Times New Roman" w:hAnsi="Times New Roman"/>
          <w:sz w:val="24"/>
        </w:rPr>
        <w:t xml:space="preserve">This study demonstrates that ginger powder, whether prepared by sun drying or oven drying, is a valuable source of micronutrients and bioactive compounds with potential applications in animal production, without significantly compromising chicken growth performance. The drying method influenced the nutrient profile in distinct ways: oven drying better preserved protein, fat, and ash contents, whereas sun drying retained higher levels of key minerals (potassium, iron, calcium, and zinc) and crude fibre, although at the cost of higher residual moisture and reduced shelf stability. Both forms of ginger proved highly effective in tenderising chicken meat, as reflected in consistently favourable sensory-panel ratings (67.9% rated as ‘very tender’ or ‘extremely tender’), without adversely affecting other meat-quality parameters and in marked contrast to untreated control meat, which remained extremely hard. These findings support the feasibility of using readily available, low-cost ginger, processed by either sun drying or oven drying, as a natural meat tenderiser at household and industrial scales, while highlighting the drying method as a practical variable to optimise depending on whether nutrient retention or product stability is </w:t>
      </w:r>
      <w:proofErr w:type="spellStart"/>
      <w:r w:rsidRPr="0080017E">
        <w:rPr>
          <w:rFonts w:ascii="Times New Roman" w:hAnsi="Times New Roman"/>
          <w:sz w:val="24"/>
        </w:rPr>
        <w:t>prioritised</w:t>
      </w:r>
      <w:proofErr w:type="spellEnd"/>
      <w:r w:rsidRPr="0080017E">
        <w:rPr>
          <w:rFonts w:ascii="Times New Roman" w:hAnsi="Times New Roman"/>
          <w:sz w:val="24"/>
        </w:rPr>
        <w:t>.</w:t>
      </w:r>
    </w:p>
    <w:p w14:paraId="2D49CDFD" w14:textId="77777777" w:rsidR="00677222" w:rsidRDefault="00677222" w:rsidP="00912369">
      <w:pPr>
        <w:jc w:val="both"/>
        <w:rPr>
          <w:rFonts w:ascii="Times New Roman" w:hAnsi="Times New Roman"/>
          <w:sz w:val="24"/>
        </w:rPr>
      </w:pPr>
    </w:p>
    <w:p w14:paraId="749B16F3" w14:textId="77777777" w:rsidR="00677222" w:rsidRPr="00677222" w:rsidRDefault="00677222" w:rsidP="00677222">
      <w:pPr>
        <w:spacing w:before="100" w:beforeAutospacing="1" w:after="100" w:afterAutospacing="1" w:line="240" w:lineRule="auto"/>
        <w:outlineLvl w:val="1"/>
        <w:rPr>
          <w:rFonts w:ascii="Times New Roman" w:eastAsia="Times New Roman" w:hAnsi="Times New Roman" w:cs="Times New Roman"/>
          <w:b/>
          <w:bCs/>
          <w:sz w:val="36"/>
          <w:szCs w:val="36"/>
        </w:rPr>
      </w:pPr>
      <w:r w:rsidRPr="00677222">
        <w:rPr>
          <w:rFonts w:ascii="Times New Roman" w:eastAsia="Times New Roman" w:hAnsi="Times New Roman" w:cs="Times New Roman"/>
          <w:b/>
          <w:bCs/>
          <w:sz w:val="36"/>
          <w:szCs w:val="36"/>
        </w:rPr>
        <w:t>Limitations</w:t>
      </w:r>
    </w:p>
    <w:p w14:paraId="01DD7A30" w14:textId="07B69338" w:rsidR="00677222" w:rsidRPr="0080017E" w:rsidRDefault="00677222" w:rsidP="00912369">
      <w:pPr>
        <w:jc w:val="both"/>
        <w:rPr>
          <w:rFonts w:ascii="Times New Roman" w:hAnsi="Times New Roman" w:cs="Times New Roman"/>
          <w:sz w:val="24"/>
          <w:szCs w:val="24"/>
        </w:rPr>
      </w:pPr>
      <w:r>
        <w:t xml:space="preserve">This study was limited by the small number of experimental birds, the short three-week feeding period, and the use of a single ginger inclusion rate. Only one oven-drying temperature and one sun-drying condition were evaluated, which may restrict comparison across broader processing conditions. In addition, the sensory assessment involved 19 </w:t>
      </w:r>
      <w:proofErr w:type="spellStart"/>
      <w:r>
        <w:t>panellists</w:t>
      </w:r>
      <w:proofErr w:type="spellEnd"/>
      <w:r>
        <w:t xml:space="preserve"> from a single study setting. Therefore, the findings may not be fully </w:t>
      </w:r>
      <w:proofErr w:type="spellStart"/>
      <w:r>
        <w:t>generalisable</w:t>
      </w:r>
      <w:proofErr w:type="spellEnd"/>
      <w:r>
        <w:t xml:space="preserve"> to other poultry populations, processing methods, or consumer groups.</w:t>
      </w:r>
    </w:p>
    <w:p w14:paraId="4AF5B5E9" w14:textId="77777777" w:rsidR="0009317D" w:rsidRPr="0080017E" w:rsidRDefault="00000000">
      <w:pPr>
        <w:pStyle w:val="Heading1"/>
        <w:rPr>
          <w:rFonts w:ascii="Times New Roman" w:hAnsi="Times New Roman" w:cs="Times New Roman"/>
          <w:color w:val="auto"/>
          <w:sz w:val="24"/>
          <w:szCs w:val="24"/>
        </w:rPr>
      </w:pPr>
      <w:r w:rsidRPr="0080017E">
        <w:rPr>
          <w:rFonts w:ascii="Times New Roman" w:hAnsi="Times New Roman" w:cs="Times New Roman"/>
          <w:color w:val="auto"/>
          <w:sz w:val="24"/>
          <w:szCs w:val="24"/>
        </w:rPr>
        <w:t>6.0 CONFLICT OF INTERESTS</w:t>
      </w:r>
    </w:p>
    <w:p w14:paraId="4F507DFD" w14:textId="77777777" w:rsidR="0009317D" w:rsidRDefault="00000000">
      <w:pPr>
        <w:rPr>
          <w:rFonts w:ascii="Times New Roman" w:hAnsi="Times New Roman" w:cs="Times New Roman"/>
          <w:sz w:val="24"/>
          <w:szCs w:val="24"/>
        </w:rPr>
      </w:pPr>
      <w:r w:rsidRPr="0080017E">
        <w:rPr>
          <w:rFonts w:ascii="Times New Roman" w:hAnsi="Times New Roman" w:cs="Times New Roman"/>
          <w:sz w:val="24"/>
          <w:szCs w:val="24"/>
        </w:rPr>
        <w:t>The authors declare that there is no conflict of interest.</w:t>
      </w:r>
    </w:p>
    <w:p w14:paraId="78A0930E" w14:textId="77777777" w:rsidR="00876452" w:rsidRDefault="00876452">
      <w:pPr>
        <w:rPr>
          <w:rFonts w:ascii="Times New Roman" w:hAnsi="Times New Roman" w:cs="Times New Roman"/>
          <w:sz w:val="24"/>
          <w:szCs w:val="24"/>
        </w:rPr>
      </w:pPr>
    </w:p>
    <w:p w14:paraId="74D6768F" w14:textId="77777777" w:rsidR="00876452" w:rsidRPr="00876452" w:rsidRDefault="00876452" w:rsidP="00876452">
      <w:pPr>
        <w:spacing w:after="160" w:line="259" w:lineRule="auto"/>
        <w:rPr>
          <w:rFonts w:ascii="Arial" w:eastAsia="Calibri" w:hAnsi="Arial" w:cs="Arial"/>
          <w:b/>
          <w:bCs/>
          <w:kern w:val="2"/>
          <w:lang w:val="en-IN"/>
        </w:rPr>
      </w:pPr>
      <w:r w:rsidRPr="00876452">
        <w:rPr>
          <w:rFonts w:ascii="Arial" w:eastAsia="Calibri" w:hAnsi="Arial" w:cs="Arial"/>
          <w:b/>
          <w:bCs/>
          <w:kern w:val="2"/>
          <w:lang w:val="en-IN"/>
        </w:rPr>
        <w:t>Declaration of AI Use</w:t>
      </w:r>
    </w:p>
    <w:p w14:paraId="628F3539" w14:textId="77777777" w:rsidR="00876452" w:rsidRPr="00876452" w:rsidRDefault="00876452" w:rsidP="00876452">
      <w:pPr>
        <w:spacing w:after="160" w:line="259" w:lineRule="auto"/>
        <w:rPr>
          <w:rFonts w:ascii="Arial" w:eastAsia="Calibri" w:hAnsi="Arial" w:cs="Arial"/>
          <w:kern w:val="2"/>
          <w:lang w:val="en-IN"/>
        </w:rPr>
      </w:pPr>
      <w:r w:rsidRPr="00876452">
        <w:rPr>
          <w:rFonts w:ascii="Arial" w:eastAsia="Calibri" w:hAnsi="Arial" w:cs="Arial"/>
          <w:kern w:val="2"/>
          <w:lang w:val="en-I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76E51BA" w14:textId="77777777" w:rsidR="009600D5" w:rsidRPr="0080017E" w:rsidRDefault="009600D5">
      <w:pPr>
        <w:rPr>
          <w:rFonts w:ascii="Times New Roman" w:hAnsi="Times New Roman" w:cs="Times New Roman"/>
          <w:sz w:val="24"/>
          <w:szCs w:val="24"/>
        </w:rPr>
      </w:pPr>
    </w:p>
    <w:p w14:paraId="4E421DF1" w14:textId="77777777" w:rsidR="0009317D" w:rsidRPr="0080017E" w:rsidRDefault="00000000">
      <w:pPr>
        <w:pStyle w:val="Heading1"/>
        <w:rPr>
          <w:rFonts w:ascii="Times New Roman" w:hAnsi="Times New Roman" w:cs="Times New Roman"/>
          <w:color w:val="auto"/>
          <w:sz w:val="24"/>
          <w:szCs w:val="24"/>
          <w:lang w:val="es-US"/>
        </w:rPr>
      </w:pPr>
      <w:r w:rsidRPr="0080017E">
        <w:rPr>
          <w:rFonts w:ascii="Times New Roman" w:hAnsi="Times New Roman" w:cs="Times New Roman"/>
          <w:color w:val="auto"/>
          <w:sz w:val="24"/>
          <w:szCs w:val="24"/>
          <w:lang w:val="es-US"/>
        </w:rPr>
        <w:t>7.0 REFERENCES</w:t>
      </w:r>
    </w:p>
    <w:p w14:paraId="59838A6E"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lang w:val="es-US"/>
        </w:rPr>
        <w:t xml:space="preserve">Ajayi, O. A., Ola, O. O., &amp; Akinwunmi, O. O. (2017). </w:t>
      </w:r>
      <w:r w:rsidRPr="0080017E">
        <w:rPr>
          <w:rFonts w:ascii="Times New Roman" w:eastAsia="Times New Roman" w:hAnsi="Times New Roman"/>
          <w:color w:val="000000"/>
          <w:sz w:val="24"/>
        </w:rPr>
        <w:t>Effect of drying method on nutritional composition, sensory and antimicrobial properties of ginger (</w:t>
      </w:r>
      <w:r w:rsidRPr="0080017E">
        <w:rPr>
          <w:rFonts w:ascii="Times New Roman" w:eastAsia="Times New Roman" w:hAnsi="Times New Roman"/>
          <w:i/>
          <w:color w:val="000000"/>
          <w:sz w:val="24"/>
        </w:rPr>
        <w:t>Zingiber officinale</w:t>
      </w:r>
      <w:r w:rsidRPr="0080017E">
        <w:rPr>
          <w:rFonts w:ascii="Times New Roman" w:eastAsia="Times New Roman" w:hAnsi="Times New Roman"/>
          <w:color w:val="000000"/>
          <w:sz w:val="24"/>
        </w:rPr>
        <w:t xml:space="preserve">). </w:t>
      </w:r>
      <w:r w:rsidRPr="0080017E">
        <w:rPr>
          <w:rFonts w:ascii="Times New Roman" w:eastAsia="Times New Roman" w:hAnsi="Times New Roman"/>
          <w:i/>
          <w:color w:val="000000"/>
          <w:sz w:val="24"/>
        </w:rPr>
        <w:t>International Food Research Journal, 24</w:t>
      </w:r>
      <w:r w:rsidRPr="0080017E">
        <w:rPr>
          <w:rFonts w:ascii="Times New Roman" w:eastAsia="Times New Roman" w:hAnsi="Times New Roman"/>
          <w:color w:val="000000"/>
          <w:sz w:val="24"/>
        </w:rPr>
        <w:t xml:space="preserve">(2), 614–620. </w:t>
      </w:r>
      <w:hyperlink r:id="rId8">
        <w:r w:rsidR="009E2989" w:rsidRPr="0080017E">
          <w:rPr>
            <w:rFonts w:ascii="Times New Roman" w:eastAsia="Times New Roman" w:hAnsi="Times New Roman"/>
            <w:color w:val="000000"/>
            <w:sz w:val="24"/>
            <w:szCs w:val="24"/>
          </w:rPr>
          <w:t>https://ifrj.upm.edu.my/24%20%2802%29%202017/%2821%29.pdf</w:t>
        </w:r>
      </w:hyperlink>
    </w:p>
    <w:p w14:paraId="26627CAC"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Akter, M., Bithi, N., Billah, M., Mustak, S., &amp; Rashid, M. (2020). Evaluation of nutritional and mineral content of dehydrated ginger (</w:t>
      </w:r>
      <w:r w:rsidRPr="0080017E">
        <w:rPr>
          <w:rFonts w:ascii="Times New Roman" w:eastAsia="Times New Roman" w:hAnsi="Times New Roman"/>
          <w:i/>
          <w:color w:val="000000"/>
          <w:sz w:val="24"/>
        </w:rPr>
        <w:t>Zingiber officinale</w:t>
      </w:r>
      <w:r w:rsidRPr="0080017E">
        <w:rPr>
          <w:rFonts w:ascii="Times New Roman" w:eastAsia="Times New Roman" w:hAnsi="Times New Roman"/>
          <w:color w:val="000000"/>
          <w:sz w:val="24"/>
        </w:rPr>
        <w:t xml:space="preserve">). </w:t>
      </w:r>
      <w:r w:rsidRPr="0080017E">
        <w:rPr>
          <w:rFonts w:ascii="Times New Roman" w:eastAsia="Times New Roman" w:hAnsi="Times New Roman"/>
          <w:i/>
          <w:color w:val="000000"/>
          <w:sz w:val="24"/>
        </w:rPr>
        <w:t>European Journal of Medicinal Plants, 31</w:t>
      </w:r>
      <w:r w:rsidRPr="0080017E">
        <w:rPr>
          <w:rFonts w:ascii="Times New Roman" w:eastAsia="Times New Roman" w:hAnsi="Times New Roman"/>
          <w:color w:val="000000"/>
          <w:sz w:val="24"/>
        </w:rPr>
        <w:t xml:space="preserve">(17), 21–28. </w:t>
      </w:r>
      <w:hyperlink r:id="rId9">
        <w:r w:rsidR="009E2989" w:rsidRPr="0080017E">
          <w:rPr>
            <w:rFonts w:ascii="Times New Roman" w:eastAsia="Times New Roman" w:hAnsi="Times New Roman"/>
            <w:color w:val="000000"/>
            <w:sz w:val="24"/>
            <w:szCs w:val="24"/>
          </w:rPr>
          <w:t>https://doi.org/10.9734/ejmp/2020/v31i1730332</w:t>
        </w:r>
      </w:hyperlink>
    </w:p>
    <w:p w14:paraId="2B559CBD"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Al-Khalaifah, H., Al-Nasser, A., Al-Surrayai, T., Sultan, H., Al-Attal, D., Al-Kandari, R., Al-Saleem, H., Al-Holi, A., &amp; Dashti, F. (2022). Effect of ginger powder on production performance, antioxidant status, hematological parameters, digestibility, and plasma cholesterol content in broiler chickens. </w:t>
      </w:r>
      <w:r w:rsidRPr="0080017E">
        <w:rPr>
          <w:rFonts w:ascii="Times New Roman" w:eastAsia="Times New Roman" w:hAnsi="Times New Roman"/>
          <w:i/>
          <w:color w:val="000000"/>
          <w:sz w:val="24"/>
        </w:rPr>
        <w:t>Animals, 12</w:t>
      </w:r>
      <w:r w:rsidRPr="0080017E">
        <w:rPr>
          <w:rFonts w:ascii="Times New Roman" w:eastAsia="Times New Roman" w:hAnsi="Times New Roman"/>
          <w:color w:val="000000"/>
          <w:sz w:val="24"/>
        </w:rPr>
        <w:t xml:space="preserve">(7), 901. </w:t>
      </w:r>
      <w:hyperlink r:id="rId10">
        <w:r w:rsidR="009E2989" w:rsidRPr="0080017E">
          <w:rPr>
            <w:rFonts w:ascii="Times New Roman" w:eastAsia="Times New Roman" w:hAnsi="Times New Roman"/>
            <w:color w:val="000000"/>
            <w:sz w:val="24"/>
            <w:szCs w:val="24"/>
          </w:rPr>
          <w:t>https://doi.org/10.3390/ani12070901</w:t>
        </w:r>
      </w:hyperlink>
    </w:p>
    <w:p w14:paraId="0E6AD8BA"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AOAC International. (2005). </w:t>
      </w:r>
      <w:r w:rsidRPr="0080017E">
        <w:rPr>
          <w:rFonts w:ascii="Times New Roman" w:eastAsia="Times New Roman" w:hAnsi="Times New Roman"/>
          <w:i/>
          <w:color w:val="000000"/>
          <w:sz w:val="24"/>
        </w:rPr>
        <w:t>Official methods of analysis of AOAC International</w:t>
      </w:r>
      <w:r w:rsidRPr="0080017E">
        <w:rPr>
          <w:rFonts w:ascii="Times New Roman" w:eastAsia="Times New Roman" w:hAnsi="Times New Roman"/>
          <w:color w:val="000000"/>
          <w:sz w:val="24"/>
        </w:rPr>
        <w:t xml:space="preserve"> (18th ed.). AOAC International. </w:t>
      </w:r>
      <w:hyperlink r:id="rId11">
        <w:r w:rsidR="009E2989" w:rsidRPr="0080017E">
          <w:rPr>
            <w:rFonts w:ascii="Times New Roman" w:eastAsia="Times New Roman" w:hAnsi="Times New Roman"/>
            <w:color w:val="000000"/>
            <w:sz w:val="24"/>
            <w:szCs w:val="24"/>
          </w:rPr>
          <w:t>https://www.aoac.org/</w:t>
        </w:r>
      </w:hyperlink>
    </w:p>
    <w:p w14:paraId="340917C9"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AOAC International. (2010). </w:t>
      </w:r>
      <w:r w:rsidRPr="0080017E">
        <w:rPr>
          <w:rFonts w:ascii="Times New Roman" w:eastAsia="Times New Roman" w:hAnsi="Times New Roman"/>
          <w:i/>
          <w:color w:val="000000"/>
          <w:sz w:val="24"/>
        </w:rPr>
        <w:t>Official methods of analysis of AOAC International</w:t>
      </w:r>
      <w:r w:rsidRPr="0080017E">
        <w:rPr>
          <w:rFonts w:ascii="Times New Roman" w:eastAsia="Times New Roman" w:hAnsi="Times New Roman"/>
          <w:color w:val="000000"/>
          <w:sz w:val="24"/>
        </w:rPr>
        <w:t xml:space="preserve"> (18th ed., Rev. 3). AOAC International. </w:t>
      </w:r>
      <w:hyperlink r:id="rId12">
        <w:r w:rsidR="009E2989" w:rsidRPr="0080017E">
          <w:rPr>
            <w:rFonts w:ascii="Times New Roman" w:eastAsia="Times New Roman" w:hAnsi="Times New Roman"/>
            <w:color w:val="000000"/>
            <w:sz w:val="24"/>
            <w:szCs w:val="24"/>
          </w:rPr>
          <w:t>https://www.aoac.org/</w:t>
        </w:r>
      </w:hyperlink>
    </w:p>
    <w:p w14:paraId="5BE2470B"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Bag, B. B. (2018). Ginger processing in India (</w:t>
      </w:r>
      <w:r w:rsidRPr="0080017E">
        <w:rPr>
          <w:rFonts w:ascii="Times New Roman" w:eastAsia="Times New Roman" w:hAnsi="Times New Roman"/>
          <w:i/>
          <w:color w:val="000000"/>
          <w:sz w:val="24"/>
        </w:rPr>
        <w:t>Zingiber officinale</w:t>
      </w:r>
      <w:r w:rsidRPr="0080017E">
        <w:rPr>
          <w:rFonts w:ascii="Times New Roman" w:eastAsia="Times New Roman" w:hAnsi="Times New Roman"/>
          <w:color w:val="000000"/>
          <w:sz w:val="24"/>
        </w:rPr>
        <w:t xml:space="preserve">): A review. </w:t>
      </w:r>
      <w:r w:rsidRPr="0080017E">
        <w:rPr>
          <w:rFonts w:ascii="Times New Roman" w:eastAsia="Times New Roman" w:hAnsi="Times New Roman"/>
          <w:i/>
          <w:color w:val="000000"/>
          <w:sz w:val="24"/>
        </w:rPr>
        <w:t>International Journal of Current Microbiology and Applied Sciences, 7</w:t>
      </w:r>
      <w:r w:rsidRPr="0080017E">
        <w:rPr>
          <w:rFonts w:ascii="Times New Roman" w:eastAsia="Times New Roman" w:hAnsi="Times New Roman"/>
          <w:color w:val="000000"/>
          <w:sz w:val="24"/>
        </w:rPr>
        <w:t xml:space="preserve">(4), 1639–1651. </w:t>
      </w:r>
      <w:hyperlink r:id="rId13">
        <w:r w:rsidR="009E2989" w:rsidRPr="0080017E">
          <w:rPr>
            <w:rFonts w:ascii="Times New Roman" w:eastAsia="Times New Roman" w:hAnsi="Times New Roman"/>
            <w:color w:val="000000"/>
            <w:sz w:val="24"/>
            <w:szCs w:val="24"/>
          </w:rPr>
          <w:t>https://doi.org/10.20546/ijcmas.2018.704.185</w:t>
        </w:r>
      </w:hyperlink>
    </w:p>
    <w:p w14:paraId="12CC66B6" w14:textId="77777777" w:rsidR="009E2989" w:rsidRPr="0080017E" w:rsidRDefault="00000000">
      <w:pPr>
        <w:spacing w:after="0" w:line="240" w:lineRule="auto"/>
        <w:ind w:left="720" w:hanging="720"/>
      </w:pPr>
      <w:r w:rsidRPr="0080017E">
        <w:rPr>
          <w:lang w:val="es-US"/>
        </w:rPr>
        <w:t xml:space="preserve">Chaudhary, J. D., Patil, S. S., Pawar, M. M., Mohapatra, S. K., Srivastava, A. K., &amp; Modi, C. P. (2026). </w:t>
      </w:r>
      <w:r w:rsidRPr="0080017E">
        <w:t>Effect of aqueous ginger (</w:t>
      </w:r>
      <w:r w:rsidRPr="0080017E">
        <w:rPr>
          <w:i/>
        </w:rPr>
        <w:t>Zingiber officinale</w:t>
      </w:r>
      <w:r w:rsidRPr="0080017E">
        <w:t xml:space="preserve">) extract supplementation on growth performance and production efficiency in broiler chickens. </w:t>
      </w:r>
      <w:r w:rsidRPr="0080017E">
        <w:rPr>
          <w:i/>
        </w:rPr>
        <w:t>Uttar Pradesh Journal of Zoology, 47</w:t>
      </w:r>
      <w:r w:rsidRPr="0080017E">
        <w:t>(2), 193–201. https://doi.org/10.56557/upjoz/2026/v47i25476</w:t>
      </w:r>
    </w:p>
    <w:p w14:paraId="468D154E" w14:textId="77777777" w:rsidR="009E2989" w:rsidRPr="0080017E" w:rsidRDefault="00000000">
      <w:pPr>
        <w:spacing w:after="0" w:line="240" w:lineRule="auto"/>
        <w:ind w:left="720" w:hanging="720"/>
      </w:pPr>
      <w:r w:rsidRPr="0080017E">
        <w:t xml:space="preserve">Dalsasso, R. R., Valencia, G. A., &amp; Monteiro, A. R. (2023). Improving ginger’s bioactive composition by combining innovative drying and extraction technologies. </w:t>
      </w:r>
      <w:r w:rsidRPr="0080017E">
        <w:rPr>
          <w:i/>
        </w:rPr>
        <w:t>Plant Foods for Human Nutrition, 78</w:t>
      </w:r>
      <w:r w:rsidRPr="0080017E">
        <w:t>, 755–761. https://doi.org/10.1007/s11130-023-01109-y</w:t>
      </w:r>
    </w:p>
    <w:p w14:paraId="2D772C3A"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Lawless, H. T., &amp; Heymann, H. (2010). </w:t>
      </w:r>
      <w:r w:rsidRPr="0080017E">
        <w:rPr>
          <w:rFonts w:ascii="Times New Roman" w:eastAsia="Times New Roman" w:hAnsi="Times New Roman"/>
          <w:i/>
          <w:color w:val="000000"/>
          <w:sz w:val="24"/>
        </w:rPr>
        <w:t>Sensory evaluation of food: Principles and practices</w:t>
      </w:r>
      <w:r w:rsidRPr="0080017E">
        <w:rPr>
          <w:rFonts w:ascii="Times New Roman" w:eastAsia="Times New Roman" w:hAnsi="Times New Roman"/>
          <w:color w:val="000000"/>
          <w:sz w:val="24"/>
        </w:rPr>
        <w:t xml:space="preserve"> (2nd ed.). Springer. </w:t>
      </w:r>
      <w:hyperlink r:id="rId14">
        <w:r w:rsidR="009E2989" w:rsidRPr="0080017E">
          <w:rPr>
            <w:rFonts w:ascii="Times New Roman" w:eastAsia="Times New Roman" w:hAnsi="Times New Roman"/>
            <w:color w:val="000000"/>
            <w:sz w:val="24"/>
            <w:szCs w:val="24"/>
          </w:rPr>
          <w:t>https://doi.org/10.1007/978-1-4419-6488-5</w:t>
        </w:r>
      </w:hyperlink>
    </w:p>
    <w:p w14:paraId="4FE86D35"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Mahmudati, N., Wahyono, P., &amp; Djunaedi, D. (2020). Antioxidant activity and total phenolic content of three varieties of ginger (</w:t>
      </w:r>
      <w:r w:rsidRPr="0080017E">
        <w:rPr>
          <w:rFonts w:ascii="Times New Roman" w:eastAsia="Times New Roman" w:hAnsi="Times New Roman"/>
          <w:i/>
          <w:color w:val="000000"/>
          <w:sz w:val="24"/>
        </w:rPr>
        <w:t>Zingiber officinale</w:t>
      </w:r>
      <w:r w:rsidRPr="0080017E">
        <w:rPr>
          <w:rFonts w:ascii="Times New Roman" w:eastAsia="Times New Roman" w:hAnsi="Times New Roman"/>
          <w:color w:val="000000"/>
          <w:sz w:val="24"/>
        </w:rPr>
        <w:t xml:space="preserve">) in decoction and infusion extraction method. </w:t>
      </w:r>
      <w:r w:rsidRPr="0080017E">
        <w:rPr>
          <w:rFonts w:ascii="Times New Roman" w:eastAsia="Times New Roman" w:hAnsi="Times New Roman"/>
          <w:i/>
          <w:color w:val="000000"/>
          <w:sz w:val="24"/>
        </w:rPr>
        <w:t>Journal of Physics: Conference Series, 1567</w:t>
      </w:r>
      <w:r w:rsidRPr="0080017E">
        <w:rPr>
          <w:rFonts w:ascii="Times New Roman" w:eastAsia="Times New Roman" w:hAnsi="Times New Roman"/>
          <w:color w:val="000000"/>
          <w:sz w:val="24"/>
        </w:rPr>
        <w:t xml:space="preserve">(2), 022028. </w:t>
      </w:r>
      <w:hyperlink r:id="rId15">
        <w:r w:rsidR="009E2989" w:rsidRPr="0080017E">
          <w:rPr>
            <w:rFonts w:ascii="Times New Roman" w:eastAsia="Times New Roman" w:hAnsi="Times New Roman"/>
            <w:color w:val="000000"/>
            <w:sz w:val="24"/>
            <w:szCs w:val="24"/>
          </w:rPr>
          <w:t>https://doi.org/10.1088/1742-6596/1567/2/022028</w:t>
        </w:r>
      </w:hyperlink>
    </w:p>
    <w:p w14:paraId="22B276AD"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Mamata K. C., Lamichhane, A., &amp; Sapkota, S. (2022). A comparative study of the effect of peeling and drying on phytochemical and proximate composition of ginger varieties in Nepal. </w:t>
      </w:r>
      <w:r w:rsidRPr="0080017E">
        <w:rPr>
          <w:rFonts w:ascii="Times New Roman" w:eastAsia="Times New Roman" w:hAnsi="Times New Roman"/>
          <w:i/>
          <w:color w:val="000000"/>
          <w:sz w:val="24"/>
        </w:rPr>
        <w:t>Archives of Agriculture and Environmental Science, 7</w:t>
      </w:r>
      <w:r w:rsidRPr="0080017E">
        <w:rPr>
          <w:rFonts w:ascii="Times New Roman" w:eastAsia="Times New Roman" w:hAnsi="Times New Roman"/>
          <w:color w:val="000000"/>
          <w:sz w:val="24"/>
        </w:rPr>
        <w:t xml:space="preserve">(3), 369–378. </w:t>
      </w:r>
      <w:hyperlink r:id="rId16">
        <w:r w:rsidR="009E2989" w:rsidRPr="0080017E">
          <w:rPr>
            <w:rFonts w:ascii="Times New Roman" w:eastAsia="Times New Roman" w:hAnsi="Times New Roman"/>
            <w:color w:val="000000"/>
            <w:sz w:val="24"/>
            <w:szCs w:val="24"/>
          </w:rPr>
          <w:t>https://doi.org/10.26832/24566632.2022.0703010</w:t>
        </w:r>
      </w:hyperlink>
    </w:p>
    <w:p w14:paraId="337F9E52" w14:textId="77777777" w:rsidR="009E2989" w:rsidRPr="0080017E" w:rsidRDefault="00000000">
      <w:pPr>
        <w:spacing w:after="0" w:line="240" w:lineRule="auto"/>
        <w:ind w:left="720" w:hanging="720"/>
      </w:pPr>
      <w:r w:rsidRPr="0080017E">
        <w:t xml:space="preserve">Mohd Azmi, S. I., Kumar, P., Sharma, N., Sazili, A. Q., Lee, S.-J., &amp; Ismail-Fitry, M. R. (2023). Application of plant proteases in meat tenderization: Recent trends and future prospects. </w:t>
      </w:r>
      <w:r w:rsidRPr="0080017E">
        <w:rPr>
          <w:i/>
        </w:rPr>
        <w:t>Foods, 12</w:t>
      </w:r>
      <w:r w:rsidRPr="0080017E">
        <w:t>(6), 1336. https://doi.org/10.3390/foods12061336</w:t>
      </w:r>
    </w:p>
    <w:p w14:paraId="41E9709A"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Moon, S. S. (2018). Effect of proteolytic enzymes and ginger extract on tenderization of </w:t>
      </w:r>
      <w:r w:rsidRPr="0080017E">
        <w:rPr>
          <w:rFonts w:ascii="Times New Roman" w:eastAsia="Times New Roman" w:hAnsi="Times New Roman"/>
          <w:i/>
          <w:color w:val="000000"/>
          <w:sz w:val="24"/>
        </w:rPr>
        <w:t>M. pectoralis profundus</w:t>
      </w:r>
      <w:r w:rsidRPr="0080017E">
        <w:rPr>
          <w:rFonts w:ascii="Times New Roman" w:eastAsia="Times New Roman" w:hAnsi="Times New Roman"/>
          <w:color w:val="000000"/>
          <w:sz w:val="24"/>
        </w:rPr>
        <w:t xml:space="preserve"> from Holstein steer. </w:t>
      </w:r>
      <w:r w:rsidRPr="0080017E">
        <w:rPr>
          <w:rFonts w:ascii="Times New Roman" w:eastAsia="Times New Roman" w:hAnsi="Times New Roman"/>
          <w:i/>
          <w:color w:val="000000"/>
          <w:sz w:val="24"/>
        </w:rPr>
        <w:t>Korean Journal for Food Science of Animal Resources, 38</w:t>
      </w:r>
      <w:r w:rsidRPr="0080017E">
        <w:rPr>
          <w:rFonts w:ascii="Times New Roman" w:eastAsia="Times New Roman" w:hAnsi="Times New Roman"/>
          <w:color w:val="000000"/>
          <w:sz w:val="24"/>
        </w:rPr>
        <w:t xml:space="preserve">(1), 143–151. </w:t>
      </w:r>
      <w:hyperlink r:id="rId17">
        <w:r w:rsidR="009E2989" w:rsidRPr="0080017E">
          <w:rPr>
            <w:rFonts w:ascii="Times New Roman" w:eastAsia="Times New Roman" w:hAnsi="Times New Roman"/>
            <w:color w:val="000000"/>
            <w:sz w:val="24"/>
            <w:szCs w:val="24"/>
          </w:rPr>
          <w:t>https://doi.org/10.5851/kosfa.2018.38.1.143</w:t>
        </w:r>
      </w:hyperlink>
    </w:p>
    <w:p w14:paraId="3391A25B"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lastRenderedPageBreak/>
        <w:t xml:space="preserve">Nair, K. P. (2019). </w:t>
      </w:r>
      <w:r w:rsidRPr="0080017E">
        <w:rPr>
          <w:rFonts w:ascii="Times New Roman" w:eastAsia="Times New Roman" w:hAnsi="Times New Roman"/>
          <w:i/>
          <w:color w:val="000000"/>
          <w:sz w:val="24"/>
        </w:rPr>
        <w:t>Turmeric (Curcuma longa L.) and ginger (Zingiber officinale Rosc.): World’s invaluable medicinal spices</w:t>
      </w:r>
      <w:r w:rsidRPr="0080017E">
        <w:rPr>
          <w:rFonts w:ascii="Times New Roman" w:eastAsia="Times New Roman" w:hAnsi="Times New Roman"/>
          <w:color w:val="000000"/>
          <w:sz w:val="24"/>
        </w:rPr>
        <w:t xml:space="preserve">. Springer. </w:t>
      </w:r>
      <w:hyperlink r:id="rId18">
        <w:r w:rsidR="009E2989" w:rsidRPr="0080017E">
          <w:rPr>
            <w:rFonts w:ascii="Times New Roman" w:eastAsia="Times New Roman" w:hAnsi="Times New Roman"/>
            <w:color w:val="000000"/>
            <w:sz w:val="24"/>
            <w:szCs w:val="24"/>
          </w:rPr>
          <w:t>https://doi.org/10.1007/978-3-030-29189-1</w:t>
        </w:r>
      </w:hyperlink>
    </w:p>
    <w:p w14:paraId="750E51CD"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National Population Commission. (2009). </w:t>
      </w:r>
      <w:r w:rsidRPr="0080017E">
        <w:rPr>
          <w:rFonts w:ascii="Times New Roman" w:eastAsia="Times New Roman" w:hAnsi="Times New Roman"/>
          <w:i/>
          <w:color w:val="000000"/>
          <w:sz w:val="24"/>
        </w:rPr>
        <w:t>2006 population and housing census of the Federal Republic of Nigeria: National and state population and housing tables: Priority tables</w:t>
      </w:r>
      <w:r w:rsidRPr="0080017E">
        <w:rPr>
          <w:rFonts w:ascii="Times New Roman" w:eastAsia="Times New Roman" w:hAnsi="Times New Roman"/>
          <w:color w:val="000000"/>
          <w:sz w:val="24"/>
        </w:rPr>
        <w:t xml:space="preserve">. National Population Commission. </w:t>
      </w:r>
      <w:hyperlink r:id="rId19">
        <w:r w:rsidR="009E2989" w:rsidRPr="0080017E">
          <w:rPr>
            <w:rFonts w:ascii="Times New Roman" w:eastAsia="Times New Roman" w:hAnsi="Times New Roman"/>
            <w:color w:val="000000"/>
            <w:sz w:val="24"/>
            <w:szCs w:val="24"/>
          </w:rPr>
          <w:t>https://nationalpopulation.gov.ng/publications</w:t>
        </w:r>
      </w:hyperlink>
    </w:p>
    <w:p w14:paraId="41651005"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Naveena, B. M., &amp; Mendiratta, S. K. (2001). Tenderisation of spent hen meat using ginger extract. </w:t>
      </w:r>
      <w:r w:rsidRPr="0080017E">
        <w:rPr>
          <w:rFonts w:ascii="Times New Roman" w:eastAsia="Times New Roman" w:hAnsi="Times New Roman"/>
          <w:i/>
          <w:color w:val="000000"/>
          <w:sz w:val="24"/>
        </w:rPr>
        <w:t>British Poultry Science, 42</w:t>
      </w:r>
      <w:r w:rsidRPr="0080017E">
        <w:rPr>
          <w:rFonts w:ascii="Times New Roman" w:eastAsia="Times New Roman" w:hAnsi="Times New Roman"/>
          <w:color w:val="000000"/>
          <w:sz w:val="24"/>
        </w:rPr>
        <w:t xml:space="preserve">(3), 344–350. </w:t>
      </w:r>
      <w:hyperlink r:id="rId20">
        <w:r w:rsidR="009E2989" w:rsidRPr="0080017E">
          <w:rPr>
            <w:rFonts w:ascii="Times New Roman" w:eastAsia="Times New Roman" w:hAnsi="Times New Roman"/>
            <w:color w:val="000000"/>
            <w:sz w:val="24"/>
            <w:szCs w:val="24"/>
          </w:rPr>
          <w:t>https://doi.org/10.1080/00071660120055313</w:t>
        </w:r>
      </w:hyperlink>
    </w:p>
    <w:p w14:paraId="5D24750B" w14:textId="77777777" w:rsidR="009E2989" w:rsidRPr="0080017E" w:rsidRDefault="00000000">
      <w:pPr>
        <w:spacing w:after="0" w:line="240" w:lineRule="auto"/>
        <w:ind w:left="720" w:hanging="720"/>
      </w:pPr>
      <w:r w:rsidRPr="0080017E">
        <w:t>Ojubanire, S. B. A., Adedayo, S. S., Agbaje, R., Olaoye, M. B., &amp; Israel, T. C. (2022). Production and quality evaluation of selected spices [ginger (</w:t>
      </w:r>
      <w:r w:rsidRPr="0080017E">
        <w:rPr>
          <w:i/>
        </w:rPr>
        <w:t>Zingiber officinale</w:t>
      </w:r>
      <w:r w:rsidRPr="0080017E">
        <w:t>), garlic (</w:t>
      </w:r>
      <w:r w:rsidRPr="0080017E">
        <w:rPr>
          <w:i/>
        </w:rPr>
        <w:t>Allium sativum</w:t>
      </w:r>
      <w:r w:rsidRPr="0080017E">
        <w:t>), turmeric (</w:t>
      </w:r>
      <w:r w:rsidRPr="0080017E">
        <w:rPr>
          <w:i/>
        </w:rPr>
        <w:t>Curcuma longa</w:t>
      </w:r>
      <w:r w:rsidRPr="0080017E">
        <w:t>), and clove (</w:t>
      </w:r>
      <w:r w:rsidRPr="0080017E">
        <w:rPr>
          <w:i/>
        </w:rPr>
        <w:t>Syzygium aromaticum</w:t>
      </w:r>
      <w:r w:rsidRPr="0080017E">
        <w:t xml:space="preserve">)]. </w:t>
      </w:r>
      <w:r w:rsidRPr="0080017E">
        <w:rPr>
          <w:i/>
        </w:rPr>
        <w:t>Asian Food Science Journal, 21</w:t>
      </w:r>
      <w:r w:rsidRPr="0080017E">
        <w:t>(11), 38–48. https://doi.org/10.9734/afsj/2022/v21i11595</w:t>
      </w:r>
    </w:p>
    <w:p w14:paraId="5AAB100B"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 xml:space="preserve">Sangwan, A., Kawatra, A., &amp; Sehgal, S. (2014). Nutritional composition of ginger powder prepared using various drying methods. </w:t>
      </w:r>
      <w:r w:rsidRPr="0080017E">
        <w:rPr>
          <w:rFonts w:ascii="Times New Roman" w:eastAsia="Times New Roman" w:hAnsi="Times New Roman"/>
          <w:i/>
          <w:color w:val="000000"/>
          <w:sz w:val="24"/>
        </w:rPr>
        <w:t>Journal of Food Science and Technology, 51</w:t>
      </w:r>
      <w:r w:rsidRPr="0080017E">
        <w:rPr>
          <w:rFonts w:ascii="Times New Roman" w:eastAsia="Times New Roman" w:hAnsi="Times New Roman"/>
          <w:color w:val="000000"/>
          <w:sz w:val="24"/>
        </w:rPr>
        <w:t xml:space="preserve">, 2260–2262. </w:t>
      </w:r>
      <w:hyperlink r:id="rId21">
        <w:r w:rsidR="009E2989" w:rsidRPr="0080017E">
          <w:rPr>
            <w:rFonts w:ascii="Times New Roman" w:eastAsia="Times New Roman" w:hAnsi="Times New Roman"/>
            <w:color w:val="000000"/>
            <w:sz w:val="24"/>
            <w:szCs w:val="24"/>
          </w:rPr>
          <w:t>https://doi.org/10.1007/s13197-012-0703-2</w:t>
        </w:r>
      </w:hyperlink>
    </w:p>
    <w:p w14:paraId="6F936929" w14:textId="77777777" w:rsidR="009E2989" w:rsidRPr="0080017E" w:rsidRDefault="00000000">
      <w:pPr>
        <w:spacing w:after="0" w:line="240" w:lineRule="auto"/>
        <w:ind w:left="720" w:hanging="720"/>
      </w:pPr>
      <w:r w:rsidRPr="0080017E">
        <w:t xml:space="preserve">Shaukat, M. N., Fallico, B., &amp; Nazir, A. (2024). Impact of air-drying temperatures on drying kinetics, physicochemical properties, and bioactive profile of ginger. </w:t>
      </w:r>
      <w:r w:rsidRPr="0080017E">
        <w:rPr>
          <w:i/>
        </w:rPr>
        <w:t>Foods, 13</w:t>
      </w:r>
      <w:r w:rsidRPr="0080017E">
        <w:t>(7), 1096. https://doi.org/10.3390/foods13071096</w:t>
      </w:r>
    </w:p>
    <w:p w14:paraId="05362AB5" w14:textId="77777777" w:rsidR="009E2989" w:rsidRPr="0080017E" w:rsidRDefault="00000000">
      <w:pPr>
        <w:spacing w:after="0" w:line="240" w:lineRule="auto"/>
        <w:ind w:left="720" w:hanging="720"/>
      </w:pPr>
      <w:r w:rsidRPr="0080017E">
        <w:rPr>
          <w:rFonts w:ascii="Times New Roman" w:eastAsia="Times New Roman" w:hAnsi="Times New Roman"/>
          <w:color w:val="000000"/>
          <w:sz w:val="24"/>
        </w:rPr>
        <w:t>Syed, Z., Sawate, A. R., Kshirsagar, R. B., Agarkar, B. S., &amp; Patil, P. M. (2020). Studies on effects of different processing methods on morphological and nutritional quality attributes of dried ginger (</w:t>
      </w:r>
      <w:r w:rsidRPr="0080017E">
        <w:rPr>
          <w:rFonts w:ascii="Times New Roman" w:eastAsia="Times New Roman" w:hAnsi="Times New Roman"/>
          <w:i/>
          <w:color w:val="000000"/>
          <w:sz w:val="24"/>
        </w:rPr>
        <w:t>Zingiber officinale</w:t>
      </w:r>
      <w:r w:rsidRPr="0080017E">
        <w:rPr>
          <w:rFonts w:ascii="Times New Roman" w:eastAsia="Times New Roman" w:hAnsi="Times New Roman"/>
          <w:color w:val="000000"/>
          <w:sz w:val="24"/>
        </w:rPr>
        <w:t xml:space="preserve"> L.) rhizome. </w:t>
      </w:r>
      <w:r w:rsidRPr="0080017E">
        <w:rPr>
          <w:rFonts w:ascii="Times New Roman" w:eastAsia="Times New Roman" w:hAnsi="Times New Roman"/>
          <w:i/>
          <w:color w:val="000000"/>
          <w:sz w:val="24"/>
        </w:rPr>
        <w:t>International Journal of Chemical Studies, 8</w:t>
      </w:r>
      <w:r w:rsidRPr="0080017E">
        <w:rPr>
          <w:rFonts w:ascii="Times New Roman" w:eastAsia="Times New Roman" w:hAnsi="Times New Roman"/>
          <w:color w:val="000000"/>
          <w:sz w:val="24"/>
        </w:rPr>
        <w:t xml:space="preserve">(3), 1689–1697. </w:t>
      </w:r>
      <w:hyperlink r:id="rId22">
        <w:r w:rsidR="009E2989" w:rsidRPr="0080017E">
          <w:rPr>
            <w:rFonts w:ascii="Times New Roman" w:eastAsia="Times New Roman" w:hAnsi="Times New Roman"/>
            <w:color w:val="000000"/>
            <w:sz w:val="24"/>
            <w:szCs w:val="24"/>
          </w:rPr>
          <w:t>https://doi.org/10.22271/chemi.2020.v8.i3w.9443</w:t>
        </w:r>
      </w:hyperlink>
    </w:p>
    <w:p w14:paraId="0A1108F2" w14:textId="77777777" w:rsidR="009E2989" w:rsidRPr="00DB2812" w:rsidRDefault="00000000">
      <w:pPr>
        <w:spacing w:after="0" w:line="240" w:lineRule="auto"/>
        <w:ind w:left="720" w:hanging="720"/>
      </w:pPr>
      <w:r w:rsidRPr="0080017E">
        <w:rPr>
          <w:rFonts w:ascii="Times New Roman" w:eastAsia="Times New Roman" w:hAnsi="Times New Roman"/>
          <w:color w:val="000000"/>
          <w:sz w:val="24"/>
        </w:rPr>
        <w:t xml:space="preserve">Thompson, E. H., Wolf, I. D., &amp; Allen, C. E. (1973). Ginger rhizome: A new source of proteolytic enzyme. </w:t>
      </w:r>
      <w:r w:rsidRPr="0080017E">
        <w:rPr>
          <w:rFonts w:ascii="Times New Roman" w:eastAsia="Times New Roman" w:hAnsi="Times New Roman"/>
          <w:i/>
          <w:color w:val="000000"/>
          <w:sz w:val="24"/>
        </w:rPr>
        <w:t>Journal of Food Science, 38</w:t>
      </w:r>
      <w:r w:rsidRPr="0080017E">
        <w:rPr>
          <w:rFonts w:ascii="Times New Roman" w:eastAsia="Times New Roman" w:hAnsi="Times New Roman"/>
          <w:color w:val="000000"/>
          <w:sz w:val="24"/>
        </w:rPr>
        <w:t xml:space="preserve">(4), 652–655. </w:t>
      </w:r>
      <w:hyperlink r:id="rId23">
        <w:r w:rsidR="009E2989" w:rsidRPr="0080017E">
          <w:rPr>
            <w:rFonts w:ascii="Times New Roman" w:eastAsia="Times New Roman" w:hAnsi="Times New Roman"/>
            <w:color w:val="000000"/>
            <w:sz w:val="24"/>
            <w:szCs w:val="24"/>
          </w:rPr>
          <w:t>https://doi.org/10.1111/j.1365-2621.1973.tb02836.x</w:t>
        </w:r>
      </w:hyperlink>
    </w:p>
    <w:sectPr w:rsidR="009E2989" w:rsidRPr="00DB2812" w:rsidSect="00034616">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8DAB7" w14:textId="77777777" w:rsidR="00806D32" w:rsidRDefault="00806D32" w:rsidP="009600D5">
      <w:pPr>
        <w:spacing w:after="0" w:line="240" w:lineRule="auto"/>
      </w:pPr>
      <w:r>
        <w:separator/>
      </w:r>
    </w:p>
  </w:endnote>
  <w:endnote w:type="continuationSeparator" w:id="0">
    <w:p w14:paraId="27F44065" w14:textId="77777777" w:rsidR="00806D32" w:rsidRDefault="00806D32" w:rsidP="00960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180573"/>
      <w:docPartObj>
        <w:docPartGallery w:val="Page Numbers (Bottom of Page)"/>
        <w:docPartUnique/>
      </w:docPartObj>
    </w:sdtPr>
    <w:sdtEndPr>
      <w:rPr>
        <w:noProof/>
      </w:rPr>
    </w:sdtEndPr>
    <w:sdtContent>
      <w:p w14:paraId="5FF1DBE6" w14:textId="77777777" w:rsidR="009600D5" w:rsidRDefault="009600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8DE7BC" w14:textId="77777777" w:rsidR="009600D5" w:rsidRDefault="00960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31DBE" w14:textId="77777777" w:rsidR="00806D32" w:rsidRDefault="00806D32" w:rsidP="009600D5">
      <w:pPr>
        <w:spacing w:after="0" w:line="240" w:lineRule="auto"/>
      </w:pPr>
      <w:r>
        <w:separator/>
      </w:r>
    </w:p>
  </w:footnote>
  <w:footnote w:type="continuationSeparator" w:id="0">
    <w:p w14:paraId="03C46307" w14:textId="77777777" w:rsidR="00806D32" w:rsidRDefault="00806D32" w:rsidP="00960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0432607">
    <w:abstractNumId w:val="8"/>
  </w:num>
  <w:num w:numId="2" w16cid:durableId="1626496703">
    <w:abstractNumId w:val="6"/>
  </w:num>
  <w:num w:numId="3" w16cid:durableId="535822482">
    <w:abstractNumId w:val="5"/>
  </w:num>
  <w:num w:numId="4" w16cid:durableId="399913611">
    <w:abstractNumId w:val="4"/>
  </w:num>
  <w:num w:numId="5" w16cid:durableId="1282689144">
    <w:abstractNumId w:val="7"/>
  </w:num>
  <w:num w:numId="6" w16cid:durableId="421027016">
    <w:abstractNumId w:val="3"/>
  </w:num>
  <w:num w:numId="7" w16cid:durableId="1973168545">
    <w:abstractNumId w:val="2"/>
  </w:num>
  <w:num w:numId="8" w16cid:durableId="296767622">
    <w:abstractNumId w:val="1"/>
  </w:num>
  <w:num w:numId="9" w16cid:durableId="38772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73E8"/>
    <w:rsid w:val="00034616"/>
    <w:rsid w:val="0006063C"/>
    <w:rsid w:val="0009317D"/>
    <w:rsid w:val="00097B57"/>
    <w:rsid w:val="000B2E07"/>
    <w:rsid w:val="000C0E8A"/>
    <w:rsid w:val="000D475F"/>
    <w:rsid w:val="000E0C6C"/>
    <w:rsid w:val="000E30A2"/>
    <w:rsid w:val="00120E4F"/>
    <w:rsid w:val="0015074B"/>
    <w:rsid w:val="001558C1"/>
    <w:rsid w:val="001A1CC2"/>
    <w:rsid w:val="001A558E"/>
    <w:rsid w:val="001C2C82"/>
    <w:rsid w:val="001E6EC8"/>
    <w:rsid w:val="00254016"/>
    <w:rsid w:val="002826AB"/>
    <w:rsid w:val="0029639D"/>
    <w:rsid w:val="00296B0E"/>
    <w:rsid w:val="002D03D5"/>
    <w:rsid w:val="002D1EF2"/>
    <w:rsid w:val="00326F90"/>
    <w:rsid w:val="003732C8"/>
    <w:rsid w:val="003D0222"/>
    <w:rsid w:val="003D19A8"/>
    <w:rsid w:val="003D663A"/>
    <w:rsid w:val="003F588F"/>
    <w:rsid w:val="00461076"/>
    <w:rsid w:val="004A2BDF"/>
    <w:rsid w:val="004E0191"/>
    <w:rsid w:val="004F70B5"/>
    <w:rsid w:val="005630D4"/>
    <w:rsid w:val="00584391"/>
    <w:rsid w:val="005A06B6"/>
    <w:rsid w:val="005E19F2"/>
    <w:rsid w:val="00627B61"/>
    <w:rsid w:val="00671291"/>
    <w:rsid w:val="00677222"/>
    <w:rsid w:val="006B7E91"/>
    <w:rsid w:val="0080017E"/>
    <w:rsid w:val="00806D32"/>
    <w:rsid w:val="00875CD4"/>
    <w:rsid w:val="00876452"/>
    <w:rsid w:val="008B4332"/>
    <w:rsid w:val="008B6DA9"/>
    <w:rsid w:val="00912369"/>
    <w:rsid w:val="009508CB"/>
    <w:rsid w:val="009600D5"/>
    <w:rsid w:val="009746DD"/>
    <w:rsid w:val="009D3148"/>
    <w:rsid w:val="009E2989"/>
    <w:rsid w:val="00A003DF"/>
    <w:rsid w:val="00A56A36"/>
    <w:rsid w:val="00AA1D8D"/>
    <w:rsid w:val="00B47730"/>
    <w:rsid w:val="00BF4514"/>
    <w:rsid w:val="00C11852"/>
    <w:rsid w:val="00C14AB2"/>
    <w:rsid w:val="00C40D49"/>
    <w:rsid w:val="00C8725E"/>
    <w:rsid w:val="00CB0664"/>
    <w:rsid w:val="00D50660"/>
    <w:rsid w:val="00D8337E"/>
    <w:rsid w:val="00D93869"/>
    <w:rsid w:val="00DB2812"/>
    <w:rsid w:val="00DD4F58"/>
    <w:rsid w:val="00DD50AF"/>
    <w:rsid w:val="00F36C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239652"/>
  <w14:defaultImageDpi w14:val="300"/>
  <w15:docId w15:val="{173930E8-BDED-48BC-AC99-5863302EA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D1EF2"/>
    <w:rPr>
      <w:color w:val="0000FF" w:themeColor="hyperlink"/>
      <w:u w:val="single"/>
    </w:rPr>
  </w:style>
  <w:style w:type="character" w:styleId="UnresolvedMention">
    <w:name w:val="Unresolved Mention"/>
    <w:basedOn w:val="DefaultParagraphFont"/>
    <w:uiPriority w:val="99"/>
    <w:semiHidden/>
    <w:unhideWhenUsed/>
    <w:rsid w:val="002D1E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ifrj.upm.edu.my/24%20%2802%29%202017/%2821%29.pdf" TargetMode="External"/><Relationship Id="rId13" Type="http://schemas.openxmlformats.org/officeDocument/2006/relationships/hyperlink" Target="https://doi.org/10.20546/ijcmas.2018.704.185" TargetMode="External"/><Relationship Id="rId18" Type="http://schemas.openxmlformats.org/officeDocument/2006/relationships/hyperlink" Target="https://doi.org/10.1007/978-3-030-29189-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07/s13197-012-0703-2" TargetMode="External"/><Relationship Id="rId7" Type="http://schemas.openxmlformats.org/officeDocument/2006/relationships/endnotes" Target="endnotes.xml"/><Relationship Id="rId12" Type="http://schemas.openxmlformats.org/officeDocument/2006/relationships/hyperlink" Target="https://www.aoac.org/" TargetMode="External"/><Relationship Id="rId17" Type="http://schemas.openxmlformats.org/officeDocument/2006/relationships/hyperlink" Target="https://doi.org/10.5851/kosfa.2018.38.1.14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6832/24566632.2022.0703010" TargetMode="External"/><Relationship Id="rId20" Type="http://schemas.openxmlformats.org/officeDocument/2006/relationships/hyperlink" Target="https://doi.org/10.1080/000716601200553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oac.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88/1742-6596/1567/2/022028" TargetMode="External"/><Relationship Id="rId23" Type="http://schemas.openxmlformats.org/officeDocument/2006/relationships/hyperlink" Target="https://doi.org/10.1111/j.1365-2621.1973.tb02836.x" TargetMode="External"/><Relationship Id="rId10" Type="http://schemas.openxmlformats.org/officeDocument/2006/relationships/hyperlink" Target="https://doi.org/10.3390/ani12070901" TargetMode="External"/><Relationship Id="rId19" Type="http://schemas.openxmlformats.org/officeDocument/2006/relationships/hyperlink" Target="https://nationalpopulation.gov.ng/publications" TargetMode="External"/><Relationship Id="rId4" Type="http://schemas.openxmlformats.org/officeDocument/2006/relationships/settings" Target="settings.xml"/><Relationship Id="rId9" Type="http://schemas.openxmlformats.org/officeDocument/2006/relationships/hyperlink" Target="https://doi.org/10.9734/ejmp/2020/v31i1730332" TargetMode="External"/><Relationship Id="rId14" Type="http://schemas.openxmlformats.org/officeDocument/2006/relationships/hyperlink" Target="https://doi.org/10.1007/978-1-4419-6488-5" TargetMode="External"/><Relationship Id="rId22" Type="http://schemas.openxmlformats.org/officeDocument/2006/relationships/hyperlink" Target="https://doi.org/10.22271/chemi.2020.v8.i3w.94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5055</Words>
  <Characters>28815</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33803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reference-corrected manuscript</dc:title>
  <dc:subject/>
  <dc:creator>python-docx</dc:creator>
  <cp:keywords/>
  <dc:description>generated by python-docx</dc:description>
  <cp:lastModifiedBy>Editor-17</cp:lastModifiedBy>
  <cp:revision>63</cp:revision>
  <dcterms:created xsi:type="dcterms:W3CDTF">2013-12-23T23:15:00Z</dcterms:created>
  <dcterms:modified xsi:type="dcterms:W3CDTF">2026-07-31T12:28:00Z</dcterms:modified>
  <cp:category/>
</cp:coreProperties>
</file>